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Tenaya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87990A106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James Evangelista</w:t>
              <w:br/>
              <w:t>1 Letterman Drive, Building D, Suite DM-900</w:t>
              <w:br/>
              <w:t>San Francisco, CA, 94129</w:t>
              <w:br/>
              <w:t>(415) 865-2050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05/07/2025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Column Group III,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4,414,720.00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4,414,720.00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4,414,720.00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TCG III LP (as defined in Item 2(a) of the Original Schedule 13D). TCG III GP LP (as defined in Item 2(a) of the Original Schedule 13D) is the general partner of TCG III LP and may be deemed to have voting, investment and dispositive power with respect to these securities. Peter Svennilson, David Goeddel, a member of the Issuer's board of directors, and Tim Kutzkey are the managing partners of TCG III GP LP and may each be deemed to share voting, investment and dispositive power with respect to these securities. Based on 162,666,931 shares of Common Stock outstanding as of May 1, 2025, as reported by the Issuer in its Quarterly Report on Form 10-Q filed with the Securities and Exchange Commission (the Commission) on May 7, 2025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Column Group III-A,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4,985,570.00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4,985,570.00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4,985,570.00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TCG III-A LP (as defined in Item 2(a) of the Original Schedule 13D). TCG III GP LP is the general partner of TCG III-A LP and may be deemed to have voting, investment and dispositive power with respect to these securities. Peter Svennilson, David Goeddel, a member of the Issuer's board of directors, and Tim Kutzkey are the managing partners of TCG III GP LP and may each be deemed to share voting, investment and dispositive power with respect to these securities. Based on 162,666,931 shares of Common Stock outstanding as of May 1, 2025,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Column Group III GP,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9,400,290.00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9,400,290.00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9,400,290.00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Consists of (i) 4,414,720 shares held of record by TCG III LP and (ii) 4,985,570 shares held of record by TCG III-A LP. TCG III GP LP is the general partner of each of TCG III LP and TCG III-A LP and may be deemed to have voting, investment and dispositive power with respect to these securities. Peter Svennilson, David Goeddel, a member of the Issuer's board of directors, and Tim Kutzkey are the managing partners of TCG III GP LP and may each be deemed to share voting, investment and dispositive power with respect to these securities. Based on 162,666,931 shares of Common Stock outstanding as of May 1, 2025,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Column Group Opportunity III,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49,313,559.00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49,313,559.00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49,313,559.00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30.3 %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TCG Opportunity III LP (as defined in Item 2(a) of the Original Schedule 13D). TCG Opportunity III GP LP (as defined in Item 2(a) of the Original Schedule 13D) is the general partner of TCG Opportunity III LP and may be deemed to have voting, investment and dispositive power with respect to these securities. TCG Opportunity III GP LLC (as defined in Item 2(a) of the Original Schedule 13D) is the general partner of TCG Opportunity III GP LP and the ultimate general partner of TCG Opportunity III LP and may be deemed to 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(as defined in Item 6). Based on 162,666,931 shares of Common Stock outstanding as of May 1, 2025,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Column Group Opportunity III GP,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49,313,559.00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49,313,559.00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49,313,559.00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30.3 %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TCG Opportunity III LP. TCG Opportunity III GP LP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162,666,931 shares of Common Stock outstanding as of May 1, 2025,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TCG Opportunity III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49,313,559.00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49,313,559.00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49,313,559.00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30.3 %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TCG Opportunity III LP. TCG Opportunity III GP LP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162,666,931 shares of Common Stock outstanding as of May 1, 2025,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67"/>
        <w:gridCol w:w="8862"/>
        <w:gridCol w:w="176"/>
      </w:tblGrid>
      <w:tr>
        <w:trPr/>
        <w:tc>
          <w:tcPr>
            <w:tcW w:w="1167" w:type="dxa"/>
            <w:tcBorders/>
            <w:vAlign w:val="center"/>
          </w:tcPr>
          <w:p>
            <w:pPr>
              <w:pStyle w:val="TableContents"/>
              <w:bidi w:val="0"/>
              <w:spacing w:before="0" w:after="283"/>
              <w:jc w:val="left"/>
              <w:rPr/>
            </w:pPr>
            <w:r>
              <w:rPr/>
              <w:t>Item 1.</w:t>
            </w:r>
          </w:p>
        </w:tc>
        <w:tc>
          <w:tcPr>
            <w:tcW w:w="8862" w:type="dxa"/>
            <w:tcBorders/>
            <w:vAlign w:val="center"/>
          </w:tcPr>
          <w:p>
            <w:pPr>
              <w:pStyle w:val="TableContents"/>
              <w:bidi w:val="0"/>
              <w:spacing w:before="0" w:after="283"/>
              <w:jc w:val="left"/>
              <w:rPr/>
            </w:pPr>
            <w:r>
              <w:rPr/>
              <w:t>Security and Issuer</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6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62" w:type="dxa"/>
            <w:tcBorders/>
            <w:vAlign w:val="center"/>
          </w:tcPr>
          <w:p>
            <w:pPr>
              <w:pStyle w:val="TableContents"/>
              <w:bidi w:val="0"/>
              <w:jc w:val="left"/>
              <w:rPr/>
            </w:pPr>
            <w:r>
              <w:rPr/>
              <w:t xml:space="preserve">Name of Issuer: </w:t>
            </w:r>
          </w:p>
          <w:p>
            <w:pPr>
              <w:pStyle w:val="TableContents"/>
              <w:bidi w:val="0"/>
              <w:spacing w:before="0" w:after="0"/>
              <w:jc w:val="left"/>
              <w:rPr/>
            </w:pPr>
            <w:r>
              <w:rPr/>
              <w:t>Tenaya Therapeutics, Inc.</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6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171 Oyster Point Boulevard, Suite 500, South San Francisco, CALIFORNIA , 94080.</w:t>
            </w:r>
          </w:p>
        </w:tc>
        <w:tc>
          <w:tcPr>
            <w:tcW w:w="176"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(this Amendment No. 4) supplements and amends the Schedule 13D relating to the Common Stock of the Issuer that was filed with the Commission on December 1, 2022 (the Initial Schedule 13D), as amended by Amendment No. 1 filed with the Commission on February 21, 2023, by Amendment No. 2 filed with the Commission on February 14, 2024 and Amendment No. 3 filed with the Commission on March 7, 2025 (the Initial Schedule 13D, together with all amendments thereto, the Original Schedule 13D). The securities originally reported on the Initial Schedule 13D were previously reported on a Schedule 13G filed with the Commission on February 11, 2022 (the Schedule 13G). The Schedule 13G was filed pursuant to Rule 13d-1(d) of the Securities Exchange Act. This Amendment No. 4 is being filed to update the aggregate percentage of the Issuer's Common Stock owned by the Reporting Persons solely due to dilution caused by, among other things, the Issuer's sales of additional shares of its Common Stock from time to time since the date of the filing of the Original Schedule 13D and not in connection with a disposition of any shares by the Reporting Persons. Such dilution resulted in a decrease of over one percent (1%) in the aggregate percentage ownership reported by the Reporting Persons in the Original Schedule 13D. Only those items that are reported are hereby amended; all other items reported in the Original Schedule 13D remain unchanged. Capitalized terms contained herein but not otherwise defined shall have the meanings ascribed to such terms in the Original Schedule 13D.</w:t>
            </w:r>
          </w:p>
        </w:tc>
      </w:tr>
      <w:tr>
        <w:trPr/>
        <w:tc>
          <w:tcPr>
            <w:tcW w:w="1167" w:type="dxa"/>
            <w:tcBorders/>
            <w:vAlign w:val="center"/>
          </w:tcPr>
          <w:p>
            <w:pPr>
              <w:pStyle w:val="TableContents"/>
              <w:bidi w:val="0"/>
              <w:spacing w:before="0" w:after="283"/>
              <w:jc w:val="left"/>
              <w:rPr/>
            </w:pPr>
            <w:r>
              <w:rPr/>
              <w:t>Item 2.</w:t>
            </w:r>
          </w:p>
        </w:tc>
        <w:tc>
          <w:tcPr>
            <w:tcW w:w="8862" w:type="dxa"/>
            <w:tcBorders/>
            <w:vAlign w:val="center"/>
          </w:tcPr>
          <w:p>
            <w:pPr>
              <w:pStyle w:val="TableContents"/>
              <w:bidi w:val="0"/>
              <w:spacing w:before="0" w:after="283"/>
              <w:jc w:val="left"/>
              <w:rPr/>
            </w:pPr>
            <w:r>
              <w:rPr/>
              <w:t>Identity and Background</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62" w:type="dxa"/>
            <w:tcBorders/>
            <w:vAlign w:val="center"/>
          </w:tcPr>
          <w:p>
            <w:pPr>
              <w:pStyle w:val="TableContents"/>
              <w:bidi w:val="0"/>
              <w:spacing w:before="0" w:after="0"/>
              <w:jc w:val="left"/>
              <w:rPr/>
            </w:pPr>
            <w:r>
              <w:rPr/>
              <w:t>The information set forth in Item 2(a) of the Original Schedule 13D is incorporated herein by reference.</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62" w:type="dxa"/>
            <w:tcBorders/>
            <w:vAlign w:val="center"/>
          </w:tcPr>
          <w:p>
            <w:pPr>
              <w:pStyle w:val="TableContents"/>
              <w:bidi w:val="0"/>
              <w:spacing w:before="0" w:after="0"/>
              <w:jc w:val="left"/>
              <w:rPr/>
            </w:pPr>
            <w:r>
              <w:rPr/>
              <w:t>The information set forth in Item 2(b) of the Original Schedule 13D is incorporated herein by reference.</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62" w:type="dxa"/>
            <w:tcBorders/>
            <w:vAlign w:val="center"/>
          </w:tcPr>
          <w:p>
            <w:pPr>
              <w:pStyle w:val="TableContents"/>
              <w:bidi w:val="0"/>
              <w:spacing w:before="0" w:after="0"/>
              <w:jc w:val="left"/>
              <w:rPr/>
            </w:pPr>
            <w:r>
              <w:rPr/>
              <w:t>The information set forth in Item 2(c) of the Original Schedule 13D is incorporated herein by reference.</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62" w:type="dxa"/>
            <w:tcBorders/>
            <w:vAlign w:val="center"/>
          </w:tcPr>
          <w:p>
            <w:pPr>
              <w:pStyle w:val="TableContents"/>
              <w:bidi w:val="0"/>
              <w:spacing w:before="0" w:after="0"/>
              <w:jc w:val="left"/>
              <w:rPr/>
            </w:pPr>
            <w:r>
              <w:rPr/>
              <w:t>The information set forth in Item 2(d) of the Original Schedule 13D is incorporated herein by reference.</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62" w:type="dxa"/>
            <w:tcBorders/>
            <w:vAlign w:val="center"/>
          </w:tcPr>
          <w:p>
            <w:pPr>
              <w:pStyle w:val="TableContents"/>
              <w:bidi w:val="0"/>
              <w:spacing w:before="0" w:after="0"/>
              <w:jc w:val="left"/>
              <w:rPr/>
            </w:pPr>
            <w:r>
              <w:rPr/>
              <w:t>The information set forth in Item 2(e) of the Original Schedule 13D is incorporated herein by reference.</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62" w:type="dxa"/>
            <w:tcBorders/>
            <w:vAlign w:val="center"/>
          </w:tcPr>
          <w:p>
            <w:pPr>
              <w:pStyle w:val="TableContents"/>
              <w:bidi w:val="0"/>
              <w:spacing w:before="0" w:after="0"/>
              <w:jc w:val="left"/>
              <w:rPr/>
            </w:pPr>
            <w:r>
              <w:rPr/>
              <w:t>The information set forth in Item 2(f) of the Original Schedule 13D is incorporated herein by reference.</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62" w:type="dxa"/>
            <w:tcBorders/>
            <w:vAlign w:val="center"/>
          </w:tcPr>
          <w:p>
            <w:pPr>
              <w:pStyle w:val="TableContents"/>
              <w:bidi w:val="0"/>
              <w:spacing w:before="0" w:after="283"/>
              <w:jc w:val="left"/>
              <w:rPr/>
            </w:pPr>
            <w:r>
              <w:rPr/>
              <w:t>Source and Amount of Funds or Other Consideration</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0"/>
              <w:jc w:val="left"/>
              <w:rPr/>
            </w:pPr>
            <w:r>
              <w:rPr/>
              <w:t>The information set forth in Item 3 of the Original Schedule 13D is incorporated herein by reference.</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62" w:type="dxa"/>
            <w:tcBorders/>
            <w:vAlign w:val="center"/>
          </w:tcPr>
          <w:p>
            <w:pPr>
              <w:pStyle w:val="TableContents"/>
              <w:bidi w:val="0"/>
              <w:spacing w:before="0" w:after="283"/>
              <w:jc w:val="left"/>
              <w:rPr/>
            </w:pPr>
            <w:r>
              <w:rPr/>
              <w:t>Purpose of Transaction</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0"/>
              <w:jc w:val="left"/>
              <w:rPr/>
            </w:pPr>
            <w:r>
              <w:rPr/>
              <w:t>The information set forth in Item 4 of the Original Schedule 13D is incorporated herein by reference.</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62" w:type="dxa"/>
            <w:tcBorders/>
            <w:vAlign w:val="center"/>
          </w:tcPr>
          <w:p>
            <w:pPr>
              <w:pStyle w:val="TableContents"/>
              <w:bidi w:val="0"/>
              <w:spacing w:before="0" w:after="283"/>
              <w:jc w:val="left"/>
              <w:rPr/>
            </w:pPr>
            <w:r>
              <w:rPr/>
              <w:t>Interest in Securities of the Issuer</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62" w:type="dxa"/>
            <w:tcBorders/>
            <w:vAlign w:val="center"/>
          </w:tcPr>
          <w:p>
            <w:pPr>
              <w:pStyle w:val="TableContents"/>
              <w:bidi w:val="0"/>
              <w:spacing w:before="0" w:after="0"/>
              <w:jc w:val="left"/>
              <w:rPr/>
            </w:pPr>
            <w:r>
              <w:rPr/>
              <w:t>See Items 7-11 of the cover pages of this Amendment No. 4.</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62" w:type="dxa"/>
            <w:tcBorders/>
            <w:vAlign w:val="center"/>
          </w:tcPr>
          <w:p>
            <w:pPr>
              <w:pStyle w:val="TableContents"/>
              <w:bidi w:val="0"/>
              <w:spacing w:before="0" w:after="0"/>
              <w:jc w:val="left"/>
              <w:rPr/>
            </w:pPr>
            <w:r>
              <w:rPr/>
              <w:t>See Items 7-11 of the cover pages of this Amendment No. 4.</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62" w:type="dxa"/>
            <w:tcBorders/>
            <w:vAlign w:val="center"/>
          </w:tcPr>
          <w:p>
            <w:pPr>
              <w:pStyle w:val="TableContents"/>
              <w:bidi w:val="0"/>
              <w:spacing w:before="0" w:after="0"/>
              <w:jc w:val="left"/>
              <w:rPr/>
            </w:pPr>
            <w:r>
              <w:rPr/>
              <w:t>Except as reported in this Statement, none of the Reporting Persons has affected any transactions in the Issuer's securities within the past 60 days.</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62" w:type="dxa"/>
            <w:tcBorders/>
            <w:vAlign w:val="center"/>
          </w:tcPr>
          <w:p>
            <w:pPr>
              <w:pStyle w:val="TableContents"/>
              <w:bidi w:val="0"/>
              <w:spacing w:before="0" w:after="0"/>
              <w:jc w:val="left"/>
              <w:rPr/>
            </w:pPr>
            <w:r>
              <w:rPr/>
              <w:t>Under certain circumstances set forth in the limited partnership agreements of each of TCG III LP, TCG III-A LP and TCG Opportunity III LP, the general partner and limited partners of TCG III LP, TCG III-A LP and TCG Opportunity III LP, as applicable, may be deemed to have the right to receive dividends from, or the proceeds from, the sale of shares of the Issuer owned by such entity of which they are a partner.</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62" w:type="dxa"/>
            <w:tcBorders/>
            <w:vAlign w:val="center"/>
          </w:tcPr>
          <w:p>
            <w:pPr>
              <w:pStyle w:val="TableContents"/>
              <w:bidi w:val="0"/>
              <w:spacing w:before="0" w:after="0"/>
              <w:jc w:val="left"/>
              <w:rPr/>
            </w:pPr>
            <w:r>
              <w:rPr/>
              <w:t>Not applicable.</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6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76"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0"/>
              <w:jc w:val="left"/>
              <w:rPr/>
            </w:pPr>
            <w:r>
              <w:rPr/>
              <w:t>The information set forth in Item 6 of the Original Schedule 13D is incorporated herein by reference.</w:t>
            </w:r>
          </w:p>
        </w:tc>
        <w:tc>
          <w:tcPr>
            <w:tcW w:w="17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The Column Group III, LP</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Evangelista, Attorney in Fact</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James Evangelista,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05/14/2025</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The Column Group III-A, LP</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Evangelista, Attorney in Fact</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James Evangelista,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05/14/2025</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The Column Group III GP,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Evangelista, Attorney in Fact</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James Evangelista,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05/14/2025</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The Column Group Opportunity III, LP</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Evangelista, Attorney in Fact</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James Evangelista,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05/14/2025</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Column Group Opportunity III GP, LP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Evangelista, Attorney in Fact</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James Evangelista,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05/14/2025</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TCG Opportunity III GP,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Evangelista, Attorney in Fact</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James Evangelista,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05/14/2025</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2778</Words>
  <Characters>13886</Characters>
  <CharactersWithSpaces>16481</CharactersWithSpaces>
  <Paragraphs>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