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nya-20230930.htm"/>
      <w:bookmarkStart w:id="1" w:name="kstnya2023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quarterly period ended September 30, 2023</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80" w:after="283"/>
              <w:jc w:val="left"/>
              <w:rPr>
                <w:color w:val="000000"/>
              </w:rPr>
            </w:pPr>
            <w:r>
              <w:rPr>
                <w:color w:val="000000"/>
              </w:rPr>
              <w:t>☐</w:t>
            </w:r>
          </w:p>
        </w:tc>
        <w:tc>
          <w:tcPr>
            <w:tcW w:w="9874" w:type="dxa"/>
            <w:tcBorders/>
            <w:vAlign w:val="center"/>
          </w:tcPr>
          <w:p>
            <w:pPr>
              <w:pStyle w:val="TableContents"/>
              <w:bidi w:val="0"/>
              <w:spacing w:before="8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transition period from ________ to _________</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Commission File Number: 001-40656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TENAYA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3886"/>
        <w:gridCol w:w="1306"/>
      </w:tblGrid>
      <w:tr>
        <w:trPr/>
        <w:tc>
          <w:tcPr>
            <w:tcW w:w="38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306" w:type="dxa"/>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81-3789973</w:t>
            </w:r>
          </w:p>
        </w:tc>
      </w:tr>
      <w:tr>
        <w:trPr/>
        <w:tc>
          <w:tcPr>
            <w:tcW w:w="388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30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886" w:type="dxa"/>
            <w:tcBorders/>
            <w:vAlign w:val="center"/>
          </w:tcPr>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171 Oyster Point Boulevard, Suite 500</w:t>
            </w:r>
          </w:p>
          <w:p>
            <w:pPr>
              <w:pStyle w:val="TableContents"/>
              <w:bidi w:val="0"/>
              <w:spacing w:before="0" w:after="15"/>
              <w:jc w:val="center"/>
              <w:rPr>
                <w:rFonts w:ascii="Times New Roman" w:hAnsi="Times New Roman"/>
                <w:sz w:val="22"/>
              </w:rPr>
            </w:pPr>
            <w:r>
              <w:rPr>
                <w:rFonts w:ascii="Times New Roman" w:hAnsi="Times New Roman"/>
                <w:b/>
                <w:color w:val="000000"/>
                <w:sz w:val="22"/>
              </w:rPr>
              <w:t>South</w:t>
            </w:r>
            <w:r>
              <w:rPr>
                <w:rFonts w:ascii="Times New Roman" w:hAnsi="Times New Roman"/>
                <w:color w:val="000000"/>
                <w:sz w:val="22"/>
              </w:rPr>
              <w:t xml:space="preserve"> </w:t>
            </w:r>
            <w:r>
              <w:rPr>
                <w:rFonts w:ascii="Times New Roman" w:hAnsi="Times New Roman"/>
                <w:b/>
                <w:color w:val="000000"/>
                <w:sz w:val="22"/>
              </w:rPr>
              <w:t>San Francisco, CA</w:t>
            </w:r>
          </w:p>
        </w:tc>
        <w:tc>
          <w:tcPr>
            <w:tcW w:w="1306" w:type="dxa"/>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94080</w:t>
            </w:r>
          </w:p>
        </w:tc>
      </w:tr>
      <w:tr>
        <w:trPr/>
        <w:tc>
          <w:tcPr>
            <w:tcW w:w="388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30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(650) 825-6990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TNYA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8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As of November 2, 2023, the registrant had 68,111,019</w:t>
      </w:r>
      <w:r>
        <w:rPr>
          <w:rFonts w:ascii="Times New Roman" w:hAnsi="Times New Roman"/>
          <w:color w:val="000000"/>
          <w:sz w:val="20"/>
        </w:rPr>
        <w:t xml:space="preserve"> </w:t>
      </w:r>
      <w:r>
        <w:rPr>
          <w:rFonts w:ascii="Times New Roman" w:hAnsi="Times New Roman"/>
          <w:b w:val="false"/>
          <w:color w:val="000000"/>
          <w:sz w:val="18"/>
        </w:rPr>
        <w:t>shares of common stock, $0.0001 par value per share, outstanding.</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636"/>
        <w:gridCol w:w="8273"/>
        <w:gridCol w:w="572"/>
      </w:tblGrid>
      <w:tr>
        <w:trPr/>
        <w:tc>
          <w:tcPr>
            <w:tcW w:w="7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7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balance_sheets">
              <w:r>
                <w:rPr>
                  <w:rStyle w:val="InternetLink"/>
                  <w:rFonts w:ascii="Times New Roman" w:hAnsi="Times New Roman"/>
                  <w:b w:val="false"/>
                  <w:color w:val="0000FF"/>
                  <w:sz w:val="20"/>
                  <w:u w:val="single"/>
                </w:rPr>
                <w:t>Condensed Balance Sheets as of September 30, 2023 and December 31, 2022</w:t>
              </w:r>
            </w:hyperlink>
            <w:r>
              <w:rPr>
                <w:rFonts w:ascii="Times New Roman" w:hAnsi="Times New Roman"/>
                <w:color w:val="000000"/>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statements_operations_comprehe">
              <w:r>
                <w:rPr>
                  <w:rStyle w:val="InternetLink"/>
                  <w:rFonts w:ascii="Times New Roman" w:hAnsi="Times New Roman"/>
                  <w:b w:val="false"/>
                  <w:color w:val="0000FF"/>
                  <w:sz w:val="20"/>
                  <w:u w:val="single"/>
                </w:rPr>
                <w:t>Condensed Statements of Operations and Comprehensive Loss for the three and nine months ended September 30, 2023 and 2022</w:t>
              </w:r>
            </w:hyperlink>
            <w:hyperlink w:anchor="condensed_statements_operations_comprehe">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statements_convertible_preferr">
              <w:r>
                <w:rPr>
                  <w:rStyle w:val="InternetLink"/>
                  <w:rFonts w:ascii="Times New Roman" w:hAnsi="Times New Roman"/>
                  <w:b w:val="false"/>
                  <w:color w:val="0000FF"/>
                  <w:sz w:val="20"/>
                  <w:u w:val="single"/>
                </w:rPr>
                <w:t>Condensed Statements of Stockholders’ Equity</w:t>
              </w:r>
            </w:hyperlink>
            <w:r>
              <w:rPr>
                <w:rFonts w:ascii="Times New Roman" w:hAnsi="Times New Roman"/>
                <w:color w:val="0000FF"/>
                <w:sz w:val="20"/>
                <w:u w:val="single"/>
              </w:rPr>
              <w:t> </w:t>
            </w:r>
            <w:r>
              <w:rPr>
                <w:rFonts w:ascii="Times New Roman" w:hAnsi="Times New Roman"/>
                <w:b w:val="false"/>
                <w:color w:val="0000FF"/>
                <w:sz w:val="20"/>
                <w:u w:val="single"/>
              </w:rPr>
              <w:t>for the three and nine months ended September 30, 2023 and 2022</w:t>
            </w:r>
            <w:r>
              <w:rPr>
                <w:rFonts w:ascii="Times New Roman" w:hAnsi="Times New Roman"/>
                <w:color w:val="0000FF"/>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statements_cash_flows">
              <w:r>
                <w:rPr>
                  <w:rStyle w:val="InternetLink"/>
                  <w:rFonts w:ascii="Times New Roman" w:hAnsi="Times New Roman"/>
                  <w:b w:val="false"/>
                  <w:color w:val="0000FF"/>
                  <w:sz w:val="20"/>
                  <w:u w:val="single"/>
                </w:rPr>
                <w:t>Condensed Statements of Cash Flows for the nine months ended September 30, 2023 and 2022</w:t>
              </w:r>
            </w:hyperlink>
            <w:hyperlink w:anchor="condensed_statements_cash_flows">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notes_to_unaudited_condensed_financial_s">
              <w:r>
                <w:rPr>
                  <w:rStyle w:val="InternetLink"/>
                  <w:rFonts w:ascii="Times New Roman" w:hAnsi="Times New Roman"/>
                  <w:b w:val="false"/>
                  <w:color w:val="0000FF"/>
                  <w:sz w:val="20"/>
                  <w:u w:val="single"/>
                </w:rPr>
                <w:t>Notes to Unaudited Condensed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legal_proceedings">
              <w:r>
                <w:rPr>
                  <w:rStyle w:val="InternetLink"/>
                  <w:rFonts w:ascii="Times New Roman" w:hAnsi="Times New Roman"/>
                  <w:b w:val="false"/>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 LOOKING STATEMENTS</w:t>
      </w:r>
    </w:p>
    <w:p>
      <w:pPr>
        <w:pStyle w:val="TextBody"/>
        <w:bidi w:val="0"/>
        <w:spacing w:before="240" w:after="283"/>
        <w:jc w:val="left"/>
        <w:rPr>
          <w:rFonts w:ascii="Times New Roman" w:hAnsi="Times New Roman"/>
          <w:b w:val="false"/>
          <w:color w:val="231F20"/>
          <w:sz w:val="20"/>
        </w:rPr>
      </w:pPr>
      <w:r>
        <w:rPr>
          <w:rFonts w:ascii="Times New Roman" w:hAnsi="Times New Roman"/>
          <w:b w:val="false"/>
          <w:color w:val="231F20"/>
          <w:sz w:val="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vision to change the treatment paradigm for heart disease;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ability of our ongoing preclinical studies and ongoing or planned clinical trials to demonstrate safety and efficacy of our product candidates, and other positive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develop and advance our current product candidates and programs into, and successfully complete,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manufacturing, commercialization, and marketing capabilities and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competitive position and the success of competing therapies that are or may become available;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plans relating to the further development of our product candidates, including additional indications and targets we may pursue;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impact of existing laws and regulations and regulatory developments in the United States (U.S), Europe and other jurisdictions;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rate and degree of market acceptance and clinical utility of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financial performance;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facilities;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impact of critical accounting policies on investor’s ability to understand our financial performance; and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val="false"/>
          <w:color w:val="231F20"/>
          <w:sz w:val="20"/>
        </w:rPr>
        <w:t xml:space="preserve">our expectations regarding the period during which we will remain an emerging growth company under the </w:t>
      </w:r>
      <w:r>
        <w:rPr>
          <w:rFonts w:ascii="Times New Roman" w:hAnsi="Times New Roman"/>
          <w:b w:val="false"/>
          <w:color w:val="000000"/>
          <w:sz w:val="20"/>
        </w:rPr>
        <w:t>Jumpstart Our Business Startups Act of 2012 (</w:t>
      </w:r>
      <w:r>
        <w:rPr>
          <w:rFonts w:ascii="Times New Roman" w:hAnsi="Times New Roman"/>
          <w:b w:val="false"/>
          <w:color w:val="231F20"/>
          <w:sz w:val="20"/>
        </w:rPr>
        <w:t>JOBS Act).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aps/>
          <w:color w:val="000000"/>
          <w:sz w:val="20"/>
        </w:rPr>
      </w:pPr>
      <w:bookmarkStart w:id="2" w:name="part_i_financial_information"/>
      <w:bookmarkEnd w:id="2"/>
      <w:r>
        <w:rPr>
          <w:rFonts w:ascii="Times New Roman" w:hAnsi="Times New Roman"/>
          <w:b/>
          <w:caps/>
          <w:color w:val="000000"/>
          <w:sz w:val="20"/>
        </w:rPr>
        <w:t>PART I – FINANCIAL INFORMATION</w:t>
      </w:r>
    </w:p>
    <w:p>
      <w:pPr>
        <w:pStyle w:val="TextBody"/>
        <w:bidi w:val="0"/>
        <w:spacing w:before="240" w:after="283"/>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4321"/>
        <w:gridCol w:w="146"/>
        <w:gridCol w:w="228"/>
        <w:gridCol w:w="912"/>
        <w:gridCol w:w="166"/>
        <w:gridCol w:w="146"/>
        <w:gridCol w:w="219"/>
        <w:gridCol w:w="87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95,272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Short-term investments in marketable securities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91,255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193,754</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51,032</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11,663</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 in marketable securities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17,703</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9,578</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24,248</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noncurrent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35,569</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6)</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522,945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(279,198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243,376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74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68,789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74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(91,071</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74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74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before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(90,149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74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73,924,937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41,358,296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73,579,200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41,309,812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TENAYA THERAPEUTICS, INC.</w:t>
      </w:r>
    </w:p>
    <w:p>
      <w:pPr>
        <w:pStyle w:val="TextBody"/>
        <w:bidi w:val="0"/>
        <w:spacing w:before="240" w:after="283"/>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3"/>
        <w:gridCol w:w="146"/>
        <w:gridCol w:w="146"/>
        <w:gridCol w:w="146"/>
        <w:gridCol w:w="916"/>
        <w:gridCol w:w="146"/>
        <w:gridCol w:w="146"/>
        <w:gridCol w:w="249"/>
        <w:gridCol w:w="442"/>
        <w:gridCol w:w="146"/>
        <w:gridCol w:w="146"/>
        <w:gridCol w:w="196"/>
        <w:gridCol w:w="691"/>
        <w:gridCol w:w="146"/>
        <w:gridCol w:w="146"/>
        <w:gridCol w:w="443"/>
        <w:gridCol w:w="986"/>
        <w:gridCol w:w="166"/>
        <w:gridCol w:w="146"/>
        <w:gridCol w:w="217"/>
        <w:gridCol w:w="834"/>
        <w:gridCol w:w="166"/>
        <w:gridCol w:w="146"/>
        <w:gridCol w:w="243"/>
        <w:gridCol w:w="864"/>
        <w:gridCol w:w="413"/>
      </w:tblGrid>
      <w:tr>
        <w:trPr/>
        <w:tc>
          <w:tcPr>
            <w:tcW w:w="1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vAlign w:val="center"/>
          </w:tcPr>
          <w:p>
            <w:pPr>
              <w:pStyle w:val="TableContents"/>
              <w:bidi w:val="0"/>
              <w:spacing w:before="0" w:after="283"/>
              <w:jc w:val="center"/>
              <w:rPr/>
            </w:pPr>
            <w:r>
              <w:rPr/>
              <w:t> </w:t>
            </w:r>
          </w:p>
        </w:tc>
      </w:tr>
      <w:tr>
        <w:trPr/>
        <w:tc>
          <w:tcPr>
            <w:tcW w:w="17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66,857,113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522,945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(279,198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243,376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exercise</w:t>
              <w:br/>
              <w:t>   of stock options and vesting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Vesting of early exercised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3,514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77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66,865,424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526,460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(310,935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215,412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in connection with</w:t>
              <w:br/>
              <w:t>   at-the-market sales, net of issuance costs of $120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535,767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3,868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exercise</w:t>
              <w:br/>
              <w:t>  of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3"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 xml:space="preserve">Issuance of common stock pursuant to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exercise</w:t>
              <w:br/>
              <w:t>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3"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3,831</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3"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(33,269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77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67,865,158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534,470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(344,204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189,940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vesting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3"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4,015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7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7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(29,143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77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68,111,019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538,485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(373,347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164,884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1"/>
        <w:gridCol w:w="146"/>
        <w:gridCol w:w="146"/>
        <w:gridCol w:w="146"/>
        <w:gridCol w:w="916"/>
        <w:gridCol w:w="146"/>
        <w:gridCol w:w="146"/>
        <w:gridCol w:w="249"/>
        <w:gridCol w:w="442"/>
        <w:gridCol w:w="146"/>
        <w:gridCol w:w="146"/>
        <w:gridCol w:w="196"/>
        <w:gridCol w:w="691"/>
        <w:gridCol w:w="146"/>
        <w:gridCol w:w="146"/>
        <w:gridCol w:w="455"/>
        <w:gridCol w:w="1013"/>
        <w:gridCol w:w="166"/>
        <w:gridCol w:w="146"/>
        <w:gridCol w:w="217"/>
        <w:gridCol w:w="834"/>
        <w:gridCol w:w="166"/>
        <w:gridCol w:w="146"/>
        <w:gridCol w:w="246"/>
        <w:gridCol w:w="874"/>
        <w:gridCol w:w="413"/>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vAlign w:val="center"/>
          </w:tcPr>
          <w:p>
            <w:pPr>
              <w:pStyle w:val="TableContents"/>
              <w:bidi w:val="0"/>
              <w:spacing w:before="0" w:after="283"/>
              <w:jc w:val="center"/>
              <w:rPr/>
            </w:pPr>
            <w:r>
              <w:rPr/>
              <w:t> </w:t>
            </w:r>
          </w:p>
        </w:tc>
      </w:tr>
      <w:tr>
        <w:trPr/>
        <w:tc>
          <w:tcPr>
            <w:tcW w:w="1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41,291,374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434,196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(155,533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278,526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exercise</w:t>
              <w:br/>
              <w:t>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Vesting of early exercised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2,094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(490</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(31,056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7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41,299,026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436,313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249,097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exercise</w:t>
              <w:br/>
              <w:t>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 xml:space="preserve">Issuance of common stock pursuant to </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51,608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5"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5"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(28,397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7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41,363,820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223,867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 exercise</w:t>
              <w:br/>
              <w:t>   of stock options and vesting of restricted</w:t>
              <w:br/>
              <w:t>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5"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5"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(30,696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7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41,374,689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442,773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196,328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0"/>
        <w:gridCol w:w="146"/>
        <w:gridCol w:w="236"/>
        <w:gridCol w:w="833"/>
        <w:gridCol w:w="199"/>
        <w:gridCol w:w="175"/>
        <w:gridCol w:w="236"/>
        <w:gridCol w:w="906"/>
        <w:gridCol w:w="694"/>
      </w:tblGrid>
      <w:tr>
        <w:trPr/>
        <w:tc>
          <w:tcPr>
            <w:tcW w:w="6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6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left"/>
              <w:rPr>
                <w:sz w:val="4"/>
                <w:szCs w:val="4"/>
              </w:rPr>
            </w:pPr>
            <w:r>
              <w:rPr>
                <w:sz w:val="4"/>
                <w:szCs w:val="4"/>
              </w:rPr>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jc w:val="right"/>
              <w:rPr/>
            </w:pPr>
            <w:r>
              <w:rPr/>
              <w:t> </w:t>
            </w:r>
          </w:p>
        </w:tc>
      </w:tr>
      <w:tr>
        <w:trPr/>
        <w:tc>
          <w:tcPr>
            <w:tcW w:w="67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(94,149</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(90,149</w:t>
            </w:r>
          </w:p>
        </w:tc>
        <w:tc>
          <w:tcPr>
            <w:tcW w:w="6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ind w:left="0" w:right="0" w:firstLine="200"/>
              <w:jc w:val="righ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6,506</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4,350</w:t>
            </w:r>
          </w:p>
        </w:tc>
        <w:tc>
          <w:tcPr>
            <w:tcW w:w="694" w:type="dxa"/>
            <w:tcBorders/>
            <w:shd w:fill="FFFFFF" w:val="clear"/>
            <w:vAlign w:val="center"/>
          </w:tcPr>
          <w:p>
            <w:pPr>
              <w:pStyle w:val="TableContents"/>
              <w:bidi w:val="0"/>
              <w:spacing w:before="0" w:after="283"/>
              <w:ind w:left="0" w:right="0" w:firstLine="200"/>
              <w:jc w:val="left"/>
              <w:rPr/>
            </w:pPr>
            <w:r>
              <w:rPr/>
              <w:t> </w:t>
            </w:r>
          </w:p>
        </w:tc>
      </w:tr>
      <w:tr>
        <w:trPr/>
        <w:tc>
          <w:tcPr>
            <w:tcW w:w="67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Amortization (accretion) of premium (discount) on marketable securities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(1,371</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694" w:type="dxa"/>
            <w:tcBorders/>
            <w:shd w:fill="CFF0FC" w:val="clear"/>
            <w:vAlign w:val="center"/>
          </w:tcPr>
          <w:p>
            <w:pPr>
              <w:pStyle w:val="TableContents"/>
              <w:bidi w:val="0"/>
              <w:spacing w:before="0" w:after="283"/>
              <w:ind w:left="0" w:right="0" w:firstLine="200"/>
              <w:jc w:val="lef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11,360</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8,280</w:t>
            </w:r>
          </w:p>
        </w:tc>
        <w:tc>
          <w:tcPr>
            <w:tcW w:w="694" w:type="dxa"/>
            <w:tcBorders/>
            <w:shd w:fill="FFFFFF" w:val="clear"/>
            <w:vAlign w:val="center"/>
          </w:tcPr>
          <w:p>
            <w:pPr>
              <w:pStyle w:val="TableContents"/>
              <w:bidi w:val="0"/>
              <w:spacing w:before="0" w:after="283"/>
              <w:ind w:left="0" w:right="0" w:firstLine="200"/>
              <w:jc w:val="left"/>
              <w:rPr/>
            </w:pPr>
            <w:r>
              <w:rPr/>
              <w:t> </w:t>
            </w:r>
          </w:p>
        </w:tc>
      </w:tr>
      <w:tr>
        <w:trPr/>
        <w:tc>
          <w:tcPr>
            <w:tcW w:w="67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2,326</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1,510</w:t>
            </w:r>
          </w:p>
        </w:tc>
        <w:tc>
          <w:tcPr>
            <w:tcW w:w="694" w:type="dxa"/>
            <w:tcBorders/>
            <w:shd w:fill="CFF0FC" w:val="clear"/>
            <w:vAlign w:val="center"/>
          </w:tcPr>
          <w:p>
            <w:pPr>
              <w:pStyle w:val="TableContents"/>
              <w:bidi w:val="0"/>
              <w:spacing w:before="0" w:after="283"/>
              <w:ind w:left="0" w:right="0" w:firstLine="200"/>
              <w:jc w:val="lef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694" w:type="dxa"/>
            <w:tcBorders/>
            <w:shd w:fill="FFFFFF" w:val="clear"/>
            <w:vAlign w:val="center"/>
          </w:tcPr>
          <w:p>
            <w:pPr>
              <w:pStyle w:val="TableContents"/>
              <w:bidi w:val="0"/>
              <w:spacing w:before="0" w:after="283"/>
              <w:ind w:left="0" w:right="0" w:firstLine="200"/>
              <w:jc w:val="left"/>
              <w:rPr/>
            </w:pPr>
            <w:r>
              <w:rPr/>
              <w:t> </w:t>
            </w:r>
          </w:p>
        </w:tc>
      </w:tr>
      <w:tr>
        <w:trPr/>
        <w:tc>
          <w:tcPr>
            <w:tcW w:w="67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ind w:left="0" w:right="0" w:firstLine="400"/>
              <w:jc w:val="right"/>
              <w:rPr/>
            </w:pPr>
            <w:r>
              <w:rPr/>
              <w:t> </w:t>
            </w:r>
          </w:p>
        </w:tc>
      </w:tr>
      <w:tr>
        <w:trPr/>
        <w:tc>
          <w:tcPr>
            <w:tcW w:w="678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2,013</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(3,278</w:t>
            </w:r>
          </w:p>
        </w:tc>
        <w:tc>
          <w:tcPr>
            <w:tcW w:w="69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Other noncurrent assets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(658</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(672</w:t>
            </w:r>
          </w:p>
        </w:tc>
        <w:tc>
          <w:tcPr>
            <w:tcW w:w="69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(2,977</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(1,803</w:t>
            </w:r>
          </w:p>
        </w:tc>
        <w:tc>
          <w:tcPr>
            <w:tcW w:w="69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2,051</w:t>
            </w:r>
          </w:p>
        </w:tc>
        <w:tc>
          <w:tcPr>
            <w:tcW w:w="694" w:type="dxa"/>
            <w:tcBorders/>
            <w:shd w:fill="CFF0FC" w:val="clear"/>
            <w:vAlign w:val="center"/>
          </w:tcPr>
          <w:p>
            <w:pPr>
              <w:pStyle w:val="TableContents"/>
              <w:bidi w:val="0"/>
              <w:spacing w:before="0" w:after="283"/>
              <w:ind w:left="0" w:right="0" w:firstLine="400"/>
              <w:jc w:val="left"/>
              <w:rPr/>
            </w:pPr>
            <w:r>
              <w:rPr/>
              <w:t> </w:t>
            </w:r>
          </w:p>
        </w:tc>
      </w:tr>
      <w:tr>
        <w:trPr/>
        <w:tc>
          <w:tcPr>
            <w:tcW w:w="678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(3,055</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(2,147</w:t>
            </w:r>
          </w:p>
        </w:tc>
        <w:tc>
          <w:tcPr>
            <w:tcW w:w="69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80"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16"/>
              </w:rPr>
            </w:pPr>
            <w:r>
              <w:rPr>
                <w:rFonts w:ascii="Times New Roman" w:hAnsi="Times New Roman"/>
                <w:b w:val="false"/>
                <w:color w:val="000000"/>
                <w:sz w:val="16"/>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(80,148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(81,742</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ind w:left="0" w:right="0" w:firstLine="200"/>
              <w:jc w:val="righ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(845</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(19,835</w:t>
            </w:r>
          </w:p>
        </w:tc>
        <w:tc>
          <w:tcPr>
            <w:tcW w:w="69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(40,998</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(108,737</w:t>
            </w:r>
          </w:p>
        </w:tc>
        <w:tc>
          <w:tcPr>
            <w:tcW w:w="69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105,484</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206,250</w:t>
            </w:r>
          </w:p>
        </w:tc>
        <w:tc>
          <w:tcPr>
            <w:tcW w:w="694" w:type="dxa"/>
            <w:tcBorders/>
            <w:shd w:fill="FFFFFF" w:val="clear"/>
            <w:vAlign w:val="center"/>
          </w:tcPr>
          <w:p>
            <w:pPr>
              <w:pStyle w:val="TableContents"/>
              <w:bidi w:val="0"/>
              <w:spacing w:before="0" w:after="283"/>
              <w:ind w:left="0" w:right="0" w:firstLine="200"/>
              <w:jc w:val="left"/>
              <w:rPr/>
            </w:pPr>
            <w:r>
              <w:rPr/>
              <w:t> </w:t>
            </w:r>
          </w:p>
        </w:tc>
      </w:tr>
      <w:tr>
        <w:trPr/>
        <w:tc>
          <w:tcPr>
            <w:tcW w:w="67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80"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16"/>
              </w:rPr>
            </w:pPr>
            <w:r>
              <w:rPr>
                <w:rFonts w:ascii="Times New Roman" w:hAnsi="Times New Roman"/>
                <w:b w:val="false"/>
                <w:color w:val="000000"/>
                <w:sz w:val="16"/>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63,634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77,678</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ind w:left="0" w:right="0" w:firstLine="200"/>
              <w:jc w:val="righ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at-the-market sales, net of issuance costs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3,868</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694" w:type="dxa"/>
            <w:tcBorders/>
            <w:shd w:fill="FFFFFF" w:val="clear"/>
            <w:vAlign w:val="center"/>
          </w:tcPr>
          <w:p>
            <w:pPr>
              <w:pStyle w:val="TableContents"/>
              <w:bidi w:val="0"/>
              <w:spacing w:before="0" w:after="283"/>
              <w:ind w:left="0" w:right="0" w:firstLine="200"/>
              <w:jc w:val="left"/>
              <w:rPr/>
            </w:pPr>
            <w:r>
              <w:rPr/>
              <w:t> </w:t>
            </w:r>
          </w:p>
        </w:tc>
      </w:tr>
      <w:tr>
        <w:trPr/>
        <w:tc>
          <w:tcPr>
            <w:tcW w:w="67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 of accrued offering costs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(501</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694" w:type="dxa"/>
            <w:tcBorders/>
            <w:shd w:fill="CFF0FC" w:val="clear"/>
            <w:vAlign w:val="center"/>
          </w:tcPr>
          <w:p>
            <w:pPr>
              <w:pStyle w:val="TableContents"/>
              <w:bidi w:val="0"/>
              <w:spacing w:before="0" w:after="283"/>
              <w:ind w:left="0" w:right="0" w:firstLine="200"/>
              <w:jc w:val="lef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exercise of stock options and employee stock purchase plan</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80"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16"/>
              </w:rPr>
            </w:pPr>
            <w:r>
              <w:rPr>
                <w:rFonts w:ascii="Times New Roman" w:hAnsi="Times New Roman"/>
                <w:b w:val="false"/>
                <w:color w:val="000000"/>
                <w:sz w:val="16"/>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3,678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(12,836</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(3,783</w:t>
            </w:r>
          </w:p>
        </w:tc>
        <w:tc>
          <w:tcPr>
            <w:tcW w:w="6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8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95,671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38,676</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82,835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34,893</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Components of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jc w:val="right"/>
              <w:rPr/>
            </w:pPr>
            <w:r>
              <w:rPr/>
              <w:t> </w:t>
            </w:r>
          </w:p>
        </w:tc>
      </w:tr>
      <w:tr>
        <w:trPr/>
        <w:tc>
          <w:tcPr>
            <w:tcW w:w="67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82,153</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34,494</w:t>
            </w:r>
          </w:p>
        </w:tc>
        <w:tc>
          <w:tcPr>
            <w:tcW w:w="694" w:type="dxa"/>
            <w:tcBorders/>
            <w:shd w:fill="FFFFFF" w:val="clear"/>
            <w:vAlign w:val="center"/>
          </w:tcPr>
          <w:p>
            <w:pPr>
              <w:pStyle w:val="TableContents"/>
              <w:bidi w:val="0"/>
              <w:spacing w:before="0" w:after="283"/>
              <w:jc w:val="left"/>
              <w:rPr/>
            </w:pPr>
            <w:r>
              <w:rPr/>
              <w:t> </w:t>
            </w:r>
          </w:p>
        </w:tc>
      </w:tr>
      <w:tr>
        <w:trPr/>
        <w:tc>
          <w:tcPr>
            <w:tcW w:w="678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Restricted cash included in other noncurrent assets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399</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82,835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34,893</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4" w:type="dxa"/>
            <w:tcBorders/>
            <w:shd w:fill="CFF0FC" w:val="clear"/>
            <w:vAlign w:val="center"/>
          </w:tcPr>
          <w:p>
            <w:pPr>
              <w:pStyle w:val="TableContents"/>
              <w:bidi w:val="0"/>
              <w:spacing w:before="0" w:after="283"/>
              <w:ind w:left="0" w:right="0" w:firstLine="200"/>
              <w:jc w:val="right"/>
              <w:rPr/>
            </w:pPr>
            <w:r>
              <w:rPr/>
              <w:t> </w:t>
            </w:r>
          </w:p>
        </w:tc>
      </w:tr>
      <w:tr>
        <w:trPr/>
        <w:tc>
          <w:tcPr>
            <w:tcW w:w="67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Property and equipment included in accounts payable and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w:t>
            </w:r>
          </w:p>
        </w:tc>
        <w:tc>
          <w:tcPr>
            <w:tcW w:w="6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8" w:name="notes_to_unaudited_condensed_financial_s"/>
      <w:bookmarkEnd w:id="8"/>
      <w:r>
        <w:rPr>
          <w:rFonts w:ascii="Times New Roman" w:hAnsi="Times New Roman"/>
          <w:b/>
          <w:color w:val="000000"/>
          <w:sz w:val="20"/>
        </w:rPr>
        <w:t>Notes to Unaudited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Description of the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incurred net losses since inception and expects such losses to continue in the future as it conducts research and development activities. As of September 30, 2023, the Company had an accumulated deficit of $373.3</w:t>
      </w:r>
      <w:r>
        <w:rPr>
          <w:rFonts w:ascii="Times New Roman" w:hAnsi="Times New Roman"/>
          <w:color w:val="000000"/>
          <w:sz w:val="20"/>
        </w:rPr>
        <w:t xml:space="preserve"> </w:t>
      </w:r>
      <w:r>
        <w:rPr>
          <w:rFonts w:ascii="Times New Roman" w:hAnsi="Times New Roman"/>
          <w:b w:val="false"/>
          <w:color w:val="000000"/>
          <w:sz w:val="20"/>
        </w:rPr>
        <w:t>million. The Company incurred a net loss of $94.1</w:t>
      </w:r>
      <w:r>
        <w:rPr>
          <w:rFonts w:ascii="Times New Roman" w:hAnsi="Times New Roman"/>
          <w:color w:val="000000"/>
          <w:sz w:val="20"/>
        </w:rPr>
        <w:t xml:space="preserve"> </w:t>
      </w:r>
      <w:r>
        <w:rPr>
          <w:rFonts w:ascii="Times New Roman" w:hAnsi="Times New Roman"/>
          <w:b w:val="false"/>
          <w:color w:val="000000"/>
          <w:sz w:val="20"/>
        </w:rPr>
        <w:t>million and $90.1</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 and 2022, respectively. The Company had $128.1</w:t>
      </w:r>
      <w:r>
        <w:rPr>
          <w:rFonts w:ascii="Times New Roman" w:hAnsi="Times New Roman"/>
          <w:color w:val="000000"/>
          <w:sz w:val="20"/>
        </w:rPr>
        <w:t xml:space="preserve"> </w:t>
      </w:r>
      <w:r>
        <w:rPr>
          <w:rFonts w:ascii="Times New Roman" w:hAnsi="Times New Roman"/>
          <w:b w:val="false"/>
          <w:color w:val="000000"/>
          <w:sz w:val="20"/>
        </w:rPr>
        <w:t>million of cash, cash equivalents and investments in marketable securities 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September 30, 2023 will be sufficient to fund the Company’s operations for at least the next twelve months following the date these condensed financial statements are filed with the Securities and Exchange Commission (SEC).</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interim condensed balance sheet as of September 30, 2023, the interim condensed statements of operations and comprehensive loss, stockholders’ equity and cash flows for the nine months ended September 30, 2023 and 2022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nine months ended September 30, 2023, are not necessarily indicative of the results to be expected for the full year or for any other future annual or interim period. The condensed balance sheet as of December 31, 2022, included herein was derived from the audited financial statements as of that date. These condensed financial statements should be read in conjunction with the Company’s audited financial statements and the related notes thereto for the year ended December 31, 2022, included in Company’s Annual Report on Form 10-K, filed with the SEC on March 8, 2023.</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On an ongoing basis, management evaluates its estimates, including those related to clinical trial accrued liabilities, income tax valuation allowance and stock-based compensation.</w:t>
      </w:r>
      <w:r>
        <w:rPr>
          <w:rFonts w:ascii="Times New Roman" w:hAnsi="Times New Roman"/>
          <w:color w:val="000000"/>
          <w:sz w:val="20"/>
        </w:rPr>
        <w:t xml:space="preserve"> </w:t>
      </w:r>
      <w:r>
        <w:rPr>
          <w:rFonts w:ascii="Times New Roman" w:hAnsi="Times New Roman"/>
          <w:b w:val="false"/>
          <w:color w:val="000000"/>
          <w:sz w:val="20"/>
        </w:rPr>
        <w:t>Management bases its estimates on historical experience, the current economic environment, and on various other assumptions that are believed to be reasonable under the circumstances. Actual results may differ from those estimates or assumptions.</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Except for the changes below, there have been no material revisions to the Company’s significant accounting policies described in Note 2 to the consolidated financial statements included in the Company’s Annual Report on Form 10-K for the year ended December 31,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(expense), net.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2016, the Financial Accounting Standards Board (FASB) issued Accounting Standards Update (ASU) No. 2016-13, Financial Instruments – Credit Losses (Topic 326): Measurement of Credit Losses on Financial Instruments (ASU 2016-13), which replaces the existing incurred loss impairment model with an expected credit loss model. This standard requires companies to recognize an allowance for credit losses on available-for-sale debt securities rather than the prior approach of recording a reduction to the carrying value of the asset. ASU 2016-13 became effective for the Company beginning January 1, 2023. The adoption</w:t>
      </w:r>
      <w:r>
        <w:rPr>
          <w:rFonts w:ascii="Times New Roman" w:hAnsi="Times New Roman"/>
          <w:color w:val="000000"/>
          <w:sz w:val="20"/>
        </w:rPr>
        <w:t xml:space="preserve"> </w:t>
      </w:r>
      <w:r>
        <w:rPr>
          <w:rFonts w:ascii="Times New Roman" w:hAnsi="Times New Roman"/>
          <w:b w:val="false"/>
          <w:color w:val="000000"/>
          <w:sz w:val="20"/>
        </w:rPr>
        <w:t>of this standard did not have a material impact on the Company's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1 - Inputs are unadjusted, quoted prices in active markets for identical assets or liabilities at the measurement 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tables summarize the Company’s financial assets measured at fair value on a recurring basis by level within the fair value hierarchy:</w:t>
      </w:r>
      <w:r>
        <w:rPr>
          <w:rFonts w:ascii="Times New Roman" w:hAnsi="Times New Roman"/>
          <w:color w:val="000000"/>
          <w:sz w:val="20"/>
        </w:rPr>
        <w:t xml:space="preserve"> </w:t>
      </w:r>
    </w:p>
    <w:tbl>
      <w:tblPr>
        <w:tblW w:w="8607" w:type="dxa"/>
        <w:jc w:val="left"/>
        <w:tblInd w:w="0" w:type="dxa"/>
        <w:tblLayout w:type="fixed"/>
        <w:tblCellMar>
          <w:top w:w="28" w:type="dxa"/>
          <w:left w:w="28" w:type="dxa"/>
          <w:bottom w:w="28" w:type="dxa"/>
          <w:right w:w="28" w:type="dxa"/>
        </w:tblCellMar>
      </w:tblPr>
      <w:tblGrid>
        <w:gridCol w:w="25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43,865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18,020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18,419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Government agencies bonds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127,532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607" w:type="dxa"/>
        <w:jc w:val="left"/>
        <w:tblInd w:w="0" w:type="dxa"/>
        <w:tblLayout w:type="fixed"/>
        <w:tblCellMar>
          <w:top w:w="28" w:type="dxa"/>
          <w:left w:w="28" w:type="dxa"/>
          <w:bottom w:w="28" w:type="dxa"/>
          <w:right w:w="28" w:type="dxa"/>
        </w:tblCellMar>
      </w:tblPr>
      <w:tblGrid>
        <w:gridCol w:w="25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20,532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54,581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25,127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43,484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Government agencies bonds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37,669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203,242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fair value of available-for-sale marketable securities was $46.0</w:t>
      </w:r>
      <w:r>
        <w:rPr>
          <w:rFonts w:ascii="Times New Roman" w:hAnsi="Times New Roman"/>
          <w:color w:val="000000"/>
          <w:sz w:val="20"/>
        </w:rPr>
        <w:t xml:space="preserve"> </w:t>
      </w:r>
      <w:r>
        <w:rPr>
          <w:rFonts w:ascii="Times New Roman" w:hAnsi="Times New Roman"/>
          <w:b w:val="false"/>
          <w:color w:val="000000"/>
          <w:sz w:val="20"/>
        </w:rPr>
        <w:t>million. $39.6</w:t>
      </w:r>
      <w:r>
        <w:rPr>
          <w:rFonts w:ascii="Times New Roman" w:hAnsi="Times New Roman"/>
          <w:color w:val="000000"/>
          <w:sz w:val="20"/>
        </w:rPr>
        <w:t xml:space="preserve"> </w:t>
      </w:r>
      <w:r>
        <w:rPr>
          <w:rFonts w:ascii="Times New Roman" w:hAnsi="Times New Roman"/>
          <w:b w:val="false"/>
          <w:color w:val="000000"/>
          <w:sz w:val="20"/>
        </w:rPr>
        <w:t>million of available-for-sale marketable securities had remaining maturities of less than one year. The remaining $6.4</w:t>
      </w:r>
      <w:r>
        <w:rPr>
          <w:rFonts w:ascii="Times New Roman" w:hAnsi="Times New Roman"/>
          <w:color w:val="000000"/>
          <w:sz w:val="20"/>
        </w:rPr>
        <w:t xml:space="preserve"> </w:t>
      </w:r>
      <w:r>
        <w:rPr>
          <w:rFonts w:ascii="Times New Roman" w:hAnsi="Times New Roman"/>
          <w:b w:val="false"/>
          <w:color w:val="000000"/>
          <w:sz w:val="20"/>
        </w:rPr>
        <w:t>million of marketable securities had remaining maturities between one</w:t>
      </w:r>
      <w:r>
        <w:rPr>
          <w:rFonts w:ascii="Times New Roman" w:hAnsi="Times New Roman"/>
          <w:color w:val="000000"/>
          <w:sz w:val="20"/>
        </w:rPr>
        <w:t xml:space="preserve"> </w:t>
      </w:r>
      <w:r>
        <w:rPr>
          <w:rFonts w:ascii="Times New Roman" w:hAnsi="Times New Roman"/>
          <w:b w:val="false"/>
          <w:color w:val="000000"/>
          <w:sz w:val="20"/>
        </w:rPr>
        <w:t>and two years.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carrying amount of the Company’s remaining financial assets and liabilities, which include cash, receivables and payables, approximate their fair values due to their short-term nature.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Property and equipment, net consists of the following:</w:t>
      </w:r>
    </w:p>
    <w:tbl>
      <w:tblPr>
        <w:tblW w:w="7115" w:type="dxa"/>
        <w:jc w:val="left"/>
        <w:tblInd w:w="0" w:type="dxa"/>
        <w:tblLayout w:type="fixed"/>
        <w:tblCellMar>
          <w:top w:w="28" w:type="dxa"/>
          <w:left w:w="28" w:type="dxa"/>
          <w:bottom w:w="28" w:type="dxa"/>
          <w:right w:w="28" w:type="dxa"/>
        </w:tblCellMar>
      </w:tblPr>
      <w:tblGrid>
        <w:gridCol w:w="4111"/>
        <w:gridCol w:w="146"/>
        <w:gridCol w:w="254"/>
        <w:gridCol w:w="886"/>
        <w:gridCol w:w="166"/>
        <w:gridCol w:w="146"/>
        <w:gridCol w:w="244"/>
        <w:gridCol w:w="851"/>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23,605</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20,537</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Manufacturing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17,468</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3,128</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66,708</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Depreciation and amortization expense for the three months ended September 30, 2023 and 2022 was $2.2</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 respectively. Depreciation and amortization expense for the nine months ended September 30, 2023 and 2022 was $6.5</w:t>
      </w:r>
      <w:r>
        <w:rPr>
          <w:rFonts w:ascii="Times New Roman" w:hAnsi="Times New Roman"/>
          <w:color w:val="000000"/>
          <w:sz w:val="20"/>
        </w:rPr>
        <w:t xml:space="preserve"> </w:t>
      </w:r>
      <w:r>
        <w:rPr>
          <w:rFonts w:ascii="Times New Roman" w:hAnsi="Times New Roman"/>
          <w:b w:val="false"/>
          <w:color w:val="000000"/>
          <w:sz w:val="20"/>
        </w:rPr>
        <w:t>million and $4.3</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Accrued and other current liabilities consist of the following:</w:t>
      </w:r>
    </w:p>
    <w:tbl>
      <w:tblPr>
        <w:tblW w:w="6700" w:type="dxa"/>
        <w:jc w:val="left"/>
        <w:tblInd w:w="0" w:type="dxa"/>
        <w:tblLayout w:type="fixed"/>
        <w:tblCellMar>
          <w:top w:w="28" w:type="dxa"/>
          <w:left w:w="28" w:type="dxa"/>
          <w:bottom w:w="28" w:type="dxa"/>
          <w:right w:w="28" w:type="dxa"/>
        </w:tblCellMar>
      </w:tblPr>
      <w:tblGrid>
        <w:gridCol w:w="3736"/>
        <w:gridCol w:w="146"/>
        <w:gridCol w:w="271"/>
        <w:gridCol w:w="869"/>
        <w:gridCol w:w="146"/>
        <w:gridCol w:w="146"/>
        <w:gridCol w:w="260"/>
        <w:gridCol w:w="835"/>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2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6,299</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3,214</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services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ESPP deduction liability</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facility management services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Gladstone License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w:t>
      </w:r>
      <w:r>
        <w:rPr>
          <w:rFonts w:ascii="Times New Roman" w:hAnsi="Times New Roman"/>
          <w:color w:val="000000"/>
          <w:sz w:val="20"/>
        </w:rPr>
        <w:t xml:space="preserve"> </w:t>
      </w:r>
      <w:r>
        <w:rPr>
          <w:rFonts w:ascii="Times New Roman" w:hAnsi="Times New Roman"/>
          <w:b w:val="false"/>
          <w:color w:val="000000"/>
          <w:sz w:val="20"/>
        </w:rPr>
        <w:t>up to $0.1</w:t>
      </w:r>
      <w:r>
        <w:rPr>
          <w:rFonts w:ascii="Times New Roman" w:hAnsi="Times New Roman"/>
          <w:color w:val="000000"/>
          <w:sz w:val="20"/>
        </w:rPr>
        <w:t xml:space="preserve"> </w:t>
      </w:r>
      <w:r>
        <w:rPr>
          <w:rFonts w:ascii="Times New Roman" w:hAnsi="Times New Roman"/>
          <w:b w:val="false"/>
          <w:color w:val="000000"/>
          <w:sz w:val="20"/>
        </w:rPr>
        <w:t>million per year, which will be creditable against royalties paid in the following twelve month period, (ii) milestone payments up to $4.1</w:t>
      </w:r>
      <w:r>
        <w:rPr>
          <w:rFonts w:ascii="Times New Roman" w:hAnsi="Times New Roman"/>
          <w:color w:val="000000"/>
          <w:sz w:val="20"/>
        </w:rPr>
        <w:t xml:space="preserve"> </w:t>
      </w:r>
      <w:r>
        <w:rPr>
          <w:rFonts w:ascii="Times New Roman" w:hAnsi="Times New Roman"/>
          <w:b w:val="false"/>
          <w:color w:val="000000"/>
          <w:sz w:val="20"/>
        </w:rPr>
        <w:t>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w:t>
      </w:r>
      <w:r>
        <w:rPr>
          <w:rFonts w:ascii="Times New Roman" w:hAnsi="Times New Roman"/>
          <w:color w:val="000000"/>
          <w:sz w:val="20"/>
        </w:rPr>
        <w:t xml:space="preserve"> </w:t>
      </w:r>
      <w:r>
        <w:rPr>
          <w:rFonts w:ascii="Times New Roman" w:hAnsi="Times New Roman"/>
          <w:b w:val="false"/>
          <w:color w:val="000000"/>
          <w:sz w:val="20"/>
        </w:rPr>
        <w:t>to $100,000</w:t>
      </w:r>
      <w:r>
        <w:rPr>
          <w:rFonts w:ascii="Times New Roman" w:hAnsi="Times New Roman"/>
          <w:color w:val="000000"/>
          <w:sz w:val="20"/>
        </w:rPr>
        <w:t xml:space="preserve"> </w:t>
      </w:r>
      <w:r>
        <w:rPr>
          <w:rFonts w:ascii="Times New Roman" w:hAnsi="Times New Roman"/>
          <w:b w:val="false"/>
          <w:color w:val="000000"/>
          <w:sz w:val="20"/>
        </w:rPr>
        <w:t>to extend the deadline for its diligence milestone obligations for up to four</w:t>
      </w:r>
      <w:r>
        <w:rPr>
          <w:rFonts w:ascii="Times New Roman" w:hAnsi="Times New Roman"/>
          <w:color w:val="000000"/>
          <w:sz w:val="20"/>
        </w:rPr>
        <w:t xml:space="preserve"> </w:t>
      </w:r>
      <w:r>
        <w:rPr>
          <w:rFonts w:ascii="Times New Roman" w:hAnsi="Times New Roman"/>
          <w:b w:val="false"/>
          <w:color w:val="000000"/>
          <w:sz w:val="20"/>
        </w:rPr>
        <w:t>additional one-year</w:t>
      </w:r>
      <w:r>
        <w:rPr>
          <w:rFonts w:ascii="Times New Roman" w:hAnsi="Times New Roman"/>
          <w:color w:val="000000"/>
          <w:sz w:val="20"/>
        </w:rPr>
        <w:t xml:space="preserve"> </w:t>
      </w:r>
      <w:r>
        <w:rPr>
          <w:rFonts w:ascii="Times New Roman" w:hAnsi="Times New Roman"/>
          <w:b w:val="false"/>
          <w:color w:val="000000"/>
          <w:sz w:val="20"/>
        </w:rPr>
        <w:t>terms. Dr. Deepak Srivastava, M.D., a member of the Company’s board of directors, serves as President of Gladstone. As of September 30, 2023, the Company has not recognized any milestone and royalty payments under the Gladstone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three and nine months ended September 30, 2023 and 2022, there were no material amounts recorded related to annual license fees payable pursuant to the Gladstone License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University of Texas Southwestern License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January 2020, the Company entered into a license agreement with the University of Texas Southwestern (UTSW License), pursuant to which UTSW granted the Company a royalty-bearing exclusive and sublicensable patent license and a non-exclusive, non-sublicensable license for certain materials. Under the UTSW License, the Company is obligated to pay UTSW (i) a non-refundable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upfront license fee of $0.1</w:t>
      </w:r>
      <w:r>
        <w:rPr>
          <w:rFonts w:ascii="Times New Roman" w:hAnsi="Times New Roman"/>
          <w:color w:val="000000"/>
          <w:sz w:val="20"/>
        </w:rPr>
        <w:t xml:space="preserve"> </w:t>
      </w:r>
      <w:r>
        <w:rPr>
          <w:rFonts w:ascii="Times New Roman" w:hAnsi="Times New Roman"/>
          <w:b w:val="false"/>
          <w:color w:val="000000"/>
          <w:sz w:val="20"/>
        </w:rPr>
        <w:t>million, (ii) milestone payments up to a total of $14.8</w:t>
      </w:r>
      <w:r>
        <w:rPr>
          <w:rFonts w:ascii="Times New Roman" w:hAnsi="Times New Roman"/>
          <w:color w:val="000000"/>
          <w:sz w:val="20"/>
        </w:rPr>
        <w:t xml:space="preserve"> </w:t>
      </w:r>
      <w:r>
        <w:rPr>
          <w:rFonts w:ascii="Times New Roman" w:hAnsi="Times New Roman"/>
          <w:b w:val="false"/>
          <w:color w:val="000000"/>
          <w:sz w:val="20"/>
        </w:rPr>
        <w:t>million in aggregate, which are contingent upon achieving specific development and commercialization milestone events, and (iii) royalties on future net sales of each royalty-bearing product ranging in the low-single digits. As of September 30, 2023, the Company has not recognized any milestone and royalty payments under the UTSW License.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License Agreements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Company has other license agreements with various institutions and business entities, none of which are material individually or in the aggregate.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December 2016, the Company entered into a lease agreement for office and laboratory space in South San Francisco, California. The lease expires in May 2025</w:t>
      </w:r>
      <w:r>
        <w:rPr>
          <w:rFonts w:ascii="Times New Roman" w:hAnsi="Times New Roman"/>
          <w:color w:val="000000"/>
          <w:sz w:val="20"/>
        </w:rPr>
        <w:t xml:space="preserve"> </w:t>
      </w:r>
      <w:r>
        <w:rPr>
          <w:rFonts w:ascii="Times New Roman" w:hAnsi="Times New Roman"/>
          <w:b w:val="false"/>
          <w:color w:val="000000"/>
          <w:sz w:val="20"/>
        </w:rPr>
        <w:t>and the Company may renew the lease term for two</w:t>
      </w:r>
      <w:r>
        <w:rPr>
          <w:rFonts w:ascii="Times New Roman" w:hAnsi="Times New Roman"/>
          <w:color w:val="000000"/>
          <w:sz w:val="20"/>
        </w:rPr>
        <w:t xml:space="preserve"> </w:t>
      </w:r>
      <w:r>
        <w:rPr>
          <w:rFonts w:ascii="Times New Roman" w:hAnsi="Times New Roman"/>
          <w:b w:val="false"/>
          <w:color w:val="000000"/>
          <w:sz w:val="20"/>
        </w:rPr>
        <w:t>additional five-year</w:t>
      </w:r>
      <w:r>
        <w:rPr>
          <w:rFonts w:ascii="Times New Roman" w:hAnsi="Times New Roman"/>
          <w:color w:val="000000"/>
          <w:sz w:val="20"/>
        </w:rPr>
        <w:t xml:space="preserve"> </w:t>
      </w:r>
      <w:r>
        <w:rPr>
          <w:rFonts w:ascii="Times New Roman" w:hAnsi="Times New Roman"/>
          <w:b w:val="false"/>
          <w:color w:val="000000"/>
          <w:sz w:val="20"/>
        </w:rPr>
        <w:t>periods.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2021, the Company entered into a lease agreement for the Union City Facility. The lease commenced in May 2021</w:t>
      </w:r>
      <w:r>
        <w:rPr>
          <w:rFonts w:ascii="Times New Roman" w:hAnsi="Times New Roman"/>
          <w:color w:val="000000"/>
          <w:sz w:val="20"/>
        </w:rPr>
        <w:t xml:space="preserve"> </w:t>
      </w:r>
      <w:r>
        <w:rPr>
          <w:rFonts w:ascii="Times New Roman" w:hAnsi="Times New Roman"/>
          <w:b w:val="false"/>
          <w:color w:val="000000"/>
          <w:sz w:val="20"/>
        </w:rPr>
        <w:t>and has a ten-year</w:t>
      </w:r>
      <w:r>
        <w:rPr>
          <w:rFonts w:ascii="Times New Roman" w:hAnsi="Times New Roman"/>
          <w:color w:val="000000"/>
          <w:sz w:val="20"/>
        </w:rPr>
        <w:t xml:space="preserve"> </w:t>
      </w:r>
      <w:r>
        <w:rPr>
          <w:rFonts w:ascii="Times New Roman" w:hAnsi="Times New Roman"/>
          <w:b w:val="false"/>
          <w:color w:val="000000"/>
          <w:sz w:val="20"/>
        </w:rPr>
        <w:t>term with one</w:t>
      </w:r>
      <w:r>
        <w:rPr>
          <w:rFonts w:ascii="Times New Roman" w:hAnsi="Times New Roman"/>
          <w:color w:val="000000"/>
          <w:sz w:val="20"/>
        </w:rPr>
        <w:t xml:space="preserve"> </w:t>
      </w:r>
      <w:r>
        <w:rPr>
          <w:rFonts w:ascii="Times New Roman" w:hAnsi="Times New Roman"/>
          <w:b w:val="false"/>
          <w:color w:val="000000"/>
          <w:sz w:val="20"/>
        </w:rPr>
        <w:t>five-year</w:t>
      </w:r>
      <w:r>
        <w:rPr>
          <w:rFonts w:ascii="Times New Roman" w:hAnsi="Times New Roman"/>
          <w:color w:val="000000"/>
          <w:sz w:val="20"/>
        </w:rPr>
        <w:t xml:space="preserve"> </w:t>
      </w:r>
      <w:r>
        <w:rPr>
          <w:rFonts w:ascii="Times New Roman" w:hAnsi="Times New Roman"/>
          <w:b w:val="false"/>
          <w:color w:val="000000"/>
          <w:sz w:val="20"/>
        </w:rPr>
        <w:t>renewal option.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 In October 2023, the Company entered into a second amendment for additional laboratory space and to extend the term of the sublease premise through November 30, 2024. Total lease payment under the sublease extension is $1.5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Information related to operating lease activity during the three and nine months ended September 30, 2023 was as follows (in thousands):</w:t>
      </w:r>
    </w:p>
    <w:tbl>
      <w:tblPr>
        <w:tblW w:w="10205" w:type="dxa"/>
        <w:jc w:val="left"/>
        <w:tblInd w:w="0" w:type="dxa"/>
        <w:tblLayout w:type="fixed"/>
        <w:tblCellMar>
          <w:top w:w="28" w:type="dxa"/>
          <w:left w:w="28" w:type="dxa"/>
          <w:bottom w:w="28" w:type="dxa"/>
          <w:right w:w="28" w:type="dxa"/>
        </w:tblCellMar>
      </w:tblPr>
      <w:tblGrid>
        <w:gridCol w:w="4626"/>
        <w:gridCol w:w="146"/>
        <w:gridCol w:w="273"/>
        <w:gridCol w:w="740"/>
        <w:gridCol w:w="189"/>
        <w:gridCol w:w="189"/>
        <w:gridCol w:w="273"/>
        <w:gridCol w:w="740"/>
        <w:gridCol w:w="146"/>
        <w:gridCol w:w="146"/>
        <w:gridCol w:w="266"/>
        <w:gridCol w:w="721"/>
        <w:gridCol w:w="184"/>
        <w:gridCol w:w="184"/>
        <w:gridCol w:w="266"/>
        <w:gridCol w:w="721"/>
        <w:gridCol w:w="395"/>
      </w:tblGrid>
      <w:tr>
        <w:trPr/>
        <w:tc>
          <w:tcPr>
            <w:tcW w:w="4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r>
      <w:tr>
        <w:trPr/>
        <w:tc>
          <w:tcPr>
            <w:tcW w:w="4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3,271</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2,624</w:t>
            </w:r>
          </w:p>
        </w:tc>
        <w:tc>
          <w:tcPr>
            <w:tcW w:w="395" w:type="dxa"/>
            <w:tcBorders/>
            <w:shd w:fill="CFF0FC" w:val="clear"/>
            <w:vAlign w:val="center"/>
          </w:tcPr>
          <w:p>
            <w:pPr>
              <w:pStyle w:val="TableContents"/>
              <w:bidi w:val="0"/>
              <w:spacing w:before="0" w:after="283"/>
              <w:jc w:val="left"/>
              <w:rPr/>
            </w:pPr>
            <w:r>
              <w:rPr/>
              <w:t> </w:t>
            </w:r>
          </w:p>
        </w:tc>
      </w:tr>
      <w:tr>
        <w:trPr/>
        <w:tc>
          <w:tcPr>
            <w:tcW w:w="4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w:t>
            </w:r>
          </w:p>
        </w:tc>
        <w:tc>
          <w:tcPr>
            <w:tcW w:w="395" w:type="dxa"/>
            <w:tcBorders/>
            <w:shd w:fill="FFFFFF" w:val="clear"/>
            <w:vAlign w:val="center"/>
          </w:tcPr>
          <w:p>
            <w:pPr>
              <w:pStyle w:val="TableContents"/>
              <w:bidi w:val="0"/>
              <w:spacing w:before="0" w:after="283"/>
              <w:jc w:val="left"/>
              <w:rPr/>
            </w:pPr>
            <w:r>
              <w:rPr/>
              <w:t> </w:t>
            </w:r>
          </w:p>
        </w:tc>
      </w:tr>
      <w:tr>
        <w:trPr/>
        <w:tc>
          <w:tcPr>
            <w:tcW w:w="4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4,195</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4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w:t>
            </w:r>
          </w:p>
        </w:tc>
        <w:tc>
          <w:tcPr>
            <w:tcW w:w="395" w:type="dxa"/>
            <w:tcBorders/>
            <w:shd w:fill="FFFFFF" w:val="clear"/>
            <w:vAlign w:val="center"/>
          </w:tcPr>
          <w:p>
            <w:pPr>
              <w:pStyle w:val="TableContents"/>
              <w:bidi w:val="0"/>
              <w:spacing w:before="0" w:after="283"/>
              <w:jc w:val="left"/>
              <w:rPr/>
            </w:pPr>
            <w:r>
              <w:rPr/>
              <w:t> </w:t>
            </w:r>
          </w:p>
        </w:tc>
      </w:tr>
      <w:tr>
        <w:trPr/>
        <w:tc>
          <w:tcPr>
            <w:tcW w:w="4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2,978</w:t>
            </w:r>
          </w:p>
        </w:tc>
        <w:tc>
          <w:tcPr>
            <w:tcW w:w="395"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As of September 30, 2023, the Company’s operating leases had a weighted average remaining lease term of 5.6</w:t>
      </w:r>
      <w:r>
        <w:rPr>
          <w:rFonts w:ascii="Times New Roman" w:hAnsi="Times New Roman"/>
          <w:color w:val="000000"/>
          <w:sz w:val="20"/>
        </w:rPr>
        <w:t xml:space="preserve"> </w:t>
      </w:r>
      <w:r>
        <w:rPr>
          <w:rFonts w:ascii="Times New Roman" w:hAnsi="Times New Roman"/>
          <w:b w:val="false"/>
          <w:color w:val="000000"/>
          <w:sz w:val="20"/>
        </w:rPr>
        <w:t xml:space="preserve">years and a weighted average discount rate of 9.6%. Future minimum lease payments under the Company’s operating leases as of September 30, 2023 were as follows: </w:t>
      </w:r>
    </w:p>
    <w:tbl>
      <w:tblPr>
        <w:tblW w:w="6113" w:type="dxa"/>
        <w:jc w:val="left"/>
        <w:tblInd w:w="0" w:type="dxa"/>
        <w:tblLayout w:type="fixed"/>
        <w:tblCellMar>
          <w:top w:w="28" w:type="dxa"/>
          <w:left w:w="28" w:type="dxa"/>
          <w:bottom w:w="28" w:type="dxa"/>
          <w:right w:w="28" w:type="dxa"/>
        </w:tblCellMar>
      </w:tblPr>
      <w:tblGrid>
        <w:gridCol w:w="4436"/>
        <w:gridCol w:w="146"/>
        <w:gridCol w:w="271"/>
        <w:gridCol w:w="869"/>
        <w:gridCol w:w="3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(remaining 3 months)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1,223</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3,910</w:t>
            </w:r>
          </w:p>
        </w:tc>
        <w:tc>
          <w:tcPr>
            <w:tcW w:w="391" w:type="dxa"/>
            <w:tcBorders/>
            <w:shd w:fill="FFFFFF" w:val="cle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2,445</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1,386</w:t>
            </w:r>
          </w:p>
        </w:tc>
        <w:tc>
          <w:tcPr>
            <w:tcW w:w="391" w:type="dxa"/>
            <w:tcBorders/>
            <w:shd w:fill="FFFFFF" w:val="cle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Imputed interest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 Retirement Obligation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lease agreement for the manufacturing and office facility in Union City, the Company is contractually obligated to remove constructed leasehold improvements related to capitalized machinery and equipment (see Note 4) and to restore the leased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space to its original condition upon termination of the lease agreement. As of September 30, 2023, the balance of the asset retirement obligation liability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 as of September 30,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September 30, 2023, the Company did not have any material indemnification claims that were probable or reasonably possible and, consequently, has not recorded any related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Company's 2021 Equity Incentive Plan (2021 Plan), 4,000,000</w:t>
      </w:r>
      <w:r>
        <w:rPr>
          <w:rFonts w:ascii="Times New Roman" w:hAnsi="Times New Roman"/>
          <w:color w:val="000000"/>
          <w:sz w:val="20"/>
        </w:rPr>
        <w:t xml:space="preserve"> </w:t>
      </w:r>
      <w:r>
        <w:rPr>
          <w:rFonts w:ascii="Times New Roman" w:hAnsi="Times New Roman"/>
          <w:b w:val="false"/>
          <w:color w:val="000000"/>
          <w:sz w:val="20"/>
        </w:rPr>
        <w:t>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w:t>
      </w:r>
      <w:r>
        <w:rPr>
          <w:rFonts w:ascii="Times New Roman" w:hAnsi="Times New Roman"/>
          <w:color w:val="000000"/>
          <w:sz w:val="20"/>
        </w:rPr>
        <w:t xml:space="preserve"> </w:t>
      </w:r>
      <w:r>
        <w:rPr>
          <w:rFonts w:ascii="Times New Roman" w:hAnsi="Times New Roman"/>
          <w:b w:val="false"/>
          <w:color w:val="000000"/>
          <w:sz w:val="20"/>
        </w:rPr>
        <w:t>shares; 4% of the outstanding shares of the Company’s common stock as of the last day of the immediately preceding year; or such other amount as the board of directors may determine. In addition, the Company’s 2016 Equity Incentive Plan (2016 Plan) was terminated in connection with the IPO. Shares subject to awards granted under the 2016 Plan that are repurchased by or forfeited to the Company will be reserved for issuance under the 2021 Plan.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shares reserved and available for grant under the 2021 Plan as of September 30, 2023 are 1,078,248.</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stock option activity:</w:t>
      </w:r>
    </w:p>
    <w:tbl>
      <w:tblPr>
        <w:tblW w:w="6037" w:type="dxa"/>
        <w:jc w:val="left"/>
        <w:tblInd w:w="0" w:type="dxa"/>
        <w:tblLayout w:type="fixed"/>
        <w:tblCellMar>
          <w:top w:w="28" w:type="dxa"/>
          <w:left w:w="28" w:type="dxa"/>
          <w:bottom w:w="28" w:type="dxa"/>
          <w:right w:w="28" w:type="dxa"/>
        </w:tblCellMar>
      </w:tblPr>
      <w:tblGrid>
        <w:gridCol w:w="3211"/>
        <w:gridCol w:w="146"/>
        <w:gridCol w:w="146"/>
        <w:gridCol w:w="931"/>
        <w:gridCol w:w="166"/>
        <w:gridCol w:w="146"/>
        <w:gridCol w:w="242"/>
        <w:gridCol w:w="658"/>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391" w:type="dxa"/>
            <w:tcBorders/>
            <w:shd w:fill="FFFFFF" w:val="cle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5,210,182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3,148,158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w:t>
            </w:r>
          </w:p>
        </w:tc>
        <w:tc>
          <w:tcPr>
            <w:tcW w:w="391" w:type="dxa"/>
            <w:tcBorders/>
            <w:shd w:fill="FFFFFF" w:val="clear"/>
            <w:vAlign w:val="center"/>
          </w:tcPr>
          <w:p>
            <w:pPr>
              <w:pStyle w:val="TableContents"/>
              <w:bidi w:val="0"/>
              <w:spacing w:before="0" w:after="283"/>
              <w:jc w:val="lef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8,224,346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7.57</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sz w:val="20"/>
        </w:rPr>
      </w:pPr>
      <w:r>
        <w:rPr>
          <w:rFonts w:ascii="Times New Roman" w:hAnsi="Times New Roman"/>
          <w:b w:val="false"/>
          <w:color w:val="000000"/>
          <w:sz w:val="20"/>
        </w:rPr>
        <w:t>Stock option awards granted to employees generally vest over a four-year</w:t>
      </w:r>
      <w:r>
        <w:rPr>
          <w:rFonts w:ascii="Times New Roman" w:hAnsi="Times New Roman"/>
          <w:color w:val="000000"/>
          <w:sz w:val="20"/>
        </w:rPr>
        <w:t xml:space="preserve"> </w:t>
      </w:r>
      <w:r>
        <w:rPr>
          <w:rFonts w:ascii="Times New Roman" w:hAnsi="Times New Roman"/>
          <w:b w:val="false"/>
          <w:color w:val="000000"/>
          <w:sz w:val="20"/>
        </w:rPr>
        <w:t>period. The contractual term of stock option awards is generally 10 years</w:t>
      </w:r>
      <w:r>
        <w:rPr>
          <w:rFonts w:ascii="Times New Roman" w:hAnsi="Times New Roman"/>
          <w:color w:val="000000"/>
          <w:sz w:val="20"/>
        </w:rPr>
        <w:t xml:space="preserve"> </w:t>
      </w:r>
      <w:r>
        <w:rPr>
          <w:rFonts w:ascii="Times New Roman" w:hAnsi="Times New Roman"/>
          <w:b w:val="false"/>
          <w:color w:val="000000"/>
          <w:sz w:val="20"/>
        </w:rPr>
        <w:t>from the grant date.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fair value of the Company’s stock option awards is estimated on the date of grant using the Black-Scholes option pricing model using the following assumptions:</w:t>
      </w:r>
      <w:r>
        <w:rPr>
          <w:rFonts w:ascii="Times New Roman" w:hAnsi="Times New Roman"/>
          <w:color w:val="000000"/>
          <w:sz w:val="20"/>
        </w:rPr>
        <w:t xml:space="preserve"> </w:t>
      </w:r>
    </w:p>
    <w:tbl>
      <w:tblPr>
        <w:tblW w:w="7324" w:type="dxa"/>
        <w:jc w:val="left"/>
        <w:tblInd w:w="0" w:type="dxa"/>
        <w:tblLayout w:type="fixed"/>
        <w:tblCellMar>
          <w:top w:w="28" w:type="dxa"/>
          <w:left w:w="28" w:type="dxa"/>
          <w:bottom w:w="28" w:type="dxa"/>
          <w:right w:w="28" w:type="dxa"/>
        </w:tblCellMar>
      </w:tblPr>
      <w:tblGrid>
        <w:gridCol w:w="2131"/>
        <w:gridCol w:w="146"/>
        <w:gridCol w:w="1141"/>
        <w:gridCol w:w="146"/>
        <w:gridCol w:w="1141"/>
        <w:gridCol w:w="146"/>
        <w:gridCol w:w="1141"/>
        <w:gridCol w:w="146"/>
        <w:gridCol w:w="118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5.5</w:t>
            </w:r>
            <w:r>
              <w:rPr>
                <w:rFonts w:ascii="Times New Roman" w:hAnsi="Times New Roman"/>
                <w:color w:val="000000"/>
                <w:sz w:val="20"/>
              </w:rPr>
              <w:t xml:space="preserve"> – </w:t>
            </w:r>
            <w:r>
              <w:rPr>
                <w:rFonts w:ascii="Times New Roman" w:hAnsi="Times New Roman"/>
                <w:b w:val="false"/>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5.5 </w:t>
            </w:r>
            <w:r>
              <w:rPr>
                <w:rFonts w:ascii="Times New Roman" w:hAnsi="Times New Roman"/>
                <w:color w:val="000000"/>
                <w:sz w:val="20"/>
              </w:rPr>
              <w:t xml:space="preserve">– </w:t>
            </w:r>
            <w:r>
              <w:rPr>
                <w:rFonts w:ascii="Times New Roman" w:hAnsi="Times New Roman"/>
                <w:b w:val="false"/>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5.5 </w:t>
            </w:r>
            <w:r>
              <w:rPr>
                <w:rFonts w:ascii="Times New Roman" w:hAnsi="Times New Roman"/>
                <w:color w:val="000000"/>
                <w:sz w:val="20"/>
              </w:rPr>
              <w:t xml:space="preserve">– </w:t>
            </w:r>
            <w:r>
              <w:rPr>
                <w:rFonts w:ascii="Times New Roman" w:hAnsi="Times New Roman"/>
                <w:b w:val="false"/>
                <w:color w:val="000000"/>
                <w:sz w:val="20"/>
              </w:rPr>
              <w:t>6.1</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94%</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96% – 97%</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94% – 95%</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96% – 97%</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4.0% – 4.4%</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2.9% – 3.6%</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3.4% – 4.4%</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1.6% – 3.6%</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color w:val="000000"/>
              </w:rPr>
              <w:t>—</w:t>
            </w: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color w:val="000000"/>
              </w:rPr>
              <w:t>—</w:t>
            </w: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color w:val="000000"/>
              </w:rPr>
              <w:t>—</w:t>
            </w: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pPr>
            <w:r>
              <w:rPr>
                <w:color w:val="000000"/>
              </w:rPr>
              <w:t>—</w:t>
            </w:r>
            <w:r>
              <w:rPr>
                <w:rFonts w:ascii="Times New Roman" w:hAnsi="Times New Roman"/>
                <w:b w:val="false"/>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RSUs are awards that entitle the holder to receive freely tradable shares of the Company’s common stock upon the completion of a specific period of continued service. RSUs generally vest over a two- to four-year</w:t>
      </w:r>
      <w:r>
        <w:rPr>
          <w:rFonts w:ascii="Times New Roman" w:hAnsi="Times New Roman"/>
          <w:color w:val="000000"/>
          <w:sz w:val="20"/>
        </w:rPr>
        <w:t xml:space="preserve"> </w:t>
      </w:r>
      <w:r>
        <w:rPr>
          <w:rFonts w:ascii="Times New Roman" w:hAnsi="Times New Roman"/>
          <w:b w:val="false"/>
          <w:color w:val="000000"/>
          <w:sz w:val="20"/>
        </w:rPr>
        <w:t xml:space="preserve">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tbl>
      <w:tblPr>
        <w:tblW w:w="5642" w:type="dxa"/>
        <w:jc w:val="left"/>
        <w:tblInd w:w="0" w:type="dxa"/>
        <w:tblLayout w:type="fixed"/>
        <w:tblCellMar>
          <w:top w:w="28" w:type="dxa"/>
          <w:left w:w="28" w:type="dxa"/>
          <w:bottom w:w="28" w:type="dxa"/>
          <w:right w:w="28" w:type="dxa"/>
        </w:tblCellMar>
      </w:tblPr>
      <w:tblGrid>
        <w:gridCol w:w="2971"/>
        <w:gridCol w:w="146"/>
        <w:gridCol w:w="146"/>
        <w:gridCol w:w="931"/>
        <w:gridCol w:w="166"/>
        <w:gridCol w:w="146"/>
        <w:gridCol w:w="294"/>
        <w:gridCol w:w="65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Grant Date</w:t>
              <w:br/>
              <w:t xml:space="preserve">Fair Value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191" w:type="dxa"/>
            <w:tcBorders/>
            <w:shd w:fill="FFFFFF" w:val="cle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(254,172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Company's 2021 Employee Stock Purchase Plan (ESPP), the Company initially reserved 800,000</w:t>
      </w:r>
      <w:r>
        <w:rPr>
          <w:rFonts w:ascii="Times New Roman" w:hAnsi="Times New Roman"/>
          <w:color w:val="000000"/>
          <w:sz w:val="20"/>
        </w:rPr>
        <w:t xml:space="preserve"> </w:t>
      </w:r>
      <w:r>
        <w:rPr>
          <w:rFonts w:ascii="Times New Roman" w:hAnsi="Times New Roman"/>
          <w:b w:val="false"/>
          <w:color w:val="000000"/>
          <w:sz w:val="20"/>
        </w:rPr>
        <w:t>shares for future issuance. The number of shares of common stock available for issuance under the ESPP automatically increases on the first day of each fiscal year beginning with 2022 in an amount equal to the lesser of: 800,000</w:t>
      </w:r>
      <w:r>
        <w:rPr>
          <w:rFonts w:ascii="Times New Roman" w:hAnsi="Times New Roman"/>
          <w:color w:val="000000"/>
          <w:sz w:val="20"/>
        </w:rPr>
        <w:t xml:space="preserve"> </w:t>
      </w:r>
      <w:r>
        <w:rPr>
          <w:rFonts w:ascii="Times New Roman" w:hAnsi="Times New Roman"/>
          <w:b w:val="false"/>
          <w:color w:val="000000"/>
          <w:sz w:val="20"/>
        </w:rPr>
        <w:t>shares; 1% of the outstanding shares of the Company’s common stock as of the last day of the immediately preceding year; or such other amount as the board of directors may determine. As of September 30, 2023, 1,624,717</w:t>
      </w:r>
      <w:r>
        <w:rPr>
          <w:rFonts w:ascii="Times New Roman" w:hAnsi="Times New Roman"/>
          <w:color w:val="000000"/>
          <w:sz w:val="20"/>
        </w:rPr>
        <w:t xml:space="preserve"> </w:t>
      </w:r>
      <w:r>
        <w:rPr>
          <w:rFonts w:ascii="Times New Roman" w:hAnsi="Times New Roman"/>
          <w:b w:val="false"/>
          <w:color w:val="000000"/>
          <w:sz w:val="20"/>
        </w:rPr>
        <w:t>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w:t>
      </w:r>
      <w:r>
        <w:rPr>
          <w:rFonts w:ascii="Times New Roman" w:hAnsi="Times New Roman"/>
          <w:color w:val="000000"/>
          <w:sz w:val="20"/>
        </w:rPr>
        <w:t xml:space="preserve"> </w:t>
      </w:r>
      <w:r>
        <w:rPr>
          <w:rFonts w:ascii="Times New Roman" w:hAnsi="Times New Roman"/>
          <w:b w:val="false"/>
          <w:color w:val="000000"/>
          <w:sz w:val="20"/>
        </w:rPr>
        <w:t>per the Internal Revenue Service. The first offering period commenced in January 2022. For the nine months ended September 30, 2023 and 2022, the stock-based compensation expense for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stock-based compensation recognized in the Company’s condensed statements of operations and comprehensive loss:</w:t>
      </w:r>
    </w:p>
    <w:tbl>
      <w:tblPr>
        <w:tblW w:w="7312"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676"/>
        <w:gridCol w:w="146"/>
        <w:gridCol w:w="146"/>
        <w:gridCol w:w="211"/>
        <w:gridCol w:w="5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3,777</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240" w:after="283"/>
        <w:jc w:val="left"/>
        <w:rPr>
          <w:color w:val="000000"/>
        </w:rPr>
      </w:pPr>
      <w:r>
        <w:rPr>
          <w:color w:val="000000"/>
        </w:rPr>
        <w:t>“</w:t>
      </w:r>
      <w:r>
        <w:rPr>
          <w:rFonts w:ascii="Times New Roman" w:hAnsi="Times New Roman"/>
          <w:b/>
          <w:i/>
          <w:color w:val="000000"/>
          <w:sz w:val="20"/>
        </w:rPr>
        <w:t>At-the-Market” Equity Offering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10, 2022, the Company entered into a sales agreement (Sales Agreement) with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the Company sold 535,767</w:t>
      </w:r>
      <w:r>
        <w:rPr>
          <w:rFonts w:ascii="Times New Roman" w:hAnsi="Times New Roman"/>
          <w:color w:val="000000"/>
          <w:sz w:val="20"/>
        </w:rPr>
        <w:t xml:space="preserve"> </w:t>
      </w:r>
      <w:r>
        <w:rPr>
          <w:rFonts w:ascii="Times New Roman" w:hAnsi="Times New Roman"/>
          <w:b w:val="false"/>
          <w:color w:val="000000"/>
          <w:sz w:val="20"/>
        </w:rPr>
        <w:t>shares under the ATM, resulting in proceeds of $3.9</w:t>
      </w:r>
      <w:r>
        <w:rPr>
          <w:rFonts w:ascii="Times New Roman" w:hAnsi="Times New Roman"/>
          <w:color w:val="000000"/>
          <w:sz w:val="20"/>
        </w:rPr>
        <w:t xml:space="preserve"> </w:t>
      </w:r>
      <w:r>
        <w:rPr>
          <w:rFonts w:ascii="Times New Roman" w:hAnsi="Times New Roman"/>
          <w:b w:val="false"/>
          <w:color w:val="000000"/>
          <w:sz w:val="20"/>
        </w:rPr>
        <w:t>million, after deducting commissions of $0.1</w:t>
      </w:r>
      <w:r>
        <w:rPr>
          <w:rFonts w:ascii="Times New Roman" w:hAnsi="Times New Roman"/>
          <w:color w:val="000000"/>
          <w:sz w:val="20"/>
        </w:rPr>
        <w:t xml:space="preserve"> </w:t>
      </w:r>
      <w:r>
        <w:rPr>
          <w:rFonts w:ascii="Times New Roman" w:hAnsi="Times New Roman"/>
          <w:b w:val="false"/>
          <w:color w:val="000000"/>
          <w:sz w:val="20"/>
        </w:rPr>
        <w:t>million pursuant to the Sales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21, 2022, the Company completed an underwritten public offering of 22,613,307</w:t>
      </w:r>
      <w:r>
        <w:rPr>
          <w:rFonts w:ascii="Times New Roman" w:hAnsi="Times New Roman"/>
          <w:color w:val="000000"/>
          <w:sz w:val="20"/>
        </w:rPr>
        <w:t xml:space="preserve"> </w:t>
      </w:r>
      <w:r>
        <w:rPr>
          <w:rFonts w:ascii="Times New Roman" w:hAnsi="Times New Roman"/>
          <w:b w:val="false"/>
          <w:color w:val="000000"/>
          <w:sz w:val="20"/>
        </w:rPr>
        <w:t>shares of its common stock at a price of $2.60</w:t>
      </w:r>
      <w:r>
        <w:rPr>
          <w:rFonts w:ascii="Times New Roman" w:hAnsi="Times New Roman"/>
          <w:color w:val="000000"/>
          <w:sz w:val="20"/>
        </w:rPr>
        <w:t xml:space="preserve"> </w:t>
      </w:r>
      <w:r>
        <w:rPr>
          <w:rFonts w:ascii="Times New Roman" w:hAnsi="Times New Roman"/>
          <w:b w:val="false"/>
          <w:color w:val="000000"/>
          <w:sz w:val="20"/>
        </w:rPr>
        <w:t>per share and, to certain investors in lieu of common stock, pre-funded warrants to purchase 6,236,693</w:t>
      </w:r>
      <w:r>
        <w:rPr>
          <w:rFonts w:ascii="Times New Roman" w:hAnsi="Times New Roman"/>
          <w:color w:val="000000"/>
          <w:sz w:val="20"/>
        </w:rPr>
        <w:t xml:space="preserve"> </w:t>
      </w:r>
      <w:r>
        <w:rPr>
          <w:rFonts w:ascii="Times New Roman" w:hAnsi="Times New Roman"/>
          <w:b w:val="false"/>
          <w:color w:val="000000"/>
          <w:sz w:val="20"/>
        </w:rPr>
        <w:t>shares of its common stock at a price of $2.599</w:t>
      </w:r>
      <w:r>
        <w:rPr>
          <w:rFonts w:ascii="Times New Roman" w:hAnsi="Times New Roman"/>
          <w:color w:val="000000"/>
          <w:sz w:val="20"/>
        </w:rPr>
        <w:t xml:space="preserve"> </w:t>
      </w:r>
      <w:r>
        <w:rPr>
          <w:rFonts w:ascii="Times New Roman" w:hAnsi="Times New Roman"/>
          <w:b w:val="false"/>
          <w:color w:val="000000"/>
          <w:sz w:val="20"/>
        </w:rPr>
        <w:t>per pre-funded warrant. The pre-funded warrants can be exercised at any time after issuance for an exercise price of $0.001</w:t>
      </w:r>
      <w:r>
        <w:rPr>
          <w:rFonts w:ascii="Times New Roman" w:hAnsi="Times New Roman"/>
          <w:color w:val="000000"/>
          <w:sz w:val="20"/>
        </w:rPr>
        <w:t xml:space="preserve"> </w:t>
      </w:r>
      <w:r>
        <w:rPr>
          <w:rFonts w:ascii="Times New Roman" w:hAnsi="Times New Roman"/>
          <w:b w:val="false"/>
          <w:color w:val="000000"/>
          <w:sz w:val="20"/>
        </w:rPr>
        <w:t>per share, subject to certain ownership limitations. In addition, the Company granted the underwriters a 30-day option to purchase up to an additional 4,327,500</w:t>
      </w:r>
      <w:r>
        <w:rPr>
          <w:rFonts w:ascii="Times New Roman" w:hAnsi="Times New Roman"/>
          <w:color w:val="000000"/>
          <w:sz w:val="20"/>
        </w:rPr>
        <w:t xml:space="preserve"> </w:t>
      </w:r>
      <w:r>
        <w:rPr>
          <w:rFonts w:ascii="Times New Roman" w:hAnsi="Times New Roman"/>
          <w:b w:val="false"/>
          <w:color w:val="000000"/>
          <w:sz w:val="20"/>
        </w:rPr>
        <w:t>shares of its common stock to cover overallotments, if any, at $2.60</w:t>
      </w:r>
      <w:r>
        <w:rPr>
          <w:rFonts w:ascii="Times New Roman" w:hAnsi="Times New Roman"/>
          <w:color w:val="000000"/>
          <w:sz w:val="20"/>
        </w:rPr>
        <w:t xml:space="preserve"> </w:t>
      </w:r>
      <w:r>
        <w:rPr>
          <w:rFonts w:ascii="Times New Roman" w:hAnsi="Times New Roman"/>
          <w:b w:val="false"/>
          <w:color w:val="000000"/>
          <w:sz w:val="20"/>
        </w:rPr>
        <w:t>per share. On November 29, 2022, the underwriters partially exercised the option and purchased an additional 2,816,409</w:t>
      </w:r>
      <w:r>
        <w:rPr>
          <w:rFonts w:ascii="Times New Roman" w:hAnsi="Times New Roman"/>
          <w:color w:val="000000"/>
          <w:sz w:val="20"/>
        </w:rPr>
        <w:t xml:space="preserve"> </w:t>
      </w:r>
      <w:r>
        <w:rPr>
          <w:rFonts w:ascii="Times New Roman" w:hAnsi="Times New Roman"/>
          <w:b w:val="false"/>
          <w:color w:val="000000"/>
          <w:sz w:val="20"/>
        </w:rPr>
        <w:t>shares of Company</w:t>
      </w:r>
      <w:r>
        <w:rPr>
          <w:rFonts w:ascii="Times New Roman" w:hAnsi="Times New Roman"/>
          <w:color w:val="000000"/>
          <w:sz w:val="20"/>
        </w:rPr>
        <w:t>’</w:t>
      </w:r>
      <w:r>
        <w:rPr>
          <w:rFonts w:ascii="Times New Roman" w:hAnsi="Times New Roman"/>
          <w:b w:val="false"/>
          <w:color w:val="000000"/>
          <w:sz w:val="20"/>
        </w:rPr>
        <w:t>s common stock. As of September 30, 2023, pre-funded warrants for 302,517</w:t>
      </w:r>
      <w:r>
        <w:rPr>
          <w:rFonts w:ascii="Times New Roman" w:hAnsi="Times New Roman"/>
          <w:color w:val="000000"/>
          <w:sz w:val="20"/>
        </w:rPr>
        <w:t xml:space="preserve"> </w:t>
      </w:r>
      <w:r>
        <w:rPr>
          <w:rFonts w:ascii="Times New Roman" w:hAnsi="Times New Roman"/>
          <w:b w:val="false"/>
          <w:color w:val="000000"/>
          <w:sz w:val="20"/>
        </w:rPr>
        <w:t>shares of common stock have been exercised.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of September 30, 2023, total shares of common stock reserved for issuance, on an as-if converted basis, are as follows:</w:t>
      </w:r>
    </w:p>
    <w:tbl>
      <w:tblPr>
        <w:tblW w:w="7950" w:type="dxa"/>
        <w:jc w:val="left"/>
        <w:tblInd w:w="0" w:type="dxa"/>
        <w:tblLayout w:type="fixed"/>
        <w:tblCellMar>
          <w:top w:w="28" w:type="dxa"/>
          <w:left w:w="28" w:type="dxa"/>
          <w:bottom w:w="28" w:type="dxa"/>
          <w:right w:w="28" w:type="dxa"/>
        </w:tblCellMar>
      </w:tblPr>
      <w:tblGrid>
        <w:gridCol w:w="6331"/>
        <w:gridCol w:w="146"/>
        <w:gridCol w:w="146"/>
        <w:gridCol w:w="1036"/>
        <w:gridCol w:w="2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stock options and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9,319,127</w:t>
            </w:r>
          </w:p>
        </w:tc>
        <w:tc>
          <w:tcPr>
            <w:tcW w:w="29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5,934,176</w:t>
            </w:r>
          </w:p>
        </w:tc>
        <w:tc>
          <w:tcPr>
            <w:tcW w:w="291" w:type="dxa"/>
            <w:tcBorders/>
            <w:shd w:fill="FFFFFF" w:val="clear"/>
            <w:vAlign w:val="center"/>
          </w:tcPr>
          <w:p>
            <w:pPr>
              <w:pStyle w:val="TableContents"/>
              <w:bidi w:val="0"/>
              <w:spacing w:before="0" w:after="283"/>
              <w:jc w:val="left"/>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and awards available for future grant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1,078,248</w:t>
            </w:r>
          </w:p>
        </w:tc>
        <w:tc>
          <w:tcPr>
            <w:tcW w:w="29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further issuance under the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1,624,717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17,956,268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and 2022, the Company did not record any income tax expense or benefit. The Company has recorded a full valuation allowance against its U.S. federal and state deferred tax assets as the Company believes it is more likely than not that the benefit will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and diluted loss per share are computed by dividing net loss by the weighted-average number of common shares outstanding during the reporting period. Basic weighted-average shares of common stock outstanding includes the weighted-average effect of the Company’s pre-funded warrants.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potentially dilutive securities were not included in the calculation of diluted net loss per share as of the periods presented because the effect would have been anti-dilutive:</w:t>
      </w:r>
    </w:p>
    <w:tbl>
      <w:tblPr>
        <w:tblW w:w="6219" w:type="dxa"/>
        <w:jc w:val="left"/>
        <w:tblInd w:w="0" w:type="dxa"/>
        <w:tblLayout w:type="fixed"/>
        <w:tblCellMar>
          <w:top w:w="28" w:type="dxa"/>
          <w:left w:w="28" w:type="dxa"/>
          <w:bottom w:w="28" w:type="dxa"/>
          <w:right w:w="28" w:type="dxa"/>
        </w:tblCellMar>
      </w:tblPr>
      <w:tblGrid>
        <w:gridCol w:w="3436"/>
        <w:gridCol w:w="146"/>
        <w:gridCol w:w="146"/>
        <w:gridCol w:w="931"/>
        <w:gridCol w:w="146"/>
        <w:gridCol w:w="146"/>
        <w:gridCol w:w="146"/>
        <w:gridCol w:w="93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stock options and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9,319,127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5,266,152</w:t>
            </w:r>
          </w:p>
        </w:tc>
        <w:tc>
          <w:tcPr>
            <w:tcW w:w="19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subject to future vesting</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9,319,127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5,273,925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2022, included in our Annual Report on Form 10-K filed with the Securities and Exchange Commission on March 8, 2023, or Annual Report.</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individuals and families.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lead product candidates include, TN-201, a gene therapy for myosin binding protein C3 (</w:t>
      </w:r>
      <w:r>
        <w:rPr>
          <w:rFonts w:ascii="Times New Roman" w:hAnsi="Times New Roman"/>
          <w:b w:val="false"/>
          <w:i/>
          <w:color w:val="000000"/>
          <w:sz w:val="20"/>
        </w:rPr>
        <w:t>MYBPC3)</w:t>
      </w:r>
      <w:r>
        <w:rPr>
          <w:rFonts w:ascii="Times New Roman" w:hAnsi="Times New Roman"/>
          <w:b w:val="false"/>
          <w:color w:val="000000"/>
          <w:sz w:val="20"/>
        </w:rPr>
        <w:t>-associated hypertrophic cardiomyopathy (HCM), TN-401, a gene therapy for plakophilin 2 (</w:t>
      </w:r>
      <w:r>
        <w:rPr>
          <w:rFonts w:ascii="Times New Roman" w:hAnsi="Times New Roman"/>
          <w:b w:val="false"/>
          <w:i/>
          <w:color w:val="000000"/>
          <w:sz w:val="20"/>
        </w:rPr>
        <w:t>PKP2)</w:t>
      </w:r>
      <w:r>
        <w:rPr>
          <w:rFonts w:ascii="Times New Roman" w:hAnsi="Times New Roman"/>
          <w:b w:val="false"/>
          <w:color w:val="000000"/>
          <w:sz w:val="20"/>
        </w:rPr>
        <w:t>-associated arrhythmogenic right ventricular cardiomyopathy (ARVC), and TN-301, a small molecule for heart failure with preserved ejection fraction (HFpEF).</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TN-201 is our potential first-in-class gene therapy for adults and children with HCM due to </w:t>
      </w:r>
      <w:r>
        <w:rPr>
          <w:rFonts w:ascii="Times New Roman" w:hAnsi="Times New Roman"/>
          <w:b w:val="false"/>
          <w:i/>
          <w:color w:val="000000"/>
          <w:sz w:val="20"/>
        </w:rPr>
        <w:t xml:space="preserve">MYBPC3 </w:t>
      </w:r>
      <w:r>
        <w:rPr>
          <w:rFonts w:ascii="Times New Roman" w:hAnsi="Times New Roman"/>
          <w:b w:val="false"/>
          <w:color w:val="000000"/>
          <w:sz w:val="20"/>
        </w:rPr>
        <w:t xml:space="preserve">gene mutations. These mutations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uses a differentiated approach to deliver a functional </w:t>
      </w:r>
      <w:r>
        <w:rPr>
          <w:rFonts w:ascii="Times New Roman" w:hAnsi="Times New Roman"/>
          <w:b w:val="false"/>
          <w:i/>
          <w:color w:val="000000"/>
          <w:sz w:val="20"/>
        </w:rPr>
        <w:t xml:space="preserve">MYBPC3 </w:t>
      </w:r>
      <w:r>
        <w:rPr>
          <w:rFonts w:ascii="Times New Roman" w:hAnsi="Times New Roman"/>
          <w:b w:val="false"/>
          <w:color w:val="000000"/>
          <w:sz w:val="20"/>
        </w:rPr>
        <w:t>gene to the heart utilizing a recombinant adeno-associated virus serotype 9 (AAV9) capsid to restore expression of the cardiac myosin binding protein to halt disease progression and potentially reverse the course of genetic HCM following a single intravenous injection. In October 2023, we began dosing patients in a Phase 1b multi-center, open-label clinical trial, designed to assess the safety, tolerability and efficacy of a one-time intravenous infusion of TN-201. Initial data from the trial is anticipated in 2024. TN-201 has received orphan drug designation from the FDA and orphan medicinal product designation from the European Commission (EC), and in April 2023, received Fast Track Designation from the FDA.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order to support our development efforts for TN-201, we have initiated two noninterventional studies: a study evaluating seroprevalence to AAV9 antibodies among adults with </w:t>
      </w:r>
      <w:r>
        <w:rPr>
          <w:rFonts w:ascii="Times New Roman" w:hAnsi="Times New Roman"/>
          <w:b w:val="false"/>
          <w:i/>
          <w:color w:val="000000"/>
          <w:sz w:val="20"/>
        </w:rPr>
        <w:t>MYBPC3</w:t>
      </w:r>
      <w:r>
        <w:rPr>
          <w:rFonts w:ascii="Times New Roman" w:hAnsi="Times New Roman"/>
          <w:b w:val="false"/>
          <w:color w:val="000000"/>
          <w:sz w:val="20"/>
        </w:rPr>
        <w:t>-associated HCM, and</w:t>
      </w:r>
      <w:r>
        <w:rPr>
          <w:rFonts w:ascii="Times New Roman" w:hAnsi="Times New Roman"/>
          <w:color w:val="333333"/>
          <w:sz w:val="20"/>
        </w:rPr>
        <w:t xml:space="preserve"> </w:t>
      </w:r>
      <w:r>
        <w:rPr>
          <w:rFonts w:ascii="Times New Roman" w:hAnsi="Times New Roman"/>
          <w:b w:val="false"/>
          <w:color w:val="000000"/>
          <w:sz w:val="20"/>
        </w:rPr>
        <w:t xml:space="preserve">MyClimb, a prospective and retrospective global natural history study focused on pediatric patients with </w:t>
      </w:r>
      <w:r>
        <w:rPr>
          <w:rFonts w:ascii="Times New Roman" w:hAnsi="Times New Roman"/>
          <w:b w:val="false"/>
          <w:i/>
          <w:color w:val="000000"/>
          <w:sz w:val="20"/>
        </w:rPr>
        <w:t xml:space="preserve">MYBPC3 </w:t>
      </w:r>
      <w:r>
        <w:rPr>
          <w:rFonts w:ascii="Times New Roman" w:hAnsi="Times New Roman"/>
          <w:b w:val="false"/>
          <w:color w:val="000000"/>
          <w:sz w:val="20"/>
        </w:rPr>
        <w:t xml:space="preserve">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Times New Roman" w:hAnsi="Times New Roman"/>
          <w:b w:val="false"/>
          <w:i/>
          <w:color w:val="000000"/>
          <w:sz w:val="20"/>
        </w:rPr>
        <w:t xml:space="preserve">MYBPC3 </w:t>
      </w:r>
      <w:r>
        <w:rPr>
          <w:rFonts w:ascii="Times New Roman" w:hAnsi="Times New Roman"/>
          <w:b w:val="false"/>
          <w:color w:val="000000"/>
          <w:sz w:val="20"/>
        </w:rPr>
        <w:t>gene mutations, as well as treatments, procedures, and patient outcomes. MyClimb complements existing disease registries focused primarily on adult patient HCM populations and may support and expedite the development of TN-201 in the pediatric patient population.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TN-401 is our AAV9-based investigational gene therapy product candidate for the treatment of ARVC caused by mutations in the </w:t>
      </w:r>
      <w:r>
        <w:rPr>
          <w:rFonts w:ascii="Times New Roman" w:hAnsi="Times New Roman"/>
          <w:b w:val="false"/>
          <w:i/>
          <w:color w:val="000000"/>
          <w:sz w:val="20"/>
        </w:rPr>
        <w:t>PKP2</w:t>
      </w:r>
      <w:r>
        <w:rPr>
          <w:rFonts w:ascii="Times New Roman" w:hAnsi="Times New Roman"/>
          <w:color w:val="000000"/>
          <w:sz w:val="20"/>
        </w:rPr>
        <w:t xml:space="preserve"> </w:t>
      </w:r>
      <w:r>
        <w:rPr>
          <w:rFonts w:ascii="Times New Roman" w:hAnsi="Times New Roman"/>
          <w:b w:val="false"/>
          <w:color w:val="000000"/>
          <w:sz w:val="20"/>
        </w:rPr>
        <w:t xml:space="preserve">gene. ARVC, also known as arrhythmogenic cardiomyopathy or ACM, is a chronic, progressive, familial disease characterized by ventricular arrhythmias, adverse remodeling of the heart and an increased risk of sudden cardiac death. </w:t>
      </w:r>
      <w:r>
        <w:rPr>
          <w:rFonts w:ascii="Times New Roman" w:hAnsi="Times New Roman"/>
          <w:b w:val="false"/>
          <w:i/>
          <w:color w:val="000000"/>
          <w:sz w:val="20"/>
        </w:rPr>
        <w:t>PKP2</w:t>
      </w:r>
      <w:r>
        <w:rPr>
          <w:rFonts w:ascii="Times New Roman" w:hAnsi="Times New Roman"/>
          <w:color w:val="000000"/>
          <w:sz w:val="20"/>
        </w:rPr>
        <w:t xml:space="preserve"> </w:t>
      </w:r>
      <w:r>
        <w:rPr>
          <w:rFonts w:ascii="Times New Roman" w:hAnsi="Times New Roman"/>
          <w:b w:val="false"/>
          <w:color w:val="000000"/>
          <w:sz w:val="20"/>
        </w:rPr>
        <w:t xml:space="preserve">mutations are the most common genetic cause of ARVC and result in a loss of key proteins needed to maintain the structural integrity and cell-to-cell signaling of heart muscle cells. In October 2023, the FDA provided clearance of our IND application to initiate clinical testing of TN-401. We plan to proceed to a Phase 1b multi-center, open-label clinical trial, designed to assess the safety, tolerability and efficacy of a one-time intravenous infusion of TN-401. Additionally, in support of our development efforts for TN-401, we have initiated a global non-interventional study to collect treatment history and seroprevalence to AAV9 antibodies data among ARVC patients who carry pathogenic or likely pathogenic </w:t>
      </w:r>
      <w:r>
        <w:rPr>
          <w:rFonts w:ascii="Times New Roman" w:hAnsi="Times New Roman"/>
          <w:b w:val="false"/>
          <w:i/>
          <w:color w:val="000000"/>
          <w:sz w:val="20"/>
        </w:rPr>
        <w:t xml:space="preserve">PKP2 </w:t>
      </w:r>
      <w:r>
        <w:rPr>
          <w:rFonts w:ascii="Times New Roman" w:hAnsi="Times New Roman"/>
          <w:b w:val="false"/>
          <w:color w:val="000000"/>
          <w:sz w:val="20"/>
        </w:rPr>
        <w:t>gene mutations. TN-401 has received orphan drug designation from the FDA and orphan medicinal product designation from the EC, and in November 2023, received Fast Track Designation from the FDA.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TN-301 is our highly specific small molecule inhibitor of histone deacetylase 6 (HDAC6). TN-301 is initially being developed for the potential treatment of HFpEF. HFpEF is characterized by a stiffening of the heart muscle resulting in an inability for the left ventricle to relax properly during normal heart rhythm, referred to as diastolic dysfunction. There are several cellular processes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thought to underlie the pathophysiology of HFpEF, including increases in fibrosis and inflammation and defects in metabolism. Although HFpEF accounts for approximately 50% of all heart failures, there are few proven treatment options.</w:t>
      </w:r>
      <w:r>
        <w:rPr>
          <w:rFonts w:ascii="Times New Roman" w:hAnsi="Times New Roman"/>
          <w:color w:val="000000"/>
          <w:sz w:val="20"/>
        </w:rPr>
        <w:t xml:space="preserve"> </w:t>
      </w:r>
      <w:r>
        <w:rPr>
          <w:rFonts w:ascii="Times New Roman" w:hAnsi="Times New Roman"/>
          <w:b w:val="false"/>
          <w:color w:val="000000"/>
          <w:sz w:val="20"/>
        </w:rPr>
        <w:t xml:space="preserve">In October 2023, Tenaya shared positive data from its Phase 1 clinical trial of TN-301 in healthy participants at the 2023 Heart Failure Society of America (HFSA) Annual Scientific Meeting. The Phase 1 trial enrolled participants in two stages. In Stage 1, participants received single ascending doses (SAD) and in Stage 2, participants received multiple ascending doses (MAD). TN-301 was generally well tolerated across the broad range of doses studied. Pharmacokinetic results showed overall dose proportionality in the SAD and MAD stages of the study with a half-life supportive of once-daily dosing. Robust HDAC6 inhibition was observed and increasing doses and exposures with TN-301 correlated with increased pharmacodynamic effects. There were no changes in histone acetylation with TN-301, underscoring the selectivity of TN-301 for HDAC6 and potentially reducing the risk of off target effects observed with less selective HDAC6 inhibitors or pan-HDAC inhibition. In preclinical studies, selective HDAC6 inhibition has been shown to have comparable efficacy to empagliflozin, a sodium-glucose cotransporter-2 (SGLT2) inhibitor which is approved for the treatment of HFpEF. More recently, using a validated mouse model of disease, we demonstrated that HDAC6 inhibition co-administered with an SGLT2 inhibitor demonstrated additive benefit, improving several measures of heart function. </w:t>
      </w:r>
      <w:r>
        <w:rPr>
          <w:rFonts w:ascii="Times New Roman" w:hAnsi="Times New Roman"/>
          <w:b w:val="false"/>
          <w:color w:val="333333"/>
          <w:sz w:val="20"/>
        </w:rPr>
        <w:t>Taken together, these data support continued development of TN-301 as a potential treatment for patients with HFpEF.</w:t>
      </w:r>
      <w:r>
        <w:rPr>
          <w:rFonts w:ascii="Times New Roman" w:hAnsi="Times New Roman"/>
          <w:color w:val="333333"/>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to our lead product candidates, we have multiple early-stage programs progressing through preclinical development. These programs include an AAV-based gene therapy designed to express the dwarf open reading frame gene in the heart with potentially broad utility in dilated cardiomyopathy, as well as our reprogramming program for cardiac regeneration which aims to replace heart cells lost in patients experiencing heart failure due to prior myocardial infarction. While these named programs are approaching candidate selection stage, we also have numerous earlier-stage programs emerging from our proprietary product platforms to address other forms of heart failure.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distinct, but interrelated Gene Therapy, Cellular Regeneration and Precision Medicine platforms and suite of integrated capabilities support our efforts to discover disease-modifying treatments focused on heart disease in a modality-agnostic manner.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internalized and integrated both current Good Manufacturing Practices (GMP)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presented:</w:t>
      </w:r>
    </w:p>
    <w:tbl>
      <w:tblPr>
        <w:tblW w:w="7640" w:type="dxa"/>
        <w:jc w:val="left"/>
        <w:tblInd w:w="0" w:type="dxa"/>
        <w:tblLayout w:type="fixed"/>
        <w:tblCellMar>
          <w:top w:w="28" w:type="dxa"/>
          <w:left w:w="28" w:type="dxa"/>
          <w:bottom w:w="28" w:type="dxa"/>
          <w:right w:w="28" w:type="dxa"/>
        </w:tblCellMar>
      </w:tblPr>
      <w:tblGrid>
        <w:gridCol w:w="3036"/>
        <w:gridCol w:w="146"/>
        <w:gridCol w:w="211"/>
        <w:gridCol w:w="736"/>
        <w:gridCol w:w="166"/>
        <w:gridCol w:w="146"/>
        <w:gridCol w:w="211"/>
        <w:gridCol w:w="736"/>
        <w:gridCol w:w="166"/>
        <w:gridCol w:w="146"/>
        <w:gridCol w:w="211"/>
        <w:gridCol w:w="571"/>
        <w:gridCol w:w="166"/>
        <w:gridCol w:w="146"/>
        <w:gridCol w:w="846"/>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0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r>
      <w:tr>
        <w:trPr/>
        <w:tc>
          <w:tcPr>
            <w:tcW w:w="3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(1%)</w:t>
            </w:r>
          </w:p>
        </w:tc>
      </w:tr>
      <w:tr>
        <w:trPr/>
        <w:tc>
          <w:tcPr>
            <w:tcW w:w="30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100"/>
              <w:jc w:val="center"/>
              <w:rPr/>
            </w:pPr>
            <w:r>
              <w:rPr/>
              <w:t> </w:t>
            </w:r>
          </w:p>
        </w:tc>
      </w:tr>
      <w:tr>
        <w:trPr/>
        <w:tc>
          <w:tcPr>
            <w:tcW w:w="30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198%</w:t>
            </w:r>
          </w:p>
        </w:tc>
      </w:tr>
      <w:tr>
        <w:trPr/>
        <w:tc>
          <w:tcPr>
            <w:tcW w:w="30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(83%)</w:t>
            </w:r>
          </w:p>
        </w:tc>
      </w:tr>
      <w:tr>
        <w:trPr/>
        <w:tc>
          <w:tcPr>
            <w:tcW w:w="30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195%</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include, among others, fees paid to contract research organizations (CROs) to execute preclinical studies and clinical trials on our behalf, consulting fees and fees related to licensing agreements. We do not allocate our costs by research program, product candidate or proprietary platform technology, as a significant amount of research and development expenses include internal costs, which are deployed across multiple platforms, programs, product candidates and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expense all research and development costs in the periods in which they are incurred. We enter into various agreements with CROs. Costs of certain research and development activities are recognized based on estimates generally based on an evaluation of the progress and input from external service providers.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for the periods presented:</w:t>
      </w:r>
    </w:p>
    <w:tbl>
      <w:tblPr>
        <w:tblW w:w="808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72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19%</w:t>
            </w:r>
          </w:p>
        </w:tc>
      </w:tr>
      <w:tr>
        <w:trPr/>
        <w:tc>
          <w:tcPr>
            <w:tcW w:w="3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Facility and laboratory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(29%)</w:t>
            </w:r>
          </w:p>
        </w:tc>
      </w:tr>
      <w:tr>
        <w:trPr/>
        <w:tc>
          <w:tcPr>
            <w:tcW w:w="36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r>
      <w:tr>
        <w:trPr/>
        <w:tc>
          <w:tcPr>
            <w:tcW w:w="3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94%</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were $23.1 million and $23.8 million for the three months ended September 30, 2023 and 2022, respectively. The year-over-year decrease of $0.7 million, or 3%,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decrease of $2.3 million in facility and laboratory costs, reflecting lower costs for laboratory supplies and materials related to the IND-enabling activities; partially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of $1.5 million in employee-related costs reflecting higher stock-based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Outside services expenses remained flat for the three months ended September 30, 2023 when compared to the prior year period, as higher costs for clinical trial activities were offset by lower outside lab services costs related to the IND-enabling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generally remain flat for the remainder of 2023</w:t>
      </w:r>
      <w:r>
        <w:rPr>
          <w:rFonts w:ascii="Calibri;sans-serif" w:hAnsi="Calibri;sans-serif"/>
          <w:b w:val="false"/>
          <w:color w:val="4472C4"/>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$7.8 million and $7.5 million for the three months ended September 30, 2023 and 2022, respectively. The year-over-year increase of $0.3 million, or 4%, was primarily due to an increase in stock-based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our general and administrative expenses to generally remain flat for the remainder of 2023, as we continue to support our research and development activities and business development opportunities, and incur professional service fees. In addition, we will continue to incur legal, accounting, insurance and other expenses in operating our business as a public company, including costs associated with regulatory and compliance activities</w:t>
      </w:r>
      <w:r>
        <w:rPr>
          <w:rFonts w:ascii="Calibri;sans-serif" w:hAnsi="Calibri;sans-serif"/>
          <w:b w:val="false"/>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primarily consists of accretion of investments purchased at discounts and interest earned on our cash, cash equivalents and investment balances. The year-over-year increase of $1.2 million was primarily due to higher interest rates on investments and higher accretion of 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loss for the three months ended September 30, 2023, was $29.1 million, compared to a net loss of $30.7 million for the three months ended September 30,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presented:</w:t>
      </w:r>
    </w:p>
    <w:tbl>
      <w:tblPr>
        <w:tblW w:w="7685" w:type="dxa"/>
        <w:jc w:val="left"/>
        <w:tblInd w:w="0" w:type="dxa"/>
        <w:tblLayout w:type="fixed"/>
        <w:tblCellMar>
          <w:top w:w="28" w:type="dxa"/>
          <w:left w:w="28" w:type="dxa"/>
          <w:bottom w:w="28" w:type="dxa"/>
          <w:right w:w="28" w:type="dxa"/>
        </w:tblCellMar>
      </w:tblPr>
      <w:tblGrid>
        <w:gridCol w:w="3036"/>
        <w:gridCol w:w="146"/>
        <w:gridCol w:w="211"/>
        <w:gridCol w:w="736"/>
        <w:gridCol w:w="166"/>
        <w:gridCol w:w="146"/>
        <w:gridCol w:w="211"/>
        <w:gridCol w:w="736"/>
        <w:gridCol w:w="166"/>
        <w:gridCol w:w="146"/>
        <w:gridCol w:w="211"/>
        <w:gridCol w:w="631"/>
        <w:gridCol w:w="166"/>
        <w:gridCol w:w="146"/>
        <w:gridCol w:w="83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0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w:t>
            </w:r>
          </w:p>
        </w:tc>
      </w:tr>
      <w:tr>
        <w:trPr/>
        <w:tc>
          <w:tcPr>
            <w:tcW w:w="3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10%</w:t>
            </w:r>
          </w:p>
        </w:tc>
      </w:tr>
      <w:tr>
        <w:trPr/>
        <w:tc>
          <w:tcPr>
            <w:tcW w:w="30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w:t>
            </w:r>
          </w:p>
        </w:tc>
      </w:tr>
      <w:tr>
        <w:trPr/>
        <w:tc>
          <w:tcPr>
            <w:tcW w:w="3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(91,071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ind w:left="0" w:right="0" w:firstLine="100"/>
              <w:jc w:val="center"/>
              <w:rPr/>
            </w:pPr>
            <w:r>
              <w:rPr/>
              <w:t> </w:t>
            </w:r>
          </w:p>
        </w:tc>
      </w:tr>
      <w:tr>
        <w:trPr/>
        <w:tc>
          <w:tcPr>
            <w:tcW w:w="30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509%</w:t>
            </w:r>
          </w:p>
        </w:tc>
      </w:tr>
      <w:tr>
        <w:trPr/>
        <w:tc>
          <w:tcPr>
            <w:tcW w:w="30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140%</w:t>
            </w:r>
          </w:p>
        </w:tc>
      </w:tr>
      <w:tr>
        <w:trPr/>
        <w:tc>
          <w:tcPr>
            <w:tcW w:w="30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507%</w:t>
            </w:r>
          </w:p>
        </w:tc>
      </w:tr>
      <w:tr>
        <w:trPr/>
        <w:tc>
          <w:tcPr>
            <w:tcW w:w="3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for the periods presented:</w:t>
      </w:r>
    </w:p>
    <w:tbl>
      <w:tblPr>
        <w:tblW w:w="8185"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83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34%</w:t>
            </w:r>
          </w:p>
        </w:tc>
      </w:tr>
      <w:tr>
        <w:trPr/>
        <w:tc>
          <w:tcPr>
            <w:tcW w:w="3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Facility and laboratory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r>
      <w:tr>
        <w:trPr/>
        <w:tc>
          <w:tcPr>
            <w:tcW w:w="36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w:t>
            </w:r>
          </w:p>
        </w:tc>
      </w:tr>
      <w:tr>
        <w:trPr/>
        <w:tc>
          <w:tcPr>
            <w:tcW w:w="3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135%</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were $75.2 million and $68.8 million for the nine months ended September 30, 2023 and 2022, respectively. The year-over-year increase of $6.4 million, or 9%,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of $7.3 million in employee-related costs reflecting higher stock-based compensation and the employee tax credits recorded as a reduction in payroll taxes in 2022;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decrease of $1.5 million in outside services costs. The year-over-year decrease was primarily driven by lower outside lab services costs reflecting lower IND-enabling activities in 2023, offset by an increase in clinical trial activities.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$24.6 million and $22.3 million for the nine months ended September 30, 2023 and 2022, respectively. The change of $2.3 million, or 10%, was primarily due to an increase in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primarily consists of accretion of investments purchased at discounts and interest earned on our cash, cash equivalents and investment balances. The year-over-year increase of $4.7 million was primarily due to higher interest rates on investments and higher accretion of 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loss for the nine months ended September 30, 2023, was $94.1 million, compared to a net loss of $90.1 million for the nine months ended September 30,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our inception, we have not generated any revenue and we have incurred significant net losses and negative cash flows from operations. From our inception through September 30, 2023, we have funded our operations primarily from the sale and issuance of our equity securities. As of September 30, 2023, we had cash, cash equivalents and investments in marketable securities of $128.1 million and an accumulated deficit of $373.3 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November 21, 2022, we completed an underwritten public offering of 22,613,307 shares of our common stock at a price of $2.60 per share and, to certain investors in lieu of common stock, pre-funded warrants to purchase 6,236,693 shares of our common stock at a price of $2.599 per pre-funded warrant under our registration statement on Form S-3 (File No. 333-266741) (the Shelf Registration Statement). The pre-funded warrants can be exercised at any time after issuance for an exercise price of $0.001 per share, subject to certain ownership limitations. In addition, we granted the underwriters a 30-day option to purchase up to an additional 4,327,500 shares of our common stock to cover overallotments, if any, at $2.60 per share. On November 29, 2022, the underwriters partially exercised the option and purchased an additional 2,816,409 shares of our common stock. We received total net proceeds of $76.9 million after deducting underwriting discounts and commissions of $4.9 million and offering expenses of $0.5 million. As of September 30, 2023, pre-funded warrants for 302,517 shares of common stock have been exercised.</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August 10, 2022, we entered into a sales agreement (the Sales Agreement) with SVB Securities LLC. Pursuant to the Sales Agreement we may sell, from time to time up to an aggregate of $75.0 million of our common stock through an “at-the-market”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During the nine months ended September 30, 2023, we sold 535,767 shares under the ATM, resulting in proceeds of $3.9 million, after deducting commissions of $0.1 million pursuant to the Sales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our expenses and operating losses will continue to increase over the foreseeable future. The expected increase in expenses will be driven in large part by our ongoing activities,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advance our lead product candidates, TN-201, TN-301 and TN-401;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preclinical development of our earlier-stage product candidates and initiate additional preclinical studies using our Gene Therapy, Cellular Regeneration and Precision Medicine platforms and core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operate our manufacturing facility and develop our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regulatory approval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expand our operational, financial, and information systems, including personnel to support our preclinical and clinical development, manufacturing, system infrastructure, regulatory compliance and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develop, grow, perfect, enforce and defend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incur legal, accounting, insurance and other expenses in operating our business as a public company, including costs associated with regulatory and compliance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raise additional funds may be adversely impacted by continued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associated with research, product development and commercialization of product candidates, we are unable to predict the timing or amount of our working capital requirements or when or if we will be able to achieve or maintain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cash flows for each of the periods presented:</w:t>
      </w:r>
    </w:p>
    <w:tbl>
      <w:tblPr>
        <w:tblW w:w="7579" w:type="dxa"/>
        <w:jc w:val="left"/>
        <w:tblInd w:w="0" w:type="dxa"/>
        <w:tblLayout w:type="fixed"/>
        <w:tblCellMar>
          <w:top w:w="28" w:type="dxa"/>
          <w:left w:w="28" w:type="dxa"/>
          <w:bottom w:w="28" w:type="dxa"/>
          <w:right w:w="28" w:type="dxa"/>
        </w:tblCellMar>
      </w:tblPr>
      <w:tblGrid>
        <w:gridCol w:w="4836"/>
        <w:gridCol w:w="146"/>
        <w:gridCol w:w="211"/>
        <w:gridCol w:w="736"/>
        <w:gridCol w:w="166"/>
        <w:gridCol w:w="146"/>
        <w:gridCol w:w="211"/>
        <w:gridCol w:w="736"/>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100"/>
              <w:jc w:val="center"/>
              <w:rPr/>
            </w:pPr>
            <w:r>
              <w:rPr/>
              <w:t> </w:t>
            </w:r>
          </w:p>
        </w:tc>
      </w:tr>
      <w:tr>
        <w:trPr/>
        <w:tc>
          <w:tcPr>
            <w:tcW w:w="48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(81,742</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77,678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8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used in operating activities for the nine months ended September 30, 2023 was $80.1 million, which consisted primarily of a net loss of $94.1 million and a net change in operating assets and liabilities of $5.0 million, partially offset by $19.0 million in non-cash charges. The change in net operating assets and liabilities was primarily due to a decrease in accounts payable and accrued expenses and other current liabilities of $3.3 million and a decrease in operating lease liabilities of $3.1 million, partially offset by a decrease of prepaid expenses and other current assets of $2.0 million. Cash flows from operations are generally impacted by the timing of payments to vendors and vendor payment terms. The non-cash charges primarily consisted of stock-based compensation of $11.4 million and depreciation and amortization of $6.5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used in operating activities for the nine months ended September 30, 2022 was $81.7 million, which consisted primarily of a net loss of $90.1 million and a net change in operating assets and liabilities of $5.8 million, partially offset by $14.2 million in non-cash charges. The change in net operating assets and liabilities was primarily due to an increase in prepaid expenses and other current assets of $3.3 million and a decrease in operating lease liabilities of $2.1 million. Cash flows from operations are generally impacted by the timing of payments to vendors and vendor payment terms. The non-cash charges primarily consisted of stock-based compensation of $8.3 million and depreciation and amortization of $4.4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for the nine months ended September 30, 2023 was $63.6 million, which consisted primarily of proceeds from maturities of marketable securities of $105.5 million, partially offset by purchases of marketable securities of $41.0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for the nine months ended September 30, 2022 was $77.7 million, which consisted of proceeds from maturities of marketable securities of $206.3 million, partially offset by purchases of marketable securities of $108.7 million and purchases of property and equipment of $19.8 million primarily related to our manufacturing and office space in Union City, California.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2023 was $3.7 million, which primarily consisted of proceeds from at-the-market sales of $3.9 million, partially offset by payments of accrued offering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2022 consisted of proceeds from the exercise of stock options.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there have been no material changes from the contractual obligations and commitments previously disclosed in our Annual Report on Form 10-K for the year ended December 31,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inception, we have not engaged in any off-balance sheet arrangements as defined in the rules and regulations of the SEC.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summary of our critical accounting policies and estimates is presented in Part II, Item 7 of our Annual Report on Form 10-K for the year ended December 31, 2022. There were no material changes to our critical accounting policies and estimates during the three and nine months ended September 30,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are a smaller reporting company, as defined by Rule 12b-2 under the Securities and Exchange Act of 1934 and in Item 10(f)(1) of Regulation S-K, and are not required to provide the information under this item.</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(as defined in Exchange Act Rules 13a-15(f) and 15d-15(f)) during the quarter ended September 30, 2023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Inherent Limitations on Effectiveness of Controls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231F20"/>
          <w:sz w:val="20"/>
        </w:rPr>
      </w:pPr>
      <w:r>
        <w:rPr>
          <w:rFonts w:ascii="Times New Roman" w:hAnsi="Times New Roman"/>
          <w:b w:val="false"/>
          <w:i/>
          <w:color w:val="231F20"/>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 Factors Summary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are early in our development efforts, with a limited operating history, have only completed one clinical trial, and have no products approved for commercial sale, which may make it difficult for you to evaluate our current business and likelihood of success and future viability.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Risks Related to Our Financial Position, Need for Additional Capital and Limited Operating History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early in our development efforts, with a limited operating history, have only completed one clinical trial, and have no products approved for commercial sale, which may make it difficult for you to evaluate our current business and likelihood of success and future viability.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a limited operating history upon which you can evaluate our business and prospects. We commenced operations in 2016, have only completed one clinical trial,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gene therapy, cellular regeneration and precision medicine platforms, acquiring technology, organizing and recruiting management and technical staff, business planning, establishing our intellectual property portfolio, raising capital, and providing general and administrative support for these operations.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limited experience conducting clinical trials and have not yet demonstrated our ability to successfully complete any late 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have incurred significant net losses since our inception, have not generated any product revenue to date and have financed our operations principally through issuances of our stock. Our net loss was $94.1 million for the nine months ended September 30, 2023. As of September 30, 2023, we had an accumulated deficit of $373.3 million.</w:t>
      </w:r>
      <w:r>
        <w:rPr>
          <w:rFonts w:ascii="Times New Roman" w:hAnsi="Times New Roman"/>
          <w:color w:val="000000"/>
          <w:sz w:val="20"/>
        </w:rPr>
        <w:t xml:space="preserve"> </w:t>
      </w:r>
      <w:r>
        <w:rPr>
          <w:rFonts w:ascii="Times New Roman" w:hAnsi="Times New Roman"/>
          <w:b w:val="false"/>
          <w:color w:val="231F20"/>
          <w:sz w:val="20"/>
        </w:rPr>
        <w:t>Substantially all of our losses have resulted from expenses incurred in connection with our research and development programs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rely on our multi-modality drug discovery platforms to identify and develop product candidates. Our business depends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establishing and maintaining relationships with contract research organizations (CROs) and clinical sites for the clinical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initiation and successful patient enrollment and completion of clinical trials on a timely basis;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acceptable frequency and severity of adverse events in the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efficacy and safety profiles that are satisfactory to the FDA or any comparable foreign regulatory authority for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timely receipt of marketing approvals from applicable regulatory authorities for any product candidates for which we successfully complete clinical development;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complying with any required post-marketing approval commitments to applicable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successful outputs from our capsid engineering and promotor and regulator elements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continued acceptable safety profile following any marketing approval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the actual market-size, ability to identify patients and the demographics of patients eligible for our product candidates, which may be different than expected;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commercial acceptance of our product candidates by patients, the medical community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distribute our products to certain segments of the patient population only accessible through restricted or closed distribution channels;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satisfying any required post-marketing approval commitments to applicable regulatory authorities, and maintaining consistent quality, purity, and potency across clinical supplies and commercial supplies for any approved products;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identifying, assessing and developing new product candidates, and our ability to expand into multiple indications;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obtaining, maintaining, and expanding patent and other intellectual property protection, trade secret protection and regulatory exclusivity, both in the United States (U.S.) and internationally;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protecting and enforcing our rights in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defending against third-party infringement, misappropriation, or other claims,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entering into, on favorable terms, any collaboration, licensing or other arrangements that may be necessary or desirable to develop, manufacture or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obtaining coverage and adequate reimbursement by third-party payors for our products and patients’ willingness to pay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obtaining additional funding to develop, manufacture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addressing any competing therapies and technological and market developments;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managing costs, including any unforeseen costs, that we may incur as a result of nonclinical study or clinical trial delays;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attracting, hiring and retaining qualified and key personnel including clinical, scientific, management and administrative personnel.</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pStyle w:val="TextBody"/>
        <w:bidi w:val="0"/>
        <w:spacing w:before="240" w:after="283"/>
        <w:jc w:val="left"/>
        <w:rPr>
          <w:rFonts w:ascii="Times New Roman" w:hAnsi="Times New Roman"/>
          <w:sz w:val="20"/>
        </w:rPr>
      </w:pPr>
      <w:r>
        <w:rPr>
          <w:rFonts w:ascii="Times New Roman" w:hAnsi="Times New Roman"/>
          <w:b/>
          <w:i/>
          <w:color w:val="231F20"/>
          <w:sz w:val="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As of September 30, 2023, we had $128.1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future capital requirements will depend on may factors, including, but not limited to: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scope, progress, results and costs of researching, developing and testing our product candidates, including conducting preclinical studies and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costs, timing and outcome of regulatory review of our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number and characteristics of other product candidates that we pursue or acquire;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costs of operating our own manufacturing facility;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costs of manufacturing commercial-grade products and sufficient inventory to support commercial launch;</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 of commercialization activities, include the cost of building a sales force in anticipation of product commercialization and distribution costs;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revenue, if any, received from commercial sale of our products, should any of our product candidates receive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 and timing of hiring new employees to support organizational development;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costs of preparing, filing and prosecuting patent applications, maintaining, protecting and enforcing our intellectual property rights and defending intellectual property-related claims;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effect of competing products that may limit market penetration of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ability to establish and maintain collaborations on favorable terms, if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extent to which we acquire or in-license other product candidates and technologies;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timing, receipt and amount of sales of, or milestone payments related to or royalties on, our current or future product candidates,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need to implement additional internal systems and infrastructure, including financial and reporting systems;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compliance and administrative costs associated with being a public company;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extent to which we acquire or invest in businesses, products, or technologies.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Discovery, Development, Manufacturing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are very early in our development efforts. 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hAnsi="Times New Roman"/>
          <w:b w:val="false"/>
          <w:i/>
          <w:color w:val="231F20"/>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 w:hAnsi="Times New Roman"/>
          <w:b w:val="false"/>
          <w:color w:val="231F20"/>
          <w:sz w:val="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U.S., the European Union (EU) or other jurisdictions.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 xml:space="preserve">It is impossible to predict when or if any product candidate that we develop will prove effective or safe in humans or will receive marketing approval. Before obtaining marketing approval from the FDA, EC, following a positive opinion from the EMA, or other comparable foreign regulatory authorities for the sale of our product candidates, we must complete </w:t>
      </w:r>
      <w:r>
        <w:rPr>
          <w:rFonts w:ascii="Times New Roman" w:hAnsi="Times New Roman"/>
          <w:b w:val="false"/>
          <w:color w:val="000000"/>
          <w:sz w:val="20"/>
        </w:rPr>
        <w:t xml:space="preserve">lengthy, complex and extensive </w:t>
      </w:r>
      <w:r>
        <w:rPr>
          <w:rFonts w:ascii="Times New Roman" w:hAnsi="Times New Roman"/>
          <w:b w:val="false"/>
          <w:color w:val="231F20"/>
          <w:sz w:val="20"/>
        </w:rPr>
        <w:t>preclinical studies and clinical trials to demonstrate with substantial evidence the safety and efficacy of such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Preclinical and </w:t>
      </w:r>
      <w:r>
        <w:rPr>
          <w:rFonts w:ascii="Times New Roman" w:hAnsi="Times New Roman"/>
          <w:b w:val="false"/>
          <w:color w:val="231F20"/>
          <w:sz w:val="20"/>
        </w:rPr>
        <w:t xml:space="preserve">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w:t>
      </w:r>
      <w:r>
        <w:rPr>
          <w:rFonts w:ascii="Times New Roman" w:hAnsi="Times New Roman"/>
          <w:b w:val="false"/>
          <w:color w:val="000000"/>
          <w:sz w:val="20"/>
        </w:rPr>
        <w:t xml:space="preserve">Failure can occur at any stage of testing. </w:t>
      </w:r>
      <w:r>
        <w:rPr>
          <w:rFonts w:ascii="Times New Roman" w:hAnsi="Times New Roman"/>
          <w:b w:val="false"/>
          <w:color w:val="231F20"/>
          <w:sz w:val="20"/>
        </w:rPr>
        <w:t>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initiation of a clinical trial, receipt of marketing approval or our ability to commercialize our product candidates, or require us to</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color w:val="000000"/>
          <w:sz w:val="20"/>
        </w:rPr>
        <w:t xml:space="preserve"> </w:t>
      </w:r>
      <w:r>
        <w:rPr>
          <w:rFonts w:ascii="Times New Roman" w:hAnsi="Times New Roman"/>
          <w:b w:val="false"/>
          <w:color w:val="231F20"/>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val="false"/>
          <w:color w:val="231F20"/>
          <w:sz w:val="20"/>
        </w:rPr>
        <w:t xml:space="preserve">inability to generate sufficient preclinical, toxicology, or other </w:t>
      </w:r>
      <w:r>
        <w:rPr>
          <w:rFonts w:ascii="Times New Roman" w:hAnsi="Times New Roman"/>
          <w:b w:val="false"/>
          <w:i/>
          <w:color w:val="231F20"/>
          <w:sz w:val="20"/>
        </w:rPr>
        <w:t xml:space="preserve">in vivo </w:t>
      </w:r>
      <w:r>
        <w:rPr>
          <w:rFonts w:ascii="Times New Roman" w:hAnsi="Times New Roman"/>
          <w:b w:val="false"/>
          <w:color w:val="231F20"/>
          <w:sz w:val="20"/>
        </w:rPr>
        <w:t xml:space="preserve">or </w:t>
      </w:r>
      <w:r>
        <w:rPr>
          <w:rFonts w:ascii="Times New Roman" w:hAnsi="Times New Roman"/>
          <w:b w:val="false"/>
          <w:i/>
          <w:color w:val="231F20"/>
          <w:sz w:val="20"/>
        </w:rPr>
        <w:t xml:space="preserve">in vitro </w:t>
      </w:r>
      <w:r>
        <w:rPr>
          <w:rFonts w:ascii="Times New Roman" w:hAnsi="Times New Roman"/>
          <w:b w:val="false"/>
          <w:color w:val="231F20"/>
          <w:sz w:val="20"/>
        </w:rPr>
        <w:t>data to support the initiation of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delays in sufficiently developing, characterizing or controlling a manufacturing process suitable for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receipt of feedback from regulatory authorities that requires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preclinical study or clinical trial observations or results that require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obtaining approval from one or more IRBs;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failure or delay in reaching an agreement with CROs and clinical trial sites;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val="false"/>
          <w:color w:val="231F20"/>
          <w:sz w:val="20"/>
        </w:rPr>
        <w:t xml:space="preserve">the suspension or termination of our clinical trials, as a result of </w:t>
      </w:r>
      <w:r>
        <w:rPr>
          <w:rFonts w:ascii="Times New Roman" w:hAnsi="Times New Roman"/>
          <w:b w:val="false"/>
          <w:color w:val="000000"/>
          <w:sz w:val="20"/>
        </w:rPr>
        <w:t>a clinical hold by regulatory authorities,</w:t>
      </w:r>
      <w:r>
        <w:rPr>
          <w:color w:val="231F20"/>
        </w:rPr>
        <w:t xml:space="preserve"> </w:t>
      </w:r>
      <w:r>
        <w:rPr>
          <w:rFonts w:ascii="Times New Roman" w:hAnsi="Times New Roman"/>
          <w:b w:val="false"/>
          <w:color w:val="231F20"/>
          <w:sz w:val="20"/>
        </w:rPr>
        <w:t>for various reasons, including non-compliance with regulatory requirements, a finding that our product candidates have undesirable side effects or other unfavorable or unexpected characteristics or risks;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changes to clinical trial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clinical sites deviating from trial protocol or dropping out of a trial;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costs of preclinical studies or clinical trials being greater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supply or quality of our product candidates or other materials necessary to conduct clinical trials of our product candidates being insufficient or inadequate;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subjects experiencing severe or unexpected drug-related adverse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selection of clinical end points that require prolonged periods of clinical observation or analysis of the resulting data;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changes to our manufacturing process that may be necessary or desired;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third-party contractors not performing data collection or analysis in a timely or accurate manner;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regulators revising the requirements for approving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 unsuccessful post-marketing study or failure to complete such a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absence in some countries of established groups with sufficient regulatory expertise for review of AAV gene therapy protocols;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Any delays in our planned clinical development activities for pediatric patients could have an adverse effect on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hAnsi="Times New Roman"/>
          <w:b w:val="false"/>
          <w:color w:val="000000"/>
          <w:sz w:val="20"/>
        </w:rPr>
        <w:t>mitting an IND, initiating clinical trials or seek</w:t>
      </w:r>
      <w:r>
        <w:rPr>
          <w:rFonts w:ascii="Times New Roman" w:hAnsi="Times New Roman"/>
          <w:b w:val="false"/>
          <w:color w:val="231F20"/>
          <w:sz w:val="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Patients in our clinical trials may suffer serious adverse events or other side effects not observed in our preclinical studies or previous clinical trials. Patients treated with our product candidates may also be undergoing other therapies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due to other therapies or medications that such patients may be using or due to the gravity of such patients’ illnesses.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serious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authority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not be able to initiate or continue clinical trials for our product candidates if we are unable to locate and enroll a sufficient number of eligible patients to participate in these trials to such trial’s conclusion. Patient enrollment is a significant factor in the timing of clinical trials and our ability to enroll eligible patients may be limited or slower than we anticipate.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size and nature of the patient population;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perceived risks and benefits of novel, unproven approaches;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severity of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availability and efficacy of approved drugs for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ongoing clinical trials evaluating other product candidates in the same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patient eligibility criteria for the trial in question as defined in the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perceived risks and benefits of the product candidate under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patient referral practices of physicians;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challenges associated with recruiting eligible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ability to monitor patients adequately during and after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activities of key opinion leaders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proximity and availability of clinical trial sites for prospective patients;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risk that patients enrolled in clinical trials will drop out of the trials before completion or, because they may have an advanced disease, will not survive the full terms of the clinical trials.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Due to the significant resources required for the development of product candidates, in particular our product candidates in IND-enabling studies and those that enter into clinical trials, we must decide which programs, product candidates and indications to pursue and advance the amount of resources to allocate to each. Our decisions concerning the allocation of research, development,</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competitors both in the U.S.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Interim, topline and preliminary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our efforts to utilize our proprietary drug discovery platforms to develop a pipeline of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manufacture of drugs is complex, and we or our third-party manufacturers and suppliers may encounter difficulties in production. If we or any of our third-party manufacturers or suppliers encounter such difficulties, our ability to provide adequate supply of our product candidates for preclinical studies or clinical trials or our products for patients, if approved, could be delayed or prevented.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are made to the manufacturing process, we may be required to provide preclinical and clinical data showing the comparable quality and efficacy of the products before and after such changes.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 In addition, problems in our manufacturing processes or facilities established for our gene therapy product candidates also could restrict our ability to meet market demand for our products, if approved, which would prevent us from generating product revenue and seriously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fully integrated and internalized AAV manufacturing capabilities to support product candidates from our Gene Therapy and Cellular Regeneration platforms</w:t>
      </w:r>
      <w:r>
        <w:rPr>
          <w:rFonts w:ascii="Times New Roman" w:hAnsi="Times New Roman"/>
          <w:b w:val="false"/>
          <w:color w:val="231F20"/>
          <w:sz w:val="20"/>
        </w:rPr>
        <w:t>. However, to optimize our resources and to utilize extensive third-party experience in small molecule manufacturing, we intend to work with CDMOs for our small molecule programs.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delays in the ongoing development of our internal manufacturing capabilities may disrupt or delay the supply of our product candidates if we have not maintained a sufficient back-up supply of such product candidates.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failure or delay in the development of our manufacturing operations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manufacturing facilities will be subject to significant government regulations and approvals, which are often costly and could result in adverse consequences to our business if we fail to comply with the regulations or maintain the approvals.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will need to comply with the FDA’s and applicable foreign regulatory authorities’ cGMP requirements for the production of product candidates for clinical trials and, if approved, commercial supply. We may encounter difficulties in achieving QC and QA. We will be subject to inspections by the FDA and comparable agencies in other jurisdictions to confirm compliance with applicable</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successfully manufacture our product candidates in sufficient quality and quantity, which would delay or prevent us from developing our product candidates and commercializing resulting approved products, if any.</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To date, our product candidates have been manufactured in quantities adequate for preclinical studies and our Phase 1 clinical trials for our lead product candidates.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efficacy and safety profile as demonstrated in clinical trials compared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perceived safety and efficacy profile and ease of use for pediatric patient population if approved for a pediatric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timing of market introduction of the product candidate as well as competitive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clinical indications for which a product candidate is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physicians, hospitals, treatment centers and patients considering our product candidates as a safe, pure and effective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potential and perceived advantages of our product candidates over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 of treatment in relation to alternative treatments;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relative convenience and ease of administration;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willingness of the target patient population or their caregivers to try new therapies and of physicians to prescribe these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availability of coverage and adequate reimbursement by third-party payors, including government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patients’ willingness to pay for these therapies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effectiveness of sales and marketing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support from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unfavorable publicity relating to our product candidates;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approval of other new therapies for the same indications.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Adverse public perception or regulatory scrutiny of gene therapy technology or precision medicine for the treatment of heart diseases may negatively impact the developmental progress or commercial success of product candidates that we develop.</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There is significant uncertainty related to third-party payor coverage and reimbursement of newly approved products. In the U.S.,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Regardless of the merits or eventual outcome, liability claims may result 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delays in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FDA, EMA or other regulatory authority investigation of the safety and effectiveness of our products, our manufacturing processes and facilities or our marketing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decreased or interrupted demand for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injury to our reputation;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withdrawal of clinical trial participants and inability to continue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costs to defend the related litigation;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diversion of management’s time and our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substantial monetary awards to trial participants or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product recalls, withdrawals or labeling, marketing, or promotional restrictions;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loss of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exhaustion of any available insurance and our capital resources;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inability to commercialize any products.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240" w:after="283"/>
        <w:jc w:val="left"/>
        <w:rPr>
          <w:rFonts w:ascii="Times New Roman" w:hAnsi="Times New Roman"/>
          <w:sz w:val="20"/>
        </w:rPr>
      </w:pPr>
      <w:r>
        <w:rPr>
          <w:rFonts w:ascii="Times New Roman" w:hAnsi="Times New Roman"/>
          <w:b/>
          <w:i/>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FDA, EMA or other comparable foreign regulatory authorities may disagree with the design, implementation or results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the FDA, EMA or other comparable foreign regulatory authorities may require that we conduct additional preclinical studies or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r>
        <w:rPr>
          <w:rFonts w:ascii="Times New Roman" w:hAnsi="Times New Roman"/>
          <w:color w:val="231F20"/>
          <w:sz w:val="20"/>
        </w:rPr>
        <w:t xml:space="preserv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delays in or the rejection of product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restrictions on our ability to conduct clinical trials, including full or partial clinical holds on ongoing or planned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restrictions on the products, manufacturers or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warning or untitled letters;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civil and criminal penalties;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injunctions;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suspension or withdrawal of regulatory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product seizures, detentions or import bans;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voluntary or mandatory product recalls and publicity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total or partial suspension of production;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imposition of restrictions on operations, including costly new manufacturing requirements.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the EU, orphan drug designation entitles a party to financial incentives such as reduction of fees or fee waivers. However, there can be no assurances that we will be able to obtain orphan designations for our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lead product candidates from our gene therapy platform, TN-201 and TN-401, have each been granted orphan drug designation by the FDA and the EC, and we may seek orphan drug designation for other product candidates in the U.S.,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 xml:space="preserve">In </w:t>
      </w:r>
      <w:r>
        <w:rPr>
          <w:rFonts w:ascii="Times New Roman" w:hAnsi="Times New Roman"/>
          <w:b w:val="false"/>
          <w:i/>
          <w:color w:val="231F20"/>
          <w:sz w:val="20"/>
        </w:rPr>
        <w:t>Catalyst Pharms., Inc. v. Becerra</w:t>
      </w:r>
      <w:r>
        <w:rPr>
          <w:rFonts w:ascii="Times New Roman" w:hAnsi="Times New Roman"/>
          <w:b w:val="false"/>
          <w:color w:val="231F2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hAnsi="Times New Roman"/>
          <w:b w:val="false"/>
          <w:i/>
          <w:color w:val="231F20"/>
          <w:sz w:val="20"/>
        </w:rPr>
        <w:t>Catalyst</w:t>
      </w:r>
      <w:r>
        <w:rPr>
          <w:rFonts w:ascii="Times New Roman" w:hAnsi="Times New Roman"/>
          <w:b w:val="false"/>
          <w:color w:val="231F20"/>
          <w:sz w:val="20"/>
        </w:rPr>
        <w:t xml:space="preserve">, the FDA intends to continue to apply its longstanding interpretation of the regulations to matters outside of the scope of the </w:t>
      </w:r>
      <w:r>
        <w:rPr>
          <w:rFonts w:ascii="Times New Roman" w:hAnsi="Times New Roman"/>
          <w:b w:val="false"/>
          <w:i/>
          <w:color w:val="231F20"/>
          <w:sz w:val="20"/>
        </w:rPr>
        <w:t xml:space="preserve">Catalyst </w:t>
      </w:r>
      <w:r>
        <w:rPr>
          <w:rFonts w:ascii="Times New Roman" w:hAnsi="Times New Roman"/>
          <w:b w:val="false"/>
          <w:color w:val="231F20"/>
          <w:sz w:val="20"/>
        </w:rPr>
        <w:t>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face difficulties from changes to current FDA and healthcare regulations and future legislation.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impose constraints on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other legislative changes have been proposed and adopted in the U.S. since the ACA was enacted, including aggregate reductions to Medicare payments to providers, effective April 1, 2013, which will remain in effect through 2031 and increase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 xml:space="preserve">Outside of the U.S., relevant legal requirements continue to evolve. For example, the collection and use of health data and other personal data including personal data collected in clinical trials is governed in the EU by the General Data Protection Regulation (GDPR), which imposes substantial obligations upon companies and new rights for individuals, by certain EU member state-level legislation. </w:t>
      </w:r>
      <w:r>
        <w:rPr>
          <w:rFonts w:ascii="Times New Roman" w:hAnsi="Times New Roman"/>
          <w:b w:val="false"/>
          <w:color w:val="000000"/>
          <w:sz w:val="20"/>
        </w:rPr>
        <w:t xml:space="preserve">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hAnsi="Times New Roman"/>
          <w:b w:val="false"/>
          <w:color w:val="231F20"/>
          <w:sz w:val="20"/>
        </w:rPr>
        <w:t xml:space="preserve">Failure to comply with the GDPR may result in fines up to €20,000,000 or 4% of the total worldwide annual turnover of the preceding financial year, whichever is higher, and other administrative penalties. The GDPR has increased our responsibility and liability in relation to personal data that we may process, and we may be required to implement additional measures in an effort to comply with the GDPR and with other laws, rules, regulations and standards in the European Economic Area (EEA), United Kingdom (UK) and Switzerland relating to privacy and data protection. This may be onerous and if our efforts to comply with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w:t>
      </w:r>
      <w:r>
        <w:rPr>
          <w:rFonts w:ascii="Times New Roman" w:hAnsi="Times New Roman"/>
          <w:b w:val="false"/>
          <w:color w:val="000000"/>
          <w:sz w:val="20"/>
        </w:rPr>
        <w:t>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hAnsi="Times New Roman"/>
          <w:b w:val="false"/>
          <w:color w:val="231F20"/>
          <w:sz w:val="20"/>
        </w:rPr>
        <w:t>.</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 xml:space="preserve">In the U.S., a variety of data privacy, protection and security laws, rules, regulations and standards potentially may apply to our activities, such as state data breach notification laws, state personal data privacy laws (for example, the California Consumer Privacy Act of 2018, as amended by the California Privacy Rights Act effective January 1, 2023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hAnsi="Times New Roman"/>
          <w:b w:val="false"/>
          <w:color w:val="000000"/>
          <w:sz w:val="20"/>
        </w:rPr>
        <w:t>other state legislatures have introduced, and in several cases enacted, their own comprehensive data privacy and security laws, with potentially greater penalties and more rigorous compliance requirements</w:t>
      </w:r>
      <w:r>
        <w:rPr>
          <w:rFonts w:ascii="Times New Roman" w:hAnsi="Times New Roman"/>
          <w:b w:val="false"/>
          <w:color w:val="231F20"/>
          <w:sz w:val="20"/>
        </w:rPr>
        <w:t>, and laws in all 50 states require businesses to provide notice to customers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protection, may result in governmental investigations or enforcement actions, litigation, claims and other proceedings, harm our reputation, and could result in significant liability.</w:t>
      </w:r>
      <w:r>
        <w:rPr>
          <w:rFonts w:ascii="Times New Roman" w:hAnsi="Times New Roman"/>
          <w:color w:val="231F20"/>
          <w:sz w:val="20"/>
        </w:rPr>
        <w:t xml:space="preserv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Disruptions at the FDA, including delays or disruptions due to staffing shortages, and other agencies may also slow the time necessary for new drugs to be reviewed and/or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respective business associates and their subcontractors, with respect to safeguarding the privacy, security and transmission of individually identifiable health information;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federal consumer protection and unfair competition laws, which broadly regulate marketplace activities and activities that potentially harm consumers;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offering or providing, directly or indirectly,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sometimes leverage third parties to assist with the conduct of our business abroad. As we increase our international business activities, our risks under these laws may increase.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agents, representatives, business partners and third-party intermediaries will not take actions in violation of applicable law for which we may be ultimately held responsible.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tax law could increase the tax burden on our orphan drug programs and adversely affect our business and financial condition.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Employee Matters, Managing Our Growth and Other Risks Related to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To succeed, we must recruit, retain, manage and motivate qualified clinical, scientific, technical and management personnel, and we face significant competition for experienced personnel. We are highly dependent on the principal members of our management, our scientific founders and other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 order to successfully implement our long-term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order to successfully implement our development and commercialization plans and strategies, we expect to need additional managerial, operational, sales, marketing, financial and other personnel in the future. Future growth would impose significant added responsibilities on members of management.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w:t>
      </w:r>
      <w:r>
        <w:rPr>
          <w:rFonts w:ascii="Times New Roman" w:hAnsi="Times New Roman"/>
          <w:b w:val="false"/>
          <w:color w:val="231F20"/>
          <w:sz w:val="20"/>
        </w:rPr>
        <w:t xml:space="preserve">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hAnsi="Times New Roman"/>
          <w:b w:val="false"/>
          <w:color w:val="000000"/>
          <w:sz w:val="20"/>
        </w:rPr>
        <w:t>to date, we and our third-party service providers have frequently been the target of threats of this nature and we expect these threats and attacks to continue.</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Any data breach, disruption or security incident resulting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in our or their systems or have prevented, or will prevent, cybersecurity breaches or incidents, including those that cause loss, destruction, unavailability, alteration, dissemination of, or damage or unauthorized access to, our data, including personal data, assets and other data processed or maintained on our behalf. Any such breakdowns, breaches, or incidents, and any resulting impacts, could have a material adverse effect upon our reputation, business, operations or financial condition.</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seek regulatory approval of our product candidates outside of the U.S. and/or work with contractors or partners in foreign jurisdictions, and, accordingly, we expect that we will be subject to additional risks and foreign laws and regulatory requirements related to our operations in foreign countries,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differing regulatory requirements and reimbursement regimes;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unexpected changes in tariffs, trade barriers, price and exchange controls and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economic weakness, including inflation, or political instability in particular foreign economies and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compliance with tax, employment, immigration and labor laws for employees living or traveling abroad;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foreign taxes, including withholding of payroll taxes;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difficulties staffing and managing foreign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workforce uncertainty in countries where labor unrest is more common than in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potential liability under the FCPA or comparable foreign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production shortages resulting from any events affecting raw material supply or manufacturing capabilities abroad;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business interruptions resulting from geo-political actions, including war and terrorism, including effects of the Russia-Ukraine and Middle East conflicts.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Pending patent applications cannot be enforced until issued, and then only to the extent the issued claims cover the product candidate or relevant technology. There can be no assurance that our patent applications or the patent applications of our licensors will</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patent applications may not result in any patents being issued;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patents may be challenged, invalidated, modified, revoked, circumvented, found to be unenforceable, narrowed in scope or otherwise may not provide any competitive advantage;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The issuance of a patent is not conclusive as to its inventorship, scope, validity or enforceability, and the inventorship, scope, validity or enforceability of our potential future patents or the patents of our licensors that may be challenged in the courts or patent offices in the U.S. and abroad. For example, we may be subject to a third-party pre-issuance submission of prior art, post-grant review (PGR) or inter partes review (IPR) at the USPTO, or other similar proceedings including, opposition, derivation, revocation or reexamination proceedings in the U.S. or abroad.</w:t>
      </w:r>
      <w:r>
        <w:rPr>
          <w:rFonts w:ascii="Times New Roman" w:hAnsi="Times New Roman"/>
          <w:color w:val="000000"/>
          <w:sz w:val="20"/>
        </w:rPr>
        <w:t xml:space="preserve"> </w:t>
      </w:r>
      <w:r>
        <w:rPr>
          <w:rFonts w:ascii="Times New Roman" w:hAnsi="Times New Roman"/>
          <w:b w:val="false"/>
          <w:color w:val="231F20"/>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commercial success depends in part on avoiding infringement, misappropriation or other violation of the patents or other intellectual property rights of third parties. However, our research, development and commercialization activities may be subject to claims that we infringe, misappropriate or otherwise violate patents or other intellectual property rights of others.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As the biotechnology industry expands and more patents are issued, the risk increases that our product candidates may be subject to claims of infringement, misappropriation or other violation of the patent or other intellectual property rights of third parties.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hAnsi="Times New Roman"/>
          <w:b w:val="false"/>
          <w:color w:val="231F20"/>
          <w:sz w:val="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Patent reform legislation could increase the uncertainties and costs surrounding the prosecution of patent applications and the enforcement or defense of issued patents.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challenging the inventorship or ownership of our owned patent applications or in-licensed patent rights and other intellectual property.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do not obtain patent term extension for our product candidates, our business may be materially harmed.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Europe, beginning June 1, 2023, European applications and patents may be subjected to the jurisdiction of the Unified Patent Court (UPC). European patent applications now have the option, upon grant of a patent, of becoming a Unitary Patent which will be subject to the jurisdiction of the UPC. This is a significant change in European patent practice. As the UPC is a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companies and individuals to exploit inventions owned by patentees that have citizenship or nationality in, are registered in, or have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intend to use registered or unregistered trademarks or trade names to brand and market ourselves and our products, but we do not yet own a U.S. registered trademark for our corporate name, “Tenaya”. Our future trademark applications in the U.S.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r>
        <w:rPr>
          <w:rFonts w:ascii="Times New Roman" w:hAnsi="Times New Roman"/>
          <w:color w:val="231F20"/>
          <w:sz w:val="20"/>
        </w:rPr>
        <w:t xml:space="preserv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that we or our employees, consultants, advisors or contractors have wrongfully used or disclosed alleged confidential information or trade secrets.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For example, the intellectual property we license from UTSW is subject to certain non-commercial rights reserved by UTSW. Patents licensed to us could be put at risk of being invalidated or interpreted narrowly in litigation filed by or against our licensors or</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r>
        <w:rPr>
          <w:rFonts w:ascii="Times New Roman" w:hAnsi="Times New Roman"/>
          <w:color w:val="231F20"/>
          <w:sz w:val="20"/>
        </w:rPr>
        <w:t xml:space="preserv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We have in-licensed, and we may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Dependence on Third Parties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have established end-to-end in-house AAV manufacturing capabilities to support our product candidates arising from our Gene Therapy and Cellular Regeneration platforms. However, in order to optimize our use of resources and availability of extensive third-party experience in small molecule manufacturing, we intend to continue to rely on third-party manufacturers for our small molecule programs.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termination or nonrenewal of arrangements or agreements by our third-party contractors at a time that is costly or inconvenient for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breach by the third-party contractors of our agreements with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failure of third-party contractors to manufacture our product candidates according to our specifications or comply with applicable regulatory requirements, including cGMP;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infringement, misappropriation or other violation of our intellectual property or proprietary information.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dependence upon others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increased operating expenses and cash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assumption of additional indebtedness or contingent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issuance of our equity securities;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assimilation of operations, intellectual property and products of an acquired company, including difficulties associated with integrating new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diversion of our management’s attention from our existing programs and initiatives in pursuing such a strategic merger or acquisition;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unauthorized use or disclosure of our confidential information accessed in connection with partnership activities;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retention of key employees, the loss of key personnel and uncertainties in our ability to maintain key business relationships;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inability to realize anticipated efficiencies and strategic benefits from such acquisitions or strategic partnerships.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stage of development,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alternative product candidates or technologies, and industry and market conditions generally.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may grant exclusive rights to our collaborators that would prevent us from collaborating with others;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collaboration agreements may not lead to development or commercialization of product candidates in the most efficient manner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Securities Market and Ownership of Our Common Stock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An active, liquid and orderly trading market may not be sustained for our common stock and as a result it may be difficult for you to sell your shares of our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market for our common stock on the Nasdaq Global Select Market has been limited</w:t>
      </w:r>
      <w:r>
        <w:rPr>
          <w:rFonts w:ascii="Times New Roman" w:hAnsi="Times New Roman"/>
          <w:color w:val="231F20"/>
          <w:sz w:val="20"/>
        </w:rPr>
        <w:t xml:space="preserve"> </w:t>
      </w:r>
      <w:r>
        <w:rPr>
          <w:rFonts w:ascii="Times New Roman" w:hAnsi="Times New Roman"/>
          <w:b w:val="false"/>
          <w:color w:val="231F20"/>
          <w:sz w:val="20"/>
        </w:rPr>
        <w:t>and an active trading market for our shares may not be sustained. The lack of an active market may also reduce the 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price of our stock is volatile, and you could lose all or part of your investment.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the timing of achievement of our research, clinical, regulatory and other milestones for our product candidates;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results of preclinical studies and clinical trials of our product candidates, those conducted by third parties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success of competitive products or announcements by potential competitors of their product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regulatory actions with respect to our product candidates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actual or anticipated changes in our growth rate relative to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regulatory or legal developments in the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litigation, including developments or disputes concerning patent applications, issued patents or other intellectual property or proprietary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recruitment or departure of key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announcements by us or our competitors of significant acquisitions, strategic collaborations, joint ventures, collaborations or capital commitments;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actual or anticipated changes in estimates as to financial results, development timelines or coverage and/or recommendations by securities analysts;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fluctuations in the valuation of companies perceived by investors to be comparable to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market conditions in the pharmaceutical and biotechnology sector;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changes in the structure of healthcare payment systems;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share price and volume fluctuations attributable to inconsistent trading volume levels of our shares;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announcement or expectation of additional financing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sales of our common stock by us, our insiders or our other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expiration of market stand-off or lock-up agreements;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impact of any natural disasters or public health emergencies, such as the COVID-19 pandemic;</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 xml:space="preserve">fluctuations in interest rates and inflation rates;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general economic, political, industry and market conditions.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Furthermore, our operating results may fluctuate due to a variety of other factors, many of which are outside of our control and may be difficult to predict,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timing and cost of, and level of investment in, research and development activities relating to our programs, product candidates and any future programs and product candidates, which will change from time to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cost of operating a manufacturing facility and manufacturing our product candidates, which may vary depending on FDA, EMA or other comparable foreign regulatory authority guidelines and requirements, the quantity of production and the terms of our agreements with manufacturers;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expenditures that we will or may incur to acquire or develop additional product candidates and technologies or other assets;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timing and outcomes of clinical trials for our product candidates, or competing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enroll patients in clinical trials and the timing of enrollment;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need to conduct unanticipated clinical trials or trials that are larger or more complex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competition from existing and potential future products and changes in the competitive landscape of our industry, including consolidation among our competitors or partners;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delays in regulatory review or approval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establish and maintain collaborations, licensing or other arrangements;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level of demand for our product candidates, if approved, which may fluctuate significantly and be difficult to predict;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risk/benefit profile, cost and reimbursement policies with respect to our product candidates, if approved, and existing and potential future products that compete with any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val="false"/>
          <w:color w:val="231F20"/>
          <w:sz w:val="20"/>
        </w:rPr>
        <w:t>our ability to commercialize any of our product candidates, if approved, inside and outside of the</w:t>
      </w:r>
      <w:r>
        <w:rPr>
          <w:color w:val="000000"/>
        </w:rPr>
        <w:t xml:space="preserve"> </w:t>
      </w:r>
      <w:r>
        <w:rPr>
          <w:rFonts w:ascii="Times New Roman" w:hAnsi="Times New Roman"/>
          <w:b w:val="false"/>
          <w:color w:val="231F20"/>
          <w:sz w:val="20"/>
        </w:rPr>
        <w:t>U.S., either independently or working with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ability to adequately support future growth;</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potential unforeseen business disruptions that increase our costs or expenses;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future accounting pronouncements or changes in our accounting policies;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changing and volatile global economic and political environment.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As of September 30, 2023, our executive officers, directors, holders of 5% or more of our capital stock and their respective affiliates beneficially owned approximately 57% of our common stock. These stockholders, acting together, may be able to control matters requiring stockholder approval. For example, they may be able to control elections of directors, amendments of our</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Sales of a substantial number of shares of our common stock in the public market could occur at any time. For example, we filed: (i) on August 10, 2022, a shelf registration statement on Form S-3 with the SEC that became effective on August 17, 2022 and allows us to undertake various equity and debt offerings up to $300.0 million (the Shelf Registration); (ii) on August 17, 2022, a prospectus supplement to the shelf registration statement that covers the offering, issuance and sale of up to $75.0 million of our common stock from time to time through an “at-the-market” program under the Securities Act, pursuant to which we have sold 535,767 shares as of September 30, 2023</w:t>
      </w:r>
      <w:r>
        <w:rPr>
          <w:rFonts w:ascii="Times New Roman" w:hAnsi="Times New Roman"/>
          <w:b w:val="false"/>
          <w:color w:val="000000"/>
          <w:sz w:val="20"/>
        </w:rPr>
        <w:t>, resulting in proceeds of $3.9 million, after deducting commissions of $0.1 million pursuant to the Sales Agreement</w:t>
      </w:r>
      <w:r>
        <w:rPr>
          <w:rFonts w:ascii="Times New Roman" w:hAnsi="Times New Roman"/>
          <w:b w:val="false"/>
          <w:color w:val="231F20"/>
          <w:sz w:val="20"/>
        </w:rPr>
        <w:t>; and (iii) on November 17, 2022, a prospectus supplement to the Shelf Registration that covered the offering, issuance and sale of 25,429,716 shares of our common stock, at a price of $2.60 per share, and pre-funded warrants to purchase 6,236,693 shares of our common stock, at a price of $2.599 per pre-funded warrant, pursuant to which we received aggregate net proceeds of $76.9 million, after deducting the underwriting commissions and offering expenses. As of September 30, 2023</w:t>
      </w:r>
      <w:r>
        <w:rPr>
          <w:rFonts w:ascii="Times New Roman" w:hAnsi="Times New Roman"/>
          <w:b w:val="false"/>
          <w:color w:val="000000"/>
          <w:sz w:val="20"/>
        </w:rPr>
        <w:t>, 302,517 pre-funded warrants have been exercised.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Moreover, c</w:t>
      </w:r>
      <w:r>
        <w:rPr>
          <w:rFonts w:ascii="Times New Roman" w:hAnsi="Times New Roman"/>
          <w:b w:val="false"/>
          <w:color w:val="000000"/>
          <w:sz w:val="20"/>
        </w:rPr>
        <w:t>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r>
        <w:rPr>
          <w:rFonts w:ascii="Times New Roman" w:hAnsi="Times New Roman"/>
          <w:color w:val="231F20"/>
          <w:sz w:val="20"/>
        </w:rPr>
        <w:t xml:space="preserve">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If we are not able to comply with the requirements of Section 404 of the Sarbanes-Oxley Act in a timely manner, or if we are unable to maintain proper and effective internal controls, we may not be able to produce timely and accurate financial statements. If</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be subject to securities litigation, which is expensive and could divert management attention.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establish a classified board of directors so that not all members of our board are elected at one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permit only the board of directors to establish the number of directors and fill vacancies on the board;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provide that directors may only be removed “for cause”;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authorize the issuance of “blank check” preferred stock that our board could use to implement a stockholder rights plan (also known as a poison pill);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eliminate the ability of our stockholders to call special meetings of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prohibit stockholder action by written consent, which requires all stockholder actions to be taken at a meeting of our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prohibit cumulative voting;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authorize our board of directors to amend the bylaws;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require a super-majority vote of stockholders to amend or repeal specified provisions of our amended and restated certificate of incorporation and amended and restated bylaws.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sz w:val="20"/>
        </w:rPr>
      </w:pPr>
      <w:r>
        <w:rPr>
          <w:rFonts w:ascii="Times New Roman" w:hAnsi="Times New Roman"/>
          <w:b w:val="false"/>
          <w:color w:val="231F20"/>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derivative action or proceeding brought on our behalf;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action asserting a claim of breach of fiduciary duty;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action asserting a claim against us arising under the DGCL, our amended and restated certificate of incorporation or our amended and restated bylaws;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action asserting a claim against us that is governed by the internal-affairs doctrine.</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Our amended and restated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pStyle w:val="TextBody"/>
        <w:bidi w:val="0"/>
        <w:spacing w:before="120" w:after="283"/>
        <w:jc w:val="left"/>
        <w:rPr>
          <w:rFonts w:ascii="Times New Roman" w:hAnsi="Times New Roman"/>
          <w:b w:val="false"/>
          <w:color w:val="231F20"/>
          <w:sz w:val="20"/>
        </w:rPr>
      </w:pPr>
      <w:r>
        <w:rPr>
          <w:rFonts w:ascii="Times New Roman" w:hAnsi="Times New Roman"/>
          <w:b w:val="false"/>
          <w:color w:val="231F20"/>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5"/>
        <w:gridCol w:w="146"/>
        <w:gridCol w:w="6342"/>
        <w:gridCol w:w="586"/>
        <w:gridCol w:w="754"/>
        <w:gridCol w:w="736"/>
        <w:gridCol w:w="776"/>
      </w:tblGrid>
      <w:tr>
        <w:trPr/>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86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Filing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Composite Amended and Restated Certificate of Incorporation of Tenaya Therapeutics, Inc., as amended</w:t>
              </w:r>
            </w:hyperlink>
          </w:p>
        </w:tc>
        <w:tc>
          <w:tcPr>
            <w:tcW w:w="5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10-Q</w:t>
            </w:r>
          </w:p>
        </w:tc>
        <w:tc>
          <w:tcPr>
            <w:tcW w:w="7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001-40656</w:t>
            </w:r>
          </w:p>
        </w:tc>
        <w:tc>
          <w:tcPr>
            <w:tcW w:w="73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7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8-9-2023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Bylaws of Tenaya Therapeutics, Inc.</w:t>
              </w:r>
            </w:hyperlink>
          </w:p>
        </w:tc>
        <w:tc>
          <w:tcPr>
            <w:tcW w:w="5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7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001-40656</w:t>
            </w:r>
          </w:p>
        </w:tc>
        <w:tc>
          <w:tcPr>
            <w:tcW w:w="73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7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3-21-2023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10_1.htm">
              <w:r>
                <w:rPr>
                  <w:rStyle w:val="InternetLink"/>
                  <w:rFonts w:ascii="Times New Roman" w:hAnsi="Times New Roman"/>
                  <w:b w:val="false"/>
                  <w:color w:val="0000FF"/>
                  <w:sz w:val="20"/>
                  <w:u w:val="single"/>
                </w:rPr>
                <w:t>Outside Director Compensation Policy</w:t>
              </w:r>
            </w:hyperlink>
          </w:p>
        </w:tc>
        <w:tc>
          <w:tcPr>
            <w:tcW w:w="586" w:type="dxa"/>
            <w:tcBorders/>
            <w:shd w:fill="FFFFFF" w:val="clear"/>
            <w:vAlign w:val="center"/>
          </w:tcPr>
          <w:p>
            <w:pPr>
              <w:pStyle w:val="TableContents"/>
              <w:bidi w:val="0"/>
              <w:spacing w:before="0" w:after="283"/>
              <w:jc w:val="center"/>
              <w:rPr/>
            </w:pPr>
            <w:r>
              <w:rPr/>
              <w:t> </w:t>
            </w:r>
          </w:p>
        </w:tc>
        <w:tc>
          <w:tcPr>
            <w:tcW w:w="754"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2_1.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7"/>
        <w:gridCol w:w="146"/>
        <w:gridCol w:w="8602"/>
        <w:gridCol w:w="146"/>
        <w:gridCol w:w="146"/>
        <w:gridCol w:w="146"/>
        <w:gridCol w:w="192"/>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vAlign w:val="center"/>
          </w:tcPr>
          <w:p>
            <w:pPr>
              <w:pStyle w:val="TableContents"/>
              <w:bidi w:val="0"/>
              <w:spacing w:before="0" w:after="283"/>
              <w:jc w:val="left"/>
              <w:rPr/>
            </w:pPr>
            <w:r>
              <w:rPr/>
              <w:t> </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jc w:val="left"/>
        <w:rPr>
          <w:rFonts w:ascii="Times New Roman" w:hAnsi="Times New Roman"/>
          <w:sz w:val="20"/>
        </w:rPr>
      </w:pPr>
      <w:r>
        <w:rPr>
          <w:rFonts w:ascii="Times New Roman" w:hAnsi="Times New Roman"/>
          <w:b w:val="false"/>
          <w:color w:val="000000"/>
          <w:sz w:val="20"/>
        </w:rPr>
        <w:t> The certifications attached as Exhibit 32.1 that accompany this Quarterly Report on Form 10-Q are not deemed filed with the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Securities and Exchange Commission and are not to be incorporated by reference into any filing of the Registrant under the Securities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Act of 1933, as amended, or the Securities Exchange Act of 1934, as amended, whether made before or after the date of this Quarterly</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Report on Form 10-Q, irrespective of any general incorporation language contained in such filing.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2101"/>
        <w:gridCol w:w="109"/>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Tenaya Therapeutics,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Faraz Ali, M.B.A.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Faraz Ali, M.B.A.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Executive Officer and Director</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Leone D. Patterson, M.B.A.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Leone D. Patterson, M.B.A.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Financial and Business Officer</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tnya-ex10_1.htm"/>
      <w:bookmarkStart w:id="22" w:name="kstnyaex10_1"/>
      <w:bookmarkEnd w:id="21"/>
      <w:bookmarkEnd w:id="22"/>
      <w:r>
        <w:rPr>
          <w:rFonts w:ascii="Times New Roman" w:hAnsi="Times New Roman"/>
          <w:b/>
          <w:color w:val="000000"/>
          <w:sz w:val="24"/>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(as most recently amended September 14, 2023)</w:t>
      </w:r>
    </w:p>
    <w:p>
      <w:pPr>
        <w:pStyle w:val="TextBody"/>
        <w:bidi w:val="0"/>
        <w:spacing w:before="480" w:after="283"/>
        <w:jc w:val="both"/>
        <w:rPr>
          <w:rFonts w:ascii="Times New Roman" w:hAnsi="Times New Roman"/>
          <w:sz w:val="20"/>
        </w:rPr>
      </w:pPr>
      <w:r>
        <w:rPr>
          <w:rFonts w:ascii="Times New Roman" w:hAnsi="Times New Roman"/>
          <w:b w:val="false"/>
          <w:color w:val="000000"/>
          <w:sz w:val="24"/>
        </w:rPr>
        <w:t>Tenaya Therapeutics, Inc. (the “</w:t>
      </w:r>
      <w:r>
        <w:rPr>
          <w:rFonts w:ascii="Times New Roman" w:hAnsi="Times New Roman"/>
          <w:b w:val="false"/>
          <w:color w:val="000000"/>
          <w:sz w:val="24"/>
          <w:u w:val="single"/>
        </w:rPr>
        <w:t>Company</w:t>
      </w:r>
      <w:r>
        <w:rPr>
          <w:rFonts w:ascii="Times New Roman" w:hAnsi="Times New Roman"/>
          <w:color w:val="000000"/>
          <w:sz w:val="20"/>
        </w:rPr>
        <w:t>”</w:t>
      </w:r>
      <w:r>
        <w:rPr>
          <w:rFonts w:ascii="Times New Roman" w:hAnsi="Times New Roman"/>
          <w:b w:val="false"/>
          <w:color w:val="000000"/>
          <w:sz w:val="24"/>
        </w:rPr>
        <w:t>) believes that the granting of equity and cash compensation to members of the Company’s Board of Directors (the “</w:t>
      </w:r>
      <w:r>
        <w:rPr>
          <w:rFonts w:ascii="Times New Roman" w:hAnsi="Times New Roman"/>
          <w:b w:val="false"/>
          <w:color w:val="000000"/>
          <w:sz w:val="24"/>
          <w:u w:val="single"/>
        </w:rPr>
        <w:t>Board</w:t>
      </w:r>
      <w:r>
        <w:rPr>
          <w:rFonts w:ascii="Times New Roman" w:hAnsi="Times New Roman"/>
          <w:b w:val="false"/>
          <w:color w:val="000000"/>
          <w:sz w:val="24"/>
        </w:rPr>
        <w:t>,” and members of the Board, “</w:t>
      </w:r>
      <w:r>
        <w:rPr>
          <w:rFonts w:ascii="Times New Roman" w:hAnsi="Times New Roman"/>
          <w:b w:val="false"/>
          <w:color w:val="000000"/>
          <w:sz w:val="24"/>
          <w:u w:val="single"/>
        </w:rPr>
        <w:t>Directors</w:t>
      </w:r>
      <w:r>
        <w:rPr>
          <w:rFonts w:ascii="Times New Roman" w:hAnsi="Times New Roman"/>
          <w:color w:val="000000"/>
          <w:sz w:val="20"/>
        </w:rPr>
        <w:t>”</w:t>
      </w:r>
      <w:r>
        <w:rPr>
          <w:rFonts w:ascii="Times New Roman" w:hAnsi="Times New Roman"/>
          <w:b w:val="false"/>
          <w:color w:val="000000"/>
          <w:sz w:val="24"/>
        </w:rPr>
        <w:t>) represents an effective tool to attract, retain and reward Directors who are not employees of the Company (“</w:t>
      </w:r>
      <w:r>
        <w:rPr>
          <w:rFonts w:ascii="Times New Roman" w:hAnsi="Times New Roman"/>
          <w:b w:val="false"/>
          <w:color w:val="000000"/>
          <w:sz w:val="24"/>
          <w:u w:val="single"/>
        </w:rPr>
        <w:t>Outside Directors</w:t>
      </w:r>
      <w:r>
        <w:rPr>
          <w:rFonts w:ascii="Times New Roman" w:hAnsi="Times New Roman"/>
          <w:color w:val="000000"/>
          <w:sz w:val="20"/>
        </w:rPr>
        <w:t>”</w:t>
      </w:r>
      <w:r>
        <w:rPr>
          <w:rFonts w:ascii="Times New Roman" w:hAnsi="Times New Roman"/>
          <w:b w:val="false"/>
          <w:color w:val="000000"/>
          <w:sz w:val="24"/>
        </w:rPr>
        <w:t>). This Outside Director Compensation Policy (the “</w:t>
      </w:r>
      <w:r>
        <w:rPr>
          <w:rFonts w:ascii="Times New Roman" w:hAnsi="Times New Roman"/>
          <w:b w:val="false"/>
          <w:color w:val="000000"/>
          <w:sz w:val="24"/>
          <w:u w:val="single"/>
        </w:rPr>
        <w:t>Policy</w:t>
      </w:r>
      <w:r>
        <w:rPr>
          <w:rFonts w:ascii="Times New Roman" w:hAnsi="Times New Roman"/>
          <w:color w:val="000000"/>
          <w:sz w:val="20"/>
        </w:rPr>
        <w:t>”</w:t>
      </w:r>
      <w:r>
        <w:rPr>
          <w:rFonts w:ascii="Times New Roman" w:hAnsi="Times New Roman"/>
          <w:b w:val="false"/>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hAnsi="Times New Roman"/>
          <w:b w:val="false"/>
          <w:color w:val="000000"/>
          <w:sz w:val="24"/>
          <w:u w:val="single"/>
        </w:rPr>
        <w:t>Plan</w:t>
      </w:r>
      <w:r>
        <w:rPr>
          <w:rFonts w:ascii="Times New Roman" w:hAnsi="Times New Roman"/>
          <w:color w:val="000000"/>
          <w:sz w:val="20"/>
        </w:rPr>
        <w:t>”</w:t>
      </w:r>
      <w:r>
        <w:rPr>
          <w:rFonts w:ascii="Times New Roman" w:hAnsi="Times New Roman"/>
          <w:b w:val="false"/>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spacing w:before="240" w:after="283"/>
        <w:jc w:val="both"/>
        <w:rPr/>
      </w:pPr>
      <w:r>
        <w:rPr>
          <w:rFonts w:ascii="Times New Roman" w:hAnsi="Times New Roman"/>
          <w:b w:val="false"/>
          <w:color w:val="000000"/>
          <w:sz w:val="24"/>
          <w:u w:val="single"/>
        </w:rPr>
        <w:t>Effective Date; Restatement Date</w:t>
      </w:r>
      <w:r>
        <w:rPr>
          <w:rFonts w:ascii="Times New Roman" w:hAnsi="Times New Roman"/>
          <w:b w:val="false"/>
          <w:color w:val="000000"/>
          <w:sz w:val="24"/>
        </w:rPr>
        <w:t>. This Policy originally became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Times New Roman" w:hAnsi="Times New Roman"/>
          <w:b w:val="false"/>
          <w:color w:val="000000"/>
          <w:sz w:val="24"/>
          <w:u w:val="single"/>
        </w:rPr>
        <w:t>Effective Date</w:t>
      </w:r>
      <w:r>
        <w:rPr>
          <w:color w:val="000000"/>
        </w:rPr>
        <w:t>”</w:t>
      </w:r>
      <w:r>
        <w:rPr>
          <w:rFonts w:ascii="Times New Roman" w:hAnsi="Times New Roman"/>
          <w:b w:val="false"/>
          <w:color w:val="000000"/>
          <w:sz w:val="24"/>
        </w:rPr>
        <w:t>), was amended and restated on December 5, 2022 (the “Restatement Date”) and was further amended on September 14, 2023.</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240" w:after="283"/>
        <w:jc w:val="both"/>
        <w:rPr>
          <w:rFonts w:ascii="Times New Roman" w:hAnsi="Times New Roman"/>
          <w:b w:val="false"/>
          <w:color w:val="000000"/>
          <w:sz w:val="24"/>
          <w:u w:val="single"/>
        </w:rPr>
      </w:pPr>
      <w:r>
        <w:rPr>
          <w:rFonts w:ascii="Times New Roman" w:hAnsi="Times New Roman"/>
          <w:b w:val="false"/>
          <w:color w:val="000000"/>
          <w:sz w:val="24"/>
          <w:u w:val="single"/>
        </w:rPr>
        <w:t>Cash Compensation</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2.1</w:t>
      </w:r>
    </w:p>
    <w:p>
      <w:pPr>
        <w:pStyle w:val="TextBody"/>
        <w:bidi w:val="0"/>
        <w:spacing w:before="240" w:after="283"/>
        <w:jc w:val="both"/>
        <w:rPr/>
      </w:pPr>
      <w:r>
        <w:rPr>
          <w:rFonts w:ascii="Times New Roman" w:hAnsi="Times New Roman"/>
          <w:b w:val="false"/>
          <w:color w:val="000000"/>
          <w:sz w:val="24"/>
          <w:u w:val="single"/>
        </w:rPr>
        <w:t>Board Member Annual Cash Retainer</w:t>
      </w:r>
      <w:r>
        <w:rPr>
          <w:rFonts w:ascii="Times New Roman" w:hAnsi="Times New Roman"/>
          <w:b w:val="false"/>
          <w:color w:val="000000"/>
          <w:sz w:val="24"/>
        </w:rPr>
        <w:t>. Each Outside Director will be paid an annual cash retainer of $35,000. There are no per</w:t>
        <w:noBreakHyphen/>
        <w:t xml:space="preserve">meeting attendance fees for attending Board meetings or meetings of any committee of the Board. </w:t>
      </w:r>
    </w:p>
    <w:p>
      <w:pPr>
        <w:pStyle w:val="TextBody"/>
        <w:bidi w:val="0"/>
        <w:spacing w:before="240" w:after="240"/>
        <w:jc w:val="both"/>
        <w:rPr>
          <w:rFonts w:ascii="Times New Roman" w:hAnsi="Times New Roman"/>
          <w:b w:val="false"/>
          <w:color w:val="000000"/>
          <w:sz w:val="24"/>
        </w:rPr>
      </w:pPr>
      <w:r>
        <w:rPr>
          <w:rFonts w:ascii="Times New Roman" w:hAnsi="Times New Roman"/>
          <w:b w:val="false"/>
          <w:color w:val="000000"/>
          <w:sz w:val="24"/>
        </w:rPr>
        <w:t>2.2</w:t>
      </w:r>
    </w:p>
    <w:p>
      <w:pPr>
        <w:pStyle w:val="TextBody"/>
        <w:bidi w:val="0"/>
        <w:spacing w:before="240" w:after="240"/>
        <w:jc w:val="both"/>
        <w:rPr/>
      </w:pPr>
      <w:r>
        <w:rPr>
          <w:rFonts w:ascii="Times New Roman" w:hAnsi="Times New Roman"/>
          <w:b w:val="false"/>
          <w:color w:val="000000"/>
          <w:sz w:val="24"/>
          <w:u w:val="single"/>
        </w:rPr>
        <w:t>Additional Annual Cash Retainers</w:t>
      </w:r>
      <w:r>
        <w:rPr>
          <w:rFonts w:ascii="Times New Roman" w:hAnsi="Times New Roman"/>
          <w:b w:val="false"/>
          <w:color w:val="000000"/>
          <w:sz w:val="24"/>
        </w:rPr>
        <w:t xml:space="preserve">. As of the Effective Date, each Outside Director who serves as the Chair of the Board, or the chair or a member of a committee of the Board, will be eligible to earn additional annual fees as follows: </w:t>
      </w:r>
    </w:p>
    <w:tbl>
      <w:tblPr>
        <w:tblW w:w="6872" w:type="dxa"/>
        <w:jc w:val="left"/>
        <w:tblInd w:w="0" w:type="dxa"/>
        <w:tblLayout w:type="fixed"/>
        <w:tblCellMar>
          <w:top w:w="28" w:type="dxa"/>
          <w:left w:w="28" w:type="dxa"/>
          <w:bottom w:w="28" w:type="dxa"/>
          <w:right w:w="28" w:type="dxa"/>
        </w:tblCellMar>
      </w:tblPr>
      <w:tblGrid>
        <w:gridCol w:w="5941"/>
        <w:gridCol w:w="931"/>
      </w:tblGrid>
      <w:tr>
        <w:trPr/>
        <w:tc>
          <w:tcPr>
            <w:tcW w:w="59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9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Non-Executive Chair of the Board:</w:t>
            </w:r>
          </w:p>
        </w:tc>
        <w:tc>
          <w:tcPr>
            <w:tcW w:w="9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$30,000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Lead Independent Director:</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$20,000</w:t>
            </w:r>
          </w:p>
        </w:tc>
      </w:tr>
      <w:tr>
        <w:trPr/>
        <w:tc>
          <w:tcPr>
            <w:tcW w:w="59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Audit Committee Chair:</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$15,000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sz w:val="24"/>
              </w:rPr>
            </w:pPr>
            <w:r>
              <w:rPr>
                <w:rFonts w:ascii="Times New Roman" w:hAnsi="Times New Roman"/>
                <w:b w:val="false"/>
                <w:color w:val="000000"/>
                <w:sz w:val="24"/>
              </w:rPr>
              <w:t>Audit Committee Member:</w:t>
            </w:r>
            <w:r>
              <w:rPr>
                <w:rFonts w:ascii="Times New Roman" w:hAnsi="Times New Roman"/>
                <w:color w:val="000000"/>
                <w:sz w:val="24"/>
              </w:rPr>
              <w:t xml:space="preserve">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$7,500</w:t>
            </w:r>
          </w:p>
        </w:tc>
      </w:tr>
      <w:tr>
        <w:trPr/>
        <w:tc>
          <w:tcPr>
            <w:tcW w:w="59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sz w:val="24"/>
              </w:rPr>
            </w:pPr>
            <w:r>
              <w:rPr>
                <w:rFonts w:ascii="Times New Roman" w:hAnsi="Times New Roman"/>
                <w:b w:val="false"/>
                <w:color w:val="000000"/>
                <w:sz w:val="24"/>
              </w:rPr>
              <w:t>Compensation Committee Chair:</w:t>
            </w:r>
            <w:r>
              <w:rPr>
                <w:rFonts w:ascii="Times New Roman" w:hAnsi="Times New Roman"/>
                <w:color w:val="000000"/>
                <w:sz w:val="24"/>
              </w:rPr>
              <w:t xml:space="preserve">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$10,000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sz w:val="24"/>
              </w:rPr>
            </w:pPr>
            <w:r>
              <w:rPr>
                <w:rFonts w:ascii="Times New Roman" w:hAnsi="Times New Roman"/>
                <w:b w:val="false"/>
                <w:color w:val="000000"/>
                <w:sz w:val="24"/>
              </w:rPr>
              <w:t>Compensation Committee Member:</w:t>
            </w:r>
            <w:r>
              <w:rPr>
                <w:rFonts w:ascii="Times New Roman" w:hAnsi="Times New Roman"/>
                <w:color w:val="000000"/>
                <w:sz w:val="24"/>
              </w:rPr>
              <w:t xml:space="preserve">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$5,000</w:t>
            </w:r>
          </w:p>
        </w:tc>
      </w:tr>
      <w:tr>
        <w:trPr/>
        <w:tc>
          <w:tcPr>
            <w:tcW w:w="59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sz w:val="24"/>
              </w:rPr>
            </w:pPr>
            <w:r>
              <w:rPr>
                <w:rFonts w:ascii="Times New Roman" w:hAnsi="Times New Roman"/>
                <w:b w:val="false"/>
                <w:color w:val="000000"/>
                <w:sz w:val="24"/>
              </w:rPr>
              <w:t>Nominating and Corporate Governance Committee Chair:</w:t>
            </w:r>
            <w:r>
              <w:rPr>
                <w:rFonts w:ascii="Times New Roman" w:hAnsi="Times New Roman"/>
                <w:color w:val="000000"/>
                <w:sz w:val="24"/>
              </w:rPr>
              <w:t xml:space="preserve">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$8,000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sz w:val="24"/>
              </w:rPr>
            </w:pPr>
            <w:r>
              <w:rPr>
                <w:rFonts w:ascii="Times New Roman" w:hAnsi="Times New Roman"/>
                <w:b w:val="false"/>
                <w:color w:val="000000"/>
                <w:sz w:val="24"/>
              </w:rPr>
              <w:t>Nominating and Corporate Governance Committee Member:</w:t>
            </w:r>
            <w:r>
              <w:rPr>
                <w:rFonts w:ascii="Times New Roman" w:hAnsi="Times New Roman"/>
                <w:color w:val="000000"/>
                <w:sz w:val="24"/>
              </w:rPr>
              <w:t xml:space="preserve">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$4,000</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4471"/>
        <w:gridCol w:w="931"/>
      </w:tblGrid>
      <w:tr>
        <w:trPr/>
        <w:tc>
          <w:tcPr>
            <w:tcW w:w="44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47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Science and Technology Committee Chair:</w:t>
            </w:r>
          </w:p>
        </w:tc>
        <w:tc>
          <w:tcPr>
            <w:tcW w:w="93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$10,000</w:t>
            </w:r>
          </w:p>
        </w:tc>
      </w:tr>
      <w:tr>
        <w:trPr/>
        <w:tc>
          <w:tcPr>
            <w:tcW w:w="4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Science and Technology Committee Member:</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b w:val="false"/>
                <w:color w:val="000000"/>
                <w:sz w:val="24"/>
              </w:rPr>
            </w:pPr>
            <w:r>
              <w:rPr>
                <w:rFonts w:ascii="Times New Roman" w:hAnsi="Times New Roman"/>
                <w:b w:val="false"/>
                <w:color w:val="000000"/>
                <w:sz w:val="24"/>
              </w:rPr>
              <w:t>$5,000</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2.3</w:t>
      </w:r>
    </w:p>
    <w:p>
      <w:pPr>
        <w:pStyle w:val="TextBody"/>
        <w:bidi w:val="0"/>
        <w:spacing w:before="240" w:after="283"/>
        <w:jc w:val="both"/>
        <w:rPr/>
      </w:pPr>
      <w:r>
        <w:rPr>
          <w:rFonts w:ascii="Times New Roman" w:hAnsi="Times New Roman"/>
          <w:b w:val="false"/>
          <w:color w:val="000000"/>
          <w:sz w:val="24"/>
          <w:u w:val="single"/>
        </w:rPr>
        <w:t>Payment Timing and Proration</w:t>
      </w:r>
      <w:r>
        <w:rPr>
          <w:rFonts w:ascii="Times New Roman" w:hAnsi="Times New Roman"/>
          <w:b w:val="false"/>
          <w:color w:val="000000"/>
          <w:sz w:val="24"/>
        </w:rPr>
        <w:t>. Each annual cash retainer (a “</w:t>
      </w:r>
      <w:r>
        <w:rPr>
          <w:rFonts w:ascii="Times New Roman" w:hAnsi="Times New Roman"/>
          <w:b w:val="false"/>
          <w:color w:val="000000"/>
          <w:sz w:val="24"/>
          <w:u w:val="single"/>
        </w:rPr>
        <w:t>Annual Cash Retainer</w:t>
      </w:r>
      <w:r>
        <w:rPr>
          <w:color w:val="000000"/>
        </w:rPr>
        <w:t>”</w:t>
      </w:r>
      <w:r>
        <w:rPr>
          <w:rFonts w:ascii="Times New Roman" w:hAnsi="Times New Roman"/>
          <w:b w:val="false"/>
          <w:color w:val="000000"/>
          <w:sz w:val="24"/>
        </w:rPr>
        <w:t>)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b w:val="false"/>
          <w:color w:val="000000"/>
          <w:sz w:val="24"/>
          <w:u w:val="single"/>
        </w:rPr>
        <w:t>Fiscal Quarter</w:t>
      </w:r>
      <w:r>
        <w:rPr>
          <w:color w:val="000000"/>
        </w:rPr>
        <w:t>”</w:t>
      </w:r>
      <w:r>
        <w:rPr>
          <w:rFonts w:ascii="Times New Roman" w:hAnsi="Times New Roman"/>
          <w:b w:val="false"/>
          <w:color w:val="000000"/>
          <w:sz w:val="24"/>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hAnsi="Times New Roman"/>
          <w:b w:val="false"/>
          <w:color w:val="000000"/>
          <w:sz w:val="24"/>
          <w:u w:val="single"/>
        </w:rPr>
        <w:t>Initial Period</w:t>
      </w:r>
      <w:r>
        <w:rPr>
          <w:color w:val="000000"/>
        </w:rPr>
        <w:t>”</w:t>
      </w:r>
      <w:r>
        <w:rPr>
          <w:rFonts w:ascii="Times New Roman" w:hAnsi="Times New Roman"/>
          <w:b w:val="false"/>
          <w:color w:val="000000"/>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240" w:after="283"/>
        <w:jc w:val="both"/>
        <w:rPr/>
      </w:pPr>
      <w:r>
        <w:rPr>
          <w:rFonts w:ascii="Times New Roman" w:hAnsi="Times New Roman"/>
          <w:b w:val="false"/>
          <w:color w:val="000000"/>
          <w:sz w:val="24"/>
          <w:u w:val="single"/>
        </w:rPr>
        <w:t>Equity Compensation</w:t>
      </w:r>
      <w:r>
        <w:rPr>
          <w:rFonts w:ascii="Times New Roman" w:hAnsi="Times New Roman"/>
          <w:b w:val="false"/>
          <w:color w:val="000000"/>
          <w:sz w:val="24"/>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3.1</w:t>
      </w:r>
    </w:p>
    <w:p>
      <w:pPr>
        <w:pStyle w:val="TextBody"/>
        <w:bidi w:val="0"/>
        <w:spacing w:before="240" w:after="283"/>
        <w:jc w:val="both"/>
        <w:rPr/>
      </w:pPr>
      <w:r>
        <w:rPr>
          <w:rFonts w:ascii="Times New Roman" w:hAnsi="Times New Roman"/>
          <w:b w:val="false"/>
          <w:color w:val="000000"/>
          <w:sz w:val="24"/>
          <w:u w:val="single"/>
        </w:rPr>
        <w:t>No Discretion</w:t>
      </w:r>
      <w:r>
        <w:rPr>
          <w:rFonts w:ascii="Times New Roman" w:hAnsi="Times New Roman"/>
          <w:b w:val="false"/>
          <w:color w:val="000000"/>
          <w:sz w:val="24"/>
        </w:rPr>
        <w:t>. No person will have any discretion to select which Outside Directors will be granted Annual Awards (as defined below) under this Policy or to determine the number of Shares to be covered by such Awards (except as provided in Sections 3.4.4 and 10 below).</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3.2</w:t>
      </w:r>
    </w:p>
    <w:p>
      <w:pPr>
        <w:pStyle w:val="TextBody"/>
        <w:bidi w:val="0"/>
        <w:spacing w:before="240" w:after="283"/>
        <w:jc w:val="both"/>
        <w:rPr/>
      </w:pPr>
      <w:r>
        <w:rPr>
          <w:rFonts w:ascii="Times New Roman" w:hAnsi="Times New Roman"/>
          <w:b w:val="false"/>
          <w:color w:val="000000"/>
          <w:sz w:val="24"/>
          <w:u w:val="single"/>
        </w:rPr>
        <w:t>Initial Awards</w:t>
      </w:r>
      <w:r>
        <w:rPr>
          <w:rFonts w:ascii="Times New Roman" w:hAnsi="Times New Roman"/>
          <w:b w:val="false"/>
          <w:color w:val="000000"/>
          <w:sz w:val="24"/>
        </w:rPr>
        <w:t>. Each individual who first becomes an Outside Director on or following the Restatement Date automatically will be granted an Option (an “</w:t>
      </w:r>
      <w:r>
        <w:rPr>
          <w:rFonts w:ascii="Times New Roman" w:hAnsi="Times New Roman"/>
          <w:b w:val="false"/>
          <w:color w:val="000000"/>
          <w:sz w:val="24"/>
          <w:u w:val="single"/>
        </w:rPr>
        <w:t>Initial Award</w:t>
      </w:r>
      <w:r>
        <w:rPr>
          <w:color w:val="000000"/>
        </w:rPr>
        <w:t>”</w:t>
      </w:r>
      <w:r>
        <w:rPr>
          <w:rFonts w:ascii="Times New Roman" w:hAnsi="Times New Roman"/>
          <w:b w:val="false"/>
          <w:color w:val="000000"/>
          <w:sz w:val="24"/>
        </w:rPr>
        <w:t>) to purchase Shares with a grant date fair value as determined in accordance with U.S. generally accepted accounting principles (the “</w:t>
      </w:r>
      <w:r>
        <w:rPr>
          <w:rFonts w:ascii="Times New Roman" w:hAnsi="Times New Roman"/>
          <w:b w:val="false"/>
          <w:color w:val="000000"/>
          <w:sz w:val="24"/>
          <w:u w:val="single"/>
        </w:rPr>
        <w:t>Grant Value</w:t>
      </w:r>
      <w:r>
        <w:rPr>
          <w:color w:val="000000"/>
        </w:rPr>
        <w:t>”</w:t>
      </w:r>
      <w:r>
        <w:rPr>
          <w:rFonts w:ascii="Times New Roman" w:hAnsi="Times New Roman"/>
          <w:b w:val="false"/>
          <w:color w:val="000000"/>
          <w:sz w:val="24"/>
        </w:rPr>
        <w:t>) equal to $320,000 (with any resulting fractional Share rounded down to the nearest whole Share), provided that, notwithstanding the foregoing, no more than 68,000 Shares may be subject to an Initial Award. The grant date of the Initial Award will be the first Trading Day on or after the date on which such individual first becomes an Outside Director (such first date as an Outside Director, the “</w:t>
      </w:r>
      <w:r>
        <w:rPr>
          <w:rFonts w:ascii="Times New Roman" w:hAnsi="Times New Roman"/>
          <w:b w:val="false"/>
          <w:color w:val="000000"/>
          <w:sz w:val="24"/>
          <w:u w:val="single"/>
        </w:rPr>
        <w:t>Initial Start Date</w:t>
      </w:r>
      <w:r>
        <w:rPr>
          <w:color w:val="000000"/>
        </w:rPr>
        <w:t>”</w:t>
      </w:r>
      <w:r>
        <w:rPr>
          <w:rFonts w:ascii="Times New Roman" w:hAnsi="Times New Roman"/>
          <w:b w:val="false"/>
          <w:color w:val="000000"/>
          <w:sz w:val="24"/>
        </w:rPr>
        <w:t>), whether through election by the stockholders of the Company or appointment by the Board to fill a vacancy. If an individual was an Employee-Director, becoming an Outside Director due to termination of the individual’s status as an Employee will not entitle the Outside Director to an Initial Award. Each Initial Award will be scheduled to vest as to one thirty</w:t>
        <w:noBreakHyphen/>
        <w:t xml:space="preserve">sixth (1/36th) of the Shares subject to the Initial Award on a monthly basis following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the Initial Award’s grant date on the same day of the month as such grant date (or on the last day of the month, if there is no corresponding day in such month), subject to the Outside Director remaining a Service Provider through the applicable vesting date.</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3.3</w:t>
      </w:r>
    </w:p>
    <w:p>
      <w:pPr>
        <w:pStyle w:val="TextBody"/>
        <w:bidi w:val="0"/>
        <w:spacing w:before="240" w:after="283"/>
        <w:jc w:val="both"/>
        <w:rPr/>
      </w:pPr>
      <w:r>
        <w:rPr>
          <w:rFonts w:ascii="Times New Roman" w:hAnsi="Times New Roman"/>
          <w:b w:val="false"/>
          <w:color w:val="000000"/>
          <w:sz w:val="24"/>
          <w:u w:val="single"/>
        </w:rPr>
        <w:t>Annual Award</w:t>
      </w:r>
      <w:r>
        <w:rPr>
          <w:rFonts w:ascii="Times New Roman" w:hAnsi="Times New Roman"/>
          <w:b w:val="false"/>
          <w:color w:val="000000"/>
          <w:sz w:val="24"/>
        </w:rPr>
        <w:t>. On the first Trading Day immediately following each Annual Meeting of the Company’s stockholders (an “</w:t>
      </w:r>
      <w:r>
        <w:rPr>
          <w:rFonts w:ascii="Times New Roman" w:hAnsi="Times New Roman"/>
          <w:b w:val="false"/>
          <w:color w:val="000000"/>
          <w:sz w:val="24"/>
          <w:u w:val="single"/>
        </w:rPr>
        <w:t>Annual Meeting</w:t>
      </w:r>
      <w:r>
        <w:rPr>
          <w:color w:val="000000"/>
        </w:rPr>
        <w:t xml:space="preserve">” </w:t>
      </w:r>
      <w:r>
        <w:rPr>
          <w:rFonts w:ascii="Times New Roman" w:hAnsi="Times New Roman"/>
          <w:b w:val="false"/>
          <w:color w:val="000000"/>
          <w:sz w:val="24"/>
        </w:rPr>
        <w:t>and such first Trading Day immediately following the Annual Meeting, the “</w:t>
      </w:r>
      <w:r>
        <w:rPr>
          <w:rFonts w:ascii="Times New Roman" w:hAnsi="Times New Roman"/>
          <w:b w:val="false"/>
          <w:color w:val="000000"/>
          <w:sz w:val="24"/>
          <w:u w:val="single"/>
        </w:rPr>
        <w:t>Annual Award Date</w:t>
      </w:r>
      <w:r>
        <w:rPr>
          <w:color w:val="000000"/>
        </w:rPr>
        <w:t>”</w:t>
      </w:r>
      <w:r>
        <w:rPr>
          <w:rFonts w:ascii="Times New Roman" w:hAnsi="Times New Roman"/>
          <w:b w:val="false"/>
          <w:color w:val="000000"/>
          <w:sz w:val="24"/>
        </w:rPr>
        <w:t>) that occurs on or after the Restatement Date, (i) each Outside Director who, as of the date of such Annual Meeting (the “</w:t>
      </w:r>
      <w:r>
        <w:rPr>
          <w:rFonts w:ascii="Times New Roman" w:hAnsi="Times New Roman"/>
          <w:b w:val="false"/>
          <w:color w:val="000000"/>
          <w:sz w:val="24"/>
          <w:u w:val="single"/>
        </w:rPr>
        <w:t>Current Meeting</w:t>
      </w:r>
      <w:r>
        <w:rPr>
          <w:color w:val="000000"/>
        </w:rPr>
        <w:t>”</w:t>
      </w:r>
      <w:r>
        <w:rPr>
          <w:rFonts w:ascii="Times New Roman" w:hAnsi="Times New Roman"/>
          <w:b w:val="false"/>
          <w:color w:val="000000"/>
          <w:sz w:val="24"/>
        </w:rPr>
        <w:t>) has been in continuous service as an Outside Director since the date of the most recently preceding Annual Meeting (the “</w:t>
      </w:r>
      <w:r>
        <w:rPr>
          <w:rFonts w:ascii="Times New Roman" w:hAnsi="Times New Roman"/>
          <w:b w:val="false"/>
          <w:color w:val="000000"/>
          <w:sz w:val="24"/>
          <w:u w:val="single"/>
        </w:rPr>
        <w:t>Prior Meeting</w:t>
      </w:r>
      <w:r>
        <w:rPr>
          <w:color w:val="000000"/>
        </w:rPr>
        <w:t>”</w:t>
      </w:r>
      <w:r>
        <w:rPr>
          <w:rFonts w:ascii="Times New Roman" w:hAnsi="Times New Roman"/>
          <w:b w:val="false"/>
          <w:color w:val="000000"/>
          <w:sz w:val="24"/>
        </w:rPr>
        <w:t>), automatically will be granted an Option (the “</w:t>
      </w:r>
      <w:r>
        <w:rPr>
          <w:rFonts w:ascii="Times New Roman" w:hAnsi="Times New Roman"/>
          <w:b w:val="false"/>
          <w:color w:val="000000"/>
          <w:sz w:val="24"/>
          <w:u w:val="single"/>
        </w:rPr>
        <w:t>Annual Award</w:t>
      </w:r>
      <w:r>
        <w:rPr>
          <w:color w:val="000000"/>
        </w:rPr>
        <w:t>”</w:t>
      </w:r>
      <w:r>
        <w:rPr>
          <w:rFonts w:ascii="Times New Roman" w:hAnsi="Times New Roman"/>
          <w:b w:val="false"/>
          <w:color w:val="000000"/>
          <w:sz w:val="24"/>
        </w:rPr>
        <w:t>) to purchase Shares with a Grant Value equal to $160,000 (with any resulting fractional Share rounded down to the nearest whole Share), and (ii) each Outside Director who, as of the date of the Current Meeting, has not been in continuous service as an Outside Director since the Prior Meeting, automatically will be granted a prorated Annual Award having a Grant Value equal to the product of (A) $160,000 multiplied by (B) a fraction, (x) the numerator of which is the number of full months (not to exceed 12) during which the individual served as an Outside Director between such individual’s Initial Start Date and the date of the Current Meeting, and (y) the denominator of which is 12 (with any resulting fractional Share rounded down to the nearest whole Share). Notwithstanding the foregoing, no more than 34,000 Shares may be subject to an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For the avoidance of doubt, for purposes of this Policy, a “full month” will have elapsed on each one-month anniversary of the Initial Start Date (e.g., if the Initial Start Date is September 15 of a given year, a full month will elapse on October 15 of such year and the next full month will elapse on November 15 of such year) or, if there is no monthly anniversary of the applicable date, on the last date of the applicable month (e.g., if the Initial Start Date is October 31 of a given year, a full month will elapse on November 30 of such year and the next full month will elapse on December 31 of such year).</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3.4</w:t>
      </w:r>
    </w:p>
    <w:p>
      <w:pPr>
        <w:pStyle w:val="TextBody"/>
        <w:bidi w:val="0"/>
        <w:spacing w:before="240" w:after="283"/>
        <w:jc w:val="both"/>
        <w:rPr/>
      </w:pPr>
      <w:r>
        <w:rPr>
          <w:rFonts w:ascii="Times New Roman" w:hAnsi="Times New Roman"/>
          <w:b w:val="false"/>
          <w:color w:val="000000"/>
          <w:sz w:val="24"/>
          <w:u w:val="single"/>
        </w:rPr>
        <w:t>Additional Terms of Initial Awards and Annual Awards</w:t>
      </w:r>
      <w:r>
        <w:rPr>
          <w:rFonts w:ascii="Times New Roman" w:hAnsi="Times New Roman"/>
          <w:b w:val="false"/>
          <w:color w:val="000000"/>
          <w:sz w:val="24"/>
        </w:rPr>
        <w:t>. The terms and conditions of each Initial Award and Annual Award will be as follows.</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3.4.1</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The term of each Initial Award and Annual Award will be ten (10) years, subject to earlier termination as provided in the Plan.</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3.4.2</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The per Share exercise price of each Initial Award and Annual Award will be equal to one hundred percent (100%) of the Fair Market Value per Share on such Award’s grant date.</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3.4.3</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Each Initial Award and Annual Award will be granted under and subject to the terms and conditions of the Plan and the applicable form of Award Agreement previously approved by the Board or its Committee, as applicable, for use thereunder.</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3.4.4</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 xml:space="preserve">The Board or its Committee, as applicable and in its discretion, may change and otherwise revise the terms of Initial Awards and Annual Awards granted pursuant to this Policy, including without limitation the number of Shares subject thereto and type of Award.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240" w:after="283"/>
        <w:jc w:val="both"/>
        <w:rPr/>
      </w:pPr>
      <w:r>
        <w:rPr>
          <w:rFonts w:ascii="Times New Roman" w:hAnsi="Times New Roman"/>
          <w:b w:val="false"/>
          <w:color w:val="000000"/>
          <w:sz w:val="24"/>
          <w:u w:val="single"/>
        </w:rPr>
        <w:t>Change in Control</w:t>
      </w:r>
      <w:r>
        <w:rPr>
          <w:rFonts w:ascii="Times New Roman" w:hAnsi="Times New Roman"/>
          <w:b w:val="false"/>
          <w:color w:val="000000"/>
          <w:sz w:val="24"/>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240" w:after="283"/>
        <w:jc w:val="both"/>
        <w:rPr/>
      </w:pPr>
      <w:r>
        <w:rPr>
          <w:rFonts w:ascii="Times New Roman" w:hAnsi="Times New Roman"/>
          <w:b w:val="false"/>
          <w:color w:val="000000"/>
          <w:sz w:val="24"/>
          <w:u w:val="single"/>
        </w:rPr>
        <w:t>Annual Compensation Limit</w:t>
      </w:r>
      <w:r>
        <w:rPr>
          <w:rFonts w:ascii="Times New Roman" w:hAnsi="Times New Roman"/>
          <w:b w:val="false"/>
          <w:color w:val="000000"/>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spacing w:before="240" w:after="283"/>
        <w:jc w:val="both"/>
        <w:rPr/>
      </w:pPr>
      <w:r>
        <w:rPr>
          <w:rFonts w:ascii="Times New Roman" w:hAnsi="Times New Roman"/>
          <w:b w:val="false"/>
          <w:color w:val="000000"/>
          <w:sz w:val="24"/>
          <w:u w:val="single"/>
        </w:rPr>
        <w:t>Travel Expenses</w:t>
      </w:r>
      <w:r>
        <w:rPr>
          <w:rFonts w:ascii="Times New Roman" w:hAnsi="Times New Roman"/>
          <w:b w:val="false"/>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spacing w:before="240" w:after="283"/>
        <w:jc w:val="both"/>
        <w:rPr/>
      </w:pPr>
      <w:r>
        <w:rPr>
          <w:rFonts w:ascii="Times New Roman" w:hAnsi="Times New Roman"/>
          <w:b w:val="false"/>
          <w:color w:val="000000"/>
          <w:sz w:val="24"/>
          <w:u w:val="single"/>
        </w:rPr>
        <w:t>Adjustments</w:t>
      </w:r>
      <w:r>
        <w:rPr>
          <w:rFonts w:ascii="Times New Roman" w:hAnsi="Times New Roman"/>
          <w:b w:val="false"/>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8.</w:t>
      </w:r>
    </w:p>
    <w:p>
      <w:pPr>
        <w:pStyle w:val="TextBody"/>
        <w:bidi w:val="0"/>
        <w:spacing w:before="240" w:after="283"/>
        <w:jc w:val="both"/>
        <w:rPr/>
      </w:pPr>
      <w:r>
        <w:rPr>
          <w:rFonts w:ascii="Times New Roman" w:hAnsi="Times New Roman"/>
          <w:b w:val="false"/>
          <w:color w:val="000000"/>
          <w:sz w:val="24"/>
          <w:u w:val="single"/>
        </w:rPr>
        <w:t>Section 409A</w:t>
      </w:r>
      <w:r>
        <w:rPr>
          <w:rFonts w:ascii="Times New Roman" w:hAnsi="Times New Roman"/>
          <w:b w:val="false"/>
          <w:color w:val="000000"/>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9.</w:t>
      </w:r>
    </w:p>
    <w:p>
      <w:pPr>
        <w:pStyle w:val="TextBody"/>
        <w:bidi w:val="0"/>
        <w:spacing w:before="240" w:after="283"/>
        <w:jc w:val="both"/>
        <w:rPr/>
      </w:pPr>
      <w:r>
        <w:rPr>
          <w:rFonts w:ascii="Times New Roman" w:hAnsi="Times New Roman"/>
          <w:b w:val="false"/>
          <w:color w:val="000000"/>
          <w:sz w:val="24"/>
          <w:u w:val="single"/>
        </w:rPr>
        <w:t>Stockholder Approval</w:t>
      </w:r>
      <w:r>
        <w:rPr>
          <w:rFonts w:ascii="Times New Roman" w:hAnsi="Times New Roman"/>
          <w:b w:val="false"/>
          <w:color w:val="000000"/>
          <w:sz w:val="24"/>
        </w:rPr>
        <w:t>. The initial adoption of this Policy was approved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b w:val="false"/>
          <w:color w:val="000000"/>
          <w:sz w:val="24"/>
        </w:rPr>
      </w:pPr>
      <w:r>
        <w:rPr>
          <w:rFonts w:ascii="Times New Roman" w:hAnsi="Times New Roman"/>
          <w:b w:val="false"/>
          <w:color w:val="000000"/>
          <w:sz w:val="24"/>
        </w:rPr>
        <w:t>10.</w:t>
      </w:r>
    </w:p>
    <w:p>
      <w:pPr>
        <w:pStyle w:val="TextBody"/>
        <w:bidi w:val="0"/>
        <w:spacing w:before="240" w:after="283"/>
        <w:jc w:val="both"/>
        <w:rPr/>
      </w:pPr>
      <w:r>
        <w:rPr>
          <w:rFonts w:ascii="Times New Roman" w:hAnsi="Times New Roman"/>
          <w:b w:val="false"/>
          <w:color w:val="000000"/>
          <w:sz w:val="24"/>
          <w:u w:val="single"/>
        </w:rPr>
        <w:t>Revisions</w:t>
      </w:r>
      <w:r>
        <w:rPr>
          <w:rFonts w:ascii="Times New Roman" w:hAnsi="Times New Roman"/>
          <w:b w:val="false"/>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hAnsi="Times New Roman"/>
          <w:b w:val="false"/>
          <w:color w:val="000000"/>
          <w:sz w:val="24"/>
          <w:u w:val="single"/>
        </w:rPr>
        <w:t>Committee</w:t>
      </w:r>
      <w:r>
        <w:rPr>
          <w:color w:val="000000"/>
        </w:rPr>
        <w:t>”</w:t>
      </w:r>
      <w:r>
        <w:rPr>
          <w:rFonts w:ascii="Times New Roman" w:hAnsi="Times New Roman"/>
          <w:b w:val="false"/>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240" w:after="283"/>
        <w:jc w:val="center"/>
        <w:rPr>
          <w:rFonts w:ascii="Times New Roman" w:hAnsi="Times New Roman"/>
          <w:b w:val="false"/>
          <w:color w:val="000000"/>
          <w:sz w:val="24"/>
        </w:rPr>
      </w:pPr>
      <w:r>
        <w:rPr>
          <w:rFonts w:ascii="Times New Roman" w:hAnsi="Times New Roman"/>
          <w:b w:val="false"/>
          <w:color w:val="000000"/>
          <w:sz w:val="24"/>
        </w:rPr>
        <w:t>* * *</w:t>
      </w:r>
    </w:p>
    <w:p>
      <w:pPr>
        <w:pStyle w:val="TextBody"/>
        <w:bidi w:val="0"/>
        <w:jc w:val="both"/>
        <w:rPr/>
      </w:pPr>
      <w:r>
        <w:rPr/>
        <w:t>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nya-ex31_1.htm"/>
      <w:bookmarkStart w:id="24" w:name="kstnya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I, Faraz Ali, M.B.A., certify that: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Date: November 8, 2023</w:t>
      </w:r>
    </w:p>
    <w:tbl>
      <w:tblPr>
        <w:tblW w:w="6313" w:type="dxa"/>
        <w:jc w:val="left"/>
        <w:tblInd w:w="0" w:type="dxa"/>
        <w:tblLayout w:type="fixed"/>
        <w:tblCellMar>
          <w:top w:w="28" w:type="dxa"/>
          <w:left w:w="28" w:type="dxa"/>
          <w:bottom w:w="28" w:type="dxa"/>
          <w:right w:w="28" w:type="dxa"/>
        </w:tblCellMar>
      </w:tblPr>
      <w:tblGrid>
        <w:gridCol w:w="161"/>
        <w:gridCol w:w="631"/>
        <w:gridCol w:w="552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552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Name:</w:t>
            </w:r>
          </w:p>
        </w:tc>
        <w:tc>
          <w:tcPr>
            <w:tcW w:w="55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Chief Executive Officer and Director </w:t>
            </w:r>
            <w:r>
              <w:rPr>
                <w:rFonts w:ascii="Times New Roman" w:hAnsi="Times New Roman"/>
                <w:b w:val="false"/>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nya-ex31_2.htm"/>
      <w:bookmarkStart w:id="26" w:name="kstnya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 Leone D. Patterson, M.B.A., certify that: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Date: November 8, 2023</w:t>
      </w:r>
    </w:p>
    <w:tbl>
      <w:tblPr>
        <w:tblW w:w="4663" w:type="dxa"/>
        <w:jc w:val="left"/>
        <w:tblInd w:w="0" w:type="dxa"/>
        <w:tblLayout w:type="fixed"/>
        <w:tblCellMar>
          <w:top w:w="28" w:type="dxa"/>
          <w:left w:w="28" w:type="dxa"/>
          <w:bottom w:w="28" w:type="dxa"/>
          <w:right w:w="28" w:type="dxa"/>
        </w:tblCellMar>
      </w:tblPr>
      <w:tblGrid>
        <w:gridCol w:w="161"/>
        <w:gridCol w:w="631"/>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Name:</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b w:val="false"/>
                <w:color w:val="000000"/>
                <w:sz w:val="20"/>
              </w:rPr>
            </w:pPr>
            <w:r>
              <w:rPr>
                <w:rFonts w:ascii="Times New Roman" w:hAnsi="Times New Roman"/>
                <w:b w:val="false"/>
                <w:color w:val="000000"/>
                <w:sz w:val="20"/>
              </w:rPr>
              <w:t>Chief Financial and Business Officer</w:t>
            </w:r>
          </w:p>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tnya-ex32_1.htm"/>
      <w:bookmarkStart w:id="28" w:name="kstnya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jc w:val="center"/>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I, Faraz Ali, M.B.A., certify, pursuant to 18 U.S.C. Section 1350 as adopted pursuant to Section 906 of the Sarbanes-Oxley Act of 2002, that, (1) the Quarterly Report on Form 10-Q of Tenaya Therapeutics, Inc. (the “Company”) for the quarterly period ended September 30,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left"/>
        <w:rPr/>
      </w:pPr>
      <w:r>
        <w:rPr/>
        <w:t> </w:t>
      </w:r>
    </w:p>
    <w:tbl>
      <w:tblPr>
        <w:tblW w:w="3428" w:type="dxa"/>
        <w:jc w:val="left"/>
        <w:tblInd w:w="0" w:type="dxa"/>
        <w:tblLayout w:type="fixed"/>
        <w:tblCellMar>
          <w:top w:w="28" w:type="dxa"/>
          <w:left w:w="28" w:type="dxa"/>
          <w:bottom w:w="28" w:type="dxa"/>
          <w:right w:w="28" w:type="dxa"/>
        </w:tblCellMar>
      </w:tblPr>
      <w:tblGrid>
        <w:gridCol w:w="161"/>
        <w:gridCol w:w="146"/>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Faraz Ali,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Faraz Ali,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jc w:val="both"/>
              <w:rPr>
                <w:rFonts w:ascii="Times New Roman" w:hAnsi="Times New Roman"/>
                <w:b w:val="false"/>
                <w:color w:val="000000"/>
                <w:sz w:val="20"/>
              </w:rPr>
            </w:pPr>
            <w:r>
              <w:rPr>
                <w:rFonts w:ascii="Times New Roman" w:hAnsi="Times New Roman"/>
                <w:b w:val="false"/>
                <w:color w:val="000000"/>
                <w:sz w:val="20"/>
              </w:rPr>
              <w:t>Chief Executive Officer and Director</w:t>
            </w:r>
          </w:p>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Executive Officer)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r>
    </w:tbl>
    <w:p>
      <w:pPr>
        <w:pStyle w:val="TextBody"/>
        <w:bidi w:val="0"/>
        <w:jc w:val="left"/>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I, Leone D. Patterson, M.B.A., certify, pursuant to 18 U.S.C. Section 1350 as adopted pursuant to Section 906 of the Sarbanes-Oxley Act of 2002, that, (1) the Quarterly Report on Form 10-Q of Tenaya Therapeutics, Inc. (the “Company”) for the quarterly period ended September 30,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both"/>
        <w:rPr/>
      </w:pPr>
      <w:r>
        <w:rPr/>
        <w:t> </w:t>
      </w:r>
    </w:p>
    <w:tbl>
      <w:tblPr>
        <w:tblW w:w="4178" w:type="dxa"/>
        <w:jc w:val="left"/>
        <w:tblInd w:w="0" w:type="dxa"/>
        <w:tblLayout w:type="fixed"/>
        <w:tblCellMar>
          <w:top w:w="28" w:type="dxa"/>
          <w:left w:w="28" w:type="dxa"/>
          <w:bottom w:w="28" w:type="dxa"/>
          <w:right w:w="28" w:type="dxa"/>
        </w:tblCellMar>
      </w:tblPr>
      <w:tblGrid>
        <w:gridCol w:w="161"/>
        <w:gridCol w:w="146"/>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Leone D. Patterson,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Leone D. Patterson,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jc w:val="both"/>
              <w:rPr>
                <w:rFonts w:ascii="Times New Roman" w:hAnsi="Times New Roman"/>
                <w:b w:val="false"/>
                <w:color w:val="000000"/>
                <w:sz w:val="20"/>
              </w:rPr>
            </w:pPr>
            <w:r>
              <w:rPr>
                <w:rFonts w:ascii="Times New Roman" w:hAnsi="Times New Roman"/>
                <w:b w:val="false"/>
                <w:color w:val="000000"/>
                <w:sz w:val="20"/>
              </w:rPr>
              <w:t>Chief Financial and Business Officer</w:t>
            </w:r>
          </w:p>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095017023040651/tnya-ex3_1.htm" TargetMode="External"/><Relationship Id="rId3" Type="http://schemas.openxmlformats.org/officeDocument/2006/relationships/hyperlink" Target="https://www.sec.gov/Archives/edgar/data/1858848/000095017023008934/tnya-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57261</Words>
  <Characters>322166</Characters>
  <CharactersWithSpaces>379639</CharactersWithSpaces>
  <Paragraphs>5627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