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COLUMN GROUP 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Tenaya Therapeutics, Inc.</w:t>
              </w:r>
            </w:hyperlink>
            <w:r>
              <w:rPr/>
              <w:t xml:space="preserve"> [ </w:t>
            </w:r>
            <w:r>
              <w:rPr>
                <w:rFonts w:ascii="Times;serif" w:hAnsi="Times;serif"/>
                <w:color w:val="0000FF"/>
                <w:sz w:val="24"/>
                <w:shd w:fill="FFFFFF" w:val="clear"/>
              </w:rPr>
              <w:t>TNYA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3"/>
        <w:gridCol w:w="898"/>
        <w:gridCol w:w="771"/>
        <w:gridCol w:w="596"/>
        <w:gridCol w:w="334"/>
        <w:gridCol w:w="987"/>
        <w:gridCol w:w="416"/>
        <w:gridCol w:w="874"/>
        <w:gridCol w:w="1321"/>
        <w:gridCol w:w="948"/>
        <w:gridCol w:w="10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245,965</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0.6149</w:t>
            </w:r>
            <w:r>
              <w:rPr>
                <w:rFonts w:ascii="Times;serif" w:hAnsi="Times;serif"/>
                <w:color w:val="008000"/>
                <w:position w:val="7"/>
                <w:sz w:val="16"/>
                <w:sz w:val="20"/>
                <w:shd w:fill="FFFFFF" w:val="clear"/>
              </w:rPr>
              <w:t>(1)</w:t>
            </w:r>
            <w:r>
              <w:rPr/>
              <w:t xml:space="preserve"> </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2,102,218</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277,769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0.6149</w:t>
            </w:r>
            <w:r>
              <w:rPr>
                <w:rFonts w:ascii="Times;serif" w:hAnsi="Times;serif"/>
                <w:color w:val="008000"/>
                <w:position w:val="7"/>
                <w:sz w:val="16"/>
                <w:sz w:val="20"/>
                <w:shd w:fill="FFFFFF" w:val="clear"/>
              </w:rPr>
              <w:t>(1)</w:t>
            </w:r>
            <w:r>
              <w:rPr/>
              <w:t xml:space="preserve"> </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2,374,048</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143,709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0.5972</w:t>
            </w:r>
            <w:r>
              <w:rPr>
                <w:rFonts w:ascii="Times;serif" w:hAnsi="Times;serif"/>
                <w:color w:val="008000"/>
                <w:position w:val="7"/>
                <w:sz w:val="16"/>
                <w:sz w:val="20"/>
                <w:shd w:fill="FFFFFF" w:val="clear"/>
              </w:rPr>
              <w:t>(4)</w:t>
            </w:r>
            <w:r>
              <w:rPr/>
              <w:t xml:space="preserve"> </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1,958,509</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19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162,291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0.5972</w:t>
            </w:r>
            <w:r>
              <w:rPr>
                <w:rFonts w:ascii="Times;serif" w:hAnsi="Times;serif"/>
                <w:color w:val="008000"/>
                <w:position w:val="7"/>
                <w:sz w:val="16"/>
                <w:sz w:val="20"/>
                <w:shd w:fill="FFFFFF" w:val="clear"/>
              </w:rPr>
              <w:t>(4)</w:t>
            </w:r>
            <w:r>
              <w:rPr/>
              <w:t xml:space="preserve"> </w:t>
            </w:r>
          </w:p>
        </w:tc>
        <w:tc>
          <w:tcPr>
            <w:tcW w:w="13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2,211,757</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49,313,559</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COLUMN GROUP 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COLUMN GROUP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COLUMN GROUP III-A,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D, STE,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Column Group Opportunity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Column Group Opportunity III GP,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TCG Opportunity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Kutzkey Tim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Svennilson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D, SUITE DM-900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$0.60 to $0.63,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directly held by The Column Group III, LP ("TCG III LP"). TCG III GP is the general partner of TCG III LP and may be deemed to have voting, investment and dispositive power with respect to these securities. The managing partners of TCG III GP are Peter Svennilson and Tim Kutzkey (together,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$0.573 to $0.6225,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securities are directly held by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the Managing Partners.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Column Group III GP, LP /s/James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Column Group III, LP by The Column Group III GP, LP,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Column Group III-A, LP. by The Column Group III GP, LP, its general partner /s/ James Evangelista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Opportunity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The Column Group Opportunity III GP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TCG Opportunity III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Tim Kutzkey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Evangelista, as Attorney-in-Fact for Peter Svennilson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0965" TargetMode="External"/><Relationship Id="rId5" Type="http://schemas.openxmlformats.org/officeDocument/2006/relationships/hyperlink" Target="http://www.sec.gov/cgi-bin/browse-edgar?action=getcompany&amp;CIK=000185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90965" TargetMode="External"/><Relationship Id="rId9" Type="http://schemas.openxmlformats.org/officeDocument/2006/relationships/hyperlink" Target="http://www.sec.gov/cgi-bin/browse-edgar?action=getcompany&amp;CIK=0001668159" TargetMode="External"/><Relationship Id="rId10" Type="http://schemas.openxmlformats.org/officeDocument/2006/relationships/hyperlink" Target="http://www.sec.gov/cgi-bin/browse-edgar?action=getcompany&amp;CIK=0001668085" TargetMode="External"/><Relationship Id="rId11" Type="http://schemas.openxmlformats.org/officeDocument/2006/relationships/hyperlink" Target="http://www.sec.gov/cgi-bin/browse-edgar?action=getcompany&amp;CIK=0001931825" TargetMode="External"/><Relationship Id="rId12" Type="http://schemas.openxmlformats.org/officeDocument/2006/relationships/hyperlink" Target="http://www.sec.gov/cgi-bin/browse-edgar?action=getcompany&amp;CIK=0001932874" TargetMode="External"/><Relationship Id="rId13" Type="http://schemas.openxmlformats.org/officeDocument/2006/relationships/hyperlink" Target="http://www.sec.gov/cgi-bin/browse-edgar?action=getcompany&amp;CIK=0001932445" TargetMode="External"/><Relationship Id="rId14" Type="http://schemas.openxmlformats.org/officeDocument/2006/relationships/hyperlink" Target="http://www.sec.gov/cgi-bin/browse-edgar?action=getcompany&amp;CIK=0001614186"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1454</Words>
  <Characters>7724</Characters>
  <CharactersWithSpaces>8972</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