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333-266741</w:t>
      </w:r>
    </w:p>
    <w:p>
      <w:pPr>
        <w:spacing w:after="0" w:line="290"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8"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(To prospectus dated August 17, 2022)</w:t>
      </w:r>
    </w:p>
    <w:p>
      <w:pPr>
        <w:spacing w:after="0" w:line="106" w:lineRule="exact"/>
        <w:rPr>
          <w:sz w:val="24"/>
          <w:szCs w:val="24"/>
          <w:color w:val="auto"/>
        </w:rPr>
      </w:pPr>
    </w:p>
    <w:p>
      <w:pPr>
        <w:jc w:val="center"/>
        <w:ind w:left="440" w:right="1020"/>
        <w:spacing w:after="0" w:line="256" w:lineRule="auto"/>
        <w:rPr>
          <w:sz w:val="20"/>
          <w:szCs w:val="20"/>
          <w:color w:val="auto"/>
        </w:rPr>
      </w:pPr>
      <w:r>
        <w:rPr>
          <w:rFonts w:ascii="Times New Roman" w:cs="Times New Roman" w:eastAsia="Times New Roman" w:hAnsi="Times New Roman"/>
          <w:sz w:val="20"/>
          <w:szCs w:val="20"/>
          <w:b w:val="1"/>
          <w:bCs w:val="1"/>
          <w:color w:val="auto"/>
        </w:rPr>
        <w:t>75,000,000 UNITS CONSISTING OF ONE SHARE OF COMMON STOCK, ONE SERIES A WARRANT TO PURCHASE COMMON STOCK AND ONE SERIES B WARRANT TO PURCHASE COMMON STOCK</w:t>
      </w:r>
    </w:p>
    <w:p>
      <w:pPr>
        <w:spacing w:after="0" w:line="61" w:lineRule="exact"/>
        <w:rPr>
          <w:sz w:val="24"/>
          <w:szCs w:val="24"/>
          <w:color w:val="auto"/>
        </w:rPr>
      </w:pPr>
    </w:p>
    <w:p>
      <w:pPr>
        <w:jc w:val="center"/>
        <w:ind w:left="440" w:right="1040"/>
        <w:spacing w:after="0" w:line="273" w:lineRule="auto"/>
        <w:rPr>
          <w:sz w:val="20"/>
          <w:szCs w:val="20"/>
          <w:color w:val="auto"/>
        </w:rPr>
      </w:pPr>
      <w:r>
        <w:rPr>
          <w:rFonts w:ascii="Times New Roman" w:cs="Times New Roman" w:eastAsia="Times New Roman" w:hAnsi="Times New Roman"/>
          <w:sz w:val="20"/>
          <w:szCs w:val="20"/>
          <w:b w:val="1"/>
          <w:bCs w:val="1"/>
          <w:color w:val="auto"/>
        </w:rPr>
        <w:t>SHARES OF COMMON STOCK ISSUABLE UPON THE EXERCISE OF THE SERIES A WARRANTS AND SERIES B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130810</wp:posOffset>
            </wp:positionV>
            <wp:extent cx="138874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874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980" w:right="880" w:firstLine="371"/>
        <w:spacing w:after="0" w:line="235" w:lineRule="auto"/>
        <w:rPr>
          <w:sz w:val="20"/>
          <w:szCs w:val="20"/>
          <w:color w:val="auto"/>
        </w:rPr>
      </w:pPr>
      <w:r>
        <w:rPr>
          <w:rFonts w:ascii="Times New Roman" w:cs="Times New Roman" w:eastAsia="Times New Roman" w:hAnsi="Times New Roman"/>
          <w:sz w:val="15"/>
          <w:szCs w:val="15"/>
          <w:color w:val="auto"/>
        </w:rPr>
        <w:t>We are offering 75,000,000 units (collectively, the units) in a firm commitment underwritten public offering. Each unit consists of (i) one share of our common stock, (ii) a warrant to purchase one share of our common stock (which equates to 100% warrant coverage) at an exercise price of $0.80 per share, which will be immediately exercisable and will expire five years from the date of issuance (a Series A Warrant) and (iii) a warrant to purchase one-half of a share of our common stock (which equates to 50% warrant coverage) at an exercise price of $0.70 per share, which will be immediately exercisable and expire on June 30, 2026 (a Series B Warrant).</w:t>
      </w:r>
    </w:p>
    <w:p>
      <w:pPr>
        <w:spacing w:after="0" w:line="74" w:lineRule="exact"/>
        <w:rPr>
          <w:sz w:val="24"/>
          <w:szCs w:val="24"/>
          <w:color w:val="auto"/>
        </w:rPr>
      </w:pPr>
    </w:p>
    <w:p>
      <w:pPr>
        <w:ind w:left="980" w:right="1140" w:firstLine="371"/>
        <w:spacing w:after="0" w:line="261" w:lineRule="auto"/>
        <w:rPr>
          <w:sz w:val="20"/>
          <w:szCs w:val="20"/>
          <w:color w:val="auto"/>
        </w:rPr>
      </w:pPr>
      <w:r>
        <w:rPr>
          <w:rFonts w:ascii="Times New Roman" w:cs="Times New Roman" w:eastAsia="Times New Roman" w:hAnsi="Times New Roman"/>
          <w:sz w:val="15"/>
          <w:szCs w:val="15"/>
          <w:color w:val="auto"/>
        </w:rPr>
        <w:t>The shares of common stock and the accompanying warrants can only be purchased together in this offering but will be issued separately and will be immediately separable upon issuance.</w:t>
      </w:r>
    </w:p>
    <w:p>
      <w:pPr>
        <w:spacing w:after="0" w:line="57" w:lineRule="exact"/>
        <w:rPr>
          <w:sz w:val="24"/>
          <w:szCs w:val="24"/>
          <w:color w:val="auto"/>
        </w:rPr>
      </w:pPr>
    </w:p>
    <w:p>
      <w:pPr>
        <w:ind w:left="980" w:right="1040" w:firstLine="371"/>
        <w:spacing w:after="0" w:line="261" w:lineRule="auto"/>
        <w:rPr>
          <w:sz w:val="20"/>
          <w:szCs w:val="20"/>
          <w:color w:val="auto"/>
        </w:rPr>
      </w:pPr>
      <w:r>
        <w:rPr>
          <w:rFonts w:ascii="Times New Roman" w:cs="Times New Roman" w:eastAsia="Times New Roman" w:hAnsi="Times New Roman"/>
          <w:sz w:val="15"/>
          <w:szCs w:val="15"/>
          <w:color w:val="auto"/>
        </w:rPr>
        <w:t>This prospectus supplement also relates to the offering of the shares of our common stock issuable upon the exercise of such Series A Warrants and Series B Warrants.</w:t>
      </w:r>
    </w:p>
    <w:p>
      <w:pPr>
        <w:spacing w:after="0" w:line="57" w:lineRule="exact"/>
        <w:rPr>
          <w:sz w:val="24"/>
          <w:szCs w:val="24"/>
          <w:color w:val="auto"/>
        </w:rPr>
      </w:pPr>
    </w:p>
    <w:p>
      <w:pPr>
        <w:ind w:left="980" w:right="960" w:firstLine="371"/>
        <w:spacing w:after="0" w:line="235" w:lineRule="auto"/>
        <w:rPr>
          <w:sz w:val="20"/>
          <w:szCs w:val="20"/>
          <w:color w:val="auto"/>
        </w:rPr>
      </w:pPr>
      <w:r>
        <w:rPr>
          <w:rFonts w:ascii="Times New Roman" w:cs="Times New Roman" w:eastAsia="Times New Roman" w:hAnsi="Times New Roman"/>
          <w:sz w:val="15"/>
          <w:szCs w:val="15"/>
          <w:color w:val="auto"/>
        </w:rPr>
        <w:t>Certain existing stockholders, including stockholders affiliated with certain of our directors, are participating in this offering and have expressed an interest in purchasing an aggregate of $25,000,000 of our units on the same terms as other investors in this offering. However, because these indications of interest are not binding agreements or commitments to purchase, the underwriters may determine to sell more, less or no units in this offering to any or all of these potential purchasers, or any or all of these potential purchasers may determine to purchase more, less or no units in this offering. See the section titled “Underwriting” for more information regarding these arrangements.</w:t>
      </w:r>
    </w:p>
    <w:p>
      <w:pPr>
        <w:spacing w:after="0" w:line="74"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5"/>
          <w:szCs w:val="15"/>
          <w:color w:val="auto"/>
        </w:rPr>
        <w:t>Our common stock is listed on the Nasdaq Global Select Market under the symbol “TNYA.”</w:t>
      </w:r>
    </w:p>
    <w:p>
      <w:pPr>
        <w:spacing w:after="0" w:line="98" w:lineRule="exact"/>
        <w:rPr>
          <w:sz w:val="24"/>
          <w:szCs w:val="24"/>
          <w:color w:val="auto"/>
        </w:rPr>
      </w:pPr>
    </w:p>
    <w:p>
      <w:pPr>
        <w:ind w:left="980" w:right="960" w:firstLine="371"/>
        <w:spacing w:after="0" w:line="243" w:lineRule="auto"/>
        <w:rPr>
          <w:sz w:val="20"/>
          <w:szCs w:val="20"/>
          <w:color w:val="auto"/>
        </w:rPr>
      </w:pPr>
      <w:r>
        <w:rPr>
          <w:rFonts w:ascii="Times New Roman" w:cs="Times New Roman" w:eastAsia="Times New Roman" w:hAnsi="Times New Roman"/>
          <w:sz w:val="15"/>
          <w:szCs w:val="15"/>
          <w:color w:val="auto"/>
        </w:rPr>
        <w:t>On March 3, 2025, the last reported sale price of our common stock was $0.9469 per share. There is no established public trading market for the Series A Warrants or the Series B Warrants, and we do not expect a market to develop. We do not intend to list the Series A Warrants or the Series B Warrants on the Nasdaq Global Select Market, any other national securities exchange or any other recognized trading system.</w:t>
      </w:r>
    </w:p>
    <w:p>
      <w:pPr>
        <w:spacing w:after="0" w:line="70" w:lineRule="exact"/>
        <w:rPr>
          <w:sz w:val="24"/>
          <w:szCs w:val="24"/>
          <w:color w:val="auto"/>
        </w:rPr>
      </w:pPr>
    </w:p>
    <w:p>
      <w:pPr>
        <w:ind w:left="980" w:right="920" w:firstLine="371"/>
        <w:spacing w:after="0" w:line="243" w:lineRule="auto"/>
        <w:rPr>
          <w:sz w:val="20"/>
          <w:szCs w:val="20"/>
          <w:color w:val="auto"/>
        </w:rPr>
      </w:pPr>
      <w:r>
        <w:rPr>
          <w:rFonts w:ascii="Times New Roman" w:cs="Times New Roman" w:eastAsia="Times New Roman" w:hAnsi="Times New Roman"/>
          <w:sz w:val="15"/>
          <w:szCs w:val="15"/>
          <w:color w:val="auto"/>
        </w:rPr>
        <w:t>We are an “emerging growth company” and a “smaller reporting company” as defined under U.S. federal securities laws and as such, we have elected to comply with certain reduced public company reporting requirements for this prospectus supplement and may elect to do so for future filings. See “Prospectus Supplement Summary—Implications of Being an Emerging Growth Company and a Smaller Reporting Company.”</w:t>
      </w:r>
    </w:p>
    <w:p>
      <w:pPr>
        <w:spacing w:after="0" w:line="10" w:lineRule="exact"/>
        <w:rPr>
          <w:sz w:val="24"/>
          <w:szCs w:val="24"/>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price</w:t>
            </w:r>
          </w:p>
        </w:tc>
        <w:tc>
          <w:tcPr>
            <w:tcW w:w="1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$0.700</w:t>
            </w:r>
          </w:p>
        </w:tc>
        <w:tc>
          <w:tcPr>
            <w:tcW w:w="5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52,500,000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Underwriting discounts and commissions (1)</w:t>
            </w:r>
          </w:p>
        </w:tc>
        <w:tc>
          <w:tcPr>
            <w:tcW w:w="1660" w:type="dxa"/>
            <w:vAlign w:val="bottom"/>
            <w:gridSpan w:val="2"/>
          </w:tcPr>
          <w:p>
            <w:pPr>
              <w:jc w:val="center"/>
              <w:ind w:left="1099"/>
              <w:spacing w:after="0"/>
              <w:rPr>
                <w:sz w:val="20"/>
                <w:szCs w:val="20"/>
                <w:color w:val="auto"/>
              </w:rPr>
            </w:pPr>
            <w:r>
              <w:rPr>
                <w:rFonts w:ascii="Times New Roman" w:cs="Times New Roman" w:eastAsia="Times New Roman" w:hAnsi="Times New Roman"/>
                <w:sz w:val="16"/>
                <w:szCs w:val="16"/>
                <w:color w:val="auto"/>
                <w:w w:val="99"/>
              </w:rPr>
              <w:t>$0.042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to Tenaya Therapeutics, Inc., before expenses</w:t>
            </w:r>
          </w:p>
        </w:tc>
        <w:tc>
          <w:tcPr>
            <w:tcW w:w="1660" w:type="dxa"/>
            <w:vAlign w:val="bottom"/>
            <w:gridSpan w:val="2"/>
            <w:shd w:val="clear" w:color="auto" w:fill="CCEEFF"/>
          </w:tcPr>
          <w:p>
            <w:pPr>
              <w:jc w:val="center"/>
              <w:ind w:left="1099"/>
              <w:spacing w:after="0"/>
              <w:rPr>
                <w:sz w:val="20"/>
                <w:szCs w:val="20"/>
                <w:color w:val="auto"/>
              </w:rPr>
            </w:pPr>
            <w:r>
              <w:rPr>
                <w:rFonts w:ascii="Times New Roman" w:cs="Times New Roman" w:eastAsia="Times New Roman" w:hAnsi="Times New Roman"/>
                <w:sz w:val="16"/>
                <w:szCs w:val="16"/>
                <w:color w:val="auto"/>
                <w:w w:val="99"/>
              </w:rPr>
              <w:t>$0.658</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49,350,000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1340" w:hanging="360"/>
        <w:spacing w:after="0"/>
        <w:tabs>
          <w:tab w:leader="none" w:pos="1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“Underwriting” for a description of the compensation payable to the underwriters.</w:t>
      </w:r>
    </w:p>
    <w:p>
      <w:pPr>
        <w:spacing w:after="0" w:line="125" w:lineRule="exact"/>
        <w:rPr>
          <w:sz w:val="24"/>
          <w:szCs w:val="24"/>
          <w:color w:val="auto"/>
        </w:rPr>
      </w:pPr>
    </w:p>
    <w:p>
      <w:pPr>
        <w:ind w:left="980" w:right="900" w:firstLine="371"/>
        <w:spacing w:after="0" w:line="276" w:lineRule="auto"/>
        <w:rPr>
          <w:sz w:val="20"/>
          <w:szCs w:val="20"/>
          <w:color w:val="auto"/>
        </w:rPr>
      </w:pPr>
      <w:r>
        <w:rPr>
          <w:rFonts w:ascii="Times New Roman" w:cs="Times New Roman" w:eastAsia="Times New Roman" w:hAnsi="Times New Roman"/>
          <w:sz w:val="16"/>
          <w:szCs w:val="16"/>
          <w:b w:val="1"/>
          <w:bCs w:val="1"/>
          <w:color w:val="auto"/>
        </w:rPr>
        <w:t>INVESTING IN OUR SECURITIES INVOLVES SIGNIFICANT RISKS. YOU SHOULD REVIEW CAREFULLY THE “</w:t>
      </w:r>
      <w:r>
        <w:rPr>
          <w:rFonts w:ascii="Times New Roman" w:cs="Times New Roman" w:eastAsia="Times New Roman" w:hAnsi="Times New Roman"/>
          <w:sz w:val="16"/>
          <w:szCs w:val="16"/>
          <w:b w:val="1"/>
          <w:bCs w:val="1"/>
          <w:u w:val="single" w:color="auto"/>
          <w:color w:val="0000EE"/>
        </w:rPr>
        <w:t>RISK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0000EE"/>
        </w:rPr>
        <w:t>FACTORS</w:t>
      </w:r>
      <w:r>
        <w:rPr>
          <w:rFonts w:ascii="Times New Roman" w:cs="Times New Roman" w:eastAsia="Times New Roman" w:hAnsi="Times New Roman"/>
          <w:sz w:val="16"/>
          <w:szCs w:val="16"/>
          <w:b w:val="1"/>
          <w:bCs w:val="1"/>
          <w:color w:val="000000"/>
        </w:rPr>
        <w:t>” ON PAGE S-14 OF THIS PROSPECTUS SUPPLEMENT AND IN THE DOCUMENTS INCORPORATED BY</w:t>
      </w:r>
      <w:r>
        <w:rPr>
          <w:rFonts w:ascii="Times New Roman" w:cs="Times New Roman" w:eastAsia="Times New Roman" w:hAnsi="Times New Roman"/>
          <w:sz w:val="16"/>
          <w:szCs w:val="16"/>
          <w:b w:val="1"/>
          <w:bCs w:val="1"/>
          <w:color w:val="0000EE"/>
        </w:rPr>
        <w:t xml:space="preserve"> </w:t>
      </w:r>
      <w:r>
        <w:rPr>
          <w:rFonts w:ascii="Times New Roman" w:cs="Times New Roman" w:eastAsia="Times New Roman" w:hAnsi="Times New Roman"/>
          <w:sz w:val="16"/>
          <w:szCs w:val="16"/>
          <w:b w:val="1"/>
          <w:bCs w:val="1"/>
          <w:color w:val="000000"/>
        </w:rPr>
        <w:t>REFERENCE IN THIS PROSPECTUS SUPPLEMENT AND ACCOMPANYING PROSPECTUS BEFORE INVESTING IN OUR SECURITIES.</w:t>
      </w:r>
    </w:p>
    <w:p>
      <w:pPr>
        <w:spacing w:after="0" w:line="66" w:lineRule="exact"/>
        <w:rPr>
          <w:sz w:val="24"/>
          <w:szCs w:val="24"/>
          <w:color w:val="auto"/>
        </w:rPr>
      </w:pPr>
    </w:p>
    <w:p>
      <w:pPr>
        <w:jc w:val="both"/>
        <w:ind w:left="980" w:right="920" w:firstLine="371"/>
        <w:spacing w:after="0" w:line="246"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68"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5"/>
          <w:szCs w:val="15"/>
          <w:color w:val="auto"/>
        </w:rPr>
        <w:t>The underwriters expect to deliver the shares of common stock, Series A Warrants and Series B Warrants to purchasers on or about March 5,</w:t>
      </w:r>
    </w:p>
    <w:p>
      <w:pPr>
        <w:spacing w:after="0" w:line="6"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5"/>
          <w:szCs w:val="15"/>
          <w:color w:val="auto"/>
        </w:rPr>
        <w:t>2025.</w:t>
      </w:r>
    </w:p>
    <w:p>
      <w:pPr>
        <w:spacing w:after="0" w:line="82" w:lineRule="exact"/>
        <w:rPr>
          <w:sz w:val="24"/>
          <w:szCs w:val="24"/>
          <w:color w:val="auto"/>
        </w:rPr>
      </w:pPr>
    </w:p>
    <w:p>
      <w:pPr>
        <w:jc w:val="both"/>
        <w:ind w:left="980" w:right="920" w:firstLine="371"/>
        <w:spacing w:after="0" w:line="261" w:lineRule="auto"/>
        <w:rPr>
          <w:sz w:val="20"/>
          <w:szCs w:val="20"/>
          <w:color w:val="auto"/>
        </w:rPr>
      </w:pPr>
      <w:r>
        <w:rPr>
          <w:rFonts w:ascii="Times New Roman" w:cs="Times New Roman" w:eastAsia="Times New Roman" w:hAnsi="Times New Roman"/>
          <w:sz w:val="15"/>
          <w:szCs w:val="15"/>
          <w:color w:val="auto"/>
        </w:rPr>
        <w:t>The shares of common stock included in the units will be delivered through the facilities of The Depository Trust Company (DTC). The Series A Warrants and Series B Warrants included in the units will be delivered to purchasers in certificated form.</w:t>
      </w:r>
    </w:p>
    <w:p>
      <w:pPr>
        <w:sectPr>
          <w:pgSz w:w="11900" w:h="16838" w:orient="portrait"/>
          <w:cols w:equalWidth="0" w:num="1">
            <w:col w:w="11140"/>
          </w:cols>
          <w:pgMar w:left="320" w:top="225" w:right="439" w:bottom="1440" w:gutter="0" w:footer="0" w:header="0"/>
        </w:sectPr>
      </w:pPr>
    </w:p>
    <w:p>
      <w:pPr>
        <w:spacing w:after="0" w:line="5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25"/>
          <w:szCs w:val="25"/>
          <w:b w:val="1"/>
          <w:bCs w:val="1"/>
          <w:color w:val="auto"/>
        </w:rPr>
        <w:t>Leerink Partners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Piper Sandler</w:t>
      </w:r>
    </w:p>
    <w:p>
      <w:pPr>
        <w:spacing w:after="0" w:line="125" w:lineRule="exact"/>
        <w:rPr>
          <w:sz w:val="24"/>
          <w:szCs w:val="24"/>
          <w:color w:val="auto"/>
        </w:rPr>
      </w:pPr>
    </w:p>
    <w:p>
      <w:pPr>
        <w:sectPr>
          <w:pgSz w:w="11900" w:h="16838" w:orient="portrait"/>
          <w:cols w:equalWidth="0" w:num="2">
            <w:col w:w="8060" w:space="720"/>
            <w:col w:w="2360"/>
          </w:cols>
          <w:pgMar w:left="320" w:top="225"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The date of this prospectus supplement is March 3, 2025</w:t>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4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7"/>
            <w:vMerge w:val="restart"/>
          </w:tcPr>
          <w:p>
            <w:pPr>
              <w:spacing w:after="0"/>
              <w:rPr>
                <w:sz w:val="15"/>
                <w:szCs w:val="15"/>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16"/>
            <w:vMerge w:val="continue"/>
          </w:tcPr>
          <w:p>
            <w:pPr>
              <w:spacing w:after="0"/>
              <w:rPr>
                <w:sz w:val="14"/>
                <w:szCs w:val="14"/>
                <w:color w:val="auto"/>
              </w:rPr>
            </w:pPr>
          </w:p>
        </w:tc>
        <w:tc>
          <w:tcPr>
            <w:tcW w:w="7120" w:type="dxa"/>
            <w:vAlign w:val="bottom"/>
            <w:gridSpan w:val="7"/>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532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6"/>
        </w:trPr>
        <w:tc>
          <w:tcPr>
            <w:tcW w:w="32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280" w:type="dxa"/>
            <w:vAlign w:val="bottom"/>
            <w:gridSpan w:val="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980" w:type="dxa"/>
            <w:vAlign w:val="bottom"/>
            <w:gridSpan w:val="1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S-24</w:t>
            </w:r>
          </w:p>
        </w:tc>
        <w:tc>
          <w:tcPr>
            <w:tcW w:w="0" w:type="dxa"/>
            <w:vAlign w:val="bottom"/>
          </w:tcPr>
          <w:p>
            <w:pPr>
              <w:spacing w:after="0"/>
              <w:rPr>
                <w:sz w:val="1"/>
                <w:szCs w:val="1"/>
                <w:color w:val="auto"/>
              </w:rPr>
            </w:pPr>
          </w:p>
        </w:tc>
      </w:tr>
      <w:tr>
        <w:trPr>
          <w:trHeight w:val="196"/>
        </w:trPr>
        <w:tc>
          <w:tcPr>
            <w:tcW w:w="474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582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1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r>
        <w:trPr>
          <w:trHeight w:val="20"/>
        </w:trPr>
        <w:tc>
          <w:tcPr>
            <w:tcW w:w="1580" w:type="dxa"/>
            <w:vAlign w:val="bottom"/>
            <w:gridSpan w:val="5"/>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38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S-40</w:t>
            </w:r>
          </w:p>
        </w:tc>
        <w:tc>
          <w:tcPr>
            <w:tcW w:w="0" w:type="dxa"/>
            <w:vAlign w:val="bottom"/>
          </w:tcPr>
          <w:p>
            <w:pPr>
              <w:spacing w:after="0"/>
              <w:rPr>
                <w:sz w:val="1"/>
                <w:szCs w:val="1"/>
                <w:color w:val="auto"/>
              </w:rPr>
            </w:pPr>
          </w:p>
        </w:tc>
      </w:tr>
      <w:tr>
        <w:trPr>
          <w:trHeight w:val="560"/>
        </w:trPr>
        <w:tc>
          <w:tcPr>
            <w:tcW w:w="105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56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0" w:type="dxa"/>
            <w:vAlign w:val="bottom"/>
          </w:tcPr>
          <w:p>
            <w:pPr>
              <w:spacing w:after="0"/>
              <w:rPr>
                <w:sz w:val="23"/>
                <w:szCs w:val="23"/>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560" w:type="dxa"/>
            <w:vAlign w:val="bottom"/>
            <w:gridSpan w:val="23"/>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834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48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2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340" w:type="dxa"/>
            <w:vAlign w:val="bottom"/>
            <w:tcBorders>
              <w:top w:val="single" w:sz="8" w:color="0000EE"/>
            </w:tcBorders>
            <w:gridSpan w:val="7"/>
          </w:tcPr>
          <w:p>
            <w:pPr>
              <w:spacing w:after="0"/>
              <w:rPr>
                <w:sz w:val="17"/>
                <w:szCs w:val="17"/>
                <w:color w:val="auto"/>
              </w:rPr>
            </w:pPr>
          </w:p>
        </w:tc>
        <w:tc>
          <w:tcPr>
            <w:tcW w:w="7640" w:type="dxa"/>
            <w:vAlign w:val="bottom"/>
            <w:gridSpan w:val="1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2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40" w:type="dxa"/>
            <w:vAlign w:val="bottom"/>
            <w:gridSpan w:val="1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724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060" w:type="dxa"/>
            <w:vAlign w:val="bottom"/>
            <w:gridSpan w:val="1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2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1520" w:type="dxa"/>
            <w:vAlign w:val="bottom"/>
            <w:tcBorders>
              <w:top w:val="single" w:sz="8" w:color="0000EE"/>
            </w:tcBorders>
            <w:gridSpan w:val="12"/>
          </w:tcPr>
          <w:p>
            <w:pPr>
              <w:spacing w:after="0"/>
              <w:rPr>
                <w:sz w:val="17"/>
                <w:szCs w:val="17"/>
                <w:color w:val="auto"/>
              </w:rPr>
            </w:pPr>
          </w:p>
        </w:tc>
        <w:tc>
          <w:tcPr>
            <w:tcW w:w="702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520" w:type="dxa"/>
            <w:vAlign w:val="bottom"/>
            <w:gridSpan w:val="1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7700" w:type="dxa"/>
            <w:vAlign w:val="bottom"/>
            <w:gridSpan w:val="1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940" w:type="dxa"/>
            <w:vAlign w:val="bottom"/>
            <w:tcBorders>
              <w:top w:val="single" w:sz="8" w:color="0000EE"/>
            </w:tcBorders>
            <w:gridSpan w:val="8"/>
          </w:tcPr>
          <w:p>
            <w:pPr>
              <w:spacing w:after="0"/>
              <w:rPr>
                <w:sz w:val="17"/>
                <w:szCs w:val="17"/>
                <w:color w:val="auto"/>
              </w:rPr>
            </w:pPr>
          </w:p>
        </w:tc>
        <w:tc>
          <w:tcPr>
            <w:tcW w:w="676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Securities and Exchange Commission (the SEC), using a “shelf” registration process.</w:t>
      </w:r>
    </w:p>
    <w:p>
      <w:pPr>
        <w:spacing w:after="0" w:line="16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are providing information to you about this offering of our securities in two parts. The first part is this prospectus supplement, which provides you with specific information regarding the terms of this offering of our securities, and also adds to and updates information contained in the accompanying prospectus and the documents incorporated by reference in this prospectus supplement and the accompanying prospectus. The second part is the accompanying prospectus, which provides more general information, some of which does not apply to this offering of our securities. Generally, when we refer to this prospectus, we are referring to both parts of this document combined.</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Before buying any of the securities that we are offering, we urge you to carefully read this prospectus supplement, the accompanying prospectus and all of the information incorporated by reference herein, as well as the additional information described under the headings “Where You Can Find More Information” and “Incorporation of Certain Information by Reference.” These documents contain important information that you should consider when making your investment decision.</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or therein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with any information or to make any representation, other than those contained or incorporated by reference in this prospectus supplement and in the accompanying prospectus or in any related free writing prospectus that we authorize for use in connection with this offering and to which we have referred you. We take no responsibility for, and can provide no assurance as to the reliability of, any other information that others may give you. You should assume that the information appearing in this prospectus supplement, the documents incorporated by reference and the accompanying prospectus or any free writing prospectus is accurate only as of their respective dates. Our business, financial condition, results of operations and prospects may have changed materially since those dates.</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are offering to sell, and seeking offers to buy, our securities only in jurisdictions where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76" w:lineRule="exact"/>
        <w:rPr>
          <w:sz w:val="20"/>
          <w:szCs w:val="20"/>
          <w:color w:val="auto"/>
        </w:rPr>
      </w:pPr>
    </w:p>
    <w:p>
      <w:pPr>
        <w:ind w:left="120" w:right="100"/>
        <w:spacing w:after="0" w:line="242" w:lineRule="auto"/>
        <w:rPr>
          <w:sz w:val="20"/>
          <w:szCs w:val="20"/>
          <w:color w:val="auto"/>
        </w:rPr>
      </w:pPr>
      <w:r>
        <w:rPr>
          <w:rFonts w:ascii="Times New Roman" w:cs="Times New Roman" w:eastAsia="Times New Roman" w:hAnsi="Times New Roman"/>
          <w:sz w:val="18"/>
          <w:szCs w:val="18"/>
          <w:color w:val="auto"/>
        </w:rPr>
        <w:t xml:space="preserve">Unless the context otherwise indicates, references in this prospectus supplement, the accompanying prospectus and the information incorporated by reference herein and therein to “Tenaya Therapeutics,” “Tenaya,” “we,” “our” and “us” refer, collectively, to Tenaya Therapeutics, Inc. We have proprietary rights to trademarks that are used in this prospectus supplement and the documents incorporated by reference herein, which are important to our business and many of which are registered under applicable intellectual property laws. Solely for convenience, the trademarks, service marks, logos and trade names referred to in this prospectus supplement and the documents incorporated by reference herein may be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 but such references are not intended to indicate, in any way, that we will not assert, to the fullest extent under applicable law, our rights to these trademarks, service marks and trade names. This prospectus supplement and the documents incorporated by reference herein contain additional trademarks, service marks and trade names of others, which are the property of their respective owners. All trademarks, service marks and trade names appearing in this prospectus supplement and the documents incorporated by reference herein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80"/>
        <w:spacing w:after="0" w:line="271" w:lineRule="auto"/>
        <w:rPr>
          <w:sz w:val="20"/>
          <w:szCs w:val="20"/>
          <w:color w:val="auto"/>
        </w:rPr>
      </w:pPr>
      <w:r>
        <w:rPr>
          <w:rFonts w:ascii="Times New Roman" w:cs="Times New Roman" w:eastAsia="Times New Roman" w:hAnsi="Times New Roman"/>
          <w:sz w:val="17"/>
          <w:szCs w:val="17"/>
          <w:color w:val="auto"/>
        </w:rPr>
        <w:t>This prospectus supplement, the accompanying prospectus, and the documents incorporated by reference herein and therein, contain forward-looking statements within the meaning of Section 27A of the Securities Act, and Section 21E of the Exchange Act. All statements other than statements of historical facts contained in this prospectus supplement, the accompanying prospectus, and the documents incorporated by reference herein and therein, including statements regarding our future results of operations and financial position, business strategy, development plans, planned preclinical studies and clinical trials, future results of preclinical studies and clinical trials, expected research and development costs, regulatory strategy, timing and likelihood of success, as well as plans and objectives of management for future operations, are forward-looking statements. The words “may,” “will,” “should,” “would,” “expect,” “plan,” “anticipate,” “could,” “intend,” “target,” “project,” “contemplate,” “believe,” “estimate,” “predict,” “potential” or “continue” or the negative of these terms and similar expressions and variations thereof are intended to identify forward-looking statements but are not the exclusive means of identifying such statements. These forward-looking statements include, but are not limited to, statements about:</w:t>
      </w:r>
    </w:p>
    <w:p>
      <w:pPr>
        <w:spacing w:after="0" w:line="79" w:lineRule="exact"/>
        <w:rPr>
          <w:sz w:val="20"/>
          <w:szCs w:val="20"/>
          <w:color w:val="auto"/>
        </w:rPr>
      </w:pPr>
    </w:p>
    <w:p>
      <w:pPr>
        <w:ind w:left="1080" w:right="5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ongoing preclinical studies and ongoing or planned clinical trials to demonstrate safety and efficacy of our product candidates, and other positive results;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ongoing or planned clinical trials for our current product candidates and other product candidates we may develop;</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 and approvals, including timing of investigational new drugs, clinical trial applications, Food and Drug Administration approvals and final regulatory approval of our current product candidates and any other future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our product candidates and programs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including our estimates of the number of patients who suffer from the diseases we are targeting;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commercialization and marketing capabilities and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and our ability to attract and retain such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of our product candidates, including additional indications and targets we may pursue;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laws and regulations and regulatory developments in the United States, Europe and other jurisdictions;</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scope of protection we are able to establish and maintain for intellectual property rights covering our current product candidates,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85"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preclinical studies and clinical trials of our product candidates and for the development and manufacture of our product candidates for preclinical studies and clinical trials;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negotiate favorable terms of, any collaboration, partnership, licensing or other arrangements that may be necessary or desirable to develop, manufacture or commercialize our product candidates, as well as our ability to realize the potential benefits of any such agreements;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 including any increase in demand as a result of the availability of reimbursement from the government and third-party payors;</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current product candidates and other product candidates we may develop;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operating losses,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facilities;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cash equivalents and investments in marketable securities will be sufficient to fund our future operating expenses and capital expenditure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critical accounting policies on investor’s ability to understand 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remain an emerging growth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proceeds from this offering.</w:t>
      </w:r>
    </w:p>
    <w:p>
      <w:pPr>
        <w:spacing w:after="0" w:line="225"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supplement and are subject to a number of risks, uncertainties and assumptions described in the section titled “Risk Factors” and elsewhere in this prospectus supplement, the accompanying prospectus and the documents incorporated by reference herein and therein. Because forward-looking statements are inherently subject to risks and uncertainties, some of which cannot be predicted or quantified, you should not unduly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supplement, whether as a result of any new information, future events or otherwise.</w:t>
      </w:r>
    </w:p>
    <w:p>
      <w:pPr>
        <w:spacing w:after="0" w:line="19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herein and therein by reference, and any free writing prospectus that we may have authorized for use in connection with this offering, contain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supplement from our internal estimates and research and from academic and industry research, publications, surveys and studies conducted by third parties, including governmental agencies. In some cases, we do not expressly refer to the sources from which this data is derived. Information that is based on estimates, forecasts, projections, market research or similar methodologies is inherently subject to uncertainties and actual events or circumstances may differ materially from events and circumstances that are assumed in this information. You are cautioned not to give undue weight to any such information, projections and estimates.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this prospectus supplement, the accompanying prospectus and in the documents we incorporate by reference. This summary is not complete and does not contain all of the information you should consider before making an investment decision. You should carefully read this entire prospectus supplement and the accompanying prospectus, including the information incorporated by reference herein and therein, especially the risks of investing in our common stock discussed under “Risk Factors” beginning on page S-14 of this prospectus supplement, the “Risk Factors” section of our most recent Quarterly Report on Form 10-Q and other filings we make with the SEC, along with our consolidated financial statements and notes to those consolidated financial statements and the other information incorporated by reference in this prospectus supplement and the accompanying prospectus and in our filings with the SEC.</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focused on discovering, developing and delivering potentially curative therapies that address the underlying drivers of heart disease. Our vision is to change the treatment paradigm for heart disease, and in doing so improve and extend the lives of millions of patients.</w:t>
      </w:r>
    </w:p>
    <w:p>
      <w:pPr>
        <w:spacing w:after="0" w:line="176" w:lineRule="exact"/>
        <w:rPr>
          <w:sz w:val="20"/>
          <w:szCs w:val="20"/>
          <w:color w:val="auto"/>
        </w:rPr>
      </w:pPr>
    </w:p>
    <w:p>
      <w:pPr>
        <w:ind w:left="300" w:right="140"/>
        <w:spacing w:after="0" w:line="261" w:lineRule="auto"/>
        <w:rPr>
          <w:sz w:val="20"/>
          <w:szCs w:val="20"/>
          <w:color w:val="auto"/>
        </w:rPr>
      </w:pPr>
      <w:r>
        <w:rPr>
          <w:rFonts w:ascii="Times New Roman" w:cs="Times New Roman" w:eastAsia="Times New Roman" w:hAnsi="Times New Roman"/>
          <w:sz w:val="18"/>
          <w:szCs w:val="18"/>
          <w:color w:val="auto"/>
        </w:rPr>
        <w:t>We are advancing a deep and diverse pipeline of disease-modifying targeted therapies that includes both gene therapies and small molecules discovered internally and developed using our extensive core capabilities to address rare or highly prevalent forms of heart disease. All of our programs are currently being assessed in clinical trials or are in the preclinical stage; we do not have any products approved for sale and have not generated any revenue to date.</w:t>
      </w:r>
    </w:p>
    <w:p>
      <w:pPr>
        <w:spacing w:after="0" w:line="178" w:lineRule="exact"/>
        <w:rPr>
          <w:sz w:val="20"/>
          <w:szCs w:val="20"/>
          <w:color w:val="auto"/>
        </w:rPr>
      </w:pPr>
    </w:p>
    <w:p>
      <w:pPr>
        <w:ind w:left="300" w:right="80"/>
        <w:spacing w:after="0" w:line="267" w:lineRule="auto"/>
        <w:rPr>
          <w:sz w:val="20"/>
          <w:szCs w:val="20"/>
          <w:color w:val="auto"/>
        </w:rPr>
      </w:pPr>
      <w:r>
        <w:rPr>
          <w:rFonts w:ascii="Times New Roman" w:cs="Times New Roman" w:eastAsia="Times New Roman" w:hAnsi="Times New Roman"/>
          <w:sz w:val="18"/>
          <w:szCs w:val="18"/>
          <w:color w:val="auto"/>
        </w:rPr>
        <w:t>Our lead investigational product candidates are TN-201, a gene therapy for myosin binding protein C3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hypertrophic cardiomyopathy (HCM), TN-401, a gene therapy for plakophilin 2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arrhythmogenic right ventricular cardiomyopathy (ARVC), and TN-301, a small molecule for heart failure with preserved ejection fraction (HFpEF).</w:t>
      </w:r>
    </w:p>
    <w:p>
      <w:pPr>
        <w:spacing w:after="0" w:line="173" w:lineRule="exact"/>
        <w:rPr>
          <w:sz w:val="20"/>
          <w:szCs w:val="20"/>
          <w:color w:val="auto"/>
        </w:rPr>
      </w:pPr>
    </w:p>
    <w:p>
      <w:pPr>
        <w:ind w:left="300" w:right="120"/>
        <w:spacing w:after="0" w:line="256" w:lineRule="auto"/>
        <w:rPr>
          <w:sz w:val="20"/>
          <w:szCs w:val="20"/>
          <w:color w:val="auto"/>
        </w:rPr>
      </w:pPr>
      <w:r>
        <w:rPr>
          <w:rFonts w:ascii="Times New Roman" w:cs="Times New Roman" w:eastAsia="Times New Roman" w:hAnsi="Times New Roman"/>
          <w:sz w:val="18"/>
          <w:szCs w:val="18"/>
          <w:color w:val="auto"/>
        </w:rPr>
        <w:t xml:space="preserve">TN-201 is our potential first-in-class and best-in-class gene therapy for adults and children with HCM due to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These mutations result in a deficiency of myosin binding protein, which in turn can cause the heart walls of affected individuals to become significantly thickened, leading to fibrosis, abnormal heart rhythms, cardiac dysfunction, heart failure and death. HCM is a chronic, progressive condition and those diagnosed with the disease often experience significant impairment in overall quality of life and may be at higher risk for serious complications and co-morbidities. TN-201 utilizes a recombinant adeno-associated virus serotype 9 (AAV9) capsid and is designed to deliver a working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to specific cells of the heart in order to produce cardiac myosin binding protein and thereby potentially slow or even reverse the course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following a single infusion.</w:t>
      </w:r>
    </w:p>
    <w:p>
      <w:pPr>
        <w:spacing w:after="0" w:line="185" w:lineRule="exact"/>
        <w:rPr>
          <w:sz w:val="20"/>
          <w:szCs w:val="20"/>
          <w:color w:val="auto"/>
        </w:rPr>
      </w:pPr>
    </w:p>
    <w:p>
      <w:pPr>
        <w:ind w:left="300" w:right="20"/>
        <w:spacing w:after="0" w:line="214" w:lineRule="auto"/>
        <w:rPr>
          <w:sz w:val="20"/>
          <w:szCs w:val="20"/>
          <w:color w:val="auto"/>
        </w:rPr>
      </w:pPr>
      <w:r>
        <w:rPr>
          <w:rFonts w:ascii="Times New Roman" w:cs="Times New Roman" w:eastAsia="Times New Roman" w:hAnsi="Times New Roman"/>
          <w:sz w:val="18"/>
          <w:szCs w:val="18"/>
          <w:color w:val="auto"/>
        </w:rPr>
        <w:t>MyPEAK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-1 is our Phase 1b/2 multi-center, open-label clinical trial, designed to assess the safety, tolerability and efficacy of a one-time intravenous infusion of TN-201. We have completed Cohort 1 dosing at the 3×10</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color w:val="auto"/>
        </w:rPr>
        <w:t xml:space="preserve"> vg/kg dose in the MyPEAK-1 trial with no unexpected events or toxicities associated with TN-201 observed. Following review of safety data from the first three MyPEAK-1 patients by an independent Data and Safety Monitoring Board (DSMB), the DSMB recommended that we proceed with the planned escalation to the 6×10</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color w:val="auto"/>
        </w:rPr>
        <w:t xml:space="preserve"> vg/kg dose, per protocol. MyPEAK-1 is now actively enrolling patients for Cohort 2 at several U.S. clinical sites. We have dosed two patients in the sentinel phase of Cohort 2 at the 6x10</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color w:val="auto"/>
        </w:rPr>
        <w:t xml:space="preserve"> vg/kg dose and anticipate completing enrollment of Cohort 2 in the first half of 2025.</w:t>
      </w:r>
    </w:p>
    <w:p>
      <w:pPr>
        <w:spacing w:after="0" w:line="77" w:lineRule="exact"/>
        <w:rPr>
          <w:sz w:val="20"/>
          <w:szCs w:val="20"/>
          <w:color w:val="auto"/>
        </w:rPr>
      </w:pPr>
    </w:p>
    <w:p>
      <w:pPr>
        <w:ind w:left="300"/>
        <w:spacing w:after="0" w:line="296" w:lineRule="auto"/>
        <w:rPr>
          <w:sz w:val="20"/>
          <w:szCs w:val="20"/>
          <w:color w:val="auto"/>
        </w:rPr>
      </w:pPr>
      <w:r>
        <w:rPr>
          <w:rFonts w:ascii="Times New Roman" w:cs="Times New Roman" w:eastAsia="Times New Roman" w:hAnsi="Times New Roman"/>
          <w:sz w:val="18"/>
          <w:szCs w:val="18"/>
          <w:color w:val="auto"/>
        </w:rPr>
        <w:t>In December 2024, we announced early but encouraging initial interim safety and biopsy data from Cohort 1 of MyPEAK-1. TN-201 administered at the starting dose of 3×10</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color w:val="auto"/>
        </w:rPr>
        <w:t xml:space="preserve"> vg/kg was generally well-tolerated among the</w:t>
      </w:r>
    </w:p>
    <w:p>
      <w:pPr>
        <w:spacing w:after="0" w:line="14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880"/>
          </w:cols>
          <w:pgMar w:left="320" w:top="455" w:right="6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first three patients enrolled in the clinical trial. Among the first two patients for whom Week 8 biopsy results were available, TN-201 achieved readily detectable vector DNA in the heart and evidence of transgene RNA expression. Serial biopsies at Week 8 and Week 52 for Patient 1 demonstrated increasing TN-201 mRNA and MyBP-C protein levels over time. Circulating biomarkers of cardiac muscle strain and injury remained largely stable, and certain clinical markers of disease showed stability or directional improvement in the first two individuals dosed, while other measures were not yet available, interpretable or were mixed. We plan to present additional follow-up data from Cohort 1 during the first half of 2025 and initial Cohort 2 data, along with an update on Cohort 1 patients, in the second half of 2025.</w:t>
      </w:r>
    </w:p>
    <w:p>
      <w:pPr>
        <w:spacing w:after="0" w:line="187" w:lineRule="exact"/>
        <w:rPr>
          <w:sz w:val="20"/>
          <w:szCs w:val="20"/>
          <w:color w:val="auto"/>
        </w:rPr>
      </w:pPr>
    </w:p>
    <w:p>
      <w:pPr>
        <w:ind w:left="300" w:right="120"/>
        <w:spacing w:after="0" w:line="253" w:lineRule="auto"/>
        <w:rPr>
          <w:sz w:val="20"/>
          <w:szCs w:val="20"/>
          <w:color w:val="auto"/>
        </w:rPr>
      </w:pPr>
      <w:r>
        <w:rPr>
          <w:rFonts w:ascii="Times New Roman" w:cs="Times New Roman" w:eastAsia="Times New Roman" w:hAnsi="Times New Roman"/>
          <w:sz w:val="18"/>
          <w:szCs w:val="18"/>
          <w:color w:val="auto"/>
        </w:rPr>
        <w:t xml:space="preserve">To support our development efforts for TN-201 we are conducting two noninterventional studies: a study evaluating seroprevalence to AAV9 antibodies among adults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and MyClimb, a prospective and retrospective global natural history study focused on pediatric patients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mutation-associated cardiomyopathy. The seroprevalence study has completed enrollment. Initial data indicated that antibodies to AAV9 in the majority of participants were below the eligibility threshold that would allow for participation in MyPEAK-1. The MyClimb natural history study is following patient medical history to characterize the outcomes, burden of illness, risk factors, quality of life, and biomarkers associated with disease progression in pediatric patients. MyClimb complements existing disease registries focused primarily on adult patient HCM populations and may support and expedite the development of TN-201 in the pediatric patient population. We plan to present data from MyClimb in the second half of 2025. In July 2024, we received rare pediatric disease designation from the FDA for TN-201 in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TN-201 has also been granted orphan drug designation from the FDA, orphan medicinal product designation from the European Commission (EC) and Fast Track Designation from the FDA.</w:t>
      </w:r>
    </w:p>
    <w:p>
      <w:pPr>
        <w:spacing w:after="0" w:line="192" w:lineRule="exact"/>
        <w:rPr>
          <w:sz w:val="20"/>
          <w:szCs w:val="20"/>
          <w:color w:val="auto"/>
        </w:rPr>
      </w:pPr>
    </w:p>
    <w:p>
      <w:pPr>
        <w:ind w:left="300" w:right="140"/>
        <w:spacing w:after="0" w:line="255" w:lineRule="auto"/>
        <w:rPr>
          <w:sz w:val="20"/>
          <w:szCs w:val="20"/>
          <w:color w:val="auto"/>
        </w:rPr>
      </w:pPr>
      <w:r>
        <w:rPr>
          <w:rFonts w:ascii="Times New Roman" w:cs="Times New Roman" w:eastAsia="Times New Roman" w:hAnsi="Times New Roman"/>
          <w:sz w:val="18"/>
          <w:szCs w:val="18"/>
          <w:color w:val="auto"/>
        </w:rPr>
        <w:t xml:space="preserve">TN-401 is our best-in-class AAV9-based gene therapy for the treatment of ARVC due to disease-causing variants in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ARVC, also known as arrhythmogenic cardiomyopathy, or ACM, is a chronic, progressive disease characterized by frequent, severe, and potentially life-threatening ventricular arrhythmias. The disease is associated with adverse heart remodeling, fibrosis, cardiac dysfunction, significant impairment to patients’ overall quality of life, as well as an elevated risk of sudden cardiac death.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are the most common genetic cause of ARVC and result in insufficient expression of a protein needed for proper functioning of the desmosomal complex that maintains physical connections and electrical signaling between heart muscle cells. TN-401 utilizes a recombinant AAV9 capsid and is designed to deliver a working </w:t>
      </w:r>
      <w:r>
        <w:rPr>
          <w:rFonts w:ascii="Times New Roman" w:cs="Times New Roman" w:eastAsia="Times New Roman" w:hAnsi="Times New Roman"/>
          <w:sz w:val="18"/>
          <w:szCs w:val="18"/>
          <w:i w:val="1"/>
          <w:iCs w:val="1"/>
          <w:color w:val="auto"/>
        </w:rPr>
        <w:t xml:space="preserve">PKP2 </w:t>
      </w:r>
      <w:r>
        <w:rPr>
          <w:rFonts w:ascii="Times New Roman" w:cs="Times New Roman" w:eastAsia="Times New Roman" w:hAnsi="Times New Roman"/>
          <w:sz w:val="18"/>
          <w:szCs w:val="18"/>
          <w:color w:val="auto"/>
        </w:rPr>
        <w:t>gene to specific cells of the heart in order to produce plakophilin protein and thereby potentially slow or even reverse the course of</w:t>
      </w:r>
      <w:r>
        <w:rPr>
          <w:rFonts w:ascii="Times New Roman" w:cs="Times New Roman" w:eastAsia="Times New Roman" w:hAnsi="Times New Roman"/>
          <w:sz w:val="18"/>
          <w:szCs w:val="18"/>
          <w:i w:val="1"/>
          <w:iCs w:val="1"/>
          <w:color w:val="auto"/>
        </w:rPr>
        <w:t xml:space="preserve"> PKP2</w:t>
      </w:r>
      <w:r>
        <w:rPr>
          <w:rFonts w:ascii="Times New Roman" w:cs="Times New Roman" w:eastAsia="Times New Roman" w:hAnsi="Times New Roman"/>
          <w:sz w:val="18"/>
          <w:szCs w:val="18"/>
          <w:color w:val="auto"/>
        </w:rPr>
        <w:t>-associated ARVC following a single infusion.</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dosed two patients in RIDGE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-1, our Phase 1b multi-center, open-label clinical trial, designed to assess the safety, tolerability and</w:t>
      </w:r>
    </w:p>
    <w:p>
      <w:pPr>
        <w:ind w:left="300"/>
        <w:spacing w:after="0"/>
        <w:rPr>
          <w:sz w:val="20"/>
          <w:szCs w:val="20"/>
          <w:color w:val="auto"/>
        </w:rPr>
      </w:pPr>
      <w:r>
        <w:rPr>
          <w:rFonts w:ascii="Times New Roman" w:cs="Times New Roman" w:eastAsia="Times New Roman" w:hAnsi="Times New Roman"/>
          <w:sz w:val="18"/>
          <w:szCs w:val="18"/>
          <w:color w:val="auto"/>
        </w:rPr>
        <w:t>efficacy of a one-time intravenous infusion of TN-401. We have activated multiple clinical trial sites at leading cardiology centers in the U.S. with</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ARVC expertise and intend to expand enrollment of RIDGE-1 to the United Kingdom following receipt of approval from the United Kingdom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Medicines and Healthcare Products Regulatory Agency (MHRA), Research Ethics Committee and Health Research Authority for our TN-401</w:t>
      </w:r>
    </w:p>
    <w:p>
      <w:pPr>
        <w:ind w:left="300"/>
        <w:spacing w:after="0" w:line="181" w:lineRule="auto"/>
        <w:rPr>
          <w:sz w:val="20"/>
          <w:szCs w:val="20"/>
          <w:color w:val="auto"/>
        </w:rPr>
      </w:pPr>
      <w:r>
        <w:rPr>
          <w:rFonts w:ascii="Times New Roman" w:cs="Times New Roman" w:eastAsia="Times New Roman" w:hAnsi="Times New Roman"/>
          <w:sz w:val="18"/>
          <w:szCs w:val="18"/>
          <w:color w:val="auto"/>
        </w:rPr>
        <w:t>Clinical Trial Authorization in 2024. We expect to complete enrollment of the first cohort of patients at the 3×10</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color w:val="auto"/>
        </w:rPr>
        <w:t>vg/kg in the first half of 2025.</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 independent DSMB will review all available safety data for the first three patients dosed and then inform plans for dose escalation to</w:t>
      </w:r>
    </w:p>
    <w:p>
      <w:pPr>
        <w:ind w:left="300"/>
        <w:spacing w:after="0" w:line="180" w:lineRule="auto"/>
        <w:rPr>
          <w:sz w:val="20"/>
          <w:szCs w:val="20"/>
          <w:color w:val="auto"/>
        </w:rPr>
      </w:pPr>
      <w:r>
        <w:rPr>
          <w:rFonts w:ascii="Times New Roman" w:cs="Times New Roman" w:eastAsia="Times New Roman" w:hAnsi="Times New Roman"/>
          <w:sz w:val="18"/>
          <w:szCs w:val="18"/>
          <w:color w:val="auto"/>
        </w:rPr>
        <w:t>6×10</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color w:val="auto"/>
        </w:rPr>
        <w:t>vg/kg, as needed, and/or enrollment of additional patients in the first cohort. Initial clinical data from the first cohort of patients to receive</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TN-401 is expected in the second half of 2025. In January 2025, we were awarded a Clinical Grant (Clin2) of $8.0 million from the California</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Institute for Regenerative Medicine (CIRM), a state of California Agency that funds regenerative medicine, stem cell, and gene therapy research.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Proceeds from the grant will help fund clinical trial costs for our ongoing Phase 1b RIDGE-1 clinical trial of TN-401 gene therapy.</w:t>
      </w:r>
    </w:p>
    <w:p>
      <w:pPr>
        <w:spacing w:after="0" w:line="207" w:lineRule="exact"/>
        <w:rPr>
          <w:sz w:val="20"/>
          <w:szCs w:val="20"/>
          <w:color w:val="auto"/>
        </w:rPr>
      </w:pPr>
    </w:p>
    <w:p>
      <w:pPr>
        <w:ind w:left="300" w:right="1020"/>
        <w:spacing w:after="0" w:line="282" w:lineRule="auto"/>
        <w:rPr>
          <w:sz w:val="20"/>
          <w:szCs w:val="20"/>
          <w:color w:val="auto"/>
        </w:rPr>
      </w:pPr>
      <w:r>
        <w:rPr>
          <w:rFonts w:ascii="Times New Roman" w:cs="Times New Roman" w:eastAsia="Times New Roman" w:hAnsi="Times New Roman"/>
          <w:sz w:val="18"/>
          <w:szCs w:val="18"/>
          <w:color w:val="auto"/>
        </w:rPr>
        <w:t>In support of our development efforts for TN-401, we initiated RIDGE, a global noninterventional study to collect natural history and seroprevalence to AAV9 antibodies data among ARVC patients who carry pathogenic</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 xml:space="preserve">or likely pathogenic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mutations. Initial data from RIDGE indicated that antibodies to AAV9 in a majority of participants were below the eligibility threshold that would allow for participation in RIDGE-1. We plan to present additional data from RIDGE in the first half of 2025. TN-401 has received orphan drug designation from the FDA and orphan medicinal product designation from the EC, as well as Fast Track Designation from the FDA.</w:t>
      </w:r>
    </w:p>
    <w:p>
      <w:pPr>
        <w:spacing w:after="0" w:line="182"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TN-301 is our small molecule inhibitor of histone deacetylase-6 (HDAC6), initially being developed for the potential treatment of HFpEF. HFpEF is characterized by a stiffening of the heart muscle resulting in an inability for the left ventricle to relax and fill with oxygenated blood sufficient to meet the body’s needs. There are several cellular processes thought to underlie the pathophysiology of HFpEF, including increases in fibrosis and inflammation and defects in metabolism. Although HFpEF accounts for approximately half of all heart failures, there are few proven treatment options.</w:t>
      </w:r>
    </w:p>
    <w:p>
      <w:pPr>
        <w:spacing w:after="0" w:line="183"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We shared positive data from our Phase 1 clinical trial of TN-301 in healthy participants at the 2023 Heart Failure Society of America Annual Scientific Meeting. TN-301 was generally well tolerated across the broad range of doses studied. Pharmacokinetic results showed overall dose proportionality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In preclinical studies, selective HDAC6 inhibition has been shown to have comparable efficacy to empagliflozin, a sodium-glucose cotransporter-2 (SGLT2) inhibitor which is approved for the treatment of HFpEF and co-administration of our HDAC6 inhibition with a SGLT2 inhibitor in a HFpEF mouse model demonstrated additive benefit. Taken together, these data support continued development of TN-301 as a potential treatment for patients with HFpEF. We believe late-stage clinical development of TN-301 is best suited for development by or with a well-resourced partner.</w:t>
      </w:r>
    </w:p>
    <w:p>
      <w:pPr>
        <w:spacing w:after="0" w:line="188" w:lineRule="exact"/>
        <w:rPr>
          <w:sz w:val="20"/>
          <w:szCs w:val="20"/>
          <w:color w:val="auto"/>
        </w:rPr>
      </w:pPr>
    </w:p>
    <w:p>
      <w:pPr>
        <w:jc w:val="both"/>
        <w:ind w:left="300" w:right="440"/>
        <w:spacing w:after="0" w:line="266" w:lineRule="auto"/>
        <w:rPr>
          <w:sz w:val="20"/>
          <w:szCs w:val="20"/>
          <w:color w:val="auto"/>
        </w:rPr>
      </w:pPr>
      <w:r>
        <w:rPr>
          <w:rFonts w:ascii="Times New Roman" w:cs="Times New Roman" w:eastAsia="Times New Roman" w:hAnsi="Times New Roman"/>
          <w:sz w:val="18"/>
          <w:szCs w:val="18"/>
          <w:color w:val="auto"/>
        </w:rPr>
        <w:t>In addition to our lead product candidates, we have multiple early-stage programs progressing through preclinical development using various therapeutic approaches, including gene addition, gene editing, gene silencing, and cellular regeneration to address other forms of rare and/or prevalent heart disease.</w:t>
      </w:r>
    </w:p>
    <w:p>
      <w:pPr>
        <w:spacing w:after="0" w:line="176" w:lineRule="exact"/>
        <w:rPr>
          <w:sz w:val="20"/>
          <w:szCs w:val="20"/>
          <w:color w:val="auto"/>
        </w:rPr>
      </w:pPr>
    </w:p>
    <w:p>
      <w:pPr>
        <w:ind w:left="300" w:right="120"/>
        <w:spacing w:after="0" w:line="258" w:lineRule="auto"/>
        <w:rPr>
          <w:sz w:val="20"/>
          <w:szCs w:val="20"/>
          <w:color w:val="auto"/>
        </w:rPr>
      </w:pPr>
      <w:r>
        <w:rPr>
          <w:rFonts w:ascii="Times New Roman" w:cs="Times New Roman" w:eastAsia="Times New Roman" w:hAnsi="Times New Roman"/>
          <w:sz w:val="18"/>
          <w:szCs w:val="18"/>
          <w:color w:val="auto"/>
        </w:rPr>
        <w:t>We have established a distinct suite of integrated capabilities, including the use of human-induced pluripotent stem cell-derived cardiomyocyte disease models, machine learning and phenotypic screening, gene editing, AAV capsid engineering and novel promoter constructs, which support our efforts to discover and develop disease-modifying treatments focused on heart disease and continue to build on these proprietary capabilities with the aim of increasing the safety and efficacy of our product candidates and accelerating early-stage discovery and preclinical optimization across modalities.</w:t>
      </w:r>
    </w:p>
    <w:p>
      <w:pPr>
        <w:spacing w:after="0" w:line="183" w:lineRule="exact"/>
        <w:rPr>
          <w:sz w:val="20"/>
          <w:szCs w:val="20"/>
          <w:color w:val="auto"/>
        </w:rPr>
      </w:pPr>
    </w:p>
    <w:p>
      <w:pPr>
        <w:ind w:left="300" w:right="60"/>
        <w:spacing w:after="0" w:line="255" w:lineRule="auto"/>
        <w:rPr>
          <w:sz w:val="20"/>
          <w:szCs w:val="20"/>
          <w:color w:val="auto"/>
        </w:rPr>
      </w:pPr>
      <w:r>
        <w:rPr>
          <w:rFonts w:ascii="Times New Roman" w:cs="Times New Roman" w:eastAsia="Times New Roman" w:hAnsi="Times New Roman"/>
          <w:sz w:val="18"/>
          <w:szCs w:val="18"/>
          <w:color w:val="auto"/>
        </w:rPr>
        <w:t>We have also internalized and integrated both current Good Manufacturing Practices (cGMP) and non-GMP AAV manufacturing capabilities to support our emerging portfolio of gene therapy and cellular regeneration product candidates. Our Genetic Medicines Manufacturing Center, a cGMP facility, is strategically located near our research labs and Manufacturing Technology Development Center, a non-GMP facility, in the San Francisco Bay Area to enable smooth scale-up of production to support our clinical studies and utilizes a modular, scalable design to produce AAV-based gene therapies under cGMP standards. We utilized our Genetic Medicines Manufacturing Center to produce drug product for our first-in-human clinical trials for both TN-201 and TN-401. Building on our manufacturing capabilities, we have also presented data on manufacturing innovations intended to reduce the overall cost of goods by increasing productivity and scalability.</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The below summary of risk factors provides an overview of many of the risks we are exposed to in the normal course of our business activities and risks related to this offering. As a result, the below summary risks do not contain all of the information that may be important to you, and you should read the summary risks together with</w:t>
      </w: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00"/>
          </w:cols>
          <w:pgMar w:left="320" w:top="455" w:right="6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58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the more detailed discussion of risks set forth following this section under the heading “Risk Factors,” as well as elsewhere in this prospectus supplement. Additional risks, beyond those summarized below or discussed elsewhere in this prospectus supplement and the documents incorporated herein by reference, may apply to our activities or operations as currently conducted or as we may conduct them in the future or in the markets in which we operate or may in the future operate. Consistent with the foregoing, we are exposed to a variety of risks, including risks associated with the following:</w:t>
      </w:r>
    </w:p>
    <w:p>
      <w:pPr>
        <w:spacing w:after="0" w:line="89" w:lineRule="exact"/>
        <w:rPr>
          <w:sz w:val="20"/>
          <w:szCs w:val="20"/>
          <w:color w:val="auto"/>
        </w:rPr>
      </w:pPr>
    </w:p>
    <w:p>
      <w:pPr>
        <w:ind w:left="1240" w:right="1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67"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generated any product revenue to date, have incurred significant net losses since our inception and expect to continue to incur significant net losses for the foreseeable future.</w:t>
      </w:r>
    </w:p>
    <w:p>
      <w:pPr>
        <w:spacing w:after="0" w:line="67"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profitability depends significantly on our ability to achieve several objectives relating to the discovery, development and commercialization of our product candidates, if approved.</w:t>
      </w:r>
    </w:p>
    <w:p>
      <w:pPr>
        <w:spacing w:after="0" w:line="67"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85"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agreement requires us to comply with specified operating covenants and places restrictions on our operating and financial flexibility.</w:t>
      </w:r>
    </w:p>
    <w:p>
      <w:pPr>
        <w:spacing w:after="0" w:line="67" w:lineRule="exact"/>
        <w:rPr>
          <w:rFonts w:ascii="Times New Roman" w:cs="Times New Roman" w:eastAsia="Times New Roman" w:hAnsi="Times New Roman"/>
          <w:sz w:val="18"/>
          <w:szCs w:val="18"/>
          <w:color w:val="auto"/>
        </w:rPr>
      </w:pPr>
    </w:p>
    <w:p>
      <w:pPr>
        <w:ind w:left="1240" w:right="44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81"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81"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mechanisms of action of our product candidates are unproven, and we do not know whether we will be able to develop any drug of commercial value.</w:t>
      </w:r>
    </w:p>
    <w:p>
      <w:pPr>
        <w:spacing w:after="0" w:line="67" w:lineRule="exact"/>
        <w:rPr>
          <w:rFonts w:ascii="Times New Roman" w:cs="Times New Roman" w:eastAsia="Times New Roman" w:hAnsi="Times New Roman"/>
          <w:sz w:val="18"/>
          <w:szCs w:val="18"/>
          <w:color w:val="auto"/>
        </w:rPr>
      </w:pPr>
    </w:p>
    <w:p>
      <w:pPr>
        <w:ind w:left="1240" w:right="120" w:hanging="415"/>
        <w:spacing w:after="0" w:line="258"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involves a lengthy and expensive process with an uncertain outcome. The preclinical studies, clinical trials and post-marketing studies of our product candidates may not demonstrate safety and efficacy to the satisfaction of the FDA, European Medicines Agency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88" w:lineRule="exact"/>
        <w:rPr>
          <w:rFonts w:ascii="Times New Roman" w:cs="Times New Roman" w:eastAsia="Times New Roman" w:hAnsi="Times New Roman"/>
          <w:sz w:val="18"/>
          <w:szCs w:val="18"/>
          <w:color w:val="auto"/>
        </w:rPr>
      </w:pPr>
    </w:p>
    <w:p>
      <w:pPr>
        <w:ind w:left="1240" w:right="40" w:hanging="415"/>
        <w:spacing w:after="0" w:line="258"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88"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significant resources required for the development of product candidates, and depending on our ability to access capital, we must prioritize development of certain programs and product</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20"/>
          </w:cols>
          <w:pgMar w:left="320" w:top="455"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67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100"/>
        <w:spacing w:after="0" w:line="266" w:lineRule="auto"/>
        <w:rPr>
          <w:sz w:val="20"/>
          <w:szCs w:val="20"/>
          <w:color w:val="auto"/>
        </w:rPr>
      </w:pPr>
      <w:r>
        <w:rPr>
          <w:rFonts w:ascii="Times New Roman" w:cs="Times New Roman" w:eastAsia="Times New Roman" w:hAnsi="Times New Roman"/>
          <w:sz w:val="18"/>
          <w:szCs w:val="18"/>
          <w:color w:val="auto"/>
        </w:rPr>
        <w:t>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81" w:lineRule="exact"/>
        <w:rPr>
          <w:sz w:val="20"/>
          <w:szCs w:val="20"/>
          <w:color w:val="auto"/>
        </w:rPr>
      </w:pPr>
    </w:p>
    <w:p>
      <w:pPr>
        <w:ind w:left="1240" w:right="4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limited manufacturing experience, there can be no assurance that we will be able to successfully manufacture product candidates to support our clinical development and commercialization plans.</w:t>
      </w:r>
    </w:p>
    <w:p>
      <w:pPr>
        <w:spacing w:after="0" w:line="67" w:lineRule="exact"/>
        <w:rPr>
          <w:rFonts w:ascii="Times New Roman" w:cs="Times New Roman" w:eastAsia="Times New Roman" w:hAnsi="Times New Roman"/>
          <w:sz w:val="18"/>
          <w:szCs w:val="18"/>
          <w:color w:val="auto"/>
        </w:rPr>
      </w:pPr>
    </w:p>
    <w:p>
      <w:pPr>
        <w:jc w:val="both"/>
        <w:ind w:left="1240" w:right="4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81" w:lineRule="exact"/>
        <w:rPr>
          <w:rFonts w:ascii="Times New Roman" w:cs="Times New Roman" w:eastAsia="Times New Roman" w:hAnsi="Times New Roman"/>
          <w:sz w:val="18"/>
          <w:szCs w:val="18"/>
          <w:color w:val="auto"/>
        </w:rPr>
      </w:pPr>
    </w:p>
    <w:p>
      <w:pPr>
        <w:ind w:left="1240" w:right="22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81"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significantly on our ability to operate without infringing, misappropriating or otherwise violating the patents and other intellectual property and proprietary rights of third parties.</w:t>
      </w:r>
    </w:p>
    <w:p>
      <w:pPr>
        <w:spacing w:after="0" w:line="67"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81"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shares of our common stock in the public market could cause our stock price to fall. There is no public market for the Series A Warrants or Series B Warrants being offered in this offering.</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Series A Warrants and Series B Warrants will have no rights as common stockholders until such holders exercise their Series A Warrants or Series B Warrants, as the case may be, and acquire our common stock.</w:t>
      </w:r>
    </w:p>
    <w:p>
      <w:pPr>
        <w:spacing w:after="0" w:line="67"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holders or beneficial owners of our common stock may not be permitted to exercise the Series A Warrants and Series B Warrants that they hold.</w:t>
      </w:r>
    </w:p>
    <w:p>
      <w:pPr>
        <w:spacing w:after="0" w:line="67" w:lineRule="exact"/>
        <w:rPr>
          <w:rFonts w:ascii="Times New Roman" w:cs="Times New Roman" w:eastAsia="Times New Roman" w:hAnsi="Times New Roman"/>
          <w:sz w:val="18"/>
          <w:szCs w:val="18"/>
          <w:color w:val="auto"/>
        </w:rPr>
      </w:pPr>
    </w:p>
    <w:p>
      <w:pPr>
        <w:jc w:val="both"/>
        <w:ind w:left="1240" w:right="6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compliance with the minimum listing requirements of the Nasdaq Global Select Market, our common stock will be subject to delisting. Our ability and your ability to publicly or privately sell equity securities and the liquidity of our common stock could be adversely affected if our common stock is delisted.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August 2016. Our principal executive offices are located at 171 Oyster Point Boulevard, Suite 500, South San Francisco, CA 94080. Our telephone number is (650) 825-6990. Our website address is www.tenayatherapeutics.com. Information contained on, or accessible through, our website is not incorporated by reference into this prospectus supplement and should not be considered to be part of this prospectus supplement. The inclusion of our website address in this prospectus supplement is an inactive textual reference only.</w:t>
      </w:r>
    </w:p>
    <w:p>
      <w:pPr>
        <w:spacing w:after="0" w:line="180"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Securities Exchange</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213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42132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500"/>
        <w:spacing w:after="0" w:line="312" w:lineRule="auto"/>
        <w:rPr>
          <w:sz w:val="20"/>
          <w:szCs w:val="20"/>
          <w:color w:val="auto"/>
        </w:rPr>
      </w:pPr>
      <w:r>
        <w:rPr>
          <w:rFonts w:ascii="Times New Roman" w:cs="Times New Roman" w:eastAsia="Times New Roman" w:hAnsi="Times New Roman"/>
          <w:sz w:val="17"/>
          <w:szCs w:val="17"/>
          <w:color w:val="auto"/>
        </w:rPr>
        <w:t>Act of 1934, as amended,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160"/>
        <w:spacing w:after="0" w:line="276" w:lineRule="auto"/>
        <w:rPr>
          <w:sz w:val="20"/>
          <w:szCs w:val="20"/>
          <w:color w:val="auto"/>
        </w:rPr>
      </w:pPr>
      <w:r>
        <w:rPr>
          <w:rFonts w:ascii="Times New Roman" w:cs="Times New Roman" w:eastAsia="Times New Roman" w:hAnsi="Times New Roman"/>
          <w:sz w:val="17"/>
          <w:szCs w:val="17"/>
          <w:color w:val="auto"/>
        </w:rPr>
        <w:t>We are an “emerging growth company” as defined the Jumpstart Our Business Startups Act of 2012 (the JOBS Act). We will remain an emerging growth company until the earliest to occur of: (1) the last day of the fiscal year in which we have more than $1.235 billion in annual revenue;</w:t>
      </w:r>
    </w:p>
    <w:p>
      <w:pPr>
        <w:spacing w:after="0" w:line="1" w:lineRule="exact"/>
        <w:rPr>
          <w:sz w:val="20"/>
          <w:szCs w:val="20"/>
          <w:color w:val="auto"/>
        </w:rPr>
      </w:pPr>
    </w:p>
    <w:p>
      <w:pPr>
        <w:ind w:left="300" w:hanging="2"/>
        <w:spacing w:after="0" w:line="251" w:lineRule="auto"/>
        <w:tabs>
          <w:tab w:leader="none" w:pos="5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 which will be December 31, 2026. As a result of this status, we have taken advantage of reduced reporting requirements in this prospectus and may elect to take advantage of other reduced reporting requirements in our future filings with the SEC. In particular, in this prospectus supplement, we have incorporated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we (1) are no longer an emerging growth company and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92" w:lineRule="exact"/>
        <w:rPr>
          <w:sz w:val="20"/>
          <w:szCs w:val="20"/>
          <w:color w:val="auto"/>
        </w:rPr>
      </w:pPr>
    </w:p>
    <w:p>
      <w:pPr>
        <w:ind w:left="300" w:right="80"/>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(1) the market value of our stock held by non-affiliates is less than $250 million or (2)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4120" w:type="dxa"/>
            <w:vAlign w:val="bottom"/>
            <w:tcBorders>
              <w:top w:val="single" w:sz="8" w:color="auto"/>
              <w:left w:val="single" w:sz="8" w:color="auto"/>
            </w:tcBorders>
          </w:tcPr>
          <w:p>
            <w:pPr>
              <w:spacing w:after="0"/>
              <w:rPr>
                <w:sz w:val="24"/>
                <w:szCs w:val="24"/>
                <w:color w:val="auto"/>
              </w:rPr>
            </w:pPr>
          </w:p>
        </w:tc>
        <w:tc>
          <w:tcPr>
            <w:tcW w:w="6900" w:type="dxa"/>
            <w:vAlign w:val="bottom"/>
            <w:tcBorders>
              <w:top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41"/>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Units Offered by Us</w:t>
            </w: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75,000,000 units, consisting of one share of our common stock, one Series A Warrant and</w:t>
            </w:r>
          </w:p>
        </w:tc>
      </w:tr>
      <w:tr>
        <w:trPr>
          <w:trHeight w:val="234"/>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one Series B Warrant.</w:t>
            </w:r>
          </w:p>
        </w:tc>
      </w:tr>
      <w:tr>
        <w:trPr>
          <w:trHeight w:val="441"/>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Series A Warrants Offered by Us</w:t>
            </w: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are offering Series A Warrants to purchase an aggregate of 75,000,000 shares of our</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 Each unit includes one Series A Warrant. Each Series A Warrant will be</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exercisable for one share of our common stock, will have an exercise price of $0.80 per</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 will be immediately exercisable and will expire five years from the date of issuance.</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See “Description of Securities—Series A Warrants.” This offering also relates to the shares</w:t>
            </w:r>
          </w:p>
        </w:tc>
      </w:tr>
      <w:tr>
        <w:trPr>
          <w:trHeight w:val="234"/>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common stock issuable upon exercise of the Series A Warrants.</w:t>
            </w:r>
          </w:p>
        </w:tc>
      </w:tr>
      <w:tr>
        <w:trPr>
          <w:trHeight w:val="441"/>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Series B Warrants Offered by Us</w:t>
            </w: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are offering Series B Warrants to purchase an aggregate of 37,500,000 shares of our</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 Each unit includes one Series B Warrant. Each Series B Warrant will be</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exercisable for one-half of a share of our common stock, will have an exercise price of</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$0.70 per share, will be immediately exercisable and will expire on June 30, 2026. See</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“Description of Securities—Series B Warrants.” This offering also relates to the shares of</w:t>
            </w:r>
          </w:p>
        </w:tc>
      </w:tr>
      <w:tr>
        <w:trPr>
          <w:trHeight w:val="234"/>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 issuable upon exercise of the Series B Warrants.</w:t>
            </w:r>
          </w:p>
        </w:tc>
      </w:tr>
      <w:tr>
        <w:trPr>
          <w:trHeight w:val="441"/>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to be Outstanding After this Offering</w:t>
            </w: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154,220,516 shares of common stock, excluding any shares issuable upon exercise of the</w:t>
            </w:r>
          </w:p>
        </w:tc>
      </w:tr>
      <w:tr>
        <w:trPr>
          <w:trHeight w:val="234"/>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Series A Warrants or Series B Warrants.</w:t>
            </w:r>
          </w:p>
        </w:tc>
      </w:tr>
      <w:tr>
        <w:trPr>
          <w:trHeight w:val="441"/>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cash</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equivalents and marketable securities, to fund the ongoing and planned development of our</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clinical and early-stage product candidates, particularly TN-201 and TN-401, and for</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working capital and other general corporate purposes. See “Use of Proceeds” on page S-18</w:t>
            </w:r>
          </w:p>
        </w:tc>
      </w:tr>
      <w:tr>
        <w:trPr>
          <w:trHeight w:val="234"/>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this prospectus supplement.</w:t>
            </w:r>
          </w:p>
        </w:tc>
      </w:tr>
      <w:tr>
        <w:trPr>
          <w:trHeight w:val="441"/>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Investing in our securities involves significant risks. You should read the “Risk Factors”</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on page S-14 of this prospectus supplement and in the documents incorporated by</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reference in this prospectus supplement and accompanying prospectus for a discussion of</w:t>
            </w:r>
          </w:p>
        </w:tc>
      </w:tr>
      <w:tr>
        <w:trPr>
          <w:trHeight w:val="234"/>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factors to consider carefully before deciding to purchase shares of our securities.</w:t>
            </w:r>
          </w:p>
        </w:tc>
      </w:tr>
      <w:tr>
        <w:trPr>
          <w:trHeight w:val="441"/>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Nasdaq Global Select Market Symbol for Common</w:t>
            </w: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w:t>
            </w:r>
          </w:p>
        </w:tc>
      </w:tr>
      <w:tr>
        <w:trPr>
          <w:trHeight w:val="234"/>
        </w:trPr>
        <w:tc>
          <w:tcPr>
            <w:tcW w:w="412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Stock</w:t>
            </w: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“TNYA.”</w:t>
            </w:r>
          </w:p>
        </w:tc>
      </w:tr>
      <w:tr>
        <w:trPr>
          <w:trHeight w:val="454"/>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 Listing of Warrants</w:t>
            </w: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There is no established trading market of the Series A Warrants or Series B Warrants, and</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do not expect a market to develop. We do not plan on applying to list the Series A</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Warrants or Series B Warrants on the Nasdaq Global Select Market, any other national</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securities exchange or any other nationally recognized trading system. Without an active</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market, the liquidity of the Series A Warrants and Series B Warrants will be</w:t>
            </w:r>
          </w:p>
        </w:tc>
      </w:tr>
      <w:tr>
        <w:trPr>
          <w:trHeight w:val="234"/>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limited. See “Description of Securities”.</w:t>
            </w:r>
          </w:p>
        </w:tc>
      </w:tr>
      <w:tr>
        <w:trPr>
          <w:trHeight w:val="172"/>
        </w:trPr>
        <w:tc>
          <w:tcPr>
            <w:tcW w:w="4120" w:type="dxa"/>
            <w:vAlign w:val="bottom"/>
            <w:tcBorders>
              <w:left w:val="single" w:sz="8" w:color="auto"/>
              <w:bottom w:val="single" w:sz="8" w:color="auto"/>
            </w:tcBorders>
          </w:tcPr>
          <w:p>
            <w:pPr>
              <w:spacing w:after="0"/>
              <w:rPr>
                <w:sz w:val="14"/>
                <w:szCs w:val="14"/>
                <w:color w:val="auto"/>
              </w:rPr>
            </w:pPr>
          </w:p>
        </w:tc>
        <w:tc>
          <w:tcPr>
            <w:tcW w:w="6900" w:type="dxa"/>
            <w:vAlign w:val="bottom"/>
            <w:tcBorders>
              <w:bottom w:val="single" w:sz="8" w:color="auto"/>
              <w:right w:val="single" w:sz="8" w:color="auto"/>
            </w:tcBorders>
          </w:tcPr>
          <w:p>
            <w:pPr>
              <w:spacing w:after="0"/>
              <w:rPr>
                <w:sz w:val="14"/>
                <w:szCs w:val="14"/>
                <w:color w:val="auto"/>
              </w:rPr>
            </w:pPr>
          </w:p>
        </w:tc>
      </w:tr>
      <w:tr>
        <w:trPr>
          <w:trHeight w:val="361"/>
        </w:trPr>
        <w:tc>
          <w:tcPr>
            <w:tcW w:w="4120" w:type="dxa"/>
            <w:vAlign w:val="bottom"/>
          </w:tcPr>
          <w:p>
            <w:pPr>
              <w:spacing w:after="0"/>
              <w:rPr>
                <w:sz w:val="24"/>
                <w:szCs w:val="24"/>
                <w:color w:val="auto"/>
              </w:rPr>
            </w:pPr>
          </w:p>
        </w:tc>
        <w:tc>
          <w:tcPr>
            <w:tcW w:w="69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S-11</w:t>
            </w: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6493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493510"/>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Delivery of Common Stock, Series A Warrants and</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Series B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shares of common stock included in the units will be delivered thorough the facilities of DTC. The Series A Warrants and Series B Warrants included in the units will be delivered to purchasers in certificated form.</w:t>
      </w:r>
    </w:p>
    <w:p>
      <w:pPr>
        <w:spacing w:after="0" w:line="176" w:lineRule="exact"/>
        <w:rPr>
          <w:sz w:val="20"/>
          <w:szCs w:val="20"/>
          <w:color w:val="auto"/>
        </w:rPr>
      </w:pPr>
    </w:p>
    <w:p>
      <w:pPr>
        <w:sectPr>
          <w:pgSz w:w="11900" w:h="16838" w:orient="portrait"/>
          <w:cols w:equalWidth="0" w:num="2">
            <w:col w:w="4000" w:space="34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The number of shares of our common stock outstanding after this offering is based on 79,220,516 shares of our common stock outstanding as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30, 2024, and excludes:</w:t>
      </w:r>
    </w:p>
    <w:p>
      <w:pPr>
        <w:spacing w:after="0" w:line="112" w:lineRule="exact"/>
        <w:rPr>
          <w:sz w:val="20"/>
          <w:szCs w:val="20"/>
          <w:color w:val="auto"/>
        </w:rPr>
      </w:pPr>
    </w:p>
    <w:p>
      <w:pPr>
        <w:ind w:left="1240" w:right="1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822,566 shares of common stock sold through our ATM program subsequent to September 30, 2024, at an average price of $1.45 per share;</w:t>
      </w:r>
    </w:p>
    <w:p>
      <w:pPr>
        <w:spacing w:after="0" w:line="67" w:lineRule="exact"/>
        <w:rPr>
          <w:rFonts w:ascii="Times New Roman" w:cs="Times New Roman" w:eastAsia="Times New Roman" w:hAnsi="Times New Roman"/>
          <w:sz w:val="18"/>
          <w:szCs w:val="18"/>
          <w:color w:val="auto"/>
        </w:rPr>
      </w:pPr>
    </w:p>
    <w:p>
      <w:pPr>
        <w:ind w:left="1240" w:right="24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9,600,781 shares of common stock issuable upon exercise of stock options outstanding as of September 30, 2024, at a weighted average exercise price of $6.80 per share (prior to taking into effect the repricing of option effected by the Company on January 24, 2025, and February 6, 2025);</w:t>
      </w:r>
    </w:p>
    <w:p>
      <w:pPr>
        <w:spacing w:after="0" w:line="81"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2,564,125 shares of our common stock issuable upon the exercise of options granted subsequent to September 30, 2024, at a weighted average exercise price of $1.25 per share (prior to taking into effect the repricing of options effected by the Company on January 24, 2025, and February 6, 2025);</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1,545,791 shares of common stock issuable upon vesting of restricted stock units outstanding as of September 30, 2024;</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1,441,353 shares of common stock issuable upon vesting of restricted stock units granted subsequent to September 30, 2024;</w:t>
      </w:r>
    </w:p>
    <w:p>
      <w:pPr>
        <w:spacing w:after="0" w:line="130" w:lineRule="exact"/>
        <w:rPr>
          <w:rFonts w:ascii="Times New Roman" w:cs="Times New Roman" w:eastAsia="Times New Roman" w:hAnsi="Times New Roman"/>
          <w:sz w:val="18"/>
          <w:szCs w:val="18"/>
          <w:color w:val="auto"/>
        </w:rPr>
      </w:pPr>
    </w:p>
    <w:p>
      <w:pPr>
        <w:ind w:left="1240" w:right="62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7,104,853 shares of common stock issued after September 30, 2024 upon exercise of all pre-funded warrants outstanding as of September 30, 2024, at an exercise price of $0.001 per share;</w:t>
      </w:r>
    </w:p>
    <w:p>
      <w:pPr>
        <w:spacing w:after="0" w:line="67"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171,848 shares of common stock issuable upon exercise of warrants outstanding as of September 30, 2024, at an exercise price of $2.55 per share;</w:t>
      </w:r>
    </w:p>
    <w:p>
      <w:pPr>
        <w:spacing w:after="0" w:line="67" w:lineRule="exact"/>
        <w:rPr>
          <w:rFonts w:ascii="Times New Roman" w:cs="Times New Roman" w:eastAsia="Times New Roman" w:hAnsi="Times New Roman"/>
          <w:sz w:val="18"/>
          <w:szCs w:val="18"/>
          <w:color w:val="auto"/>
        </w:rPr>
      </w:pPr>
    </w:p>
    <w:p>
      <w:pPr>
        <w:ind w:left="1240" w:right="26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4,816,971 shares of common stock reserved for issuance under our 2021 Equity Incentive Plan (the 2021 Plan) as of September 30, 2024, as well as shares that become available pursuant to provisions in our 2021 Plan that automatically increase the share reserve thereunder each year;</w:t>
      </w:r>
    </w:p>
    <w:p>
      <w:pPr>
        <w:spacing w:after="0" w:line="81"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1,200,000 shares of common stock reserved for issuance under our 2024 Inducement Equity Incentive Plan (the 2024 Plan) as of September 30, 2024; and</w:t>
      </w:r>
    </w:p>
    <w:p>
      <w:pPr>
        <w:spacing w:after="0" w:line="67" w:lineRule="exact"/>
        <w:rPr>
          <w:rFonts w:ascii="Times New Roman" w:cs="Times New Roman" w:eastAsia="Times New Roman" w:hAnsi="Times New Roman"/>
          <w:sz w:val="18"/>
          <w:szCs w:val="18"/>
          <w:color w:val="auto"/>
        </w:rPr>
      </w:pPr>
    </w:p>
    <w:p>
      <w:pPr>
        <w:ind w:left="1240" w:right="16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2,567,746 shares of common stock reserved for issuance under our 2021 Employee Stock Purchase Plan (the 2021 ESPP) as of September 30, 2024, as well as shares that become available pursuant to provisions in our 2021 ESPP that automatically increase the share reserve thereunder each year.</w:t>
      </w:r>
    </w:p>
    <w:p>
      <w:pPr>
        <w:spacing w:after="0" w:line="176"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On August 10, 2022, we entered into a sales agreement with Leerink Partners LLC (the Sales Agreement) with respect to an “at-the-market” (ATM) program pursuant to which we may sell up to $75.0 million of shares of our common stock. As of the date of this prospectus supplement, we have sold an aggregate of 1,358,333 shares of our common stock under this program for aggregate gross proceeds of $5.2 million, resulting in $69.8 million of shares of our common stock remaining for future sale under this program. On March 3, 2025, we suspended and terminated the prospectus related to our common stock issuable pursuant to the Sales Agreement. As a result, we will not make any sales of our securities pursuant to the Sales Agreement unless and until a new prospectus, prospectus supplement or a new registration statement is filed.</w:t>
      </w:r>
    </w:p>
    <w:p>
      <w:pPr>
        <w:spacing w:after="0" w:line="187" w:lineRule="exact"/>
        <w:rPr>
          <w:sz w:val="20"/>
          <w:szCs w:val="20"/>
          <w:color w:val="auto"/>
        </w:rPr>
      </w:pPr>
    </w:p>
    <w:p>
      <w:pPr>
        <w:jc w:val="both"/>
        <w:ind w:left="300" w:right="20"/>
        <w:spacing w:after="0" w:line="261"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or settlement of the outstanding options or warrants or vesting of outstanding restricted stock units or other equity awards described above, no grant of additional awards under our 2021 Plan and 2024 Plan, no issuance of shares under the 2021 ESPP, no issuance of shares under the ATM program, and no exercise of the Series A Warrants or Series B Warrants, in each case, after September 30, 2024.</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0940"/>
          </w:cols>
          <w:pgMar w:left="320" w:top="455" w:right="6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921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9213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Certain existing stockholders, including stockholders affiliated with certain of our directors, are participating in this offering and have expressed an interest in purchasing an aggregate of $25,000,000 of our units on the same terms as the other investors in this offering. However, because these indications of interest are not binding agreements or commitments to purchase, the underwriters may determine to sell more, less or no units in this offering to any or all of these potential purchasers, or any or all of these potential purchasers may determine to purchase more, less or no units in this offering. See the section titled “Underwriting” for more information regarding these arrangements.</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0900"/>
          </w:cols>
          <w:pgMar w:left="320" w:top="455" w:right="6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making a decision to invest in our securities, in addition to carefully considering the other information contained in this prospectus supplement, in the accompanying prospectus and in the documents incorporated by reference herein or therein, you should carefully consider the risks described below, as well as the risks discussed under the caption “Risk Factors” contained in our most recent annual report on Form 10-K and in our most recent quarterly reports on Form 10-Q, as well as any amendments thereto, which are incorporated by reference into this prospectus supplement in their entirety. The risks described in these documents are not the only ones we face. There may be other unknown or unpredictable economic, business, competitive, regulatory or other factors that could harm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prospects could be harmed. This could cause the trading price of our common stock to decline, resulting in a loss of all or part of your investment. See “Where You Can Find More Information” and “Incorporation of Certain Information by Reference.”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vesting of outstanding restricted stock units and the exercise of our outstanding options and warrants will dilute stockholders and could decrease our stock price.</w:t>
      </w:r>
    </w:p>
    <w:p>
      <w:pPr>
        <w:spacing w:after="0" w:line="51"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The vesting of outstanding restricted stock units and the exercise of our outstanding options and warrants may adversely affect our stock price due to sales of a large number of shares or the perception that such sales could occur. These factors also could make it more difficult to raise funds through future offerings of our securities, and could adversely impact the terms under which we could obtain additional equity capital. Exercise of outstanding options and warrants or any future issuance of additional shares of common stock or other securities, including, but not limited to preferred stock, options, warrants, restricted stock units or other derivative securities convertible into our common stock, may result in significant dilution to our stockholders and may decrease our stock price.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September 30, 2024, we had 79,220,516 shares of our common stock outstanding. If our stockholders sell, or the market perceives that our stockholders intend to sell, a substantial amount of our common stock in the public market, the market price of our common stock could decline significantly. Sales of a substantial number of shares of our common stock in the public market could occur at any time, including by us pursuant to our existing “at-the-market” program, under which, as of March 3, 2025, we may issue and sell up to approximately $69.8 million in additional shares of our common stock (provided we file a new prospectus, prospectus supplement or registration statement to register these shares).</w:t>
      </w:r>
    </w:p>
    <w:p>
      <w:pPr>
        <w:spacing w:after="0" w:line="183"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Shares issued upon the exercise of stock options or the vesting of restricted stock units outstanding under our equity incentive plans or pursuant to future awards granted under those plans will become available for sale in the public market to the extent permitted by the provisions of applicable vesting schedules and by Rule 144 and by Rule 701 under the Securities Act.</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to use the net proceeds from this offering and its investment of these proceeds may not yield a favorable return.</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management team will have broad discretion in the application of the net proceeds from this offering and could spend or invest the proceeds in ways that may not yield a favorable return or enhance the value of our common stock. Accordingly, investors will need to rely on our management team’s judgment with respect to the use of these proceeds. We intend to use the proceeds from this offering in the manner described in the section titled “Use of Proceeds.” The failure by management to apply these funds effectively could negatively affect our ability to operate and grow our business. We cannot specify with certainty all of the particular uses for the net proceeds to be received upon the completion of this offering. In addition, the amount, allocation and timing of our actual expenditures will depend upon numerous factors, including any milestone payments received from any future strategic partnerships. Accordingly, we will have broad discretion in using these proceeds. Until the net proceeds are used, they may be placed in investments that do not produce significant income or that may lose value.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and, accordingly, stockholders must rely on share appreciation for any return on their investment.</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As a result, capital appreciation, if any, of our common stock will be your sole source of gain on your investment for the foreseeable future. Investors seeking cash dividends should not invest in our common stock.</w:t>
      </w:r>
    </w:p>
    <w:p>
      <w:pPr>
        <w:spacing w:after="0" w:line="284"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including purchasers of our securities in this offering, restrict our operations or require us to relinquish substantial rights.</w:t>
      </w:r>
    </w:p>
    <w:p>
      <w:pPr>
        <w:spacing w:after="0" w:line="5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preclinical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298"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expect our operating results to be subject to fluctuations. Our net loss and other operating results will be affected by numerous factors, including:</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product candidates or future development programs;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or the addition or termination of preclinical studies and clinical trials or funding support by us or potential future collaborators;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potential future arrangements or the termination or modification of any of our existing or potential future collaboration, licensing or similar arrangements;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misappropriation or violation lawsuit or opposition, interference or cancellation proceeding in which we may become involved;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products and changes in the competitive landscape of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our operating results or announcements related to our product candidates fall below the expectations of investors or securities analysts, the price of our common stock could decline substantially. Furthermore, any fluctuations in our operating results or announcements related to our product candidates may, in turn, cause the price of our stock to fluctuate substantially. We believe that comparisons of our financial results are not necessarily meaningful and should not be relied upon as an indication of our future performance.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Series A Warrants or Series B Warrants being offered in this offering.</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There is no public trading market for the Series A Warrants or Series B Warrants being offered in this offering, and we do not expect a market to develop. In addition, we do not intend to list the Series A Warrants or Series B Warrants on the Nasdaq Global Select Market or any other national securities exchange or nationally recognized trading system, and we do not intend to make any of the Series A Warrants or Series B Warrants eligible to be traded through the facilities of DTC or any other clearinghouse. Without an active trading market, the liquidity of the Series A Warrants and Series B Warrants will be limited.</w:t>
      </w:r>
    </w:p>
    <w:p>
      <w:pPr>
        <w:spacing w:after="0" w:line="28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Series A Warrants and Series B Warrants will have no rights as common stockholders until such holders exercise their warrants and acquire our common stock.</w:t>
      </w:r>
    </w:p>
    <w:p>
      <w:pPr>
        <w:spacing w:after="0" w:line="5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Until holders of the Series A Warrants and Series B Warrants exercise their Series A Warrants or Series B Warrants, respectively, and acquire shares of our common stock, such holders will have no rights with respect to the shares of our common stock underlying such Series A Warrants or Series B Warrants.</w:t>
      </w:r>
    </w:p>
    <w:p>
      <w:pPr>
        <w:spacing w:after="0" w:line="280"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owners of our common stock may not be permitted to exercise the Series A Warrants or Series B Warrants that they hold.</w:t>
      </w:r>
    </w:p>
    <w:p>
      <w:pPr>
        <w:spacing w:after="0" w:line="5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A holder of the Series A Warrants or Series B Warrants will not be entitled to exercise any portion of any Series A Warrants or Series B Warrants that, upon giving effect to such exercise, would cause (i) the aggregate number of shares of our common stock beneficially owned by such holder (together with its affiliates) to exceed 4.99% or, at the election of the holder prior to the issuance of such warrant, 9.99% of the number of shares of our common stock outstanding immediately after giving effect to the exercise; or (ii) the combined voting power of our securities beneficially owned by such holder (together with its affiliates) to exceed 4.99% or, at the election of the holder prior to the issuance of such warrant, 9.99% of the combined voting power of all of our securities outstanding immediately after giving effect to the exercise, as such percentage ownership is determined in accordance with the terms of the Series A Warrants or Series B Warrants and subject to such holder’s rights under these warrants to increase or decrease such percentage to any other percentage not in excess of 19.99% (or at the election of the holder prior to the issuance of such warrant, 9.99%) upon at least 61 days’ prior notice from the holder to us. As a result, you may not be able to exercise your Series A Warrants or Series B Warrants for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at a time when it would be financially beneficial for you to do so. In such a circumstance, you could seek to sell your Series A Warrants or Series B Warrants to realize value, but you may be unable to do so in the absence of an established trading market.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Securities Market and Ownership of Our Securities</w:t>
      </w:r>
    </w:p>
    <w:p>
      <w:pPr>
        <w:spacing w:after="0" w:line="117"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compliance with the minimum listing requirements of the Nasdaq Global Select Market, our common stock will be subject to delisting. Our ability to publicly or privately sell equity securities and the liquidity of our common stock could be adversely affected if our common stock is delisted.</w:t>
      </w:r>
    </w:p>
    <w:p>
      <w:pPr>
        <w:spacing w:after="0" w:line="6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continued listing standards of the Nasdaq Global Select Market (Nasdaq) require, among other things, that the minimum price of a listed company’s stock be at or above $1.00. If the bid price of our common stock were to close below the minimum $1.00 per share requirement and we failed to regain compliance prior to the expiration of the initial 30 consecutive trading days, we would expect to receive a notification of noncompliance from Nasdaq. In accordance with Nasdaq’s listing rules, we would expect to be afforded 180 calendar days to regain compliance with the bid price requirement. In order to regain compliance, the bid price of our common stock would need to close at a price of at least $1.00 per share for a minimum of 10 consecutive trading days within the 180-day grace period. In the event we did not regain compliance by the end of the Compliance Period, we might be eligible for additional time to regain compliance (the Second Compliance Period) pursuant to Nasdaq Listing Rule 5810(c)(3)(A)(i) by transferring to the Nasdaq Capital Market. To qualify for the Second Compliance Period, we would need to submit a transfer application and pay an application fee. In addition, we would be required to meet the continued listing requirement for the market value of our publicly held shares and all other initial listing standards for Nasdaq, with the exception of the bid price requirement, and would need to provide written notice of our intention to cure the deficiency during the Second Compliance Period, by effecting a reverse stock split, if necessary. There can be no assurance that we would be eligible for the Second Compliance Period, if applicable, or that the Staff would grant our request for continued listing subsequent to any delisting notification and there can be no assurance that we would be able to regain or maintain compliance with the minimum bid price requirement or any other Nasdaq listing standards, if applicable.</w:t>
      </w:r>
    </w:p>
    <w:p>
      <w:pPr>
        <w:spacing w:after="0" w:line="197"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If we failed to regain compliance, our common stock would be subject to delisting. 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to us from the issuance and sale of units in this offering will be approximately $48.9 million, after deducting underwriting discounts and commissions and estimated offering expenses payable by us and excluding the proceeds, if any, from the exercise of the Series A Warrants and Series B Warrants issued in this offering.</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cash equivalents and marketable securities, to fund the ongoing and planned development of our clinical and early-stage product candidates, particularly TN-201 and TN-401, and for working capital and other general corporate purposes.</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Pending the specific use of net proceeds as described in this prospectus supplement, we intend to invest the net proceeds to us from this offering in short and intermediate-term investment grade instruments, certificates of deposit or guaranteed obligations of the U.S. government in accordance with our investment policy.</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Our expected use of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183"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net proceeds from this offering, together with our existing cash, cash equivalents and marketable securities, will not be sufficient for us to fund our clinical programs into late-stage development, and we will need to raise additional capital to achieve our business objectives.</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60"/>
          </w:cols>
          <w:pgMar w:left="320" w:top="455" w:right="5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A Warrants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Series A Warrants being offered by this prospectus supplement. The following description is subject in all respects to the provisions contained in the Series A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Series A Warrants will be issued as individual warrant agreements to the investors. The form of Series A Warrant will also be filed as an exhibit to a Current Report on Form 8-K that we expect to file with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Series A Warrants will expire five years from the date of original issuance.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Series A Warrants are exercisable at any time on or after their original issuance. The Series A Warrants will be exercisable, at the option of each holder, in whole or in part by delivering to us a duly executed exercise notice and by payment in full in immediately available funds for the number of shares of common stock purchased upon such exercise. No fractional shares of common stock will be issued in connection with the exercise of a Series A Warrant. In lieu of fractional shares, the number of shares shall be rounded down to the next whole number and we will pay the holder an amount in cash equal to the fair market value of the common stock on the exercise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Limitations</w:t>
      </w:r>
    </w:p>
    <w:p>
      <w:pPr>
        <w:spacing w:after="0" w:line="121"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We may not effect the exercise of any Series A Warrant, and a holder will not be entitled to exercise any portion of any Series A Warrant that, upon giving effect to such exercise, would cause: (i) the aggregate number of shares of our common stock beneficially owned by such holder (together with its affiliates) to exceed 4.99% or, at the election of the holder prior to the issuance of the warrant, 9.99% of the number of shares of our common stock outstanding immediately after giving effect to the exercise; or (ii) the combined voting power of our securities beneficially owned by such holder (together with its affiliates) to exceed 4.99% or, at the election of the holder prior to the issuance of the warrant, 9.99% of the combined voting power of all of our securities outstanding immediately after giving effect to the exercise, as such percentage ownership is determined in accordance with the terms of the Series A Warrants. However, any holder of a Series A Warrant may increase or decrease such percentage to any other percentage not in excess of 19.99% (or at the election of the holder prior to the issuance of the Series A Warrant, 9.99%) upon at least 61 days’ prior notice from the holder to us.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121" w:lineRule="exact"/>
        <w:rPr>
          <w:sz w:val="20"/>
          <w:szCs w:val="20"/>
          <w:color w:val="auto"/>
        </w:rPr>
      </w:pPr>
    </w:p>
    <w:p>
      <w:pPr>
        <w:jc w:val="both"/>
        <w:ind w:left="120" w:right="240"/>
        <w:spacing w:after="0" w:line="261" w:lineRule="auto"/>
        <w:rPr>
          <w:sz w:val="20"/>
          <w:szCs w:val="20"/>
          <w:color w:val="auto"/>
        </w:rPr>
      </w:pPr>
      <w:r>
        <w:rPr>
          <w:rFonts w:ascii="Times New Roman" w:cs="Times New Roman" w:eastAsia="Times New Roman" w:hAnsi="Times New Roman"/>
          <w:sz w:val="18"/>
          <w:szCs w:val="18"/>
          <w:color w:val="auto"/>
        </w:rPr>
        <w:t>The exercise price per whole share of our common stock purchasable upon the exercise of the Series A Warrants is $0.80 per share of common stock. The exercise price of the Series A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If, at the time a holder exercises its Series A Warrants, a registration statement registering the issuance of the shares of common stock underlying the Series A Warrants under the Securities Act is not then effective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Series A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applicable laws, the Series A Warrants may be offered for sale, sold, transferred or assigned without our consent.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Delivery of Warrant Shares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Upon exercise of the Series A Warrants, upon the request of the holder, we will credit such aggregate number of shares of common stock to which the holder is entitled pursuant to such exercise to the holder’s or its designee’s balance account with DTC.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Series A Warrants may be amended only with the written consent of the holder.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B Warrants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Series B Warrants being offered by this prospectus supplement. The following description is subject in all respects to the provisions contained in the Series B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Series B Warrants will be issued as individual warrant agreements to the investors. The form of Series B Warrant will also be filed as an exhibit to a Current Report on Form 8-K that we expect to file with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Series B Warrants will expire on June 30, 2026.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Series B Warrants are exercisable at any time on or after their original issuance. The Series B Warrants will be exercisable, at the option of each holder, in whole or in part by delivering to us a duly executed exercise notice and by payment in full in immediately available funds for the number of shares of common stock purchased upon such exercise. No fractional shares of common stock will be issued in connection with the exercise of a Series B Warrant. In lieu of fractional shares, the number of shares shall be rounded down to the next whole number and we will pay the holder an amount in cash equal to the fair market value of the common stock on the exercise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Limitations</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We may not effect the exercise of any Series B Warrant, and a holder will not be entitled to exercise any portion of any Series B Warrant that, upon giving effect to such exercise, would cause: (i) the aggregate number of shares of our common stock beneficially owned by such holder (together with its affiliates) to exceed 4.99% or, at the election of the holder prior to the issuance of the warrant, 9.99% of the number of shares of our common stock outstanding immediately after giving effect to the exercise; or (ii) the combined voting power of our securities beneficially owned by such holder (together with its affiliates) to exceed 4.99% or, at the election of</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holder prior to the issuance of the warrant, 9.99% of the combined voting power of all of our securities outstanding immediately after giving effect to the exercise, as such percentage ownership is determined in accordance with the terms of the Series B Warrants. However, any holder of a Series B Warrant may increase or decrease such percentage to any other percentage not in excess of 19.99% (or at the election of the holder prior to the issuance of the Series B Warrant, 9.99%) upon at least 61 days’ prior notice from the holder to 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121" w:lineRule="exact"/>
        <w:rPr>
          <w:sz w:val="20"/>
          <w:szCs w:val="20"/>
          <w:color w:val="auto"/>
        </w:rPr>
      </w:pPr>
    </w:p>
    <w:p>
      <w:pPr>
        <w:jc w:val="both"/>
        <w:ind w:left="120" w:right="280"/>
        <w:spacing w:after="0" w:line="261" w:lineRule="auto"/>
        <w:rPr>
          <w:sz w:val="20"/>
          <w:szCs w:val="20"/>
          <w:color w:val="auto"/>
        </w:rPr>
      </w:pPr>
      <w:r>
        <w:rPr>
          <w:rFonts w:ascii="Times New Roman" w:cs="Times New Roman" w:eastAsia="Times New Roman" w:hAnsi="Times New Roman"/>
          <w:sz w:val="18"/>
          <w:szCs w:val="18"/>
          <w:color w:val="auto"/>
        </w:rPr>
        <w:t>The exercise price per whole share of our common stock purchasable upon the exercise of the Series B Warrants is $0.70 per share of common stock. The exercise price of the Series B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at the time a holder exercises its Series B Warrants, a registration statement registering the issuance of the shares of common stock underlying the Series B Warrants under the Securities Act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Series B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applicable laws, the Series B Warrants may be offered for sale, sold, transferred or assigned without our consent.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Delivery of Warrant Shares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Upon exercise of the Series B Warrants, upon the request of the holder, we will credit such aggregate number of shares of common stock to which the holder is entitled pursuant to such exercise to the holder’s or its designee’s balance account with DTC.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Series B Warrants may be amended only with the written consent of the holder.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There is no established trading market for the Series A Warrants or Series B Warrants, and we do not expect a market to develop. We do not plan on applying to list the Series A Warrants or Series B Warrants on the Nasdaq Global Select Market, any other national securities exchange or any other nationally recognized trading system.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Fundamental Transactions</w:t>
      </w:r>
    </w:p>
    <w:p>
      <w:pPr>
        <w:spacing w:after="0" w:line="121"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Series A Warrants and Series B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Series A Warrants and Series B Warrants will be entitled to receive upon exercise of the Series 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Warrants and Series B Warrants the kind and amount of securities, cash or other property that the holders would have received had they exercised the Series A Warrants or Series B Warrants immediately prior to such fundamental transaction.</w:t>
      </w:r>
    </w:p>
    <w:p>
      <w:pPr>
        <w:spacing w:after="0" w:line="162"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In the event a holder does not exercise its Series B Warrants in connection with a fundamental transaction, such holder’s Series B Warrants will be deemed exercised in full pursuant to the “cashless exercise” mechanism described above upon the consummation of such transaction.</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event a holder does not exercise its Series A Warrants in connection with a fundamental transaction, we or our successor or acquiring corporation shall, at such holder’s option, exercisable at any time concurrently with, or within thirty days after, the consummation of the fundamental transaction (or, if later, the date of the public announcement of the applicable fundamental transaction), purchase the Series A Warrant from the holder by paying to the holder an amount of cash equal to the Black Scholes value of the remaining unexercised portion of the Series A Warrants on the date of the consummation of such fundamental transaction, subject to certain limitations and conditions as set forth in the Series A Warrant.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as a Stockholder</w:t>
      </w:r>
    </w:p>
    <w:p>
      <w:pPr>
        <w:spacing w:after="0" w:line="121"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auto"/>
        </w:rPr>
        <w:t>Except by virtue of such holder’s ownership of shares of our common stock, the holder of a Series A Warrant or Series B Warrant does not have the rights or privileges of a holder of our common stock, including any voting rights, until the holder exercises such Series A Warrant or Series B Warrant.</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the ownership and disposition of our common stock, Series A Warrants and Series B Warrants acquired in this offering, but does not purport to be a complete analysis of all the potential tax considerations relating thereto. In this section titled “Material U.S. Federal Income Tax Consequences, we refer to the Series A Warrants and Series B Warrants issued in this offering, collectively, as the warrants.</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Because the components of a unit are generally separable at the option of the holder, you will be treated for U.S. federal income tax purposes as the owner of the applicable underlying common stock and/or warrants. As a result, the discussion below with respect to beneficial owners of common stock or warrants will also apply to beneficial owners of units. This summary is based upon the provisions of the United States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This summary also does not address the tax considerations arising under the laws of any non-U.S., state or local jurisdiction, under U.S. federal gift and estate tax rules nor does it address any aspects of the alternative minimum tax, the special tax accounting rules under Section 451(b) of the Code, or the Medicare tax on net investment income. In addition, this discussion does not address tax considerations applicable to an investor’s particular circumstances or to investors that may be subject to special tax rules, including, without limitation:</w:t>
      </w:r>
    </w:p>
    <w:p>
      <w:pPr>
        <w:spacing w:after="0" w:line="85"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regulated investment companies, real estate investment trusts or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and tax-qualified retirement plans;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tax accounting for their securities holdings;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five percent of our capital stock (except to the extent specifically set forth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common stock pursuant to the exercise of any employee stock option or otherwise as compensation;</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or warrants as a position in a hedging transaction, “straddle,” “conversion transaction” or other risk reduction transaction;</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or warrants as a capital asset within the meaning of Section 1221 of the Code (generally, property held for investment);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or warrants under the constructive sale provisions of the Code.</w:t>
      </w:r>
    </w:p>
    <w:p>
      <w:pPr>
        <w:spacing w:after="0" w:line="225"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In addition, if a partnership, entity or arrangement classified as a partnership or flow-through entity for U.S. federal income tax purposes holds our common stock or warrants, the tax treatment of a partner (or an owner) in such partnership or other entity generally will depend on the status of the partner and upon the activities of the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060"/>
          </w:cols>
          <w:pgMar w:left="320" w:top="455" w:right="5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partnership or other entity. A partner (or an owner) in a partnership or other such entity that will hold our common stock or warrants should consult his, her or its own tax advisor regarding the tax consequences of the ownership and disposition of our common stock or warrants through a partnership or other such entity, as applicable.</w:t>
      </w:r>
    </w:p>
    <w:p>
      <w:pPr>
        <w:spacing w:after="0" w:line="172"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or warrants, arising under the U.S. federal gift or estate tax rules or under the laws of any state, local, non-U.S. or other taxing jurisdiction or under any applicable tax treaty.</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 and Non-U.S. Holder Defined</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you are a “U.S. holder” if you are a beneficial owner (other than a partnership or other entity or arrangement classified as a partnership for U.S. federal income tax purposes) of our common stock or warrants that, for U.S. federal income tax purposes, is:</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the United States or under the laws of the United States or any political subdivision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jc w:val="both"/>
        <w:ind w:left="1080" w:right="36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whose administration is subject to the primary supervision of a U.S. court and that has one or more U.S. persons (within the meaning of the Code) who have the authority to control all substantial decisions of the trust or (2) that has made a valid election under applicable Treasury regulations to be treated as a U.S. person.</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you are a “non-U.S. holder” if you are a beneficial owner of our common stock or warrants that is not a U.S. holder or a partnership (or other entity or arrangement classified as a partnership for U.S. federal income tax purposes).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No statutory, administrative or judicial authority directly addresses the treatment of a unit, or similar instruments, for federal income tax purposes, and therefore, that treatment is not entirely clear. Under general U.S. federal income tax principles, the acquisition of a unit should be treated as the acquisition of one share of common stock, one Series A Warrant to acquire one share of our common stock, and one Series B Warrant to acquire one-half of a share of our common stock. The purchase price for each investment unit must be allocated by you between these three components in proportion to their relative fair market values at the time you purchase the unit. Under U.S. federal income tax law, each investor must make his or her own determination of these values based on all the facts and circumstances. Therefore, you should consult your tax advisor regarding the determination of value for these purposes. This allocation of the purchase price for each unit will establish your initial tax basis for U.S. federal income tax purposes in the share of common stock and the warrants.</w:t>
      </w:r>
    </w:p>
    <w:p>
      <w:pPr>
        <w:spacing w:after="0" w:line="192"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Any disposition of a unit will be treated for U.S. federal income tax purposes as a disposition of the share of common stock and the warrants and the amount realized on the disposition must be allocated by you between the components according to their respective relative fair market values (as determined by you based on all the relevant facts and circumstances) at the time of disposition. The separation of the share of common stock and the warrants included in each unit should not be a taxable event for U.S. federal income tax purposes. You should consult your own tax advisor regarding the allocation of the purchase price for a unit.</w:t>
      </w:r>
    </w:p>
    <w:p>
      <w:pPr>
        <w:spacing w:after="0" w:line="183"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foregoing treatment of the units, common stock and warrants, and your purchase price allocation, are not binding on the IRS or the courts. Because there are no authorities that directly address instruments that are similar to the units, no assurance can be given that the IRS or a court will agree with the characterization described above or the discussion below. The remainder of this discussion assumes that the characterization of the units described above is respected for U.S. federal income tax purposes.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Applicable to 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as described below under “Tax Consequences Applicable to U.S. Holders— Gain on Disposition of Common Stock or Warrants.” If you are a non-corporate U.S. holder, and certain requirements are met, a preferential U.S. federal income tax rate will apply to any dividends paid to you if you meet certain holding period requirements.</w:t>
      </w:r>
    </w:p>
    <w:p>
      <w:pPr>
        <w:spacing w:after="0" w:line="19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you are a corporate shareholder, distributions constituting dividends for U.S. federal income tax purposes will generally be eligible for the dividends received deduction, or “DRD.” No assurance can be given that we will have sufficient earnings and profits (as determined under U.S. federal income tax principles) to cause any distributions to be eligible for a DRD. In addition, a DRD is available only if certain holding periods and other taxable income requirements are satisfied.</w:t>
      </w:r>
    </w:p>
    <w:p>
      <w:pPr>
        <w:spacing w:after="0" w:line="180"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taxation of a distribution received with respect to a warrant is unclear. It is possible such a distribution would be treated as a distribution as described in this section, although other treatments may also be possible. You should consult your tax advisors regarding the proper treatment of any payments in respect of the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Common Stock or Warrants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Upon a sale or other taxable disposition of common stock or warrants, you generally will recognize capital gain or loss in an amount equal to the difference between the amount realized and your adjusted tax basis in the common stock or warrant. Your adjusted tax basis will generally equal your acquisition cost, and will be determined as discussed above under “—Allocation of Purchase Price”, and if the common stock or warrants were sold as part of units, the portion of amount realized allocable to each component will be determined as discussed under that section. Capital gain or loss will constitute long-term capital gain or loss if your holding period for the common stock or warrant exceeds one year. The deductibility of capital losses is subject to certain limitations. U.S. holders who recognize losses with respect to a disposition of our common stock or warrants should consult their own tax advisors regarding the tax treatment of such losses.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and Expiration of Warrants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general, you will not recognize gain or loss for U.S. federal income tax purposes upon exercise of a warrant. You will take a tax basis in the common stock acquired on the exercise of a warrant equal to the exercise price of the warrant, increased by your adjusted tax basis (determined as discussed above under “—Allocation of Purchase Price”) in the warrant exercised. It is unclear whether your holding period for the common stock acquired on the exercise of warrants will begin on the date following the date of exercise or on the date of exercise of the warrants; in either case, the holding period will not include the period during which you held the warrants.</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certain limited circumstances, you may be permitted to undertake a cashless exercise of warrants into our common stock. The U.S. federal income tax treatment of a cashless exercise of warrants into our common stock is unclear, and the tax consequences of a cashless exercise could differ from the consequences upon the exercise of a warrant described in the preceding paragraph. You should consult their own tax advisors regarding the U.S. federal income tax consequences of a cashless exercise of warrants.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lapse or expiration of a warrant will be treated as if you sold or exchanged the warrant and recognized a capital loss equal to your tax basis in the warrant. The deductibility of capital losses is subject to limitations.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to Warrants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Under Section 305 of the Code, an adjustment to the number of shares of common stock that will be issued on the exercise of the warrants, or an adjustment to the exercise price of the warrants, may be treated as a constructive distribution to you of the warrants if, and to the extent that, such adjustment has the effect of increasing your proportionate interest in our “earnings and profits” or assets, depending on the circumstances of such adjustment (for example, if such adjustment is to compensate for a distribution of cash or other property to our shareholders). Any such adjustment that is treated as a constructive distribution would be treated as a dividend, to the extent described above under “Tax Consequences Applicable to U.S. Holders—Distributions.” You should consult your tax advisor regarding the proper tax treatment of any such adjustment.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payments of dividends (including constructive dividends) on the common stock or warrants and to the proceeds of a sale or other disposition of common stock or warrants paid to you unless you are an exempt recipient, such as certain corporations. Backup withholding at a current rate of 24% will apply to those payments if you fail to provide your taxpayer identification number (generally in the form of a properly completed and executed IRS Form W-9), or certification of exempt status or if you otherwise fail to comply with applicable requirements to establish an exemption.</w:t>
      </w:r>
    </w:p>
    <w:p>
      <w:pPr>
        <w:spacing w:after="0" w:line="18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Applicable to Non-U.S.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However, if we do make distributions on our common stock, those payments generally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treated as described below in “Tax Consequences Applicable to Non-U.S. Holders—Gain on Disposition of Common Stock or Warrants.”</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Subject to the discussions below on effectively connected income and provisions of the Code referred to as the “Foreign Account Tax Compliance Act,” or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the applicable withholding agent with an IRS Form W-8BEN or W-8BEN-E or other appropriate version of IRS Form W-8 certifying qualification for the reduced rate. A non-U.S. holder of shares of our common stock or warrants eligible for a reduced rate of U.S. federal withholding tax pursuant to an income tax treaty may obtain a refund of any excess amounts withheld by timely filing an appropriate claim for refund with the IRS. If the non-U.S. holder holds our common stock or warrants through a financial institution or other agent acting on the non-U.S. holder’s behalf, the non-U.S. holder will be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080"/>
          </w:cols>
          <w:pgMar w:left="320" w:top="455"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required to provide appropriate documentation to the agent, which then will be required to provide certification to the applicable withholding agent, either directly or through other intermediaries.</w:t>
      </w:r>
    </w:p>
    <w:p>
      <w:pPr>
        <w:spacing w:after="0" w:line="16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 below on backup withholding and FATCA. In order to obtain this exemption, you must provide the applicable withholding agent with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or warrants including any applicable tax treaties that may provide for different rules.</w:t>
      </w:r>
    </w:p>
    <w:p>
      <w:pPr>
        <w:spacing w:after="0" w:line="194"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taxation of a distribution received with respect to a warrant is unclear. It is possible such a distribution would be treated as a distribution as described in this section, although other treatments may also be possible. You should consult your own tax advisors regarding the proper treatment of any payments in respect of the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Common Stock or Warrants</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FATCA, you generally will not be required to pay U.S. federal income tax on any gain realized upon the sale or other disposition of our common stock or warrants unless:</w:t>
      </w:r>
    </w:p>
    <w:p>
      <w:pPr>
        <w:spacing w:after="0" w:line="67" w:lineRule="exact"/>
        <w:rPr>
          <w:sz w:val="20"/>
          <w:szCs w:val="20"/>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common stock is regularly traded on an established securities market, your common stock will be treated as a U.S. real property interest only if you actually (directly or indirectly) or constructively hold more than five percent of such regularly traded common stock at any time during the shorter of the five-year period preceding your disposition of, or your holding period for, our common stock. However, no assurance can be provided that our common stock will be considered to be regularly traded on an established securities market for purposes of the rules described above. Special rules may apply to non-U.S. holders of warrants, who should consult their tax advisors.</w:t>
      </w:r>
    </w:p>
    <w:p>
      <w:pPr>
        <w:spacing w:after="0" w:line="188"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If you are a non-U.S. holder described in the first bullet above, you generally will be required to pay tax on the gain derived from the sale (net of certain deductions and credits) under regular U.S. federal income tax rates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treaties or other agreements that may provide for different rules.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and Expiration of Warrants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 general, you will not recognize gain or loss for U.S. federal income tax purposes upon the exercise of warrants into shares of common stock. The U.S. federal income tax treatment of a cashless exercise of warrants into our common stock is unclear. A Non-U.S. Holder should consult his, her, or its own tax advisor regarding the U.S. federal income tax consequences of a cashless exercise of warrants.</w:t>
      </w:r>
    </w:p>
    <w:p>
      <w:pPr>
        <w:spacing w:after="0" w:line="176"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expiration of a warrant will be treated as if you sold or exchanged the warrant and recognized a capital loss equal to your tax basis in the warrant. However, you will not be able to utilize a loss recognized upon expiration of a warrant against the your U.S. federal income tax liability unless the loss is effectively connected with your conduct of a trade or business within the United States (and, if an income tax treaty applies, is attributable to a permanent establishment or fixed base in the United States) or is treated as a U.S.-source loss and you are present in the United States for 183 days or more in the taxable year of disposition and certain other conditions are met.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to Warrants</w:t>
      </w:r>
    </w:p>
    <w:p>
      <w:pPr>
        <w:spacing w:after="0" w:line="121" w:lineRule="exact"/>
        <w:rPr>
          <w:sz w:val="20"/>
          <w:szCs w:val="20"/>
          <w:color w:val="auto"/>
        </w:rPr>
      </w:pPr>
    </w:p>
    <w:p>
      <w:pPr>
        <w:ind w:left="120" w:right="100"/>
        <w:spacing w:after="0" w:line="274" w:lineRule="auto"/>
        <w:rPr>
          <w:sz w:val="20"/>
          <w:szCs w:val="20"/>
          <w:color w:val="auto"/>
        </w:rPr>
      </w:pPr>
      <w:r>
        <w:rPr>
          <w:rFonts w:ascii="Times New Roman" w:cs="Times New Roman" w:eastAsia="Times New Roman" w:hAnsi="Times New Roman"/>
          <w:sz w:val="17"/>
          <w:szCs w:val="17"/>
          <w:color w:val="auto"/>
        </w:rPr>
        <w:t>Under Section 305 of the Code, an adjustment to the number of shares of common stock that will be issued on the exercise of the warrants, or an adjustment to the exercise price of the warrants, may be treated as a constructive distribution to you of the warrants if, and to the extent that, such adjustment has the effect of increasing your proportionate interest in our “earnings and profits” or assets, depending on the circumstances of such adjustment (for example, if such adjustment is to compensate for a distribution of cash or other property to our shareholders). Any such adjustment that is treated as a constructive distribution would be treated as a dividend, subject to withholding, to the extent described above under “Tax Consequences Applicable to Non-U.S. Holders—Distributions.” You should consult your tax advisor regarding the proper tax treatment of any such adjustment.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Generally, we or the applicable paying agent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6"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Payments of dividends on or of proceeds from the disposition of our common stock or warrants made to you will generally be subject to information reporting and backup withholding at a current rate of 24% unless you establish an exemption, for example, by properly certifying your non-U.S. status on a properly completed IRS Form W-8BEN or W-8BEN-E, or W-8ECI or another appropriate version of IRS Form W-8 or you otherwise meet the documentary evidence requirements for establishing that you are not a U.S. person or otherwise establish an exemption. Notwithstanding the foregoing, backup withholding and information reporting may apply if the applicable withholding agent has actual knowledge, or reason to know, that you are a U.S. person.</w:t>
      </w:r>
    </w:p>
    <w:p>
      <w:pPr>
        <w:spacing w:after="0" w:line="187"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Account Tax Compliance Act</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Provisions of the Code commonly referred to as FATCA, Treasury regulations issued thereunder and official IRS guidance generally impose a U.S. federal withholding tax of 30% on dividends on, and, subject to the discussion of certain proposed Treasury regulations below, the gross proceeds from a sale or other disposition of our common stock or warrants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from FATCA withholding. FATCA also generally imposes a U.S. federal withholding tax of 30% on dividends on, and, subject to the discussion of certain proposed Treasury regulations below, the gross proceeds from, a sale or other disposition of our common stock or warrants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9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withholding obligations under FATCA generally apply to dividends on our common stock or warrants. The Treasury Department has released proposed Treasury regulations (the preamble to which specifies that taxpayers are permitted to rely on them pending finalization) that, if finalized in their present form, would eliminate the federal withholding tax of 30% applicable to the gross proceeds of a disposition of our common stock or warrants. The withholding tax on dividends could apply regardless of whether the payment otherwise would be exempt from U.S. non-resident and backup withholding tax, including under the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are encouraged to consult with their own tax advisors regarding the application of FATCA withholding to their investment in, and ownership and disposition of, our common stock or warrants.</w:t>
      </w:r>
    </w:p>
    <w:p>
      <w:pPr>
        <w:spacing w:after="0" w:line="188"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or warrants including the consequences of any proposed change in applicable laws.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Leerink Partners LLC and Piper Sandler &amp; Co. are acting as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units set forth opposite its name below.</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7260" w:type="dxa"/>
            <w:vAlign w:val="bottom"/>
            <w:vMerge w:val="continue"/>
          </w:tcPr>
          <w:p>
            <w:pPr>
              <w:spacing w:after="0"/>
              <w:rPr>
                <w:sz w:val="15"/>
                <w:szCs w:val="15"/>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209"/>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33,750,000</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75,000,000</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units sold under the underwriting agreement if any of the units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jc w:val="both"/>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units, subject to prior sale, when, as and if issued to and accepted by them, subject to approval of legal matters by their counsel, including the validity of the units,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units to the public at the initial public offering price set forth on the cover page of this prospectus supplement and to dealers at that price less a concession not in excess of $0.0252 per unit. After the initial offering of the units, the public offering price, concession or any other term of this offering may be changed by the representatives.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initial public offering price, underwriting discounts and commissions and proceeds, before expenses, to us.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$ 0.700</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660" w:type="dxa"/>
            <w:vAlign w:val="bottom"/>
            <w:gridSpan w:val="2"/>
          </w:tcPr>
          <w:p>
            <w:pPr>
              <w:jc w:val="center"/>
              <w:ind w:left="2030"/>
              <w:spacing w:after="0"/>
              <w:rPr>
                <w:sz w:val="20"/>
                <w:szCs w:val="20"/>
                <w:color w:val="auto"/>
              </w:rPr>
            </w:pPr>
            <w:r>
              <w:rPr>
                <w:rFonts w:ascii="Times New Roman" w:cs="Times New Roman" w:eastAsia="Times New Roman" w:hAnsi="Times New Roman"/>
                <w:sz w:val="18"/>
                <w:szCs w:val="18"/>
                <w:color w:val="auto"/>
                <w:w w:val="99"/>
              </w:rPr>
              <w:t>$ 0.042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660" w:type="dxa"/>
            <w:vAlign w:val="bottom"/>
            <w:gridSpan w:val="2"/>
            <w:shd w:val="clear" w:color="auto" w:fill="CCEEFF"/>
          </w:tcPr>
          <w:p>
            <w:pPr>
              <w:jc w:val="center"/>
              <w:ind w:left="2030"/>
              <w:spacing w:after="0"/>
              <w:rPr>
                <w:sz w:val="20"/>
                <w:szCs w:val="20"/>
                <w:color w:val="auto"/>
              </w:rPr>
            </w:pPr>
            <w:r>
              <w:rPr>
                <w:rFonts w:ascii="Times New Roman" w:cs="Times New Roman" w:eastAsia="Times New Roman" w:hAnsi="Times New Roman"/>
                <w:sz w:val="18"/>
                <w:szCs w:val="18"/>
                <w:color w:val="auto"/>
                <w:w w:val="99"/>
              </w:rPr>
              <w:t>$ 0.658</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$500,000.</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our executive officers and directors and certain of our other existing security holders have agreed not to sell or transfer any common stock or securities convertible into or exchangeable or exercisable for common stock, for 60 days after the date of this prospectus supplement without first obtaining the written consent of the representatives on behalf of the underwriters. Specifically, we and these other persons have agreed, with certain limited exceptions, not to directly or indirectly:</w:t>
      </w:r>
    </w:p>
    <w:p>
      <w:pPr>
        <w:spacing w:after="0" w:line="85"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dispose of or transfer any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demand that we file a registration statement related to the common stock; or</w:t>
      </w:r>
    </w:p>
    <w:p>
      <w:pPr>
        <w:spacing w:after="0" w:line="130" w:lineRule="exact"/>
        <w:rPr>
          <w:rFonts w:ascii="Times New Roman" w:cs="Times New Roman" w:eastAsia="Times New Roman" w:hAnsi="Times New Roman"/>
          <w:sz w:val="18"/>
          <w:szCs w:val="18"/>
          <w:color w:val="auto"/>
        </w:rPr>
      </w:pPr>
    </w:p>
    <w:p>
      <w:pPr>
        <w:jc w:val="both"/>
        <w:ind w:left="1080" w:right="26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or any transaction that transfers, in whole or in part, the economic consequence of ownership of any common stock, whether any such swap, agreement or transaction is to be settled by delivery of shares or other securities, in cash or otherwise.</w:t>
      </w:r>
    </w:p>
    <w:p>
      <w:pPr>
        <w:spacing w:after="0" w:line="176"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lock-up provisions apply to common stock and to securities convertible into or exchangeable or exercisable for common stock. They also apply to common stock owned now or acquired later by the person executing the lock-up agreement or for which the person executing the lock-up agreement later acquires the power of disposition.</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lock-up provisions do not limit our ability to issue and sell shares of our common stock pursuant to placements under our “at-the-market” offering program.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“TNYA.”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 Syndicate covering transactions involve purchases of common stock in the open market after the distribution has been completed in order to cover syndicate short positions. If the underwriters sell more shares in excess of the number of shares the underwriters are obligated to purchase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Stabilizing transactions consist of various bids for or purchases of shares of common stock made by the underwriters in the open market prior to the closing of this offering.</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w:t>
      </w:r>
    </w:p>
    <w:p>
      <w:pPr>
        <w:spacing w:after="0" w:line="180"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5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may also engage in passive market making transactions in our common stock on the Nasdaq Global Select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7" w:lineRule="exact"/>
        <w:rPr>
          <w:sz w:val="20"/>
          <w:szCs w:val="20"/>
          <w:color w:val="auto"/>
        </w:rPr>
      </w:pPr>
    </w:p>
    <w:p>
      <w:pPr>
        <w:ind w:left="120" w:right="360" w:firstLine="440"/>
        <w:spacing w:after="0" w:line="289" w:lineRule="auto"/>
        <w:rPr>
          <w:sz w:val="20"/>
          <w:szCs w:val="20"/>
          <w:color w:val="auto"/>
        </w:rPr>
      </w:pPr>
      <w:r>
        <w:rPr>
          <w:rFonts w:ascii="Times New Roman" w:cs="Times New Roman" w:eastAsia="Times New Roman" w:hAnsi="Times New Roman"/>
          <w:sz w:val="17"/>
          <w:szCs w:val="17"/>
          <w:color w:val="auto"/>
        </w:rPr>
        <w:t>Leerink Partners LLC is the sales agent for us under our “at-the-market” program. Under our “at-the-market” program, we may offer and sell, from time to time, shares of our common stock through Leerink Partners LLC through an “at-the-market offering,” as defined in Rule 415(a)(4) promulgated under the Securities Act (provided we file a new prospectus, prospectus supplement or registration statement to register these shares).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and the accompanying prospectus in any jurisdiction where action for that purpose is required. The securities offered by this prospectus supplement and the accompanying prospectus may not be offered or sold, directly or indirectly, nor may this prospectus supplement, the accompanying prospectus or any other offering material or advertisements in connection with the offer and sale of any such securities, or any documents incorporated by reference herein, be distributed or published in any jurisdiction, except under circumstances that will result in compliance with the applicable rules and regulations of that jurisdiction. Persons into whose possession this prospectus supplement or the accompanying prospectus comes are advised to inform themselves about and to observe any restrictions relating to the offering and the distribution of this prospectus supplement and the accompanying prospectus. This prospectus supplement and the accompanying prospectus, including any documents incorporated by reference herein, does not constitute an offer to sell or a solicitation of an offer to buy any securities offered by this prospectus supplement and the accompanying prospectus in any jurisdiction in which such an offer or a solicitation is unlawful.</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89"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provided that no such offer of securities shall require us or any underwriter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and with the underwriter and the Company that it is a “qualified investor” within the meaning of Article 2(e) of the Prospectus Regulation. In the case of any securities being offered to a financial intermediary as that term is used in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underwriter has been obtained to each such proposed offer or resale.</w:t>
      </w:r>
    </w:p>
    <w:p>
      <w:pPr>
        <w:spacing w:after="0" w:line="188"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jc w:val="both"/>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relation to the United Kingdom, no securities have been offered or will be offered pursuant to the offering to the public in the United Kingdom prior to the publication of a prospectus in relation to the securities that either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have been approved by the Financial Conduct Authority or is to be treated as if it had been approved by the Financial Conduct Authority in accordance with the transitional provisions in Article 74 (transitional provisions) of the Prospectus Amendment etc (EU Exit) Regulations 2019/1234, except that the securities may be offered to the public in the United Kingdom at any time:</w:t>
      </w:r>
    </w:p>
    <w:p>
      <w:pPr>
        <w:spacing w:after="0" w:line="81" w:lineRule="exact"/>
        <w:rPr>
          <w:sz w:val="20"/>
          <w:szCs w:val="20"/>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underwriter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FSMA).</w:t>
      </w:r>
    </w:p>
    <w:p>
      <w:pPr>
        <w:spacing w:after="0" w:line="225" w:lineRule="exact"/>
        <w:rPr>
          <w:sz w:val="20"/>
          <w:szCs w:val="20"/>
          <w:color w:val="auto"/>
        </w:rPr>
      </w:pPr>
    </w:p>
    <w:p>
      <w:pPr>
        <w:jc w:val="both"/>
        <w:ind w:left="120" w:right="340" w:firstLine="440"/>
        <w:spacing w:after="0" w:line="256"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us or any underwriter to publish a prospectus pursuant to Section 85 of the FSMA or 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FSMA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187"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units of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units must be made in accordance with an exemption from, or in a transaction not subject to, the prospectus requirements of applicable securities laws.</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does not constitute an offer to the public or a solicitation to purchase or invest in any units. No units have been offered or will be offered to the public in Switzerland, except that offers of units may be made to the public in Switzerland at any time under the following exemptions under the Swiss Financial Services Act (FinSA):</w:t>
      </w:r>
    </w:p>
    <w:p>
      <w:pPr>
        <w:spacing w:after="0" w:line="68" w:lineRule="exact"/>
        <w:rPr>
          <w:sz w:val="20"/>
          <w:szCs w:val="20"/>
          <w:color w:val="auto"/>
        </w:rPr>
      </w:pPr>
    </w:p>
    <w:p>
      <w:pPr>
        <w:ind w:left="800" w:hanging="244"/>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which is a professional client as defined under the FinSA;</w:t>
      </w:r>
    </w:p>
    <w:p>
      <w:pPr>
        <w:spacing w:after="0" w:line="117" w:lineRule="exact"/>
        <w:rPr>
          <w:rFonts w:ascii="Times New Roman" w:cs="Times New Roman" w:eastAsia="Times New Roman" w:hAnsi="Times New Roman"/>
          <w:sz w:val="18"/>
          <w:szCs w:val="18"/>
          <w:color w:val="auto"/>
        </w:rPr>
      </w:pPr>
    </w:p>
    <w:p>
      <w:pPr>
        <w:ind w:left="120" w:firstLine="436"/>
        <w:spacing w:after="0" w:line="28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500 persons (other than professional clients as defined under the FinSA), subject to obtaining the prior consent of the underwriter for any such offer; or</w:t>
      </w:r>
    </w:p>
    <w:p>
      <w:pPr>
        <w:spacing w:after="0" w:line="53"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36 FinSA in connection with Article 44 of the Swiss Financial Services Ordinance,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provided that no such offer of units shall require the Company or any investment bank to publish a prospectus pursuant to Article 35 FinSA.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units have not been and will not be listed or admitted to trading on a trading venue in Switzerland.</w:t>
      </w:r>
    </w:p>
    <w:p>
      <w:pPr>
        <w:spacing w:after="0" w:line="225"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units constitutes a prospectus as such term is understood pursuant to the FinSA and neither this document nor any other offering or marketing material relating to the units may be publicly distributed or otherwise made publicly available in Switzerland.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document relates to an Exempt Offer in accordance with the Markets Law, DIFC Law No. 1 of 2012, as amended. This document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8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(the Corporations Act);</w:t>
      </w:r>
    </w:p>
    <w:p>
      <w:pPr>
        <w:spacing w:after="0" w:line="130"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units may not be directly or indirectly offered for subscription or purchased or sold, and no invitations to subscribe for or buy the units may be issued, and no draft or definitive offering memorandum, advertisement or other offering material relating to any units may be distributed in Australia, except where disclosure to investors is not required under Chapter 6D of the Corporations Act or is otherwise in compliance with all applicable Australian laws and regulations. By submitting an application for the units, you represent and warrant to us that you are an Exempt Investor.</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As any offer of units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units, you undertake to us that you will not, for a period of 12 months from the date of sale of the units, offer, transfer, assign or otherwise alienate those units to investors in Australia except in circumstances where disclosure to investors is not required under Chapter 6D.2 of the Corporations Act or where a compliant disclosure document is prepared and lodged with ASIC.</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units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units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units which are or are intended to be disposed of only to persons outside Hong Kong or only to “professional investors” as defined in the SFO and any rules made thereunder.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units have not been and will not be registered pursuant to Article 4, Paragraph 1 of the Financial Instruments and Exchange Act. Accordingly, none of the units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the units have not been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units,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Where the units are subscribed or purchased under Section 275 of the SFA by a relevant person which is:</w:t>
      </w:r>
    </w:p>
    <w:p>
      <w:pPr>
        <w:spacing w:after="0" w:line="131" w:lineRule="exact"/>
        <w:rPr>
          <w:sz w:val="20"/>
          <w:szCs w:val="20"/>
          <w:color w:val="auto"/>
        </w:rPr>
      </w:pPr>
    </w:p>
    <w:p>
      <w:pPr>
        <w:ind w:left="1080" w:right="10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units pursuant to an offer made under Section 275 of the SFA except:</w:t>
      </w:r>
    </w:p>
    <w:p>
      <w:pPr>
        <w:spacing w:after="0" w:line="81"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the SFA;</w:t>
      </w:r>
    </w:p>
    <w:p>
      <w:pPr>
        <w:spacing w:after="0" w:line="11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600" w:hanging="532"/>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of 2005 of Singapore (Regulation 32).</w:t>
      </w:r>
    </w:p>
    <w:p>
      <w:pPr>
        <w:spacing w:after="0" w:line="16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 xml:space="preserve">Singapore SFA </w:t>
      </w:r>
      <w:r>
        <w:rPr>
          <w:rFonts w:ascii="Times New Roman" w:cs="Times New Roman" w:eastAsia="Times New Roman" w:hAnsi="Times New Roman"/>
          <w:sz w:val="18"/>
          <w:szCs w:val="18"/>
          <w:i w:val="1"/>
          <w:iCs w:val="1"/>
          <w:color w:val="auto"/>
        </w:rPr>
        <w:t>product classification</w:t>
      </w:r>
      <w:r>
        <w:rPr>
          <w:rFonts w:ascii="Times New Roman" w:cs="Times New Roman" w:eastAsia="Times New Roman" w:hAnsi="Times New Roman"/>
          <w:sz w:val="18"/>
          <w:szCs w:val="18"/>
          <w:color w:val="auto"/>
        </w:rPr>
        <w:t>. In connection with Section 309B of the SFA and the CMP Regulations 2018, unless otherwise specified before an offer of units, we have determined, and hereby notify all relevant persons (as defined in Section 309A(1) of the SFA), that the units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60"/>
        <w:spacing w:after="0" w:line="312" w:lineRule="auto"/>
        <w:rPr>
          <w:sz w:val="20"/>
          <w:szCs w:val="20"/>
          <w:color w:val="auto"/>
        </w:rPr>
      </w:pPr>
      <w:r>
        <w:rPr>
          <w:rFonts w:ascii="Times New Roman" w:cs="Times New Roman" w:eastAsia="Times New Roman" w:hAnsi="Times New Roman"/>
          <w:sz w:val="17"/>
          <w:szCs w:val="17"/>
          <w:color w:val="auto"/>
        </w:rPr>
        <w:t>The validity of the securities offered in this prospectus supplement will be passed upon for us by Wilson Sonsini Goodrich &amp; Rosati, Professional Corporation, Palo Alto, California. Davis Polk &amp; Wardwell LLP, Redwood City, California, is acting as counsel for the underwriters.</w:t>
      </w:r>
    </w:p>
    <w:p>
      <w:pPr>
        <w:spacing w:after="0" w:line="3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financial statements of Tenaya Therapeutics, Inc., incorporated by reference in this prospectus supplement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20"/>
        <w:spacing w:after="0" w:line="312" w:lineRule="auto"/>
        <w:rPr>
          <w:sz w:val="20"/>
          <w:szCs w:val="20"/>
          <w:color w:val="auto"/>
        </w:rPr>
      </w:pPr>
      <w:r>
        <w:rPr>
          <w:rFonts w:ascii="Times New Roman" w:cs="Times New Roman" w:eastAsia="Times New Roman" w:hAnsi="Times New Roman"/>
          <w:sz w:val="17"/>
          <w:szCs w:val="17"/>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w:t>
      </w:r>
    </w:p>
    <w:p>
      <w:pPr>
        <w:spacing w:after="0" w:line="14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 and do not contain all of the information in the registration statement. The full registration statement may be obtained from the SEC or us, as provided below. You may inspect a copy of the registration statement through the SEC’s website, as provided above.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060"/>
          </w:cols>
          <w:pgMar w:left="320" w:top="455" w:right="5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after the date of the initial registration statement of which this prospectus supplement forms a part and prior to the effectiveness of the registration statement, as well as subsequent to the effectiveness of the registration statement, until the offering of the securities under the registration statement of which this prospectus supplement forms a part is terminated or completed:</w:t>
      </w:r>
    </w:p>
    <w:p>
      <w:pPr>
        <w:spacing w:after="0" w:line="95"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18, 2024;</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59">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xml:space="preserve">, and </w:t>
      </w:r>
      <w:hyperlink r:id="rId61">
        <w:r>
          <w:rPr>
            <w:rFonts w:ascii="Times New Roman" w:cs="Times New Roman" w:eastAsia="Times New Roman" w:hAnsi="Times New Roman"/>
            <w:sz w:val="18"/>
            <w:szCs w:val="18"/>
            <w:u w:val="single" w:color="auto"/>
            <w:color w:val="0000EE"/>
          </w:rPr>
          <w:t>September 30, 2024</w:t>
        </w:r>
      </w:hyperlink>
      <w:r>
        <w:rPr>
          <w:rFonts w:ascii="Times New Roman" w:cs="Times New Roman" w:eastAsia="Times New Roman" w:hAnsi="Times New Roman"/>
          <w:sz w:val="18"/>
          <w:szCs w:val="18"/>
          <w:color w:val="auto"/>
        </w:rPr>
        <w:t>, filed with the SEC on May 14, 2024, August 8, 2024 and November 6, 2024, respectively;</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62">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(other than information furnished rather than filed) that are incorporated by reference into our Annual Report on Form 10-K, filed with the SEC on April 17, 2024;</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0"/>
        </w:numPr>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auto"/>
          </w:rPr>
          <w:t xml:space="preserve">our Current Reports on Form 8-K filed on </w:t>
        </w:r>
        <w:r>
          <w:rPr>
            <w:rFonts w:ascii="Times New Roman" w:cs="Times New Roman" w:eastAsia="Times New Roman" w:hAnsi="Times New Roman"/>
            <w:sz w:val="18"/>
            <w:szCs w:val="18"/>
            <w:u w:val="single" w:color="auto"/>
            <w:color w:val="0000EE"/>
          </w:rPr>
          <w:t>May 14,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31,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27,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 25,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September 16,</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4">
        <w:r>
          <w:rPr>
            <w:rFonts w:ascii="Times New Roman" w:cs="Times New Roman" w:eastAsia="Times New Roman" w:hAnsi="Times New Roman"/>
            <w:sz w:val="18"/>
            <w:szCs w:val="18"/>
            <w:u w:val="single" w:color="auto"/>
            <w:color w:val="0000EE"/>
          </w:rPr>
          <w:t>December 17, 2024</w:t>
        </w:r>
      </w:hyperlink>
      <w:hyperlink r:id="rId6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5">
        <w:r>
          <w:rPr>
            <w:rFonts w:ascii="Times New Roman" w:cs="Times New Roman" w:eastAsia="Times New Roman" w:hAnsi="Times New Roman"/>
            <w:sz w:val="18"/>
            <w:szCs w:val="18"/>
            <w:u w:val="single" w:color="auto"/>
            <w:color w:val="0000EE"/>
          </w:rPr>
          <w:t>January 28, 2025</w:t>
        </w:r>
      </w:hyperlink>
      <w:hyperlink r:id="rId63">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66">
        <w:r>
          <w:rPr>
            <w:rFonts w:ascii="Times New Roman" w:cs="Times New Roman" w:eastAsia="Times New Roman" w:hAnsi="Times New Roman"/>
            <w:sz w:val="18"/>
            <w:szCs w:val="18"/>
            <w:u w:val="single" w:color="auto"/>
            <w:color w:val="0000EE"/>
          </w:rPr>
          <w:t>February 7, 2025</w:t>
        </w:r>
      </w:hyperlink>
      <w:hyperlink r:id="rId63">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right="6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w:t>
      </w:r>
      <w:hyperlink r:id="rId6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on July 23,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0000EE"/>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each person to whom this prospectus supplement is delivered, upon written or oral request, a copy of any or all of the documents incorporated by reference, including exhibits to these documents. You can request a copy of these filings by writing or telephoning us at the following address or telephone number:</w:t>
      </w:r>
    </w:p>
    <w:p>
      <w:pPr>
        <w:spacing w:after="0" w:line="176"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171 Oyster Point Boulevard, Suite 500</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(650) 825-6990</w:t>
      </w:r>
    </w:p>
    <w:p>
      <w:pPr>
        <w:spacing w:after="0" w:line="207" w:lineRule="exact"/>
        <w:rPr>
          <w:rFonts w:ascii="Times New Roman" w:cs="Times New Roman" w:eastAsia="Times New Roman" w:hAnsi="Times New Roman"/>
          <w:sz w:val="18"/>
          <w:szCs w:val="18"/>
          <w:color w:val="0000EE"/>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information accessible through any website referred to in this prospectus supplement or any document incorporated therein is not, and should not be deemed to be, a part of this prospectus supplement.</w:t>
      </w:r>
    </w:p>
    <w:p>
      <w:pPr>
        <w:spacing w:after="0" w:line="94"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234315</wp:posOffset>
            </wp:positionV>
            <wp:extent cx="2580005" cy="9683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258000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Tenaya Therapeutics, Inc.</w:t>
      </w:r>
    </w:p>
    <w:p>
      <w:pPr>
        <w:spacing w:after="0" w:line="2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$300,000,000</w:t>
      </w:r>
    </w:p>
    <w:p>
      <w:pPr>
        <w:spacing w:after="0" w:line="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Preferred Stock</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ind w:right="-119"/>
        <w:spacing w:after="0" w:line="231" w:lineRule="auto"/>
        <w:rPr>
          <w:sz w:val="20"/>
          <w:szCs w:val="20"/>
          <w:color w:val="auto"/>
        </w:rPr>
      </w:pPr>
      <w:r>
        <w:rPr>
          <w:rFonts w:ascii="Times New Roman" w:cs="Times New Roman" w:eastAsia="Times New Roman" w:hAnsi="Times New Roman"/>
          <w:sz w:val="22"/>
          <w:szCs w:val="22"/>
          <w:b w:val="1"/>
          <w:bCs w:val="1"/>
          <w:color w:val="auto"/>
        </w:rPr>
        <w:t>Depositary Shares</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ind w:right="-119"/>
        <w:spacing w:after="0" w:line="231" w:lineRule="auto"/>
        <w:rPr>
          <w:sz w:val="20"/>
          <w:szCs w:val="20"/>
          <w:color w:val="auto"/>
        </w:rPr>
      </w:pPr>
      <w:r>
        <w:rPr>
          <w:rFonts w:ascii="Times New Roman" w:cs="Times New Roman" w:eastAsia="Times New Roman" w:hAnsi="Times New Roman"/>
          <w:sz w:val="22"/>
          <w:szCs w:val="22"/>
          <w:b w:val="1"/>
          <w:bCs w:val="1"/>
          <w:color w:val="auto"/>
        </w:rPr>
        <w:t>Subscription Rights</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color w:val="auto"/>
        </w:rPr>
        <w:t>Purchase Contracts</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$300,000,000.</w:t>
      </w:r>
    </w:p>
    <w:p>
      <w:pPr>
        <w:spacing w:after="0" w:line="16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“TNYA.” Each prospectus supplement will indicate whether the securities offered thereby will be listed on any securities exchange.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“smaller reporting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common stock on any securities exchange.</w:t>
      </w:r>
    </w:p>
    <w:p>
      <w:pPr>
        <w:spacing w:after="0" w:line="163" w:lineRule="exact"/>
        <w:rPr>
          <w:sz w:val="20"/>
          <w:szCs w:val="20"/>
          <w:color w:val="auto"/>
        </w:rPr>
      </w:pPr>
    </w:p>
    <w:p>
      <w:pPr>
        <w:ind w:left="120" w:right="4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risks. Please carefully read the information under the headings “</w:t>
      </w:r>
      <w:r>
        <w:rPr>
          <w:rFonts w:ascii="Times New Roman" w:cs="Times New Roman" w:eastAsia="Times New Roman" w:hAnsi="Times New Roman"/>
          <w:sz w:val="22"/>
          <w:szCs w:val="22"/>
          <w:b w:val="1"/>
          <w:bCs w:val="1"/>
          <w:u w:val="single" w:color="auto"/>
          <w:color w:val="0000EE"/>
        </w:rPr>
        <w:t>Risk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0000EE"/>
        </w:rPr>
        <w:t>Factors</w:t>
      </w:r>
      <w:r>
        <w:rPr>
          <w:rFonts w:ascii="Times New Roman" w:cs="Times New Roman" w:eastAsia="Times New Roman" w:hAnsi="Times New Roman"/>
          <w:sz w:val="22"/>
          <w:szCs w:val="22"/>
          <w:b w:val="1"/>
          <w:bCs w:val="1"/>
          <w:color w:val="000000"/>
        </w:rPr>
        <w:t>” beginning on page 5 of this prospectus, any similar section contained in the applicable prospectus supplement,</w:t>
      </w:r>
      <w:r>
        <w:rPr>
          <w:rFonts w:ascii="Times New Roman" w:cs="Times New Roman" w:eastAsia="Times New Roman" w:hAnsi="Times New Roman"/>
          <w:sz w:val="22"/>
          <w:szCs w:val="22"/>
          <w:b w:val="1"/>
          <w:bCs w:val="1"/>
          <w:color w:val="0000EE"/>
        </w:rPr>
        <w:t xml:space="preserve"> </w:t>
      </w:r>
      <w:r>
        <w:rPr>
          <w:rFonts w:ascii="Times New Roman" w:cs="Times New Roman" w:eastAsia="Times New Roman" w:hAnsi="Times New Roman"/>
          <w:sz w:val="22"/>
          <w:szCs w:val="22"/>
          <w:b w:val="1"/>
          <w:bCs w:val="1"/>
          <w:color w:val="000000"/>
        </w:rPr>
        <w:t>and “Item 1A—Risk Factors” of our most recent report on Form 10-K or 10-Q that is incorporated by reference in this prospectus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214630</wp:posOffset>
            </wp:positionV>
            <wp:extent cx="1474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date of this prospectus is August 17, 2022.</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15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120" w:type="dxa"/>
            <w:vAlign w:val="bottom"/>
            <w:gridSpan w:val="9"/>
            <w:vMerge w:val="restart"/>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1580" w:type="dxa"/>
            <w:vAlign w:val="bottom"/>
            <w:tcBorders>
              <w:bottom w:val="single" w:sz="8" w:color="0000EE"/>
            </w:tcBorders>
            <w:gridSpan w:val="8"/>
            <w:vMerge w:val="continue"/>
          </w:tcPr>
          <w:p>
            <w:pPr>
              <w:spacing w:after="0"/>
              <w:rPr>
                <w:sz w:val="14"/>
                <w:szCs w:val="14"/>
                <w:color w:val="auto"/>
              </w:rPr>
            </w:pPr>
          </w:p>
        </w:tc>
        <w:tc>
          <w:tcPr>
            <w:tcW w:w="2120" w:type="dxa"/>
            <w:vAlign w:val="bottom"/>
            <w:gridSpan w:val="9"/>
            <w:vMerge w:val="continue"/>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180" w:type="dxa"/>
            <w:vAlign w:val="bottom"/>
            <w:gridSpan w:val="10"/>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600" w:type="dxa"/>
            <w:vAlign w:val="bottom"/>
            <w:gridSpan w:val="6"/>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1520" w:type="dxa"/>
            <w:vAlign w:val="bottom"/>
            <w:gridSpan w:val="5"/>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1320" w:type="dxa"/>
            <w:vAlign w:val="bottom"/>
            <w:gridSpan w:val="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Subscription Rights</w:t>
            </w:r>
          </w:p>
        </w:tc>
        <w:tc>
          <w:tcPr>
            <w:tcW w:w="120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Purchase Contracts</w:t>
            </w:r>
          </w:p>
        </w:tc>
        <w:tc>
          <w:tcPr>
            <w:tcW w:w="124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240" w:type="dxa"/>
            <w:vAlign w:val="bottom"/>
            <w:gridSpan w:val="11"/>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280" w:type="dxa"/>
            <w:vAlign w:val="bottom"/>
            <w:gridSpan w:val="1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700" w:type="dxa"/>
            <w:vAlign w:val="bottom"/>
            <w:gridSpan w:val="1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820" w:type="dxa"/>
            <w:vAlign w:val="bottom"/>
            <w:tcBorders>
              <w:top w:val="single" w:sz="8" w:color="0000EE"/>
            </w:tcBorders>
            <w:gridSpan w:val="6"/>
          </w:tcPr>
          <w:p>
            <w:pPr>
              <w:spacing w:after="0"/>
              <w:rPr>
                <w:sz w:val="17"/>
                <w:szCs w:val="17"/>
                <w:color w:val="auto"/>
              </w:rPr>
            </w:pPr>
          </w:p>
        </w:tc>
        <w:tc>
          <w:tcPr>
            <w:tcW w:w="84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(SEC), using a “shelf” registration process. Under this shelf registration process, we may from time to time sell any combination of the securities described in this prospectus in one or more offerings for an aggregate offering price of up to $300,000,000.</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You should read both this prospectus and any applicable prospectus supplement and free writing prospectus together with the additional information described under the heading “Where You Can Find More Information” and “Incorporation by Reference.” If there is any inconsistency between the information in this prospectus and the applicable prospectus supplement or free writing prospectus, you should rely on the prospectus supplement or free writing prospectus, as applicable.</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“Tenaya Therapeutics, Inc.,” “we,” “our” and “us” refer, collectively, to Tenaya Therapeutics, Inc., a Delaware corporation.</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We are a biotechnology company focused on discovering, designing, developing and delivering curative therapies that address the underlying drivers of heart disease. Our vision is to change the treatment paradigm for heart disease, and in doing so improve and extend the lives of millions of individuals and families.</w:t>
      </w:r>
    </w:p>
    <w:p>
      <w:pPr>
        <w:spacing w:after="0" w:line="176" w:lineRule="exact"/>
        <w:rPr>
          <w:sz w:val="20"/>
          <w:szCs w:val="20"/>
          <w:color w:val="auto"/>
        </w:rPr>
      </w:pPr>
    </w:p>
    <w:p>
      <w:pPr>
        <w:ind w:left="300" w:right="240" w:firstLine="426"/>
        <w:spacing w:after="0" w:line="261" w:lineRule="auto"/>
        <w:rPr>
          <w:sz w:val="20"/>
          <w:szCs w:val="20"/>
          <w:color w:val="auto"/>
        </w:rPr>
      </w:pPr>
      <w:r>
        <w:rPr>
          <w:rFonts w:ascii="Times New Roman" w:cs="Times New Roman" w:eastAsia="Times New Roman" w:hAnsi="Times New Roman"/>
          <w:sz w:val="18"/>
          <w:szCs w:val="18"/>
          <w:color w:val="auto"/>
        </w:rPr>
        <w:t>We are advancing a deep and diverse pipeline of disease-modifying therapies that includes both gene therapies and small molecules discovered internally and developed using our product platforms and core capabilities to target defined sub-populations of patients with rare or highly prevalent forms of heart disease. All of our programs are currently in the preclinical stage; we do not have any products approved for sale and have not generated any revenue to date.</w:t>
      </w:r>
    </w:p>
    <w:p>
      <w:pPr>
        <w:spacing w:after="0" w:line="180" w:lineRule="exact"/>
        <w:rPr>
          <w:sz w:val="20"/>
          <w:szCs w:val="20"/>
          <w:color w:val="auto"/>
        </w:rPr>
      </w:pPr>
    </w:p>
    <w:p>
      <w:pPr>
        <w:ind w:left="300" w:right="160" w:firstLine="426"/>
        <w:spacing w:after="0" w:line="268" w:lineRule="auto"/>
        <w:rPr>
          <w:sz w:val="20"/>
          <w:szCs w:val="20"/>
          <w:color w:val="auto"/>
        </w:rPr>
      </w:pPr>
      <w:r>
        <w:rPr>
          <w:rFonts w:ascii="Times New Roman" w:cs="Times New Roman" w:eastAsia="Times New Roman" w:hAnsi="Times New Roman"/>
          <w:sz w:val="17"/>
          <w:szCs w:val="17"/>
          <w:color w:val="auto"/>
        </w:rPr>
        <w:t>The most advanced product candidate from our Gene Therapy Platform is TN-201. TN-201 is an adeno-associated virus (AAV)-based gene therapy that addresses genetic hypertrophic cardiomyopathy (HCM) caused by Myosin Binding Protein C3 (</w:t>
      </w:r>
      <w:r>
        <w:rPr>
          <w:rFonts w:ascii="Times New Roman" w:cs="Times New Roman" w:eastAsia="Times New Roman" w:hAnsi="Times New Roman"/>
          <w:sz w:val="17"/>
          <w:szCs w:val="17"/>
          <w:i w:val="1"/>
          <w:iCs w:val="1"/>
          <w:color w:val="auto"/>
        </w:rPr>
        <w:t>MYBPC3</w:t>
      </w:r>
      <w:r>
        <w:rPr>
          <w:rFonts w:ascii="Times New Roman" w:cs="Times New Roman" w:eastAsia="Times New Roman" w:hAnsi="Times New Roman"/>
          <w:sz w:val="17"/>
          <w:szCs w:val="17"/>
          <w:color w:val="auto"/>
        </w:rPr>
        <w:t xml:space="preserve">) gene mutations. These mutations can cause the heart walls of affected individuals to become significantly thickened, leading to fibrosis, abnormal heart rhythms, cardiac dysfunction, heart failure, and sudden cardiac death in some adults and children. TN-201 is designed to deliver a fully functional </w:t>
      </w:r>
      <w:r>
        <w:rPr>
          <w:rFonts w:ascii="Times New Roman" w:cs="Times New Roman" w:eastAsia="Times New Roman" w:hAnsi="Times New Roman"/>
          <w:sz w:val="17"/>
          <w:szCs w:val="17"/>
          <w:i w:val="1"/>
          <w:iCs w:val="1"/>
          <w:color w:val="auto"/>
        </w:rPr>
        <w:t>MYBPC3</w:t>
      </w:r>
      <w:r>
        <w:rPr>
          <w:rFonts w:ascii="Times New Roman" w:cs="Times New Roman" w:eastAsia="Times New Roman" w:hAnsi="Times New Roman"/>
          <w:sz w:val="17"/>
          <w:szCs w:val="17"/>
          <w:color w:val="auto"/>
        </w:rPr>
        <w:t xml:space="preserve"> gene driven by our proprietary heart-specific promoter to restore normal levels of MYBPC3 protein. We remain on track with our Investigational New Drug (IND) submission plans for TN-201 in the second half of 2022 and plan to focus on initial clinical development in adult </w:t>
      </w:r>
      <w:r>
        <w:rPr>
          <w:rFonts w:ascii="Times New Roman" w:cs="Times New Roman" w:eastAsia="Times New Roman" w:hAnsi="Times New Roman"/>
          <w:sz w:val="17"/>
          <w:szCs w:val="17"/>
          <w:i w:val="1"/>
          <w:iCs w:val="1"/>
          <w:color w:val="auto"/>
        </w:rPr>
        <w:t>MYBPC3</w:t>
      </w:r>
    </w:p>
    <w:p>
      <w:pPr>
        <w:spacing w:after="0" w:line="5" w:lineRule="exact"/>
        <w:rPr>
          <w:sz w:val="20"/>
          <w:szCs w:val="20"/>
          <w:color w:val="auto"/>
        </w:rPr>
      </w:pPr>
    </w:p>
    <w:p>
      <w:pPr>
        <w:ind w:left="300"/>
        <w:spacing w:after="0" w:line="260" w:lineRule="auto"/>
        <w:rPr>
          <w:sz w:val="20"/>
          <w:szCs w:val="20"/>
          <w:color w:val="auto"/>
        </w:rPr>
      </w:pPr>
      <w:r>
        <w:rPr>
          <w:rFonts w:ascii="Times New Roman" w:cs="Times New Roman" w:eastAsia="Times New Roman" w:hAnsi="Times New Roman"/>
          <w:sz w:val="18"/>
          <w:szCs w:val="18"/>
          <w:color w:val="auto"/>
        </w:rPr>
        <w:t xml:space="preserve">gene mutation carriers with symptomatic non-obstructive HCM. TN-201 has been granted orphan drug designation by both the U.S. Food and Drug Administration (FDA) and the European Commission for the potential treatment of HCM due to mutations in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w:t>
      </w:r>
    </w:p>
    <w:p>
      <w:pPr>
        <w:spacing w:after="0" w:line="181" w:lineRule="exact"/>
        <w:rPr>
          <w:sz w:val="20"/>
          <w:szCs w:val="20"/>
          <w:color w:val="auto"/>
        </w:rPr>
      </w:pPr>
    </w:p>
    <w:p>
      <w:pPr>
        <w:ind w:left="300" w:right="280" w:firstLine="426"/>
        <w:spacing w:after="0" w:line="258" w:lineRule="auto"/>
        <w:rPr>
          <w:sz w:val="20"/>
          <w:szCs w:val="20"/>
          <w:color w:val="auto"/>
        </w:rPr>
      </w:pPr>
      <w:r>
        <w:rPr>
          <w:rFonts w:ascii="Times New Roman" w:cs="Times New Roman" w:eastAsia="Times New Roman" w:hAnsi="Times New Roman"/>
          <w:sz w:val="18"/>
          <w:szCs w:val="18"/>
          <w:color w:val="auto"/>
        </w:rPr>
        <w:t xml:space="preserve">In 2021, we initiated a global natural history study to improve our understanding of disease progression and unmet need in individuals carrying mutations in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with an initial focus on pediatric patients under the age of 18. We continue site activation and patient enrollment in the global natural history study to support the future clinical evaluation of TN-201 in pediatric patients after early safety has been established in adults. The natural history study complements existing disease registries focused primarily on adult patient HCM populations and may support and expedite the development of TN-201 in the pediatric patient population.</w:t>
      </w:r>
    </w:p>
    <w:p>
      <w:pPr>
        <w:spacing w:after="0" w:line="183"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TN-301, the most advanced product candidate from our Precision Medicine Platform, is a highly specific small molecule inhibitor of histone deacetylase 6 (HDAC6i). It has potentially broad utility in both heart failure with preserved ejection fraction (HFpEF) as well as genetic dilated cardiomyopathy. HFpEF is one of the greatest areas of unmet need in heart disease, and is characterized by systemic inflammation, left ventricular hypertrophy, fibrosis, and diastolic dysfunction resulting in high morbidity and mortality in affected individuals. We remain on track with our IND submission plans for TN-301 in the second half of 2022.</w:t>
      </w:r>
    </w:p>
    <w:p>
      <w:pPr>
        <w:spacing w:after="0" w:line="183" w:lineRule="exact"/>
        <w:rPr>
          <w:sz w:val="20"/>
          <w:szCs w:val="20"/>
          <w:color w:val="auto"/>
        </w:rPr>
      </w:pPr>
    </w:p>
    <w:p>
      <w:pPr>
        <w:jc w:val="both"/>
        <w:ind w:left="300" w:right="300" w:firstLine="426"/>
        <w:spacing w:after="0" w:line="266" w:lineRule="auto"/>
        <w:rPr>
          <w:sz w:val="20"/>
          <w:szCs w:val="20"/>
          <w:color w:val="auto"/>
        </w:rPr>
      </w:pPr>
      <w:r>
        <w:rPr>
          <w:rFonts w:ascii="Times New Roman" w:cs="Times New Roman" w:eastAsia="Times New Roman" w:hAnsi="Times New Roman"/>
          <w:sz w:val="18"/>
          <w:szCs w:val="18"/>
          <w:color w:val="auto"/>
        </w:rPr>
        <w:t>TN-401, another product candidate from our Gene Therapy Platform, uses an AAV-based gene therapy to address genetic arrhythmogenic right ventricular cardiomyopathy (ARVC) caused by plakophilin 2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gene mutations. ARVC is characterized by enlargement of the right ventricle in affected individuals, replacement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40"/>
        <w:spacing w:after="0" w:line="261" w:lineRule="auto"/>
        <w:rPr>
          <w:sz w:val="20"/>
          <w:szCs w:val="20"/>
          <w:color w:val="auto"/>
        </w:rPr>
      </w:pPr>
      <w:r>
        <w:rPr>
          <w:rFonts w:ascii="Times New Roman" w:cs="Times New Roman" w:eastAsia="Times New Roman" w:hAnsi="Times New Roman"/>
          <w:sz w:val="18"/>
          <w:szCs w:val="18"/>
          <w:color w:val="auto"/>
        </w:rPr>
        <w:t>of heart muscle with fibrotic tissue and fatty deposits, and severely abnormal heart rhythms (arrhythmia) that can make it difficult for the heart to function properly and result in sudden cardiac death in some adults and children. We have scaled up production of TN-401 to 200L and are initiating IND-enabling studies. We also intend to support establishment of a global natural history study in 2022 and expect to submit an IND for TN-401 in 2023.</w:t>
      </w:r>
    </w:p>
    <w:p>
      <w:pPr>
        <w:spacing w:after="0" w:line="178"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Our earlier-stage discovery programs include an AAV-based gene therapy designed to express the Dwarf Open Reading Frame (</w:t>
      </w:r>
      <w:r>
        <w:rPr>
          <w:rFonts w:ascii="Times New Roman" w:cs="Times New Roman" w:eastAsia="Times New Roman" w:hAnsi="Times New Roman"/>
          <w:sz w:val="18"/>
          <w:szCs w:val="18"/>
          <w:i w:val="1"/>
          <w:iCs w:val="1"/>
          <w:color w:val="auto"/>
        </w:rPr>
        <w:t>DWORF</w:t>
      </w:r>
      <w:r>
        <w:rPr>
          <w:rFonts w:ascii="Times New Roman" w:cs="Times New Roman" w:eastAsia="Times New Roman" w:hAnsi="Times New Roman"/>
          <w:sz w:val="18"/>
          <w:szCs w:val="18"/>
          <w:color w:val="auto"/>
        </w:rPr>
        <w:t>) gene in the heart, which has potentially broad utility in dilated cardiomyopathy and heart failure with reduced ejection fraction (HFrEF) and is currently at the candidate selection stage. Another program is an AAV-approach based on science from our founders that involves converting (or reprogramming) cells to replace cardiomyocytes lost due to heart damage, such as myocardial infarction. This program is currently at the candidate selection stage. In addition, we have numerous emerging programs being explored to address other forms of heart failure.</w:t>
      </w:r>
    </w:p>
    <w:p>
      <w:pPr>
        <w:spacing w:after="0" w:line="185" w:lineRule="exact"/>
        <w:rPr>
          <w:sz w:val="20"/>
          <w:szCs w:val="20"/>
          <w:color w:val="auto"/>
        </w:rPr>
      </w:pPr>
    </w:p>
    <w:p>
      <w:pPr>
        <w:ind w:left="300" w:right="140" w:firstLine="426"/>
        <w:spacing w:after="0" w:line="255" w:lineRule="auto"/>
        <w:rPr>
          <w:sz w:val="20"/>
          <w:szCs w:val="20"/>
          <w:color w:val="auto"/>
        </w:rPr>
      </w:pPr>
      <w:r>
        <w:rPr>
          <w:rFonts w:ascii="Times New Roman" w:cs="Times New Roman" w:eastAsia="Times New Roman" w:hAnsi="Times New Roman"/>
          <w:sz w:val="18"/>
          <w:szCs w:val="18"/>
          <w:color w:val="auto"/>
        </w:rPr>
        <w:t>We have invested in significant gene therapy enabling capabilities, most notably with the build out and operational launch of our Genetic Medicines Manufacturing Center to support the production of our AAV-based programs. In June 2022, this facility obtained a drug manufacturing license from the State of California, Department of Public Health, to enable current Good Manufacturing Practice (cGMP) production of drug product. Located in Union City near our research labs, our Genetic Medicines Manufacturing Center enables scale-up of production to support first-in-human studies. This facility will initially support the production of drug product at multiple scales for clinical studies for all AAV-based programs, including TN-201 and TN-401. We have also initiated cGMP to support the production of TN-301 at a contract development and manufacturing organization (CDMO).</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August 2016. Our principal executive offices are located at 171 Oyster Point Boulevard, 5th Floor, South San Francisco, CA 94080. Our telephone number is (650) 825-6990. Our website address is www.tenayatherapeutics.com. Information contained on, or accessible through, our website is not incorporated by reference into this prospectus and should not be considered to be part of this prospectus. The inclusion of our website address in this prospectus is an inactive textual reference only.</w:t>
      </w:r>
    </w:p>
    <w:p>
      <w:pPr>
        <w:spacing w:after="0" w:line="180"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We may offer or sell common stock, preferred stock, depositary shares, debt securities, warrants, subscription rights, purchase contracts and units in one or more offerings and in any combination. The aggregate offering price of the securities we sell pursuant to this prospectus will not exceed $300,000,000.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8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763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300" w:right="40" w:firstLine="426"/>
        <w:spacing w:after="0" w:line="281" w:lineRule="auto"/>
        <w:rPr>
          <w:sz w:val="20"/>
          <w:szCs w:val="20"/>
          <w:color w:val="auto"/>
        </w:rPr>
      </w:pPr>
      <w:r>
        <w:rPr>
          <w:rFonts w:ascii="Times New Roman" w:cs="Times New Roman" w:eastAsia="Times New Roman" w:hAnsi="Times New Roman"/>
          <w:sz w:val="17"/>
          <w:szCs w:val="17"/>
          <w:color w:val="auto"/>
        </w:rPr>
        <w:t>We may offer shares of our common stock, par value $0.0001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Depositary Shares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may issue fractional shares of preferred stock that will be represented by depositary shares and depositary receipts.</w:t>
      </w:r>
    </w:p>
    <w:p>
      <w:pPr>
        <w:spacing w:after="0" w:line="225"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21"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83" w:lineRule="exact"/>
        <w:rPr>
          <w:sz w:val="20"/>
          <w:szCs w:val="20"/>
          <w:color w:val="auto"/>
        </w:rPr>
      </w:pPr>
    </w:p>
    <w:p>
      <w:pPr>
        <w:jc w:val="both"/>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300" w:right="540" w:firstLine="426"/>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common stock, preferred stock, debt securities or depositary shares. We may offer warrants independently or together with other securities.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Subscription Rights</w:t>
      </w:r>
    </w:p>
    <w:p>
      <w:pPr>
        <w:spacing w:after="0" w:line="121" w:lineRule="exact"/>
        <w:rPr>
          <w:sz w:val="20"/>
          <w:szCs w:val="20"/>
          <w:color w:val="auto"/>
        </w:rPr>
      </w:pPr>
    </w:p>
    <w:p>
      <w:pPr>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4014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6998970" cy="14014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Purchase Contracts</w:t>
      </w:r>
    </w:p>
    <w:p>
      <w:pPr>
        <w:spacing w:after="0" w:line="121"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We may offer purchase contracts, including contracts obligating holders or us to purchase from the other a specific or variable number of securities at a future date or dates.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in our most recent Quarterly Reports on Form 10-Q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See “Where You Can Find More Information” and “Incorporation by Reference.”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(Securities Act), and Section 21E of the Securities Exchange Act of 1934, as amended (Exchange Act). The words “may,” “will,” “should,” “would,” “expect,” “plan,” “anticipate,” “could,” “intend,” “target,” “project,” “contemplate,” “believe,” “estimate,” “predict,” “potential” or “continue” or the negative of these terms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captioned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set forth in the prospectus supplement our intended use for the net proceeds received from the sale of any securities. We will retain broad discretion over the use of the net proceeds to us from the sale of our securities under this prospectus.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320" w:top="455" w:right="5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firstLine="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is incorporated by reference to </w:t>
      </w:r>
      <w:hyperlink r:id="rId86">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2021, filed with the SEC on March 23, 2022.</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200"/>
          </w:cols>
          <w:pgMar w:left="320" w:top="455" w:right="1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67" w:lineRule="exact"/>
        <w:rPr>
          <w:sz w:val="20"/>
          <w:szCs w:val="20"/>
          <w:color w:val="auto"/>
        </w:rPr>
      </w:pPr>
    </w:p>
    <w:p>
      <w:pPr>
        <w:ind w:left="1080" w:right="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1320" w:firstLine="96"/>
        <w:spacing w:after="0" w:line="578" w:lineRule="auto"/>
        <w:tabs>
          <w:tab w:leader="none" w:pos="109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Default or Event of Default, shall have occurred and be continuing. Notwithstanding the above, any of our subsidiaries may consolidate with, merge into or transfer all or part of its properties to us.</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Legal Defeasance</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 from any and all obligations in respect of the debt securities of any series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Defeasance of Certain Covenants</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67" w:lineRule="exact"/>
        <w:rPr>
          <w:sz w:val="20"/>
          <w:szCs w:val="20"/>
          <w:color w:val="auto"/>
        </w:rPr>
      </w:pPr>
    </w:p>
    <w:p>
      <w:pPr>
        <w:ind w:left="1080" w:right="16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refer to this as covenant defeasance. The conditions include:</w:t>
      </w:r>
    </w:p>
    <w:p>
      <w:pPr>
        <w:spacing w:after="0" w:line="131" w:lineRule="exact"/>
        <w:rPr>
          <w:sz w:val="20"/>
          <w:szCs w:val="20"/>
          <w:color w:val="auto"/>
        </w:rPr>
      </w:pPr>
    </w:p>
    <w:p>
      <w:pPr>
        <w:ind w:left="1080" w:right="60" w:hanging="424"/>
        <w:spacing w:after="0" w:line="25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60"/>
          </w:cols>
          <w:pgMar w:left="320" w:top="455" w:right="5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may, at our option, elect to offer fractional shares of preferred stock, or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87"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76" w:lineRule="exact"/>
        <w:rPr>
          <w:sz w:val="20"/>
          <w:szCs w:val="20"/>
          <w:color w:val="auto"/>
        </w:rPr>
      </w:pPr>
    </w:p>
    <w:p>
      <w:pPr>
        <w:jc w:val="both"/>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40"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21" w:lineRule="exact"/>
        <w:rPr>
          <w:sz w:val="20"/>
          <w:szCs w:val="20"/>
          <w:color w:val="auto"/>
        </w:rPr>
      </w:pPr>
    </w:p>
    <w:p>
      <w:pPr>
        <w:jc w:val="both"/>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8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of the Depositary</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67"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9"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depositary shares or common stock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the number of depositary shares or the number of shares of common stock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320" w:top="455" w:right="5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debt securities, depositary shares, warrants or units consisting of some or all of these securities upon the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debt securities, depositary shares, warrants or units consisting of some or all of these securities which may be purchased per each subscription right;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“Where You Can Find More Information.”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we offer any purchase contracts, certain terms of that series of purchase contracts will be described in the applicable prospectus supplement, including, without limitation, the following:</w:t>
      </w:r>
    </w:p>
    <w:p>
      <w:pPr>
        <w:spacing w:after="0" w:line="67" w:lineRule="exact"/>
        <w:rPr>
          <w:sz w:val="20"/>
          <w:szCs w:val="20"/>
          <w:color w:val="auto"/>
        </w:rPr>
      </w:pPr>
    </w:p>
    <w:p>
      <w:pPr>
        <w:ind w:left="1080" w:right="1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securities or other property subject to the purchase contracts (which may be determined by reference to a specific formula described in the purchase contracts);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for us to make periodic payments to holders or vice versa, and whether the payments are unsecured or pre-funded;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purchase contracts;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 or not;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applicable to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purchase contracts and any securities subject to such purchase contracts.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67" w:lineRule="exact"/>
        <w:rPr>
          <w:sz w:val="20"/>
          <w:szCs w:val="20"/>
          <w:color w:val="auto"/>
        </w:rPr>
      </w:pPr>
    </w:p>
    <w:p>
      <w:pPr>
        <w:ind w:left="1080" w:right="4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names of any selling securityholders;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5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62" w:lineRule="exact"/>
        <w:rPr>
          <w:sz w:val="20"/>
          <w:szCs w:val="20"/>
          <w:color w:val="auto"/>
        </w:rPr>
      </w:pPr>
    </w:p>
    <w:p>
      <w:pPr>
        <w:ind w:left="120" w:right="240" w:firstLine="440"/>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8" w:lineRule="exact"/>
        <w:rPr>
          <w:sz w:val="20"/>
          <w:szCs w:val="20"/>
          <w:color w:val="auto"/>
        </w:rPr>
      </w:pPr>
    </w:p>
    <w:p>
      <w:pPr>
        <w:ind w:left="1080" w:right="1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and other persons acting as agents will not have any responsibility in respect of the validity or performance of delayed delivery contracts.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Any common stock will be listed on The Nasdaq Global Select Market, but any other securities may or may not be listed on a national securities exchange. We can make no assurance as to the liquidity of or the existence of trading markets for any of the securities.</w:t>
      </w:r>
    </w:p>
    <w:p>
      <w:pPr>
        <w:spacing w:after="0" w:line="176" w:lineRule="exact"/>
        <w:rPr>
          <w:sz w:val="20"/>
          <w:szCs w:val="20"/>
          <w:color w:val="auto"/>
        </w:rPr>
      </w:pPr>
    </w:p>
    <w:p>
      <w:pPr>
        <w:jc w:val="center"/>
        <w:ind w:right="120"/>
        <w:spacing w:after="0" w:line="454" w:lineRule="auto"/>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 26</w:t>
      </w:r>
    </w:p>
    <w:p>
      <w:pPr>
        <w:sectPr>
          <w:pgSz w:w="11900" w:h="16838" w:orient="portrait"/>
          <w:cols w:equalWidth="0" w:num="1">
            <w:col w:w="11000"/>
          </w:cols>
          <w:pgMar w:left="320" w:top="455" w:right="5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issuance of our common stock offered in this prospectus supplement will be passed upon for us by Wilson Sonsini Goodrich &amp; Rosati, Professional Corporation, Palo Alto, California. Additional legal matters may be passed on for us, or any underwriters, dealers or agents by counsel we will name in the applicable prospectus supplement.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Tenaya Therapeutics, Inc. as of December 31, 2021 and 2020, and for each of the two years in the period ended December 31, 2021, incorporated by reference in this Prospectus by reference to the Annual Report on Form 10-K for the year ended December 31, 2021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www.tenayatherapeutics.com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100"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0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108">
        <w:r>
          <w:rPr>
            <w:rFonts w:ascii="Times New Roman" w:cs="Times New Roman" w:eastAsia="Times New Roman" w:hAnsi="Times New Roman"/>
            <w:sz w:val="18"/>
            <w:szCs w:val="18"/>
            <w:u w:val="single" w:color="auto"/>
            <w:color w:val="0000EE"/>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09">
        <w:r>
          <w:rPr>
            <w:rFonts w:ascii="Times New Roman" w:cs="Times New Roman" w:eastAsia="Times New Roman" w:hAnsi="Times New Roman"/>
            <w:sz w:val="18"/>
            <w:szCs w:val="18"/>
            <w:u w:val="single" w:color="auto"/>
            <w:color w:val="0000EE"/>
          </w:rPr>
          <w:t>June 30,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110">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(other than information furnished rather than filed) that are incorporated by reference into our Annual Report on Form 10-K, filed with the SEC on April 28, 2022;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111">
        <w:r>
          <w:rPr>
            <w:rFonts w:ascii="Times New Roman" w:cs="Times New Roman" w:eastAsia="Times New Roman" w:hAnsi="Times New Roman"/>
            <w:sz w:val="18"/>
            <w:szCs w:val="18"/>
            <w:u w:val="single" w:color="auto"/>
            <w:color w:val="0000EE"/>
          </w:rPr>
          <w:t>June 10,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12">
        <w:r>
          <w:rPr>
            <w:rFonts w:ascii="Times New Roman" w:cs="Times New Roman" w:eastAsia="Times New Roman" w:hAnsi="Times New Roman"/>
            <w:sz w:val="18"/>
            <w:szCs w:val="18"/>
            <w:u w:val="single" w:color="auto"/>
            <w:color w:val="0000EE"/>
          </w:rPr>
          <w:t>August 10, 2022</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w:t>
      </w:r>
      <w:hyperlink r:id="rId6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on July 23,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171 Oyster Point Boulevard, 5th Floor</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825-6990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ectPr>
          <w:pgSz w:w="11900" w:h="16838" w:orient="portrait"/>
          <w:cols w:equalWidth="0" w:num="1">
            <w:col w:w="11060"/>
          </w:cols>
          <w:pgMar w:left="320" w:top="455" w:right="5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645795</wp:posOffset>
            </wp:positionV>
            <wp:extent cx="1954530" cy="7118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195453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440"/>
        <w:spacing w:after="0" w:line="284" w:lineRule="auto"/>
        <w:rPr>
          <w:sz w:val="20"/>
          <w:szCs w:val="20"/>
          <w:color w:val="auto"/>
        </w:rPr>
      </w:pPr>
      <w:r>
        <w:rPr>
          <w:rFonts w:ascii="Times New Roman" w:cs="Times New Roman" w:eastAsia="Times New Roman" w:hAnsi="Times New Roman"/>
          <w:sz w:val="23"/>
          <w:szCs w:val="23"/>
          <w:b w:val="1"/>
          <w:bCs w:val="1"/>
          <w:color w:val="auto"/>
        </w:rPr>
        <w:t>75,000,000 UNITS CONSISTING OF ONE SHARE OF COMMON STOCK, ONE SERIES A WARRANT TO PURCHASE COMMON STOCK AND ONE SERIES B WARRANT TO PURCHASE COMMON STOCK</w:t>
      </w:r>
    </w:p>
    <w:p>
      <w:pPr>
        <w:spacing w:after="0" w:line="130" w:lineRule="exact"/>
        <w:rPr>
          <w:sz w:val="20"/>
          <w:szCs w:val="20"/>
          <w:color w:val="auto"/>
        </w:rPr>
      </w:pPr>
    </w:p>
    <w:p>
      <w:pPr>
        <w:jc w:val="center"/>
        <w:ind w:left="420" w:right="240"/>
        <w:spacing w:after="0" w:line="284" w:lineRule="auto"/>
        <w:rPr>
          <w:sz w:val="20"/>
          <w:szCs w:val="20"/>
          <w:color w:val="auto"/>
        </w:rPr>
      </w:pPr>
      <w:r>
        <w:rPr>
          <w:rFonts w:ascii="Times New Roman" w:cs="Times New Roman" w:eastAsia="Times New Roman" w:hAnsi="Times New Roman"/>
          <w:sz w:val="23"/>
          <w:szCs w:val="23"/>
          <w:b w:val="1"/>
          <w:bCs w:val="1"/>
          <w:color w:val="auto"/>
        </w:rPr>
        <w:t>SHARES OF COMMON STOCK ISSUABLE UPON THE EXERCISE OF THE SERIES A WARRANTS AND SERIES B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2085975</wp:posOffset>
            </wp:positionV>
            <wp:extent cx="1474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399415</wp:posOffset>
            </wp:positionV>
            <wp:extent cx="1474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120" w:type="dxa"/>
        <w:tblCellMar>
          <w:top w:w="0" w:type="dxa"/>
          <w:left w:w="0" w:type="dxa"/>
          <w:bottom w:w="0" w:type="dxa"/>
          <w:right w:w="0" w:type="dxa"/>
        </w:tblCellMar>
      </w:tblPr>
      <w:tr>
        <w:trPr>
          <w:trHeight w:val="383"/>
        </w:trPr>
        <w:tc>
          <w:tcPr>
            <w:tcW w:w="354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rPr>
              <w:t>Leerink Partners</w:t>
            </w:r>
          </w:p>
        </w:tc>
        <w:tc>
          <w:tcPr>
            <w:tcW w:w="7480" w:type="dxa"/>
            <w:vAlign w:val="bottom"/>
          </w:tcPr>
          <w:p>
            <w:pPr>
              <w:ind w:left="5780"/>
              <w:spacing w:after="0"/>
              <w:rPr>
                <w:sz w:val="20"/>
                <w:szCs w:val="20"/>
                <w:color w:val="auto"/>
              </w:rPr>
            </w:pPr>
            <w:r>
              <w:rPr>
                <w:rFonts w:ascii="Times New Roman" w:cs="Times New Roman" w:eastAsia="Times New Roman" w:hAnsi="Times New Roman"/>
                <w:sz w:val="29"/>
                <w:szCs w:val="29"/>
                <w:b w:val="1"/>
                <w:bCs w:val="1"/>
                <w:color w:val="auto"/>
                <w:w w:val="97"/>
              </w:rPr>
              <w:t>Piper Sandler</w:t>
            </w:r>
          </w:p>
        </w:tc>
      </w:tr>
      <w:tr>
        <w:trPr>
          <w:trHeight w:val="641"/>
        </w:trPr>
        <w:tc>
          <w:tcPr>
            <w:tcW w:w="3540" w:type="dxa"/>
            <w:vAlign w:val="bottom"/>
          </w:tcPr>
          <w:p>
            <w:pPr>
              <w:spacing w:after="0"/>
              <w:rPr>
                <w:sz w:val="24"/>
                <w:szCs w:val="24"/>
                <w:color w:val="auto"/>
              </w:rPr>
            </w:pPr>
          </w:p>
        </w:tc>
        <w:tc>
          <w:tcPr>
            <w:tcW w:w="748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March 3, 2025</w:t>
            </w:r>
          </w:p>
        </w:tc>
      </w:tr>
      <w:tr>
        <w:trPr>
          <w:trHeight w:val="648"/>
        </w:trPr>
        <w:tc>
          <w:tcPr>
            <w:tcW w:w="354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r>
      <w:tr>
        <w:trPr>
          <w:trHeight w:val="82"/>
        </w:trPr>
        <w:tc>
          <w:tcPr>
            <w:tcW w:w="3540" w:type="dxa"/>
            <w:vAlign w:val="bottom"/>
            <w:tcBorders>
              <w:bottom w:val="single" w:sz="8" w:color="auto"/>
            </w:tcBorders>
          </w:tcPr>
          <w:p>
            <w:pPr>
              <w:spacing w:after="0"/>
              <w:rPr>
                <w:sz w:val="7"/>
                <w:szCs w:val="7"/>
                <w:color w:val="auto"/>
              </w:rPr>
            </w:pPr>
          </w:p>
        </w:tc>
        <w:tc>
          <w:tcPr>
            <w:tcW w:w="748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2"/>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jpe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jpeg"/><Relationship Id="rId117" Type="http://schemas.openxmlformats.org/officeDocument/2006/relationships/image" Target="media/image93.png"/><Relationship Id="rId118" Type="http://schemas.openxmlformats.org/officeDocument/2006/relationships/image" Target="media/image94.png"/><Relationship Id="rId58" Type="http://schemas.openxmlformats.org/officeDocument/2006/relationships/hyperlink" Target="http://www.sec.gov/ix?doc=/Archives/edgar/data/1858848/000095017024032828/tnya-20231231.htm" TargetMode="External"/><Relationship Id="rId59" Type="http://schemas.openxmlformats.org/officeDocument/2006/relationships/hyperlink" Target="http://www.sec.gov/ix?doc=/Archives/edgar/data/1858848/000095017024059576/tnya-20240331.htm" TargetMode="External"/><Relationship Id="rId60" Type="http://schemas.openxmlformats.org/officeDocument/2006/relationships/hyperlink" Target="http://www.sec.gov/ix?doc=/Archives/edgar/data/1858848/000095017024094059/tnya-20240630.htm" TargetMode="External"/><Relationship Id="rId61" Type="http://schemas.openxmlformats.org/officeDocument/2006/relationships/hyperlink" Target="http://www.sec.gov/ix?doc=/Archives/edgar/data/1858848/000095017024122359/tnya-20240930.htm" TargetMode="External"/><Relationship Id="rId62" Type="http://schemas.openxmlformats.org/officeDocument/2006/relationships/hyperlink" Target="http://www.sec.gov/Archives/edgar/data/1858848/000119312524099107/d656970ddef14a.htm" TargetMode="External"/><Relationship Id="rId63" Type="http://schemas.openxmlformats.org/officeDocument/2006/relationships/hyperlink" Target="http://www.sec.gov/ix?doc=/Archives/edgar/data/1858848/000095017024106817/tnya-20240912.htm" TargetMode="External"/><Relationship Id="rId64" Type="http://schemas.openxmlformats.org/officeDocument/2006/relationships/hyperlink" Target="http://www.sec.gov/ix?doc=/Archives/edgar/data/1858848/000119312524280112/d883027d8k.htm" TargetMode="External"/><Relationship Id="rId65" Type="http://schemas.openxmlformats.org/officeDocument/2006/relationships/hyperlink" Target="http://www.sec.gov/ix?doc=/Archives/edgar/data/1858848/000095017025009946/tnya-20250124.htm" TargetMode="External"/><Relationship Id="rId66" Type="http://schemas.openxmlformats.org/officeDocument/2006/relationships/hyperlink" Target="http://www.sec.gov/ix?doc=/Archives/edgar/data/1858848/000095017025016378/tnya-20250206.htm" TargetMode="External"/><Relationship Id="rId67" Type="http://schemas.openxmlformats.org/officeDocument/2006/relationships/hyperlink" Target="http://www.sec.gov/Archives/edgar/data/1858848/000119312521223152/d170858d8a12b.htm" TargetMode="External"/><Relationship Id="rId86" Type="http://schemas.openxmlformats.org/officeDocument/2006/relationships/hyperlink" Target="http://www.sec.gov/Archives/edgar/data/1858848/000095017022004426/tnya-ex4_3.htm" TargetMode="External"/><Relationship Id="rId107" Type="http://schemas.openxmlformats.org/officeDocument/2006/relationships/hyperlink" Target="http://www.sec.gov/ix?doc=/Archives/edgar/data/1858848/000095017022004426/tnya-20211231.htm" TargetMode="External"/><Relationship Id="rId108" Type="http://schemas.openxmlformats.org/officeDocument/2006/relationships/hyperlink" Target="http://www.sec.gov/ix?doc=/Archives/edgar/data/1858848/000095017022009363/tnya-20220331.htm" TargetMode="External"/><Relationship Id="rId109" Type="http://schemas.openxmlformats.org/officeDocument/2006/relationships/hyperlink" Target="http://www.sec.gov/ix?doc=/Archives/edgar/data/1858848/000095017022016478/tnya-20220630.htm" TargetMode="External"/><Relationship Id="rId110" Type="http://schemas.openxmlformats.org/officeDocument/2006/relationships/hyperlink" Target="http://www.sec.gov/Archives/edgar/data/1858848/000119312522127693/d263092ddef14a.htm" TargetMode="External"/><Relationship Id="rId111" Type="http://schemas.openxmlformats.org/officeDocument/2006/relationships/hyperlink" Target="http://www.sec.gov/ix?doc=/Archives/edgar/data/1858848/000095017022011496/tnya-20220609.htm" TargetMode="External"/><Relationship Id="rId112" Type="http://schemas.openxmlformats.org/officeDocument/2006/relationships/hyperlink" Target="http://www.sec.gov/ix?doc=/Archives/edgar/data/1858848/000119312522217452/d301698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2025-03-04T15:35:29Z</dcterms:created>
  <dcterms:modified xsi:type="dcterms:W3CDTF">2025-03-04T15:35:29Z</dcterms:modified>
</cp:coreProperties>
</file>