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333-286005</w:t>
      </w:r>
    </w:p>
    <w:p>
      <w:pPr>
        <w:spacing w:after="0" w:line="14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2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(To prospectus dated March 31, 2025)</w:t>
      </w:r>
    </w:p>
    <w:p>
      <w:pPr>
        <w:spacing w:after="0" w:line="9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$60,000,0000</w:t>
      </w:r>
    </w:p>
    <w:p>
      <w:pPr>
        <w:spacing w:after="0" w:line="1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50,000,0000 UNITS CONSISTING OF ONE SHARE OF COMMON STOCK AND</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ONE WARRANT TO PURCHASE COMMON STOCK</w:t>
      </w:r>
    </w:p>
    <w:p>
      <w:pPr>
        <w:spacing w:after="0" w:line="9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SHARES OF COMMON STOCK ISSUABLE UPON THE EXERCISE OF THE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714375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97155</wp:posOffset>
            </wp:positionV>
            <wp:extent cx="126873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6873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120" w:right="280" w:firstLine="440"/>
        <w:spacing w:after="0" w:line="281" w:lineRule="auto"/>
        <w:rPr>
          <w:sz w:val="20"/>
          <w:szCs w:val="20"/>
          <w:color w:val="auto"/>
        </w:rPr>
      </w:pPr>
      <w:r>
        <w:rPr>
          <w:rFonts w:ascii="Times New Roman" w:cs="Times New Roman" w:eastAsia="Times New Roman" w:hAnsi="Times New Roman"/>
          <w:sz w:val="16"/>
          <w:szCs w:val="16"/>
          <w:color w:val="auto"/>
        </w:rPr>
        <w:t>We are offering 50,000,000 units (collectively, the units) in a firm commitment underwritten public offering. Each unit consists of (i) one share of our common stock and (ii) a warrant to purchase one share of our common stock (which equates to 100% warrant coverage) at an exercise price of $1.50 per share, which will be immediately exercisable and will expire five years from the date of issuance (a Warrant).</w:t>
      </w:r>
    </w:p>
    <w:p>
      <w:pPr>
        <w:spacing w:after="0" w:line="69" w:lineRule="exact"/>
        <w:rPr>
          <w:sz w:val="24"/>
          <w:szCs w:val="24"/>
          <w:color w:val="auto"/>
        </w:rPr>
      </w:pPr>
    </w:p>
    <w:p>
      <w:pPr>
        <w:ind w:left="120" w:right="80" w:firstLine="440"/>
        <w:spacing w:after="0" w:line="298" w:lineRule="auto"/>
        <w:rPr>
          <w:sz w:val="20"/>
          <w:szCs w:val="20"/>
          <w:color w:val="auto"/>
        </w:rPr>
      </w:pPr>
      <w:r>
        <w:rPr>
          <w:rFonts w:ascii="Times New Roman" w:cs="Times New Roman" w:eastAsia="Times New Roman" w:hAnsi="Times New Roman"/>
          <w:sz w:val="16"/>
          <w:szCs w:val="16"/>
          <w:color w:val="auto"/>
        </w:rPr>
        <w:t>The shares of common stock and the accompanying warrants can only be purchased together in this offering but will be issued separately and will be immediately separable upon issuance.</w:t>
      </w:r>
    </w:p>
    <w:p>
      <w:pPr>
        <w:spacing w:after="0" w:line="56"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color w:val="auto"/>
        </w:rPr>
        <w:t>This prospectus supplement also relates to the offering of the shares of our common stock issuable upon the exercise of such Warrants.</w:t>
      </w:r>
    </w:p>
    <w:p>
      <w:pPr>
        <w:spacing w:after="0" w:line="127" w:lineRule="exact"/>
        <w:rPr>
          <w:sz w:val="24"/>
          <w:szCs w:val="24"/>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6"/>
          <w:szCs w:val="16"/>
          <w:color w:val="auto"/>
        </w:rPr>
        <w:t>Our common stock is listed on the Nasdaq Global Select Market under the symbol “TNYA.” On December 11, 2025, the last reported sale price of our common stock was $1.36 per share. There is no established public trading market for the Warrants, and we do not expect a market to develop. We do not intend to list the Warrants on the Nasdaq Global Select Market, any other national securities exchange or any other recognized trading system.</w:t>
      </w:r>
    </w:p>
    <w:p>
      <w:pPr>
        <w:spacing w:after="0" w:line="69" w:lineRule="exact"/>
        <w:rPr>
          <w:sz w:val="24"/>
          <w:szCs w:val="24"/>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6"/>
          <w:szCs w:val="16"/>
          <w:color w:val="auto"/>
        </w:rPr>
        <w:t>We are an “emerging growth company” and a “smaller reporting company” as defined under U.S. federal securities laws and as such, we have elected to comply with certain reduced public company reporting requirements for this prospectus supplement and may elect to do so for future filings. See “Prospectus Supplement Summary—Implications of Being an Emerging Growth Company and a Smaller Reporting Company.”</w:t>
      </w:r>
    </w:p>
    <w:p>
      <w:pPr>
        <w:spacing w:after="0" w:line="59" w:lineRule="exact"/>
        <w:rPr>
          <w:sz w:val="24"/>
          <w:szCs w:val="24"/>
          <w:color w:val="auto"/>
        </w:rPr>
      </w:pPr>
    </w:p>
    <w:tbl>
      <w:tblPr>
        <w:tblLayout w:type="fixed"/>
        <w:tblInd w:w="144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Public offering price</w:t>
            </w:r>
          </w:p>
        </w:tc>
        <w:tc>
          <w:tcPr>
            <w:tcW w:w="1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$ 1.200</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60,000,000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tcPr>
          <w:p>
            <w:pPr>
              <w:spacing w:after="0"/>
              <w:rPr>
                <w:sz w:val="20"/>
                <w:szCs w:val="20"/>
                <w:color w:val="auto"/>
              </w:rPr>
            </w:pPr>
            <w:r>
              <w:rPr>
                <w:rFonts w:ascii="Times New Roman" w:cs="Times New Roman" w:eastAsia="Times New Roman" w:hAnsi="Times New Roman"/>
                <w:sz w:val="17"/>
                <w:szCs w:val="17"/>
                <w:color w:val="auto"/>
              </w:rPr>
              <w:t>Underwriting discounts and commissions (1)</w:t>
            </w:r>
          </w:p>
        </w:tc>
        <w:tc>
          <w:tcPr>
            <w:tcW w:w="2080" w:type="dxa"/>
            <w:vAlign w:val="bottom"/>
            <w:gridSpan w:val="3"/>
          </w:tcPr>
          <w:p>
            <w:pPr>
              <w:jc w:val="center"/>
              <w:ind w:left="1015"/>
              <w:spacing w:after="0"/>
              <w:rPr>
                <w:sz w:val="20"/>
                <w:szCs w:val="20"/>
                <w:color w:val="auto"/>
              </w:rPr>
            </w:pPr>
            <w:r>
              <w:rPr>
                <w:rFonts w:ascii="Times New Roman" w:cs="Times New Roman" w:eastAsia="Times New Roman" w:hAnsi="Times New Roman"/>
                <w:sz w:val="17"/>
                <w:szCs w:val="17"/>
                <w:color w:val="auto"/>
                <w:w w:val="97"/>
              </w:rPr>
              <w:t>$ 0.072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3,600,000</w:t>
            </w: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to Tenaya Therapeutics, Inc., before expenses</w:t>
            </w:r>
          </w:p>
        </w:tc>
        <w:tc>
          <w:tcPr>
            <w:tcW w:w="2080" w:type="dxa"/>
            <w:vAlign w:val="bottom"/>
            <w:gridSpan w:val="3"/>
            <w:shd w:val="clear" w:color="auto" w:fill="CCEEFF"/>
          </w:tcPr>
          <w:p>
            <w:pPr>
              <w:jc w:val="center"/>
              <w:ind w:left="1015"/>
              <w:spacing w:after="0"/>
              <w:rPr>
                <w:sz w:val="20"/>
                <w:szCs w:val="20"/>
                <w:color w:val="auto"/>
              </w:rPr>
            </w:pPr>
            <w:r>
              <w:rPr>
                <w:rFonts w:ascii="Times New Roman" w:cs="Times New Roman" w:eastAsia="Times New Roman" w:hAnsi="Times New Roman"/>
                <w:sz w:val="17"/>
                <w:szCs w:val="17"/>
                <w:color w:val="auto"/>
                <w:w w:val="97"/>
              </w:rPr>
              <w:t>$ 1.128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9"/>
              </w:rPr>
              <w:t>56,400,000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“Underwriting” for a description of the compensation payable to the underwriters.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229235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SIGNIFICANT RISKS. YOU SHOULD REVIEW CAREFULLY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ON PAGE S-15 OF THIS PROSPECTUS SUPPLEMENT, AND IN THE DOCUMENTS INCORPORATED BY REFERENCE IN THIS PROSPECTUS SUPPLEMENT AND ACCOMPANYING PROSPECTUS, BEFORE INVESTING IN OUR SECURITIES.</w:t>
      </w:r>
    </w:p>
    <w:p>
      <w:pPr>
        <w:spacing w:after="0" w:line="69" w:lineRule="exact"/>
        <w:rPr>
          <w:sz w:val="24"/>
          <w:szCs w:val="24"/>
          <w:color w:val="auto"/>
        </w:rPr>
      </w:pPr>
    </w:p>
    <w:p>
      <w:pPr>
        <w:ind w:left="120" w:right="4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54"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color w:val="auto"/>
        </w:rPr>
        <w:t>The underwriters expect to deliver the shares of common stock and Warrants to purchasers on or about December 15, 2025.</w:t>
      </w:r>
    </w:p>
    <w:p>
      <w:pPr>
        <w:spacing w:after="0" w:line="127" w:lineRule="exact"/>
        <w:rPr>
          <w:sz w:val="24"/>
          <w:szCs w:val="24"/>
          <w:color w:val="auto"/>
        </w:rPr>
      </w:pPr>
    </w:p>
    <w:p>
      <w:pPr>
        <w:ind w:left="120" w:right="140" w:firstLine="440"/>
        <w:spacing w:after="0" w:line="298" w:lineRule="auto"/>
        <w:rPr>
          <w:sz w:val="20"/>
          <w:szCs w:val="20"/>
          <w:color w:val="auto"/>
        </w:rPr>
      </w:pPr>
      <w:r>
        <w:rPr>
          <w:rFonts w:ascii="Times New Roman" w:cs="Times New Roman" w:eastAsia="Times New Roman" w:hAnsi="Times New Roman"/>
          <w:sz w:val="16"/>
          <w:szCs w:val="16"/>
          <w:color w:val="auto"/>
        </w:rPr>
        <w:t>The shares of common stock included in the units will be delivered through the facilities of The Depository Trust Company (DTC). The Warrants included in the units will be delivered to purchasers in certificated form.</w:t>
      </w:r>
    </w:p>
    <w:p>
      <w:pPr>
        <w:spacing w:after="0" w:line="50" w:lineRule="exact"/>
        <w:rPr>
          <w:sz w:val="24"/>
          <w:szCs w:val="24"/>
          <w:color w:val="auto"/>
        </w:rPr>
      </w:pPr>
    </w:p>
    <w:tbl>
      <w:tblPr>
        <w:tblLayout w:type="fixed"/>
        <w:tblInd w:w="120" w:type="dxa"/>
        <w:tblCellMar>
          <w:top w:w="0" w:type="dxa"/>
          <w:left w:w="0" w:type="dxa"/>
          <w:bottom w:w="0" w:type="dxa"/>
          <w:right w:w="0" w:type="dxa"/>
        </w:tblCellMar>
      </w:tblPr>
      <w:tr>
        <w:trPr>
          <w:trHeight w:val="236"/>
        </w:trPr>
        <w:tc>
          <w:tcPr>
            <w:tcW w:w="27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680" w:type="dxa"/>
            <w:vAlign w:val="bottom"/>
            <w:gridSpan w:val="2"/>
          </w:tcPr>
          <w:p>
            <w:pPr>
              <w:jc w:val="center"/>
              <w:ind w:right="4216"/>
              <w:spacing w:after="0"/>
              <w:rPr>
                <w:sz w:val="20"/>
                <w:szCs w:val="20"/>
                <w:color w:val="auto"/>
              </w:rPr>
            </w:pPr>
            <w:r>
              <w:rPr>
                <w:rFonts w:ascii="Times New Roman" w:cs="Times New Roman" w:eastAsia="Times New Roman" w:hAnsi="Times New Roman"/>
                <w:sz w:val="18"/>
                <w:szCs w:val="18"/>
                <w:i w:val="1"/>
                <w:iCs w:val="1"/>
                <w:color w:val="auto"/>
                <w:w w:val="99"/>
              </w:rPr>
              <w:t>Joint Bookrunning Managers</w:t>
            </w:r>
          </w:p>
        </w:tc>
      </w:tr>
      <w:tr>
        <w:trPr>
          <w:trHeight w:val="574"/>
        </w:trPr>
        <w:tc>
          <w:tcPr>
            <w:tcW w:w="2700" w:type="dxa"/>
            <w:vAlign w:val="bottom"/>
          </w:tcPr>
          <w:p>
            <w:pPr>
              <w:spacing w:after="0"/>
              <w:rPr>
                <w:sz w:val="20"/>
                <w:szCs w:val="20"/>
                <w:color w:val="auto"/>
              </w:rPr>
            </w:pPr>
            <w:r>
              <w:rPr>
                <w:rFonts w:ascii="Times New Roman" w:cs="Times New Roman" w:eastAsia="Times New Roman" w:hAnsi="Times New Roman"/>
                <w:sz w:val="29"/>
                <w:szCs w:val="29"/>
                <w:b w:val="1"/>
                <w:bCs w:val="1"/>
                <w:color w:val="auto"/>
              </w:rPr>
              <w:t>Leerink Partners</w:t>
            </w:r>
          </w:p>
        </w:tc>
        <w:tc>
          <w:tcPr>
            <w:tcW w:w="1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60" w:type="dxa"/>
            <w:vAlign w:val="bottom"/>
          </w:tcPr>
          <w:p>
            <w:pPr>
              <w:ind w:left="2660"/>
              <w:spacing w:after="0"/>
              <w:rPr>
                <w:sz w:val="20"/>
                <w:szCs w:val="20"/>
                <w:color w:val="auto"/>
              </w:rPr>
            </w:pPr>
            <w:r>
              <w:rPr>
                <w:rFonts w:ascii="Times New Roman" w:cs="Times New Roman" w:eastAsia="Times New Roman" w:hAnsi="Times New Roman"/>
                <w:sz w:val="29"/>
                <w:szCs w:val="29"/>
                <w:b w:val="1"/>
                <w:bCs w:val="1"/>
                <w:color w:val="auto"/>
                <w:w w:val="97"/>
              </w:rPr>
              <w:t>Piper Sandler</w:t>
            </w:r>
          </w:p>
        </w:tc>
      </w:tr>
      <w:tr>
        <w:trPr>
          <w:trHeight w:val="407"/>
        </w:trPr>
        <w:tc>
          <w:tcPr>
            <w:tcW w:w="2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680" w:type="dxa"/>
            <w:vAlign w:val="bottom"/>
            <w:gridSpan w:val="2"/>
          </w:tcPr>
          <w:p>
            <w:pPr>
              <w:ind w:left="400"/>
              <w:spacing w:after="0"/>
              <w:rPr>
                <w:sz w:val="20"/>
                <w:szCs w:val="20"/>
                <w:color w:val="auto"/>
              </w:rPr>
            </w:pPr>
            <w:r>
              <w:rPr>
                <w:rFonts w:ascii="Times New Roman" w:cs="Times New Roman" w:eastAsia="Times New Roman" w:hAnsi="Times New Roman"/>
                <w:sz w:val="25"/>
                <w:szCs w:val="25"/>
                <w:b w:val="1"/>
                <w:bCs w:val="1"/>
                <w:color w:val="auto"/>
              </w:rPr>
              <w:t>LifeSci Capital</w:t>
            </w:r>
          </w:p>
        </w:tc>
      </w:tr>
      <w:tr>
        <w:trPr>
          <w:trHeight w:val="234"/>
        </w:trPr>
        <w:tc>
          <w:tcPr>
            <w:tcW w:w="27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4360" w:type="dxa"/>
            <w:vAlign w:val="bottom"/>
          </w:tcPr>
          <w:p>
            <w:pPr>
              <w:spacing w:after="0"/>
              <w:rPr>
                <w:sz w:val="20"/>
                <w:szCs w:val="20"/>
                <w:color w:val="auto"/>
              </w:rPr>
            </w:pPr>
          </w:p>
        </w:tc>
      </w:tr>
      <w:tr>
        <w:trPr>
          <w:trHeight w:val="302"/>
        </w:trPr>
        <w:tc>
          <w:tcPr>
            <w:tcW w:w="2700" w:type="dxa"/>
            <w:vAlign w:val="bottom"/>
          </w:tcPr>
          <w:p>
            <w:pPr>
              <w:spacing w:after="0"/>
              <w:rPr>
                <w:sz w:val="24"/>
                <w:szCs w:val="24"/>
                <w:color w:val="auto"/>
              </w:rPr>
            </w:pPr>
          </w:p>
        </w:tc>
        <w:tc>
          <w:tcPr>
            <w:tcW w:w="8320" w:type="dxa"/>
            <w:vAlign w:val="bottom"/>
            <w:gridSpan w:val="3"/>
          </w:tcPr>
          <w:p>
            <w:pPr>
              <w:jc w:val="center"/>
              <w:ind w:right="2556"/>
              <w:spacing w:after="0"/>
              <w:rPr>
                <w:sz w:val="20"/>
                <w:szCs w:val="20"/>
                <w:color w:val="auto"/>
              </w:rPr>
            </w:pPr>
            <w:r>
              <w:rPr>
                <w:rFonts w:ascii="Times New Roman" w:cs="Times New Roman" w:eastAsia="Times New Roman" w:hAnsi="Times New Roman"/>
                <w:sz w:val="17"/>
                <w:szCs w:val="17"/>
                <w:b w:val="1"/>
                <w:bCs w:val="1"/>
                <w:color w:val="auto"/>
              </w:rPr>
              <w:t>The date of this prospectus supplement is December 11, 2025</w:t>
            </w:r>
          </w:p>
        </w:tc>
      </w:tr>
    </w:tbl>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160" w:type="dxa"/>
            <w:vAlign w:val="bottom"/>
            <w:gridSpan w:val="7"/>
            <w:vMerge w:val="restart"/>
          </w:tcPr>
          <w:p>
            <w:pPr>
              <w:spacing w:after="0"/>
              <w:rPr>
                <w:sz w:val="15"/>
                <w:szCs w:val="15"/>
                <w:color w:val="auto"/>
              </w:rPr>
            </w:pPr>
          </w:p>
        </w:tc>
        <w:tc>
          <w:tcPr>
            <w:tcW w:w="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
        </w:trPr>
        <w:tc>
          <w:tcPr>
            <w:tcW w:w="3440" w:type="dxa"/>
            <w:vAlign w:val="bottom"/>
            <w:gridSpan w:val="17"/>
            <w:vMerge w:val="continue"/>
          </w:tcPr>
          <w:p>
            <w:pPr>
              <w:spacing w:after="0" w:line="20" w:lineRule="exact"/>
              <w:rPr>
                <w:sz w:val="1"/>
                <w:szCs w:val="1"/>
                <w:color w:val="auto"/>
              </w:rPr>
            </w:pPr>
          </w:p>
        </w:tc>
        <w:tc>
          <w:tcPr>
            <w:tcW w:w="7160" w:type="dxa"/>
            <w:vAlign w:val="bottom"/>
            <w:gridSpan w:val="7"/>
            <w:vMerge w:val="continue"/>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440" w:type="dxa"/>
            <w:vAlign w:val="bottom"/>
            <w:tcBorders>
              <w:bottom w:val="single" w:sz="8" w:color="0000EE"/>
            </w:tcBorders>
            <w:gridSpan w:val="17"/>
            <w:vMerge w:val="continue"/>
          </w:tcPr>
          <w:p>
            <w:pPr>
              <w:spacing w:after="0"/>
              <w:rPr>
                <w:sz w:val="14"/>
                <w:szCs w:val="14"/>
                <w:color w:val="auto"/>
              </w:rPr>
            </w:pPr>
          </w:p>
        </w:tc>
        <w:tc>
          <w:tcPr>
            <w:tcW w:w="7160" w:type="dxa"/>
            <w:vAlign w:val="bottom"/>
            <w:gridSpan w:val="7"/>
            <w:vMerge w:val="continue"/>
          </w:tcPr>
          <w:p>
            <w:pPr>
              <w:spacing w:after="0"/>
              <w:rPr>
                <w:sz w:val="14"/>
                <w:szCs w:val="14"/>
                <w:color w:val="auto"/>
              </w:rPr>
            </w:pPr>
          </w:p>
        </w:tc>
        <w:tc>
          <w:tcPr>
            <w:tcW w:w="380" w:type="dxa"/>
            <w:vAlign w:val="bottom"/>
            <w:gridSpan w:val="3"/>
          </w:tcPr>
          <w:p>
            <w:pPr>
              <w:jc w:val="right"/>
              <w:ind w:right="20"/>
              <w:spacing w:after="0" w:line="169"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10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196"/>
        </w:trPr>
        <w:tc>
          <w:tcPr>
            <w:tcW w:w="532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5280" w:type="dxa"/>
            <w:vAlign w:val="bottom"/>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196"/>
        </w:trPr>
        <w:tc>
          <w:tcPr>
            <w:tcW w:w="328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320" w:type="dxa"/>
            <w:vAlign w:val="bottom"/>
            <w:gridSpan w:val="9"/>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9"/>
              </w:rPr>
              <w:t>S-15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9020" w:type="dxa"/>
            <w:vAlign w:val="bottom"/>
            <w:gridSpan w:val="18"/>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9"/>
              </w:rPr>
              <w:t>S-19</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9740" w:type="dxa"/>
            <w:vAlign w:val="bottom"/>
            <w:gridSpan w:val="22"/>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9"/>
              </w:rPr>
              <w:t>S-20</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9020" w:type="dxa"/>
            <w:vAlign w:val="bottom"/>
            <w:gridSpan w:val="18"/>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9"/>
              </w:rPr>
              <w:t>S-22</w:t>
            </w:r>
          </w:p>
        </w:tc>
        <w:tc>
          <w:tcPr>
            <w:tcW w:w="0" w:type="dxa"/>
            <w:vAlign w:val="bottom"/>
          </w:tcPr>
          <w:p>
            <w:pPr>
              <w:spacing w:after="0"/>
              <w:rPr>
                <w:sz w:val="1"/>
                <w:szCs w:val="1"/>
                <w:color w:val="auto"/>
              </w:rPr>
            </w:pPr>
          </w:p>
        </w:tc>
      </w:tr>
      <w:tr>
        <w:trPr>
          <w:trHeight w:val="196"/>
        </w:trPr>
        <w:tc>
          <w:tcPr>
            <w:tcW w:w="10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9"/>
              </w:rPr>
              <w:t>S-23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CONSEQUENCES</w:t>
            </w: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9"/>
              </w:rPr>
              <w:t>S-26</w:t>
            </w:r>
          </w:p>
        </w:tc>
        <w:tc>
          <w:tcPr>
            <w:tcW w:w="0" w:type="dxa"/>
            <w:vAlign w:val="bottom"/>
          </w:tcPr>
          <w:p>
            <w:pPr>
              <w:spacing w:after="0"/>
              <w:rPr>
                <w:sz w:val="1"/>
                <w:szCs w:val="1"/>
                <w:color w:val="auto"/>
              </w:rPr>
            </w:pPr>
          </w:p>
        </w:tc>
      </w:tr>
      <w:tr>
        <w:trPr>
          <w:trHeight w:val="196"/>
        </w:trPr>
        <w:tc>
          <w:tcPr>
            <w:tcW w:w="474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5860" w:type="dxa"/>
            <w:vAlign w:val="bottom"/>
            <w:gridSpan w:val="3"/>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9"/>
              </w:rPr>
              <w:t>S-33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140" w:type="dxa"/>
            <w:vAlign w:val="bottom"/>
            <w:gridSpan w:val="19"/>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9"/>
              </w:rPr>
              <w:t>S-43</w:t>
            </w:r>
          </w:p>
        </w:tc>
        <w:tc>
          <w:tcPr>
            <w:tcW w:w="0" w:type="dxa"/>
            <w:vAlign w:val="bottom"/>
          </w:tcPr>
          <w:p>
            <w:pPr>
              <w:spacing w:after="0"/>
              <w:rPr>
                <w:sz w:val="1"/>
                <w:szCs w:val="1"/>
                <w:color w:val="auto"/>
              </w:rPr>
            </w:pPr>
          </w:p>
        </w:tc>
      </w:tr>
      <w:tr>
        <w:trPr>
          <w:trHeight w:val="196"/>
        </w:trPr>
        <w:tc>
          <w:tcPr>
            <w:tcW w:w="10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9"/>
              </w:rPr>
              <w:t>S-43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9"/>
              </w:rPr>
              <w:t>S-43</w:t>
            </w:r>
          </w:p>
        </w:tc>
        <w:tc>
          <w:tcPr>
            <w:tcW w:w="0" w:type="dxa"/>
            <w:vAlign w:val="bottom"/>
          </w:tcPr>
          <w:p>
            <w:pPr>
              <w:spacing w:after="0"/>
              <w:rPr>
                <w:sz w:val="1"/>
                <w:szCs w:val="1"/>
                <w:color w:val="auto"/>
              </w:rPr>
            </w:pPr>
          </w:p>
        </w:tc>
      </w:tr>
      <w:tr>
        <w:trPr>
          <w:trHeight w:val="20"/>
        </w:trPr>
        <w:tc>
          <w:tcPr>
            <w:tcW w:w="1580" w:type="dxa"/>
            <w:vAlign w:val="bottom"/>
            <w:gridSpan w:val="6"/>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5420" w:type="dxa"/>
            <w:vAlign w:val="bottom"/>
            <w:gridSpan w:val="2"/>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9"/>
              </w:rPr>
              <w:t>S-44</w:t>
            </w:r>
          </w:p>
        </w:tc>
        <w:tc>
          <w:tcPr>
            <w:tcW w:w="0" w:type="dxa"/>
            <w:vAlign w:val="bottom"/>
          </w:tcPr>
          <w:p>
            <w:pPr>
              <w:spacing w:after="0"/>
              <w:rPr>
                <w:sz w:val="1"/>
                <w:szCs w:val="1"/>
                <w:color w:val="auto"/>
              </w:rPr>
            </w:pPr>
          </w:p>
        </w:tc>
      </w:tr>
      <w:tr>
        <w:trPr>
          <w:trHeight w:val="453"/>
        </w:trPr>
        <w:tc>
          <w:tcPr>
            <w:tcW w:w="1060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60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00" w:type="dxa"/>
            <w:vAlign w:val="bottom"/>
            <w:gridSpan w:val="24"/>
            <w:vMerge w:val="continue"/>
          </w:tcPr>
          <w:p>
            <w:pPr>
              <w:spacing w:after="0"/>
              <w:rPr>
                <w:sz w:val="14"/>
                <w:szCs w:val="14"/>
                <w:color w:val="auto"/>
              </w:rPr>
            </w:pPr>
          </w:p>
        </w:tc>
        <w:tc>
          <w:tcPr>
            <w:tcW w:w="360" w:type="dxa"/>
            <w:vAlign w:val="bottom"/>
            <w:tcBorders>
              <w:top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8380" w:type="dxa"/>
            <w:vAlign w:val="bottom"/>
            <w:gridSpan w:val="14"/>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520" w:type="dxa"/>
            <w:vAlign w:val="bottom"/>
            <w:gridSpan w:val="15"/>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6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1340" w:type="dxa"/>
            <w:vAlign w:val="bottom"/>
            <w:tcBorders>
              <w:top w:val="single" w:sz="8" w:color="0000EE"/>
            </w:tcBorders>
            <w:gridSpan w:val="7"/>
          </w:tcPr>
          <w:p>
            <w:pPr>
              <w:spacing w:after="0"/>
              <w:rPr>
                <w:sz w:val="17"/>
                <w:szCs w:val="17"/>
                <w:color w:val="auto"/>
              </w:rPr>
            </w:pPr>
          </w:p>
        </w:tc>
        <w:tc>
          <w:tcPr>
            <w:tcW w:w="7680" w:type="dxa"/>
            <w:vAlign w:val="bottom"/>
            <w:gridSpan w:val="11"/>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0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2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6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580" w:type="dxa"/>
            <w:vAlign w:val="bottom"/>
            <w:gridSpan w:val="10"/>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DEPOSITARY SHARES</w:t>
            </w:r>
          </w:p>
        </w:tc>
        <w:tc>
          <w:tcPr>
            <w:tcW w:w="7280" w:type="dxa"/>
            <w:vAlign w:val="bottom"/>
            <w:gridSpan w:val="8"/>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100" w:type="dxa"/>
            <w:vAlign w:val="bottom"/>
            <w:gridSpan w:val="13"/>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0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202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gridSpan w:val="4"/>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6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PURCHASE CONTRACTS</w:t>
            </w: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20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1520" w:type="dxa"/>
            <w:vAlign w:val="bottom"/>
            <w:tcBorders>
              <w:top w:val="single" w:sz="8" w:color="0000EE"/>
            </w:tcBorders>
            <w:gridSpan w:val="12"/>
          </w:tcPr>
          <w:p>
            <w:pPr>
              <w:spacing w:after="0"/>
              <w:rPr>
                <w:sz w:val="17"/>
                <w:szCs w:val="17"/>
                <w:color w:val="auto"/>
              </w:rPr>
            </w:pPr>
          </w:p>
        </w:tc>
        <w:tc>
          <w:tcPr>
            <w:tcW w:w="7060" w:type="dxa"/>
            <w:vAlign w:val="bottom"/>
            <w:gridSpan w:val="5"/>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0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8560" w:type="dxa"/>
            <w:vAlign w:val="bottom"/>
            <w:gridSpan w:val="16"/>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0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100" w:type="dxa"/>
            <w:vAlign w:val="bottom"/>
            <w:gridSpan w:val="11"/>
          </w:tcPr>
          <w:p>
            <w:pPr>
              <w:spacing w:after="0" w:line="20" w:lineRule="exact"/>
              <w:rPr>
                <w:sz w:val="1"/>
                <w:szCs w:val="1"/>
                <w:color w:val="auto"/>
              </w:rPr>
            </w:pPr>
          </w:p>
        </w:tc>
        <w:tc>
          <w:tcPr>
            <w:tcW w:w="7740" w:type="dxa"/>
            <w:vAlign w:val="bottom"/>
            <w:gridSpan w:val="1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BY REFERENCE</w:t>
            </w:r>
          </w:p>
        </w:tc>
        <w:tc>
          <w:tcPr>
            <w:tcW w:w="940" w:type="dxa"/>
            <w:vAlign w:val="bottom"/>
            <w:tcBorders>
              <w:top w:val="single" w:sz="8" w:color="0000EE"/>
            </w:tcBorders>
            <w:gridSpan w:val="8"/>
          </w:tcPr>
          <w:p>
            <w:pPr>
              <w:spacing w:after="0"/>
              <w:rPr>
                <w:sz w:val="17"/>
                <w:szCs w:val="17"/>
                <w:color w:val="auto"/>
              </w:rPr>
            </w:pPr>
          </w:p>
        </w:tc>
        <w:tc>
          <w:tcPr>
            <w:tcW w:w="6800" w:type="dxa"/>
            <w:vAlign w:val="bottom"/>
            <w:gridSpan w:val="4"/>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that we filed with the Securities and Exchange Commission (the SEC), using a “shelf” registration process.</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are providing information to you about this offering of our securities in two parts. The first part is this prospectus supplement, which provides you with specific information regarding the terms of this offering of our securities, and also adds to and updates information contained in the accompanying prospectus and the documents incorporated by reference in this prospectus supplement and the accompanying prospectus. The second part is the accompanying prospectus, which provides more general information, some of which does not apply to this offering of our securities. Generally, when we refer to this prospectus, we are referring to both parts of this document combined.</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Before buying any of the securities that we are offering, we urge you to carefully read this prospectus supplement, the accompanying prospectus and all of the information incorporated by reference herein and therein, as well as the additional information described under the headings “Where You Can Find More Information” and “Incorporation of Certain Information by Reference.” These documents contain important information that you should consider when making your investment decision.</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any document incorporated by reference in this prospectus supplement that was filed with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supplement or the accompanying prospectus, and the documents herein or therein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you with any information or to make any representation, other than those contained or incorporated by reference in this prospectus supplement and in the accompanying prospectus or in any related free writing prospectus that we authorize for use in connection with this offering and to which we have referred you. We take no responsibility for, and can provide no assurance as to the reliability of, any other information that others may give you. You should assume that the information appearing in this prospectus supplement, the accompanying prospectus, and the documents incorporated by reference herein and therein or any free writing prospectus is accurate only as of their respective dates. Our business, financial condition, results of operations and prospects may have changed materially since those dates.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offering to sell, and seeking offers to buy, our securities only in jurisdictions where offers and sales are permitted. The distribution of this prospectus supplement and the accompanying prospectus and the offering of the securities in certain jurisdictions may be restricted by law. Persons outside the United States who come into possession of this prospectus supplement and the accompanying prospectus must inform themselves about, and observe any restrictions relating to, the offering of the securities and the distribution of this prospectus supplement and the accompanying prospectus outside the United States.</w:t>
      </w:r>
    </w:p>
    <w:p>
      <w:pPr>
        <w:spacing w:after="0" w:line="183"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do not constitute, and may not be used in connection with, an offer to sell, or a solicitation of an offer to buy, any securities offered by this prospectus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supplement and the accompanying prospectus by any person in any jurisdiction in which it is unlawful for such person to make such an offer or solicitation.</w:t>
      </w:r>
    </w:p>
    <w:p>
      <w:pPr>
        <w:spacing w:after="0" w:line="162" w:lineRule="exact"/>
        <w:rPr>
          <w:sz w:val="20"/>
          <w:szCs w:val="20"/>
          <w:color w:val="auto"/>
        </w:rPr>
      </w:pPr>
    </w:p>
    <w:p>
      <w:pPr>
        <w:ind w:left="120" w:firstLine="440"/>
        <w:spacing w:after="0" w:line="242" w:lineRule="auto"/>
        <w:rPr>
          <w:sz w:val="20"/>
          <w:szCs w:val="20"/>
          <w:color w:val="auto"/>
        </w:rPr>
      </w:pPr>
      <w:r>
        <w:rPr>
          <w:rFonts w:ascii="Times New Roman" w:cs="Times New Roman" w:eastAsia="Times New Roman" w:hAnsi="Times New Roman"/>
          <w:sz w:val="18"/>
          <w:szCs w:val="18"/>
          <w:color w:val="auto"/>
        </w:rPr>
        <w:t xml:space="preserve">Unless the context otherwise indicates, references in this prospectus supplement, the accompanying prospectus and the information incorporated by reference herein and therein to “Tenaya Therapeutics,” “Tenaya,” “we,” “our” and “us” refer, collectively, to Tenaya Therapeutics, Inc. We have proprietary rights to the trademarks that are used in this prospectus supplement and the documents incorporated by reference herein, which are important to our business and many of which are registered under applicable intellectual property laws. Solely for convenience, the trademarks, service marks, logos and trade names referred to in this prospectus supplement and the documents incorporated by reference herein may be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 but such references are not intended to indicate, in any way, that we will not assert, to the fullest extent under applicable law, our rights to these trademarks, service marks and trade names. This prospectus supplement and the documents incorporated by reference herein contain additional trademarks, service marks and trade names of others, which are the property of their respective owners. All trademarks, service marks and trade names appearing in this prospectus supplement and the documents incorporated by reference herein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1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contain forward-looking statements within the meaning of Section 27A of the Securities Act of 1933, as amended (the Securities Act), and Section 21E of the Securities Exchange Act of 1934, as amended (the Exchange Act). All statements other than statements of historical facts contained in this prospectus supplement, the accompanying prospectus, and the documents incorporated by reference herein and therein, including statements regarding our future results of operations and financial position, business strategy, development plans, planned preclinical studies and clinical trials, future results of preclinical studies and clinical trials, expected research and development costs, regulatory strategy, timing and likelihood of success, as well as plans and objectives of management for future operations, are forward-looking statements. The words “may,” “will,” “should,” “would,” “expect,” “plan,” “anticipate,” “could,” “intend,” “target,” “project,” “contemplate,” “believe,” “estimate,” “predict,” “potential” or “continue” or the negative of these terms and similar expressions and variations thereof are intended to identify forward-looking statements but are not the exclusive means of identifying such statements. These forward-looking statements include, but are not limited to, statements about:</w:t>
      </w:r>
    </w:p>
    <w:p>
      <w:pPr>
        <w:spacing w:after="0" w:line="100" w:lineRule="exact"/>
        <w:rPr>
          <w:sz w:val="20"/>
          <w:szCs w:val="20"/>
          <w:color w:val="auto"/>
        </w:rPr>
      </w:pPr>
    </w:p>
    <w:p>
      <w:pPr>
        <w:ind w:left="1080" w:right="5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ongoing preclinical studies and ongoing or planned clinical trials to demonstrate safety and efficacy of our product candidates and other positive results;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preclinical studies and ongoing or planned clinical trials for our current product candidates and other product candidates we may develop;</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planned timing to resume dosing for MyPEAK-1;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planned timing to report additional data from MyPEAK-1 and RIDGE-1;</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and likelihood of regulatory filings and approvals, including timing of investigational new drugs, clinical trial applications, Food and Drug Administration (the FDA) approvals and final regulatory approval of our current product candidates and any other future product candidates;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advance our product candidates and programs into, and successfully complete,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regulations and regulatory decisions by the FDA and other regulatory agencies on our business, including the development of our product candidates;</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including our estimates of the number of patients who suffer from the diseases we are targeting;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commercialization and marketing capabilities and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additional personnel and our ability to attract and retain such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of our product candidates, including additional indications and targets we may pursue and whether we out-license or partner with third parties to develop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existing laws and regulations and regulatory developments in the United States, Europe and other jurisdictions;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including the scope of protection we are able to establish and maintain for intellectual property rights covering our current product candidates,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85"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preclinical studies and clinical trials of our product candidates and for the development and manufacture of our product candidates for preclinical studies and clinical trials;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2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negotiate favorable terms of, any collaboration, partnership, licensing or other arrangements that may be necessary or desirable to develop, manufacture or commercialize our product candidates, as well as our ability to realize the potential benefits of any such agreements;</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 including any increase in demand as a result of the availability of reimbursement from the government and third-party payors;</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current product candidates and other product candidates we may develop;</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operating losses,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facilities;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over which we estimate our existing cash, cash equivalents and investments in marketable securities will be sufficient to fund our future operating expenses and capital expenditure requirements;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critical accounting policies on investor’s ability to understand 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remain an emerging growth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the use of proceeds from this offering.</w:t>
      </w:r>
    </w:p>
    <w:p>
      <w:pPr>
        <w:spacing w:after="0" w:line="225"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supplement and are subject to a number of risks, uncertainties and assumptions described in the section titled “Risk Factors” and elsewhere in this prospectus supplement, the accompanying prospectus, and the documents incorporated by reference herein and therein. Because forward-looking statements are inherently subject to risks and uncertainties, some of which cannot be predicted or quantified, you should not unduly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supplement, whether as a result of any new information, future events or otherwise.</w:t>
      </w:r>
    </w:p>
    <w:p>
      <w:pPr>
        <w:spacing w:after="0" w:line="19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such as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herein and therein by reference, and any free writing prospectus that we may have authorized for use in connection with this offering, contain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 set forth in this prospectus supplement from our internal estimates and research and from academic and industry research, publications, surveys and studies conducted by third parties, including governmental agencies. In some cases, we do not expressly refer to the sources from which this data is derived. Information that is based on estimates, forecasts, projections, market research or similar methodologies is inherently subject to uncertainties and actual events or circumstances may differ materially from events and circumstances that are assumed in this information. You are cautioned not to give undue weight to any such information, projections and estimates.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160" w:firstLine="426"/>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this offering and selected information contained elsewhere in this prospectus supplement, the accompanying prospectus and in the documents we incorporate by reference. This summary is not complete and does not contain all of the information you should consider before making an investment decision. You should carefully read this entire prospectus supplement and the accompanying prospectus, including the information incorporated by reference herein and therein, especially the risks of investing in our common stock discussed under “Risk Factors” beginning on page S-16 of this prospectus supplement, the “Risk Factors” section of our most recent Quarterly Report on Form 10-Q and other filings we make with the SEC, along with our consolidated financial statements and notes to those consolidated financial statements and the other information incorporated by reference in this prospectus supplement and the accompanying prospectus and in our filings with the SEC.</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140"/>
        <w:spacing w:after="0" w:line="266" w:lineRule="auto"/>
        <w:rPr>
          <w:sz w:val="20"/>
          <w:szCs w:val="20"/>
          <w:color w:val="auto"/>
        </w:rPr>
      </w:pPr>
      <w:r>
        <w:rPr>
          <w:rFonts w:ascii="Times New Roman" w:cs="Times New Roman" w:eastAsia="Times New Roman" w:hAnsi="Times New Roman"/>
          <w:sz w:val="18"/>
          <w:szCs w:val="18"/>
          <w:color w:val="auto"/>
        </w:rPr>
        <w:t>We are a clinical-stage biotechnology company focused on discovering, developing and delivering potentially curative therapies that address the underlying drivers of heart disease. Our vision is to change the treatment paradigm for heart disease, and in doing so improve and extend the lives of millions of patients.</w:t>
      </w:r>
    </w:p>
    <w:p>
      <w:pPr>
        <w:spacing w:after="0" w:line="176" w:lineRule="exact"/>
        <w:rPr>
          <w:sz w:val="20"/>
          <w:szCs w:val="20"/>
          <w:color w:val="auto"/>
        </w:rPr>
      </w:pPr>
    </w:p>
    <w:p>
      <w:pPr>
        <w:jc w:val="both"/>
        <w:ind w:left="300" w:right="60"/>
        <w:spacing w:after="0" w:line="266" w:lineRule="auto"/>
        <w:rPr>
          <w:sz w:val="20"/>
          <w:szCs w:val="20"/>
          <w:color w:val="auto"/>
        </w:rPr>
      </w:pPr>
      <w:r>
        <w:rPr>
          <w:rFonts w:ascii="Times New Roman" w:cs="Times New Roman" w:eastAsia="Times New Roman" w:hAnsi="Times New Roman"/>
          <w:sz w:val="18"/>
          <w:szCs w:val="18"/>
          <w:color w:val="auto"/>
        </w:rPr>
        <w:t>We are advancing a deep and diverse modality agnostic pipeline of targeted therapies for heart conditions discovered internally using our extensive target identification and validation and genetic medicine design and manufacturing capabilities. All of our programs are currently in the clinical or preclinical stage; we do not have any products approved for sale and have not generated any revenue to date.</w:t>
      </w:r>
    </w:p>
    <w:p>
      <w:pPr>
        <w:spacing w:after="0" w:line="174"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 xml:space="preserve">We are primarily focused on development of our lead investigational product candidates, TN-201, a gene therapy for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hypertrophic cardiomyopathy (HCM), and TN-401, a gene therapy for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arrhythmogenic right ventricular cardiomyopathy (ARVC). Each candidate is currently in the clinical testing stage to establish the safety profile of two different doses in adults with disease due to pathogenic/likely pathogenic mutations. We anticipate that data generated in the next year will inform late-stage development by characterizing each candidate’s safety and tolerability profile, ability to transduce target heart cells and produce the lacking protein underlying disease to slow - or even halt - disease progression. Where our discovery efforts lead to product candidates intended for relatively prevalent indications, such as TN-301, our small molecule histone deacetylase-6 (HDAC6) inhibitor for heart failure with preserved ejection fraction (HFpEF), our strategy is to out-license or partner with third parties.</w:t>
      </w:r>
    </w:p>
    <w:p>
      <w:pPr>
        <w:spacing w:after="0" w:line="185"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 xml:space="preserve">TN-201 is our investigational gene therapy for individuals with HCM due to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mutations. These mutations result in a deficiency of myosin binding protein C (MyBP-C), which in turn can cause the heart walls of affected individuals to become significantly thickened, leading to fibrosis, abnormal heart rhythms, cardiac dysfunction, heart failure and death. HCM is a chronic, progressive condition and those diagnosed with the disease often experience significant impairment in overall quality of life and may be at higher risk for serious complications and co-morbidities. TN-201 utilizes a recombinant adeno-associated virus serotype 9 (AAV9) capsid and is designed to deliver a working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to specific cells of the heart in order to produce MyBP-C and thereby potentially slow or even reverse the course of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 following a single infusion.</w:t>
      </w:r>
    </w:p>
    <w:p>
      <w:pPr>
        <w:spacing w:after="0" w:line="185" w:lineRule="exact"/>
        <w:rPr>
          <w:sz w:val="20"/>
          <w:szCs w:val="20"/>
          <w:color w:val="auto"/>
        </w:rPr>
      </w:pPr>
    </w:p>
    <w:p>
      <w:pPr>
        <w:ind w:left="300" w:right="280"/>
        <w:spacing w:after="0" w:line="230" w:lineRule="auto"/>
        <w:rPr>
          <w:sz w:val="20"/>
          <w:szCs w:val="20"/>
          <w:color w:val="auto"/>
        </w:rPr>
      </w:pPr>
      <w:r>
        <w:rPr>
          <w:rFonts w:ascii="Times New Roman" w:cs="Times New Roman" w:eastAsia="Times New Roman" w:hAnsi="Times New Roman"/>
          <w:sz w:val="18"/>
          <w:szCs w:val="18"/>
          <w:color w:val="auto"/>
        </w:rPr>
        <w:t>MyPEAK</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-1 is our Phase 1b/2a multi-center, open-label clinical trial, designed to assess the safety, tolerability and efficacy of a one-time intravenous infusion of TN-201. Enrollment and dosing in both the 3E13 vg/kg dose (Cohort 1) and 6E13 vg/kg dose (Cohort 2) cohorts are complete. In summer 2025, the independent data safety monitoring board (DSMB) for the MyPEAK-1 trial reviewed all available data from the first six patients dosed with TN-201. The DSMB determined that TN-201 had an acceptable safety profile and endorsed proceeding into</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848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760"/>
        <w:spacing w:after="0" w:line="282" w:lineRule="auto"/>
        <w:rPr>
          <w:sz w:val="20"/>
          <w:szCs w:val="20"/>
          <w:color w:val="auto"/>
        </w:rPr>
      </w:pPr>
      <w:r>
        <w:rPr>
          <w:rFonts w:ascii="Times New Roman" w:cs="Times New Roman" w:eastAsia="Times New Roman" w:hAnsi="Times New Roman"/>
          <w:sz w:val="18"/>
          <w:szCs w:val="18"/>
          <w:color w:val="auto"/>
        </w:rPr>
        <w:t>expansion cohorts at either dose level, per protocol. We have since dosed one additional patient at the 6E13 vg/kg dose level with no new meaningful safety events associated with TN-201.</w:t>
      </w:r>
    </w:p>
    <w:p>
      <w:pPr>
        <w:spacing w:after="0" w:line="162" w:lineRule="exact"/>
        <w:rPr>
          <w:sz w:val="20"/>
          <w:szCs w:val="20"/>
          <w:color w:val="auto"/>
        </w:rPr>
      </w:pPr>
    </w:p>
    <w:p>
      <w:pPr>
        <w:ind w:left="300" w:right="20"/>
        <w:spacing w:after="0" w:line="254" w:lineRule="auto"/>
        <w:rPr>
          <w:sz w:val="20"/>
          <w:szCs w:val="20"/>
          <w:color w:val="auto"/>
        </w:rPr>
      </w:pPr>
      <w:r>
        <w:rPr>
          <w:rFonts w:ascii="Times New Roman" w:cs="Times New Roman" w:eastAsia="Times New Roman" w:hAnsi="Times New Roman"/>
          <w:sz w:val="18"/>
          <w:szCs w:val="18"/>
          <w:color w:val="auto"/>
        </w:rPr>
        <w:t>In November 2025, we presented interim data from MyPEAK-1 during the Late-Breaking Science: Main Event session at the American Heart Association’s (AHA) Scientific Sessions 2025. Interim data presented at AHA included safety, biopsy and efficacy results for the three patients enrolled in Cohort 1 with follow-up ranging from Week 52-78, and safety and available assessments for the patients in Cohort 2 who have post-dose assessments ranging from Week 12-26 as of the July 2025 data cut off. Patient 5 was lost to further follow-up after week 12. TN-201 was generally well tolerated across both dose cohorts and no dose-limiting toxicities were observed. Reversible, asymptomatic liver enzyme elevations (Grade 1-3) were the most common treatment-related adverse events (AEs) reported. There were two treatment-related AEs classified as serious either due to inpatient administration of steroids or extended monitoring; a Grade 2 transaminase elevation that responded to steroids and a Grade 1 elevation of complement factors that resolved without additional intervention. Adjustments to monitoring and immunosuppression during Cohort 1 resulted in faster tapers and lower cumulative corticosteroid doses in Cohort 2, despite the higher TN-201 dose.</w:t>
      </w:r>
    </w:p>
    <w:p>
      <w:pPr>
        <w:spacing w:after="0" w:line="188" w:lineRule="exact"/>
        <w:rPr>
          <w:sz w:val="20"/>
          <w:szCs w:val="20"/>
          <w:color w:val="auto"/>
        </w:rPr>
      </w:pPr>
    </w:p>
    <w:p>
      <w:pPr>
        <w:ind w:left="300" w:right="180"/>
        <w:spacing w:after="0" w:line="256" w:lineRule="auto"/>
        <w:rPr>
          <w:sz w:val="20"/>
          <w:szCs w:val="20"/>
          <w:color w:val="auto"/>
        </w:rPr>
      </w:pPr>
      <w:r>
        <w:rPr>
          <w:rFonts w:ascii="Times New Roman" w:cs="Times New Roman" w:eastAsia="Times New Roman" w:hAnsi="Times New Roman"/>
          <w:sz w:val="18"/>
          <w:szCs w:val="18"/>
          <w:color w:val="auto"/>
        </w:rPr>
        <w:t>Biopsy data demonstrated that TN-201 transduction and mRNA expression were robust. DNA and RNA analyses of all three patients in Cohort 1 show evidence of sustained presence of TN-201 DNA in the heart and increasing mRNA expression over time. MyBP-C protein levels also increased over time across all patients in both cohorts for whom serial biopsies were available. In Cohort 1 patient protein levels increased by an average of 4% from the first biopsy taken to Week 52. The first evaluable patient in Cohort 2 (Patient 6) demonstrated a clear dose response, and early MyBP-C expression increased by 14% after only 12 weeks post-dose. Of note, Patient 6 had a greater than 2-fold increase in cardiac transduction and expression at Week 12 relative to the averages for these measures observed across Cohort 1.</w:t>
      </w:r>
    </w:p>
    <w:p>
      <w:pPr>
        <w:spacing w:after="0" w:line="187"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 xml:space="preserve">All patients with greater than 26 weeks of follow-up demonstrated improvement in at least one parameter of disease, across biomarkers, hypertrophy and heart failure symptoms. Cardiac Troponin I, a predictive risk factor of cardiac AEs such as ventricular arrhythmias, sudden cardiac death, and progression to end-stage heart failure, declined by as much as 74% from baseline, to normal or near-normal levels in all Cohort 1 patients. NT-proBNP, a biomarker of cardiac muscle strain, improved or remained stable in two of three Cohort 1 patients. Cardiac Troponin I remained within the normal range and NT-proBNP remained stable for Patient 4 from Cohort 2 at their Week 26 assessment. All three patients in Cohort 1 now have evidence of significant improvement in one or more measures of hypertrophy at Week 52, with notable reductions in left ventricular posterior wall thickness (LVPWT) of between 21% and 39%. LVPWT for Patient 4 in Cohort 2 was stable at Week 26. Greater LVPWT is an independent risk factor for reduced long-term survival after septal myectomy. Two out of three Cohort 1 patients saw reductions from baseline in left ventricular mass index (LVMI) of between 12% and 22% at Week 52. LVMI for Patient 4 in Cohort 2 was stable at Week 26. New York Heart Association (NYHA) classification, a measure of the impact of heart failure symptoms on activities of daily living, improved in all patients by at least one class by Week 26, and all Cohort 1 patients are now NYHA Class I (asymptomatic). Longer-term follow-up for all patients is required to further inform our understanding of TN-201’s potential as a treatment for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w:t>
      </w:r>
    </w:p>
    <w:p>
      <w:pPr>
        <w:spacing w:after="0" w:line="190" w:lineRule="exact"/>
        <w:rPr>
          <w:sz w:val="20"/>
          <w:szCs w:val="20"/>
          <w:color w:val="auto"/>
        </w:rPr>
      </w:pPr>
    </w:p>
    <w:p>
      <w:pPr>
        <w:ind w:left="300" w:right="100"/>
        <w:spacing w:after="0" w:line="256" w:lineRule="auto"/>
        <w:rPr>
          <w:sz w:val="20"/>
          <w:szCs w:val="20"/>
          <w:color w:val="auto"/>
        </w:rPr>
      </w:pPr>
      <w:r>
        <w:rPr>
          <w:rFonts w:ascii="Times New Roman" w:cs="Times New Roman" w:eastAsia="Times New Roman" w:hAnsi="Times New Roman"/>
          <w:sz w:val="18"/>
          <w:szCs w:val="18"/>
          <w:color w:val="auto"/>
        </w:rPr>
        <w:t>Following proactive correspondence with the FDA relating to future development plans for TN-201, on November 7, 2025, we announced that the FDA placed MyPEAK-1 on clinical hold requesting an amendment to the protocol primarily to standardize activities related to patient monitoring and management of the immunosuppression regimen across trial sites. We worked swiftly and collaboratively with the FDA to resolve the clinical hold and have received official notification from the FDA that the clinical hold has been removed. We intend to resume dosing once the protocol changes have been implemented at trial sites and expect to present two-year Cohort 1 and one-year Cohort 2 data in the first half of 2026. We do not expect this action to impact data milestones or development timelines for TN-201.</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 xml:space="preserve">To support our development efforts for TN-201 we are conducting two noninterventional studies: a study evaluating seroprevalence to AAV9 antibodies among adults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HCM, and MyClimb, a prospective and retrospective global natural history study focused on pediatric patients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mutation-associated cardiomyopathy. The seroprevalence study has completed enrollment. Initial data from the seroprevalence study indicated that antibodies to AAV9 in most participants were below the eligibility threshold that would allow for participation in MyPEAK-1. The MyClimb natural history study is following patient medical history to characterize the outcomes, burden of illness, risk factors, quality of life, and biomarkers associated with disease progression in pediatric patients. MyClimb complements existing disease registries focused primarily on adult patient HCM populations and may support and expedite the development of TN-201 in the pediatric patient population. Initial data from MyClimb indicated that 93% of participants had the nonobstructive HCM phenotype, for which there are currently no approved treatment options and that genotypic status was a significant predictor of risk. The data also revealed that left ventricular mass index may serve as a surrogate marker for poor long-term outcomes and as an appropriate marker to evaluate the early effectiveness of TN-201’s potential in a future pivotal trial.</w:t>
      </w:r>
    </w:p>
    <w:p>
      <w:pPr>
        <w:spacing w:after="0" w:line="192"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The FDA has granted TN-201 Fast Track, Orphan Drug and Rare Pediatric Drug Designations. TN-201 has also received orphan medicinal product designation from the European Commission (EC).</w:t>
      </w:r>
    </w:p>
    <w:p>
      <w:pPr>
        <w:spacing w:after="0" w:line="160"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 xml:space="preserve">TN-401 is our AAV9-based gene therapy for the treatment of ARVC due to disease-causing variants in the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ARVC, also known as arrhythmogenic cardiomyopathy, or ACM, is a chronic, progressive disease characterized by frequent, severe, and potentially life-threatening ventricular arrhythmias. The disease is associated with adverse heart remodeling, fibrosis, cardiac dysfunction, significant impairment to patients’ overall quality of life, as well as an elevated risk of sudden cardiac death.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mutations are the most common genetic cause of ARVC and result in insufficient expression of a protein needed for proper functioning of the desmosomal complex that maintains physical connections and electrical signaling between heart muscle cells. TN-401 utilizes a recombinant AAV9 capsid and is designed to deliver a working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to specific cells of the heart in order to produce plakophilin protein and thereby potentially slow or even reverse the course of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ARVC following a single infusion.</w:t>
      </w:r>
    </w:p>
    <w:p>
      <w:pPr>
        <w:spacing w:after="0" w:line="187" w:lineRule="exact"/>
        <w:rPr>
          <w:sz w:val="20"/>
          <w:szCs w:val="20"/>
          <w:color w:val="auto"/>
        </w:rPr>
      </w:pPr>
    </w:p>
    <w:p>
      <w:pPr>
        <w:ind w:left="300" w:right="80"/>
        <w:spacing w:after="0" w:line="233" w:lineRule="auto"/>
        <w:rPr>
          <w:sz w:val="20"/>
          <w:szCs w:val="20"/>
          <w:color w:val="auto"/>
        </w:rPr>
      </w:pPr>
      <w:r>
        <w:rPr>
          <w:rFonts w:ascii="Times New Roman" w:cs="Times New Roman" w:eastAsia="Times New Roman" w:hAnsi="Times New Roman"/>
          <w:sz w:val="18"/>
          <w:szCs w:val="18"/>
          <w:color w:val="auto"/>
        </w:rPr>
        <w:t>RIDGE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-1 is our Phase 1b multi-center, open-label clinical trial, designed to assess the safety, tolerability and efficacy of a one-time intravenous infusion of TN-401. In July 2025, safety data from the first three RIDGE-1 patients dosed at the 3E13 vg/kg dose (Cohort 1) were reviewed by an independent DSMB which endorsed both dose escalation to the 6E13 vg/kg dose (Cohort 2) and expanding enrollment in Cohort 1. Enrollment in Cohort 2 is now complete, and we may enroll additional patients in Cohort 1. Additional enrollment in Cohort 2 will be considered following a review of all available safety data by the DSMB.</w:t>
      </w:r>
    </w:p>
    <w:p>
      <w:pPr>
        <w:spacing w:after="0" w:line="202" w:lineRule="exact"/>
        <w:rPr>
          <w:sz w:val="20"/>
          <w:szCs w:val="20"/>
          <w:color w:val="auto"/>
        </w:rPr>
      </w:pPr>
    </w:p>
    <w:p>
      <w:pPr>
        <w:ind w:left="300" w:right="60"/>
        <w:spacing w:after="0" w:line="273" w:lineRule="auto"/>
        <w:rPr>
          <w:sz w:val="20"/>
          <w:szCs w:val="20"/>
          <w:color w:val="auto"/>
        </w:rPr>
      </w:pPr>
      <w:r>
        <w:rPr>
          <w:rFonts w:ascii="Times New Roman" w:cs="Times New Roman" w:eastAsia="Times New Roman" w:hAnsi="Times New Roman"/>
          <w:sz w:val="17"/>
          <w:szCs w:val="17"/>
          <w:color w:val="auto"/>
        </w:rPr>
        <w:t>In December 2025, we presented interim data from RIDGE-1, including safety, biopsy and arrhythmia results as of the October 2025 data cut off for three patients enrolled in Cohort 1, with follow-up ranging from Week 20 to Week 40. TN-401 was generally well tolerated and no dose-limiting toxicities were observed. AEs were generally mild, asymptomatic and manageable and a majority of the AEs were deemed unrelated to TN-401. Among the AEs related to TN-401, there was a Grade 1 incidence of elevated troponin levels categorized as a serious AE due to inpatient monitoring. There were no incidents of thrombotic microangiopathy or cardiotoxicities observed and no arrhythmias associated with TN-401 occurred. To date, none of the Cohort 1 patients have experienced an implantable cardioverter defibrillator (ICD) shock post treatment. All Cohort 1 patients have tapered off prophylactic immunosuppressive medicines. No new serious AEs related to TN-401 have been reported in Cohort 2.</w:t>
      </w:r>
    </w:p>
    <w:p>
      <w:pPr>
        <w:spacing w:after="0" w:line="171" w:lineRule="exact"/>
        <w:rPr>
          <w:sz w:val="20"/>
          <w:szCs w:val="20"/>
          <w:color w:val="auto"/>
        </w:rPr>
      </w:pPr>
    </w:p>
    <w:p>
      <w:pPr>
        <w:ind w:left="300" w:right="120"/>
        <w:spacing w:after="0" w:line="266" w:lineRule="auto"/>
        <w:rPr>
          <w:sz w:val="20"/>
          <w:szCs w:val="20"/>
          <w:color w:val="auto"/>
        </w:rPr>
      </w:pPr>
      <w:r>
        <w:rPr>
          <w:rFonts w:ascii="Times New Roman" w:cs="Times New Roman" w:eastAsia="Times New Roman" w:hAnsi="Times New Roman"/>
          <w:sz w:val="18"/>
          <w:szCs w:val="18"/>
          <w:color w:val="auto"/>
        </w:rPr>
        <w:t>Serial biopsies taken at baseline and Week 8 post dose for Patients 1 and 2 provided consistent evidence that TN-401 transduced to the heart, with vector copy number (VCN) per genome of 3.4 and 5, respectively. VCN data for Patient 3 was not available as of the data cut off. At Week 8, TN-401 mRNA expression ranged from</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20"/>
          </w:cols>
          <w:pgMar w:left="320" w:top="45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spacing w:after="0" w:line="238" w:lineRule="auto"/>
        <w:rPr>
          <w:sz w:val="20"/>
          <w:szCs w:val="20"/>
          <w:color w:val="auto"/>
        </w:rPr>
      </w:pPr>
      <w:r>
        <w:rPr>
          <w:rFonts w:ascii="Times New Roman" w:cs="Times New Roman" w:eastAsia="Times New Roman" w:hAnsi="Times New Roman"/>
          <w:sz w:val="18"/>
          <w:szCs w:val="18"/>
          <w:color w:val="auto"/>
        </w:rPr>
        <w:t>1.4x10</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- 2.9x10</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copies per microgram of RNA for the three patients in Cohort 1, serving as confirmation of early and robust expression across all three patients. Post-treatment protein levels of PKP2 increased significantly in Patients 1 and 2 by a mean of 10% from baseline to Week 8 based on rigorous methods to measure protein increases using liquid chromatography–mass spectrometry normalized to myosin heavy chain, a motor protein in the sarcomere found exclusively in cardiomyocytes. Change from baseline in PKP2 protein levels for Patient 3 appeared slightly lower than baseline despite having the highest levels of TN-401 mRNA expression across Cohort 1. This confounding result falls within the standard deviation of these methods and may be due to the inherent variability in sampling biopsies. A second post-dose biopsy will be collected and analyzed from Week 52 per protocol.</w:t>
      </w:r>
    </w:p>
    <w:p>
      <w:pPr>
        <w:spacing w:after="0" w:line="200" w:lineRule="exact"/>
        <w:rPr>
          <w:sz w:val="20"/>
          <w:szCs w:val="20"/>
          <w:color w:val="auto"/>
        </w:rPr>
      </w:pPr>
    </w:p>
    <w:p>
      <w:pPr>
        <w:ind w:left="300" w:right="40"/>
        <w:spacing w:after="0" w:line="254" w:lineRule="auto"/>
        <w:rPr>
          <w:sz w:val="20"/>
          <w:szCs w:val="20"/>
          <w:color w:val="auto"/>
        </w:rPr>
      </w:pPr>
      <w:r>
        <w:rPr>
          <w:rFonts w:ascii="Times New Roman" w:cs="Times New Roman" w:eastAsia="Times New Roman" w:hAnsi="Times New Roman"/>
          <w:sz w:val="18"/>
          <w:szCs w:val="18"/>
          <w:color w:val="auto"/>
        </w:rPr>
        <w:t>Two of three patients experienced significant and clinically meaningful improvements in electrical instability, as measured by seven-day ambulatory monitoring of premature ventricular contractions (PVCs). Patient 1 experienced a decrease in PVCs by 46% as of their most recent (Week 40) visit, while Patient 2 experienced a decrease in PVCs of 89% as of their most recent (Week 32) visit. Non-sustained ventricular tachycardias (NSVTs) burden was eliminated or stable after treatment with TN-401 after six months post-dose. Patient 1 had a low NSVT count at baseline, which remained low at their most recent visit (Week 40). Patient 2 also had a substantial NSVT burden of 78 counts per 24 hour period at baseline that dropped all the way to zero and remained stable by Week 32. Meaningful changes in PVCs or NSVTs were not expected nor observed for Patient 3 as of the data cut off, which was less than six months following treatment with TN-401. Other measures of clinical response including QRS duration, T wave inversions, heart function and NYHA class were in the normal range or remained stable for all three Cohort 1 patients during the post-dose follow-up period. We expect to present one-year Cohort 1 data and early Cohort 2 data in the first half of 2026.</w:t>
      </w:r>
    </w:p>
    <w:p>
      <w:pPr>
        <w:spacing w:after="0" w:line="188" w:lineRule="exact"/>
        <w:rPr>
          <w:sz w:val="20"/>
          <w:szCs w:val="20"/>
          <w:color w:val="auto"/>
        </w:rPr>
      </w:pPr>
    </w:p>
    <w:p>
      <w:pPr>
        <w:ind w:left="300" w:right="20"/>
        <w:spacing w:after="0" w:line="261" w:lineRule="auto"/>
        <w:rPr>
          <w:sz w:val="20"/>
          <w:szCs w:val="20"/>
          <w:color w:val="auto"/>
        </w:rPr>
      </w:pPr>
      <w:r>
        <w:rPr>
          <w:rFonts w:ascii="Times New Roman" w:cs="Times New Roman" w:eastAsia="Times New Roman" w:hAnsi="Times New Roman"/>
          <w:sz w:val="18"/>
          <w:szCs w:val="18"/>
          <w:color w:val="auto"/>
        </w:rPr>
        <w:t>In February 2025, we were awarded a Clinical Grant (Clin2) of $8.0 million from the California Institute for Regenerative Medicine (CIRM), a state of California Agency that funds regenerative medicine, stem cell, and gene therapy research. Proceeds from the grant will help fund clinical trial costs for our ongoing Phase 1b RIDGE-1 clinical trial of TN-401 gene therapy. RIDGE-1 is being conducted at multiple clinical trial sites with ARVC expertise at leading cardiology centers in the U.S. and United Kingdom.</w:t>
      </w:r>
    </w:p>
    <w:p>
      <w:pPr>
        <w:spacing w:after="0" w:line="180"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 xml:space="preserve">In support of our development efforts for TN-401, we initiated RIDGE, a global noninterventional study to collect natural history and seroprevalence to AAV9 antibodies data among ARVC patients who carry pathogenic or likely pathogenic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mutations. Interim data from RIDGE, believed to be the largest natural history study of adults with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-associated ARVC was presented at Heart Rhythm Society’s annual meeting in April 2025. Adults with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-associated ARVC experience a high burden of arrhythmias despite treatments with anti-arrhythmic medications, beta blockers and the anti-arrhythmic flecainide, as well as surgical interventions such as ablation and ICD placement. Further, current treatments appeared to do little to halt or prevent progressive structural changes to the heart that occur as a result of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mutations. A large majority of adults with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ARVC would be eligible to participate in our ongoing Phase 1b RIDGE-1 clinical trial of TN-401 gene therapy based on low levels of antibodies to AAV9.</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TN-401 has received Orphan Drug and Fast Track designation from the FDA and orphan medicinal product designation from the EC.</w:t>
      </w:r>
    </w:p>
    <w:p>
      <w:pPr>
        <w:spacing w:after="0" w:line="225" w:lineRule="exact"/>
        <w:rPr>
          <w:sz w:val="20"/>
          <w:szCs w:val="20"/>
          <w:color w:val="auto"/>
        </w:rPr>
      </w:pPr>
    </w:p>
    <w:p>
      <w:pPr>
        <w:ind w:left="300" w:right="280"/>
        <w:spacing w:after="0" w:line="261" w:lineRule="auto"/>
        <w:rPr>
          <w:sz w:val="20"/>
          <w:szCs w:val="20"/>
          <w:color w:val="auto"/>
        </w:rPr>
      </w:pPr>
      <w:r>
        <w:rPr>
          <w:rFonts w:ascii="Times New Roman" w:cs="Times New Roman" w:eastAsia="Times New Roman" w:hAnsi="Times New Roman"/>
          <w:sz w:val="18"/>
          <w:szCs w:val="18"/>
          <w:color w:val="auto"/>
        </w:rPr>
        <w:t xml:space="preserve">TN-301 is our small molecule HDAC6 inhibitor initially discovered and validated as having cardioprotective qualities in preclinical studies of a rapidly worsening mouse model of </w:t>
      </w:r>
      <w:r>
        <w:rPr>
          <w:rFonts w:ascii="Times New Roman" w:cs="Times New Roman" w:eastAsia="Times New Roman" w:hAnsi="Times New Roman"/>
          <w:sz w:val="18"/>
          <w:szCs w:val="18"/>
          <w:i w:val="1"/>
          <w:iCs w:val="1"/>
          <w:color w:val="auto"/>
        </w:rPr>
        <w:t>BAG3</w:t>
      </w:r>
      <w:r>
        <w:rPr>
          <w:rFonts w:ascii="Times New Roman" w:cs="Times New Roman" w:eastAsia="Times New Roman" w:hAnsi="Times New Roman"/>
          <w:sz w:val="18"/>
          <w:szCs w:val="18"/>
          <w:color w:val="auto"/>
        </w:rPr>
        <w:t xml:space="preserve"> mutant dilated cardiomyopathy (DCM). HDAC6 is a cytoplasmic enzyme known to regulate diverse cellular processes. Based on TN-301’s multi-modal mechanism of action, TN-301 may have future potential in a number of cardiometabolic conditions.</w:t>
      </w:r>
    </w:p>
    <w:p>
      <w:pPr>
        <w:spacing w:after="0" w:line="178" w:lineRule="exact"/>
        <w:rPr>
          <w:sz w:val="20"/>
          <w:szCs w:val="20"/>
          <w:color w:val="auto"/>
        </w:rPr>
      </w:pPr>
    </w:p>
    <w:p>
      <w:pPr>
        <w:ind w:left="300" w:right="40"/>
        <w:spacing w:after="0" w:line="284" w:lineRule="auto"/>
        <w:rPr>
          <w:sz w:val="20"/>
          <w:szCs w:val="20"/>
          <w:color w:val="auto"/>
        </w:rPr>
      </w:pPr>
      <w:r>
        <w:rPr>
          <w:rFonts w:ascii="Times New Roman" w:cs="Times New Roman" w:eastAsia="Times New Roman" w:hAnsi="Times New Roman"/>
          <w:sz w:val="18"/>
          <w:szCs w:val="18"/>
          <w:color w:val="auto"/>
        </w:rPr>
        <w:t xml:space="preserve">Extensive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have shown that TN-301 addresses diverse pathological processes with direct and systemic benefits in models of HFpEF. In comparative studies, selective HDAC6 inhibition as a single</w:t>
      </w:r>
    </w:p>
    <w:p>
      <w:pPr>
        <w:spacing w:after="0" w:line="2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39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7391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380"/>
        <w:spacing w:after="0" w:line="266" w:lineRule="auto"/>
        <w:rPr>
          <w:sz w:val="20"/>
          <w:szCs w:val="20"/>
          <w:color w:val="auto"/>
        </w:rPr>
      </w:pPr>
      <w:r>
        <w:rPr>
          <w:rFonts w:ascii="Times New Roman" w:cs="Times New Roman" w:eastAsia="Times New Roman" w:hAnsi="Times New Roman"/>
          <w:sz w:val="18"/>
          <w:szCs w:val="18"/>
          <w:color w:val="auto"/>
        </w:rPr>
        <w:t>agent has been shown to have similar efficacy to empagliflozin, a sodium-glucose cotransporter-2 (SGLT2) inhibitor which is approved for the treatment of HFpEF and co-administration of our HDAC6 inhibition with a SGLT2 inhibitor in a HFpEF mouse model demonstrated additive benefit.</w:t>
      </w:r>
    </w:p>
    <w:p>
      <w:pPr>
        <w:spacing w:after="0" w:line="176"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We shared positive data from our Phase 1 clinical trial of TN-301 in healthy participants at the 2023 Heart Failure Society of America Annual Scientific Meeting. TN-301 was generally well tolerated across the broad range of doses studied. Pharmacokinetic results showed overall dose proportionality with a half-life supportive of once-daily dosing. Increasing doses and exposures with TN-301 correlated with increased pharmacodynamic effects. There were no changes in histone acetylation with TN-301 underscoring the selectivity of TN-301 for HDAC6 and potentially reducing the risk of off target effects. Taken together, these data support continued development of TN-301 as a potential treatment for patients with HFpEF and other severe diseases - including those outside of cardiology- in which inflammation, fibrosis and metabolic dysregulation may be implicated. We believe late-stage clinical development of TN-301 for more prevalent indications is best suited for development by or with a well-resourced partner.</w:t>
      </w:r>
    </w:p>
    <w:p>
      <w:pPr>
        <w:spacing w:after="0" w:line="192" w:lineRule="exact"/>
        <w:rPr>
          <w:sz w:val="20"/>
          <w:szCs w:val="20"/>
          <w:color w:val="auto"/>
        </w:rPr>
      </w:pPr>
    </w:p>
    <w:p>
      <w:pPr>
        <w:ind w:left="300" w:right="140"/>
        <w:spacing w:after="0" w:line="282" w:lineRule="auto"/>
        <w:rPr>
          <w:sz w:val="20"/>
          <w:szCs w:val="20"/>
          <w:color w:val="auto"/>
        </w:rPr>
      </w:pPr>
      <w:r>
        <w:rPr>
          <w:rFonts w:ascii="Times New Roman" w:cs="Times New Roman" w:eastAsia="Times New Roman" w:hAnsi="Times New Roman"/>
          <w:sz w:val="18"/>
          <w:szCs w:val="18"/>
          <w:color w:val="auto"/>
        </w:rPr>
        <w:t>In addition to our clinical-stage candidates, we have multiple early-stage programs using various therapeutic approaches, including gene addition, gene editing, gene silencing, and cellular regeneration to address other forms of rare and/or prevalent heart disease.</w:t>
      </w:r>
    </w:p>
    <w:p>
      <w:pPr>
        <w:spacing w:after="0" w:line="162"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Early on in our company history, we invested in differentiated capabilities to enable modality-agnostic target identification and validation, anchored in human genetics and the use of human disease models. That proprietary expertise has directly informed the design, optimization and production of our pipeline. To support our initial focus on gene therapy candidates, we internalized expertise in capsid engineering, novel promoter constructs and manufacturing anchored on the use of AAVs as the method of delivery to the heart with the aim of increasing the safety and efficacy of our product candidates and accelerating early-stage discovery and preclinical optimization across modalities.</w:t>
      </w:r>
    </w:p>
    <w:p>
      <w:pPr>
        <w:spacing w:after="0" w:line="183" w:lineRule="exact"/>
        <w:rPr>
          <w:sz w:val="20"/>
          <w:szCs w:val="20"/>
          <w:color w:val="auto"/>
        </w:rPr>
      </w:pPr>
    </w:p>
    <w:p>
      <w:pPr>
        <w:ind w:left="300" w:right="200"/>
        <w:spacing w:after="0" w:line="266" w:lineRule="auto"/>
        <w:rPr>
          <w:sz w:val="20"/>
          <w:szCs w:val="20"/>
          <w:color w:val="auto"/>
        </w:rPr>
      </w:pPr>
      <w:r>
        <w:rPr>
          <w:rFonts w:ascii="Times New Roman" w:cs="Times New Roman" w:eastAsia="Times New Roman" w:hAnsi="Times New Roman"/>
          <w:sz w:val="18"/>
          <w:szCs w:val="18"/>
          <w:color w:val="auto"/>
        </w:rPr>
        <w:t>For the production of our lead gene therapy candidates, we maintained complete ownership of process development, analytical development, and quality control and have already produced all necessary clinical trial material needed for our current clinical trials at our Good Manufacturing Practice (cGMP)-certified Genetic Medicines Manufacturing Center in Union City, California.</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left="300" w:right="40"/>
        <w:spacing w:after="0" w:line="255" w:lineRule="auto"/>
        <w:rPr>
          <w:sz w:val="20"/>
          <w:szCs w:val="20"/>
          <w:color w:val="auto"/>
        </w:rPr>
      </w:pPr>
      <w:r>
        <w:rPr>
          <w:rFonts w:ascii="Times New Roman" w:cs="Times New Roman" w:eastAsia="Times New Roman" w:hAnsi="Times New Roman"/>
          <w:sz w:val="18"/>
          <w:szCs w:val="18"/>
          <w:color w:val="auto"/>
        </w:rPr>
        <w:t>The below summary of risk factors provides an overview of many of the risks we are exposed to in the normal course of our business activities and risks related to this offering. As a result, the below summary risks do not contain all of the information that may be important to you, and you should read the summary risks together with the more detailed discussion of risks set forth following this section under the heading “Risk Factors,” as well as elsewhere in this prospectus supplement. Additional risks, beyond those summarized below or discussed elsewhere in this prospectus supplement and the documents incorporated herein by reference, may apply to our activities or operations as currently conducted or as we may conduct them in the future or in the markets in which we operate or may in the future operate. Consistent with the foregoing, we are exposed to a variety of risks, including risks associated with the following:</w:t>
      </w:r>
    </w:p>
    <w:p>
      <w:pPr>
        <w:spacing w:after="0" w:line="94" w:lineRule="exact"/>
        <w:rPr>
          <w:sz w:val="20"/>
          <w:szCs w:val="20"/>
          <w:color w:val="auto"/>
        </w:rPr>
      </w:pPr>
    </w:p>
    <w:p>
      <w:pPr>
        <w:ind w:left="1240" w:right="16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with a limited operating history, and have no products approved for commercial sale, which may make it difficult for you to evaluate our current business and likelihood of success and future viability.</w:t>
      </w:r>
    </w:p>
    <w:p>
      <w:pPr>
        <w:spacing w:after="0" w:line="67"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generated any product revenue to date, have incurred significant net losses since our inception and expect to continue to incur significant net losses for the foreseeable future.</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077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8077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16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profitability depends significantly on our ability to achieve several objectives relating to the discovery, development and commercialization of our product candidates, if approved.</w:t>
      </w:r>
    </w:p>
    <w:p>
      <w:pPr>
        <w:spacing w:after="0" w:line="67" w:lineRule="exact"/>
        <w:rPr>
          <w:rFonts w:ascii="Times New Roman" w:cs="Times New Roman" w:eastAsia="Times New Roman" w:hAnsi="Times New Roman"/>
          <w:sz w:val="18"/>
          <w:szCs w:val="18"/>
          <w:color w:val="auto"/>
        </w:rPr>
      </w:pPr>
    </w:p>
    <w:p>
      <w:pPr>
        <w:ind w:left="1240" w:hanging="415"/>
        <w:spacing w:after="0" w:line="261"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substantial additional capital to finance our operations, which if available, may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p>
    <w:p>
      <w:pPr>
        <w:spacing w:after="0" w:line="85" w:lineRule="exact"/>
        <w:rPr>
          <w:rFonts w:ascii="Times New Roman" w:cs="Times New Roman" w:eastAsia="Times New Roman" w:hAnsi="Times New Roman"/>
          <w:sz w:val="18"/>
          <w:szCs w:val="18"/>
          <w:color w:val="auto"/>
        </w:rPr>
      </w:pPr>
    </w:p>
    <w:p>
      <w:pPr>
        <w:ind w:left="1240" w:right="62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loan agreement with Silicon Valley Bank, a division of First-Citizens Bank &amp; Trust Company, requires us to comply with specified operating covenants and places restrictions on our operating and financial flexibility.</w:t>
      </w:r>
    </w:p>
    <w:p>
      <w:pPr>
        <w:spacing w:after="0" w:line="67" w:lineRule="exact"/>
        <w:rPr>
          <w:rFonts w:ascii="Times New Roman" w:cs="Times New Roman" w:eastAsia="Times New Roman" w:hAnsi="Times New Roman"/>
          <w:sz w:val="18"/>
          <w:szCs w:val="18"/>
          <w:color w:val="auto"/>
        </w:rPr>
      </w:pPr>
    </w:p>
    <w:p>
      <w:pPr>
        <w:ind w:left="1240" w:right="44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81"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81"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mechanisms of action of our product candidates are unproven, and we do not know whether we will be able to develop any drug of commercial value.</w:t>
      </w:r>
    </w:p>
    <w:p>
      <w:pPr>
        <w:spacing w:after="0" w:line="67" w:lineRule="exact"/>
        <w:rPr>
          <w:rFonts w:ascii="Times New Roman" w:cs="Times New Roman" w:eastAsia="Times New Roman" w:hAnsi="Times New Roman"/>
          <w:sz w:val="18"/>
          <w:szCs w:val="18"/>
          <w:color w:val="auto"/>
        </w:rPr>
      </w:pPr>
    </w:p>
    <w:p>
      <w:pPr>
        <w:ind w:left="1240" w:right="120" w:hanging="415"/>
        <w:spacing w:after="0" w:line="258"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involves a lengthy and expensive process with an uncertain outcome. The preclinical studies, clinical trials and post-marketing studies of our product candidates may not demonstrate safety and efficacy to the satisfaction of the FDA, European Medicines Agency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88" w:lineRule="exact"/>
        <w:rPr>
          <w:rFonts w:ascii="Times New Roman" w:cs="Times New Roman" w:eastAsia="Times New Roman" w:hAnsi="Times New Roman"/>
          <w:sz w:val="18"/>
          <w:szCs w:val="18"/>
          <w:color w:val="auto"/>
        </w:rPr>
      </w:pPr>
    </w:p>
    <w:p>
      <w:pPr>
        <w:ind w:left="1240" w:right="40" w:hanging="415"/>
        <w:spacing w:after="0" w:line="258"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spacing w:after="0" w:line="88" w:lineRule="exact"/>
        <w:rPr>
          <w:rFonts w:ascii="Times New Roman" w:cs="Times New Roman" w:eastAsia="Times New Roman" w:hAnsi="Times New Roman"/>
          <w:sz w:val="18"/>
          <w:szCs w:val="18"/>
          <w:color w:val="auto"/>
        </w:rPr>
      </w:pPr>
    </w:p>
    <w:p>
      <w:pPr>
        <w:ind w:left="1240" w:hanging="415"/>
        <w:spacing w:after="0" w:line="261"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85" w:lineRule="exact"/>
        <w:rPr>
          <w:rFonts w:ascii="Times New Roman" w:cs="Times New Roman" w:eastAsia="Times New Roman" w:hAnsi="Times New Roman"/>
          <w:sz w:val="18"/>
          <w:szCs w:val="18"/>
          <w:color w:val="auto"/>
        </w:rPr>
      </w:pPr>
    </w:p>
    <w:p>
      <w:pPr>
        <w:ind w:left="1240" w:right="42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our limited manufacturing experience, there can be no assurance that we will be able to successfully manufacture product candidates to support our clinical development and commercialization plans.</w:t>
      </w:r>
    </w:p>
    <w:p>
      <w:pPr>
        <w:spacing w:after="0" w:line="67" w:lineRule="exact"/>
        <w:rPr>
          <w:rFonts w:ascii="Times New Roman" w:cs="Times New Roman" w:eastAsia="Times New Roman" w:hAnsi="Times New Roman"/>
          <w:sz w:val="18"/>
          <w:szCs w:val="18"/>
          <w:color w:val="auto"/>
        </w:rPr>
      </w:pPr>
    </w:p>
    <w:p>
      <w:pPr>
        <w:jc w:val="both"/>
        <w:ind w:left="1240" w:right="2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0920"/>
          </w:cols>
          <w:pgMar w:left="320" w:top="455" w:right="6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331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8331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20" w:hanging="415"/>
        <w:spacing w:after="0" w:line="26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81"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depends significantly on our ability to operate without infringing, misappropriating or otherwise violating the patents and other intellectual property and proprietary rights of third parties.</w:t>
      </w:r>
    </w:p>
    <w:p>
      <w:pPr>
        <w:spacing w:after="0" w:line="67" w:lineRule="exact"/>
        <w:rPr>
          <w:rFonts w:ascii="Times New Roman" w:cs="Times New Roman" w:eastAsia="Times New Roman" w:hAnsi="Times New Roman"/>
          <w:sz w:val="18"/>
          <w:szCs w:val="18"/>
          <w:color w:val="auto"/>
        </w:rPr>
      </w:pPr>
    </w:p>
    <w:p>
      <w:pPr>
        <w:ind w:left="1240" w:right="20" w:hanging="415"/>
        <w:spacing w:after="0" w:line="26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spacing w:after="0" w:line="81" w:lineRule="exact"/>
        <w:rPr>
          <w:rFonts w:ascii="Times New Roman" w:cs="Times New Roman" w:eastAsia="Times New Roman" w:hAnsi="Times New Roman"/>
          <w:sz w:val="18"/>
          <w:szCs w:val="18"/>
          <w:color w:val="auto"/>
        </w:rPr>
      </w:pPr>
    </w:p>
    <w:p>
      <w:pPr>
        <w:ind w:left="1240" w:right="48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 substantial number of shares of our common stock in the public market could cause our stock price to fall. There is no public market for the Warrants being offered in this offering.</w:t>
      </w:r>
    </w:p>
    <w:p>
      <w:pPr>
        <w:spacing w:after="0" w:line="67" w:lineRule="exact"/>
        <w:rPr>
          <w:rFonts w:ascii="Times New Roman" w:cs="Times New Roman" w:eastAsia="Times New Roman" w:hAnsi="Times New Roman"/>
          <w:sz w:val="18"/>
          <w:szCs w:val="18"/>
          <w:color w:val="auto"/>
        </w:rPr>
      </w:pPr>
    </w:p>
    <w:p>
      <w:pPr>
        <w:ind w:left="1240" w:right="60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Warrants will have no rights as common stockholders until such holders exercise their Warrants and acquire our common stock.</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holders or beneficial owners of our common stock may not be permitted to exercise the Warrants that they hold.</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August 2016. Our principal executive offices are located at 171 Oyster Point Boulevard, Suite 500, South San Francisco, CA 94080. Our telephone number is (650) 825-6990. Our website address is www.tenayatherapeutics.com. Information contained on, or accessible through, our website is not incorporated by reference into this prospectus supplement and should not be considered to be part of this prospectus supplement. The inclusion of our website address in this prospectus supplement is an inactive textual reference only.</w:t>
      </w:r>
    </w:p>
    <w:p>
      <w:pPr>
        <w:spacing w:after="0" w:line="180"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We make available free of charge on or through our website our Securities and Exchange Commission (SEC) filings, including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 The SEC maintains a website that contains reports, proxy and information statements and other information regarding our filings at www.sec.gov.</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amended (the JOBS Act). We will remain an emerging growth company until the earliest to occur of: (1) the last day of the fiscal year in which we have more than $1.235 billion in annual revenue; (2) the date we qualify as a “large accelerated filer,” with at least $700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 which will be December 31, 2026. As a result of this status, we have taken advantage of reduced reporting requirements in this prospectus and may elect to take advantage of other reduced reporting requirements in our future filings with the SEC. In particular, in this prospectus supplement, we have incorporated only two years of audited financial statements and have not included all of the executive compensation related information that would be required if we were not an emerging growth company. In addition, the JOBS Act provides that an emerging growth</w:t>
      </w:r>
    </w:p>
    <w:p>
      <w:pPr>
        <w:spacing w:after="0" w:line="3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0940"/>
          </w:cols>
          <w:pgMar w:left="320" w:top="455"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430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2430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spacing w:after="0" w:line="272" w:lineRule="auto"/>
        <w:rPr>
          <w:sz w:val="20"/>
          <w:szCs w:val="20"/>
          <w:color w:val="auto"/>
        </w:rPr>
      </w:pPr>
      <w:r>
        <w:rPr>
          <w:rFonts w:ascii="Times New Roman" w:cs="Times New Roman" w:eastAsia="Times New Roman" w:hAnsi="Times New Roman"/>
          <w:sz w:val="17"/>
          <w:szCs w:val="17"/>
          <w:color w:val="auto"/>
        </w:rPr>
        <w:t>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we</w:t>
      </w:r>
    </w:p>
    <w:p>
      <w:pPr>
        <w:spacing w:after="0" w:line="2" w:lineRule="exact"/>
        <w:rPr>
          <w:sz w:val="20"/>
          <w:szCs w:val="20"/>
          <w:color w:val="auto"/>
        </w:rPr>
      </w:pPr>
    </w:p>
    <w:p>
      <w:pPr>
        <w:ind w:left="300" w:hanging="2"/>
        <w:spacing w:after="0" w:line="255" w:lineRule="auto"/>
        <w:tabs>
          <w:tab w:leader="none" w:pos="5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 longer an emerging growth company and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6" w:lineRule="exact"/>
        <w:rPr>
          <w:sz w:val="20"/>
          <w:szCs w:val="20"/>
          <w:color w:val="auto"/>
        </w:rPr>
      </w:pPr>
    </w:p>
    <w:p>
      <w:pPr>
        <w:ind w:left="300" w:right="80"/>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(1) the market value of our stock held by non-affiliates is less than $250 million or (2)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3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0940"/>
          </w:cols>
          <w:pgMar w:left="320" w:top="455" w:right="6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191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2191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920"/>
          </w:cols>
          <w:pgMar w:left="320" w:top="455" w:right="659" w:bottom="1440" w:gutter="0" w:footer="0" w:header="0"/>
        </w:sectPr>
      </w:pP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Units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50,000,000 units, consisting of one share of our common stock and one Warrant.</w:t>
      </w:r>
    </w:p>
    <w:p>
      <w:pPr>
        <w:spacing w:after="0" w:line="207"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Warrants Offered by Us</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offering Warrants to purchase an aggregate of shares of our common stock. Each unit includes one Warrant. Each Warrant will be exercisable for one share of our common stock, will have an exercise price of $1.50 per share, will be immediately exercisable and will expire five years from the date of issuance. See “Description of Securities—Warrants.” This offering also relates to the shares of common stock issuable upon exercise of the Warrants.</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Common Stock Outstanding After this Offering</w:t>
      </w:r>
    </w:p>
    <w:p>
      <w:pPr>
        <w:spacing w:after="0" w:line="20" w:lineRule="exact"/>
        <w:rPr>
          <w:sz w:val="20"/>
          <w:szCs w:val="20"/>
          <w:color w:val="auto"/>
        </w:rPr>
      </w:pPr>
      <w:r>
        <w:rPr>
          <w:sz w:val="20"/>
          <w:szCs w:val="20"/>
          <w:color w:val="auto"/>
        </w:rPr>
        <w:br w:type="column"/>
      </w:r>
    </w:p>
    <w:p>
      <w:pPr>
        <w:ind w:right="180"/>
        <w:spacing w:after="0" w:line="282" w:lineRule="auto"/>
        <w:rPr>
          <w:sz w:val="20"/>
          <w:szCs w:val="20"/>
          <w:color w:val="auto"/>
        </w:rPr>
      </w:pPr>
      <w:r>
        <w:rPr>
          <w:rFonts w:ascii="Times New Roman" w:cs="Times New Roman" w:eastAsia="Times New Roman" w:hAnsi="Times New Roman"/>
          <w:sz w:val="18"/>
          <w:szCs w:val="18"/>
          <w:color w:val="auto"/>
        </w:rPr>
        <w:t>213,744,535 shares of common stock, excluding any shares issuable upon exercise of the Warrants.</w:t>
      </w:r>
    </w:p>
    <w:p>
      <w:pPr>
        <w:spacing w:after="0" w:line="185" w:lineRule="exact"/>
        <w:rPr>
          <w:sz w:val="20"/>
          <w:szCs w:val="20"/>
          <w:color w:val="auto"/>
        </w:rPr>
      </w:pPr>
    </w:p>
    <w:p>
      <w:pPr>
        <w:sectPr>
          <w:pgSz w:w="11900" w:h="16838" w:orient="portrait"/>
          <w:cols w:equalWidth="0" w:num="2">
            <w:col w:w="3980" w:space="360"/>
            <w:col w:w="6580"/>
          </w:cols>
          <w:pgMar w:left="320" w:top="455" w:right="65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ind w:right="20"/>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our existing cash, cash equivalents and marketable securities, to fund the ongoing and planned development of our clinical and early-stage product candidates, particularly TN-201 and TN-401, and for working capital and other general corporate purposes. See “Use of Proceeds” on page S-19 of this prospectus supplement.</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ind w:right="140"/>
        <w:spacing w:after="0" w:line="258" w:lineRule="auto"/>
        <w:rPr>
          <w:sz w:val="20"/>
          <w:szCs w:val="20"/>
          <w:color w:val="auto"/>
        </w:rPr>
      </w:pPr>
      <w:r>
        <w:rPr>
          <w:rFonts w:ascii="Times New Roman" w:cs="Times New Roman" w:eastAsia="Times New Roman" w:hAnsi="Times New Roman"/>
          <w:sz w:val="18"/>
          <w:szCs w:val="18"/>
          <w:color w:val="auto"/>
        </w:rPr>
        <w:t>Investing in our securities involves significant risks. You should read the “Risk Factors” section on page S-15 of this prospectus supplement and in the documents incorporated by reference in this prospectus supplement and accompanying prospectus for a discussion of factors to consider carefully before deciding to purchase shares of our common stock or Warrants.</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Nasdaq Global Select Market Symbol</w:t>
      </w:r>
    </w:p>
    <w:p>
      <w:pPr>
        <w:spacing w:after="0" w:line="20" w:lineRule="exact"/>
        <w:rPr>
          <w:sz w:val="20"/>
          <w:szCs w:val="20"/>
          <w:color w:val="auto"/>
        </w:rPr>
      </w:pPr>
      <w:r>
        <w:rPr>
          <w:sz w:val="20"/>
          <w:szCs w:val="20"/>
          <w:color w:val="auto"/>
        </w:rPr>
        <w:br w:type="column"/>
      </w:r>
    </w:p>
    <w:p>
      <w:pPr>
        <w:ind w:right="66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“TNYA.”</w:t>
      </w:r>
    </w:p>
    <w:p>
      <w:pPr>
        <w:spacing w:after="0" w:line="185"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No Listing of Warrants</w:t>
      </w:r>
    </w:p>
    <w:p>
      <w:pPr>
        <w:spacing w:after="0" w:line="20" w:lineRule="exact"/>
        <w:rPr>
          <w:sz w:val="20"/>
          <w:szCs w:val="20"/>
          <w:color w:val="auto"/>
        </w:rPr>
      </w:pPr>
      <w:r>
        <w:rPr>
          <w:sz w:val="20"/>
          <w:szCs w:val="20"/>
          <w:color w:val="auto"/>
        </w:rPr>
        <w:br w:type="column"/>
      </w:r>
    </w:p>
    <w:p>
      <w:pPr>
        <w:ind w:right="140"/>
        <w:spacing w:after="0" w:line="261" w:lineRule="auto"/>
        <w:rPr>
          <w:sz w:val="20"/>
          <w:szCs w:val="20"/>
          <w:color w:val="auto"/>
        </w:rPr>
      </w:pPr>
      <w:r>
        <w:rPr>
          <w:rFonts w:ascii="Times New Roman" w:cs="Times New Roman" w:eastAsia="Times New Roman" w:hAnsi="Times New Roman"/>
          <w:sz w:val="18"/>
          <w:szCs w:val="18"/>
          <w:color w:val="auto"/>
        </w:rPr>
        <w:t>There is no established trading market for the Warrants, and we do not expect a market to develop. We do not intend to list the Warrants on the Nasdaq Global Select Market or any other national securities exchange or nationally recognized trading system. Without an active trading market, the liquidity of the Warrants will be limited.</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Delivery of Common Stock and Warrants</w:t>
      </w:r>
    </w:p>
    <w:p>
      <w:pPr>
        <w:spacing w:after="0" w:line="20" w:lineRule="exact"/>
        <w:rPr>
          <w:sz w:val="20"/>
          <w:szCs w:val="20"/>
          <w:color w:val="auto"/>
        </w:rPr>
      </w:pPr>
      <w:r>
        <w:rPr>
          <w:sz w:val="20"/>
          <w:szCs w:val="20"/>
          <w:color w:val="auto"/>
        </w:rPr>
        <w:br w:type="column"/>
      </w: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shares of common stock included in the units will be delivered thorough the facilities of DTC. The Warrants included in the units will be delivered to purchasers in certificated form.</w:t>
      </w:r>
    </w:p>
    <w:p>
      <w:pPr>
        <w:spacing w:after="0" w:line="176"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outstanding after this offering is based on 163,744,535 shares of our common stock outstanding as of September 30, 2025, and excludes:</w:t>
      </w:r>
    </w:p>
    <w:p>
      <w:pPr>
        <w:spacing w:after="0" w:line="67" w:lineRule="exact"/>
        <w:rPr>
          <w:sz w:val="20"/>
          <w:szCs w:val="20"/>
          <w:color w:val="auto"/>
        </w:rPr>
      </w:pPr>
    </w:p>
    <w:p>
      <w:pPr>
        <w:ind w:left="1240" w:right="42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12,248,914 shares of common stock issuable upon exercise of stock options outstanding as of September 30, 2025, at a weighted average exercise price of $1.93 per share;</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0920"/>
          </w:cols>
          <w:pgMar w:left="320" w:top="455" w:right="6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7701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4770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1,737,267 shares of common stock issuable upon vesting of restricted stock units outstanding as of September 30, 2025;</w:t>
      </w:r>
    </w:p>
    <w:p>
      <w:pPr>
        <w:spacing w:after="0" w:line="130"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74,995,000 shares of common stock issuable upon exercise of our Series A Warrants as of September 30, 2025, at an exercise price of $0.80 per share;</w:t>
      </w:r>
    </w:p>
    <w:p>
      <w:pPr>
        <w:spacing w:after="0" w:line="67"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36,997,500 shares of common stock issuable upon exercise of our Series B Warrants as of September 30, 2025, at an exercise price of $0.70 per share;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 shares of common stock issued upon the exercise of Series A Warrants after September 30, 2025;</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2,753,750 shares of common stock issued upon the exercise of Series B Warrants after September 30, 2025;</w:t>
      </w:r>
    </w:p>
    <w:p>
      <w:pPr>
        <w:spacing w:after="0" w:line="130"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122,749 shares of common stock issuable upon exercise of a warrant outstanding as of September 30, 2025, at an exercise price of $2.55 per share;</w:t>
      </w:r>
    </w:p>
    <w:p>
      <w:pPr>
        <w:spacing w:after="0" w:line="67" w:lineRule="exact"/>
        <w:rPr>
          <w:rFonts w:ascii="Times New Roman" w:cs="Times New Roman" w:eastAsia="Times New Roman" w:hAnsi="Times New Roman"/>
          <w:sz w:val="18"/>
          <w:szCs w:val="18"/>
          <w:color w:val="auto"/>
        </w:rPr>
      </w:pPr>
    </w:p>
    <w:p>
      <w:pPr>
        <w:ind w:left="1240" w:right="200" w:hanging="415"/>
        <w:spacing w:after="0" w:line="266"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1,785,929 shares of common stock reserved for issuance under our 2021 Equity Incentive Plan (the 2021 Plan) as of September 30, 2025, as well as shares that become available pursuant to provisions in our 2021 Plan that automatically increase the share reserve thereunder each year;</w:t>
      </w:r>
    </w:p>
    <w:p>
      <w:pPr>
        <w:spacing w:after="0" w:line="81" w:lineRule="exact"/>
        <w:rPr>
          <w:rFonts w:ascii="Times New Roman" w:cs="Times New Roman" w:eastAsia="Times New Roman" w:hAnsi="Times New Roman"/>
          <w:sz w:val="18"/>
          <w:szCs w:val="18"/>
          <w:color w:val="auto"/>
        </w:rPr>
      </w:pPr>
    </w:p>
    <w:p>
      <w:pPr>
        <w:ind w:left="1240" w:right="52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525,000 shares of common stock reserved for issuance under our 2024 Inducement Equity Incentive Plan (the 2024 Plan) as of September 30, 2025;</w:t>
      </w:r>
    </w:p>
    <w:p>
      <w:pPr>
        <w:spacing w:after="0" w:line="67"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2,345,079 shares of common stock reserved for issuance under our 2021 Employee Stock Purchase Plan (the 2021 ESPP) as of September 30, 2025, as well as shares that become available pursuant to provisions in our 2021 ESPP that automatically increase the share reserve thereunder each year; and</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 shares of common stock issuable upon exercise of Warrants sold in this offering.</w:t>
      </w:r>
    </w:p>
    <w:p>
      <w:pPr>
        <w:spacing w:after="0" w:line="225" w:lineRule="exact"/>
        <w:rPr>
          <w:sz w:val="20"/>
          <w:szCs w:val="20"/>
          <w:color w:val="auto"/>
        </w:rPr>
      </w:pPr>
    </w:p>
    <w:p>
      <w:pPr>
        <w:ind w:left="300" w:right="500" w:firstLine="426"/>
        <w:spacing w:after="0" w:line="261" w:lineRule="auto"/>
        <w:rPr>
          <w:sz w:val="20"/>
          <w:szCs w:val="20"/>
          <w:color w:val="auto"/>
        </w:rPr>
      </w:pPr>
      <w:r>
        <w:rPr>
          <w:rFonts w:ascii="Times New Roman" w:cs="Times New Roman" w:eastAsia="Times New Roman" w:hAnsi="Times New Roman"/>
          <w:sz w:val="18"/>
          <w:szCs w:val="18"/>
          <w:color w:val="auto"/>
        </w:rPr>
        <w:t>On August 10, 2022, we entered into a sales agreement with Leerink Partners LLC with respect to an “at-the-market” (ATM) program pursuant to which we may sell up to $75.0 million of shares of our common stock (the ATM Program). As of the date of this prospectus supplement, we have sold an aggregate of 1,358,333 shares of our common stock under the ATM Program for aggregate gross proceeds of $5.2 million, resulting in $69.8 million of shares of our common stock remaining for future sale under the ATM Program.</w:t>
      </w:r>
    </w:p>
    <w:p>
      <w:pPr>
        <w:spacing w:after="0" w:line="180"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 no exercise or settlement of the outstanding options or warrants or vesting of outstanding restricted stock units or other equity awards described above, no grant of additional awards under our 2021 Plan and 2024 Plan, no issuance of shares under the 2021 ESPP, no issuance of shares under the ATM Program and no exercise of any Warrants, in each case, after September 30, 2025.</w:t>
      </w:r>
    </w:p>
    <w:p>
      <w:pPr>
        <w:spacing w:after="0" w:line="30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0880"/>
          </w:cols>
          <w:pgMar w:left="320" w:top="455" w:right="6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i w:val="1"/>
          <w:iCs w:val="1"/>
          <w:color w:val="auto"/>
        </w:rPr>
        <w:t>Investing in our securities involves a high degree of risk. Before making a decision to invest in our securities, in addition to carefully considering the other information contained in this prospectus supplement, in the accompanying prospectus and in the documents incorporated by reference herein or therein, you should carefully consider the risks described below, as well as the risks discussed under the caption “Risk Factors” contained in our most recent Quarterly Report on Form 10-Q, as well as any amendments thereto, which are incorporated by reference into this prospectus supplement in their entirety. The risks described in these documents are not the only ones we face. There may be other unknown or unpredictable economic, business, competitive, regulatory or other factors that could harm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prospects could be harmed. This could cause the trading price of our common stock to decline, resulting in a loss of all or part of your investment. See “Where You Can Find More Information” and “Incorporation of Certain Information by Reference.”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vesting of outstanding restricted stock units and the exercise of our outstanding options and warrants will dilute stockholders and could decrease our stock price.</w:t>
      </w:r>
    </w:p>
    <w:p>
      <w:pPr>
        <w:spacing w:after="0" w:line="15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vesting of outstanding restricted stock units and the exercise of our outstanding options and warrants may adversely affect our stock price due to sales of a large number of shares or the perception that such sales could occur. These factors also could make it more difficult to raise funds through future offerings of our securities and could adversely impact the terms under which we could obtain additional equity capital. Exercise of outstanding options and warrants or any future issuance of additional shares of common stock or other securities, including, but not limited to preferred stock, options, warrants, restricted stock units or other derivative securities convertible into our common stock, may result in significant dilution to our stockholders and may decrease our stock price.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As of September 30, 2025, we had 163,744,535 shares of our common stock outstanding. If our stockholders sell, or the market perceives that our stockholders intend to sell, a substantial amount of our common stock in the public market, the market price of our common stock could decline significantly. Sales of a substantial number of shares of our common stock in the public market could occur at any time, including by us pursuant to our existing ATM Program, under which, as of December 10, 2025, we may issue and sell up to approximately $69.8 million in additional shares of our common stock.</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Shares issued upon the exercise of stock options or the vesting of restricted stock units outstanding under our equity incentive plans or pursuant to future awards granted under those plans will become available for sale in the public market to the extent permitted by the provisions of applicable vesting schedules and by Rule 144 and by Rule 701 under the Securities Act.</w:t>
      </w:r>
    </w:p>
    <w:p>
      <w:pPr>
        <w:spacing w:after="0" w:line="172"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will have broad discretion to use the net proceeds from this offering and its investment of these proceeds may not yield a favorable return.</w:t>
      </w:r>
    </w:p>
    <w:p>
      <w:pPr>
        <w:spacing w:after="0" w:line="159"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Our management team will have broad discretion in the application of the net proceeds from this offering and could spend or invest the proceeds in ways that may not yield a favorable return or enhance the value of our common stock. Accordingly, investors will need to rely on our management team’s judgment with respect to the use of these proceeds. We intend to use the proceeds from this offering in the manner described in the section</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titled “Use of Proceeds.” The failure by management to apply these funds effectively could negatively affect our ability to operate and grow our business. We cannot specify with certainty all of the particular uses for the net proceeds to be received upon the completion of this offering. In addition, the amount, allocation and timing of our actual expenditures will depend upon numerous factors, including any milestone payments received from any future strategic partnerships. Accordingly, we will have broad discretion in using these proceeds. Until the net proceeds are used, they may be placed in investments that do not produce significant income or that may lose value.</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and, accordingly, stockholders must rely on share appreciation for any return on their investment.</w:t>
      </w:r>
    </w:p>
    <w:p>
      <w:pPr>
        <w:spacing w:after="0" w:line="22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See the section titled “Dividend Policy.” As a result, capital appreciation, if any, of our common stock will be your sole source of gain on your investment for the foreseeable future. Investors seeking cash dividends should not invest in our common stock.</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You will experience immediate dilution in the book value per share of the securities you purchase in this offering.</w:t>
      </w:r>
    </w:p>
    <w:p>
      <w:pPr>
        <w:spacing w:after="0" w:line="22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Because the price per unit is substantially higher than the net tangible book value per share of our common stock, you will suffer substantial dilution in the net tangible book value of the securities you purchase in this offering. Our net tangible book value as of September 30, 2025, was approximately $82.9 million, or $0.51 per share of our common stock. Therefore, if you purchase units in this offering, you will suffer immediate and substantial dilution of $0.55 per share with respect to the net tangible book value of our common stock, based on the sale of 50,000,000 units in total at an offering price of $1.20 per unit (assuming no exercise of any Warrants sold in this offering). See the section titled “Dilution” in this prospectus supplement for a detailed discussion of the dilution you will incur if you participate in this offering.</w:t>
      </w:r>
    </w:p>
    <w:p>
      <w:pPr>
        <w:spacing w:after="0" w:line="183" w:lineRule="exact"/>
        <w:rPr>
          <w:sz w:val="20"/>
          <w:szCs w:val="20"/>
          <w:color w:val="auto"/>
        </w:rPr>
      </w:pPr>
    </w:p>
    <w:p>
      <w:pPr>
        <w:ind w:left="120" w:right="7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including purchasers of our securities in this offering, restrict our operations or require us to relinquish substantial rights.</w:t>
      </w:r>
    </w:p>
    <w:p>
      <w:pPr>
        <w:spacing w:after="0" w:line="15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may involve fixed payment obligations or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preclinical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190" w:lineRule="exact"/>
        <w:rPr>
          <w:sz w:val="20"/>
          <w:szCs w:val="20"/>
          <w:color w:val="auto"/>
        </w:rPr>
      </w:pPr>
    </w:p>
    <w:p>
      <w:pPr>
        <w:ind w:left="120" w:right="3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or may fall below the expectations of investors or securities analysts, each of which may cause our stock price to fluctuate or decline.</w:t>
      </w:r>
    </w:p>
    <w:p>
      <w:pPr>
        <w:spacing w:after="0" w:line="159"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fluctuations. Our net loss and other operating results will be affected by numerous factors, including:</w:t>
      </w:r>
    </w:p>
    <w:p>
      <w:pPr>
        <w:spacing w:after="0" w:line="67"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our product candidates or future development programs;</w:t>
      </w:r>
    </w:p>
    <w:p>
      <w:pPr>
        <w:spacing w:after="0" w:line="157" w:lineRule="exact"/>
        <w:rPr>
          <w:rFonts w:ascii="Times New Roman" w:cs="Times New Roman" w:eastAsia="Times New Roman" w:hAnsi="Times New Roman"/>
          <w:sz w:val="18"/>
          <w:szCs w:val="18"/>
          <w:color w:val="auto"/>
        </w:rPr>
      </w:pPr>
    </w:p>
    <w:p>
      <w:pPr>
        <w:ind w:left="5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S-16</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or the addition or termination of preclinical studies and clinical trials or funding support by us or potential future collaborators;</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collaboration, licensing or similar arrangements, and the timing of payments we may make or receive under potential future arrangements or the termination or modification of any of our existing or potential future collaboration, licensing or similar arrangements;</w:t>
      </w:r>
    </w:p>
    <w:p>
      <w:pPr>
        <w:spacing w:after="0" w:line="81"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misappropriation or violation lawsuit or opposition, interference or cancellation proceeding in which we may become involved;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receives regulatory approval, the terms of such approval and market acceptance and demand for such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and potential future products and changes in the competitive landscape of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our operating results or announcements related to our product candidates fall below the expectations of investors or securities analysts, the price of our common stock could decline substantially. Furthermore, any fluctuations in our operating results or announcements related to our product candidates may, in turn, cause the price of our stock to fluctuate substantially. We believe that comparisons of our financial results are not necessarily meaningful and should not be relied upon as an indication of our future performance.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Warrants being offered in this offering.</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There is no public trading market for the Warrants being offered in this offering, and we do not expect a market to develop. In addition, we do not intend to list the Warrants on the Nasdaq Global Select Market or any other national securities exchange or nationally recognized trading system, and we do not intend to make any of the Warrants eligible to be traded through the facilities of DTC or any other clearinghouse. Without an active trading market, the liquidity of the Warrants will be limited.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Holders of the Warrants will have no rights as common stockholders until such holders exercise their Warrants and acquire our common</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w:t>
      </w:r>
    </w:p>
    <w:p>
      <w:pPr>
        <w:spacing w:after="0" w:line="20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Until holders of the Warrants exercise their Warrants, and acquire shares of our common stock, such holders will have no rights with respect to the shares of our common stock underlying such Warrants.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owners of our common stock may not be permitted to exercise the Warrants that they hold.</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holder of the Warrants will not be entitled to exercise any portion of any warrant that, upon giving effect to such exercise, would cause (i) the aggregate number of shares of our common stock beneficially owned by such holder (together with its affiliates) to exceed 4.99% or, at the election of the holder prior to the issuance of such warrant, 9.99% of the number of shares of our common stock outstanding immediately after giving effect to the exercise; or (ii) the combined voting power of our securities beneficially owned by such holder (together with its affiliates) to exceed 4.99% or, at the election of the holder prior to the issuance of such warrant, 9.99% of the combined voting power of all of our securities outstanding immediately after giving effect to the exercise, as such percentage ownership is determined in accordance with the terms of the Warrants and subject to such holder’s rights under the Warrants, as applicable, to increase or decrease such percentage to any other percentage not in excess of 19.99% (or at the election of the holder prior to the issuance of the such warrant, 9.99%) upon at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least 61 days’ prior notice from the holder to us. As a result, you may not be able to exercise your Warrants for shares of our common stock at a time when it would be financially beneficial for you to do so. In such a circumstance, you could seek to sell your Warrants to realize value, but you may be unable to do so in the absence of an established trading market.</w:t>
      </w:r>
    </w:p>
    <w:p>
      <w:pPr>
        <w:spacing w:after="0" w:line="1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0900"/>
          </w:cols>
          <w:pgMar w:left="320" w:top="455" w:right="6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to us from the issuance and sale of units in this offering will be approximately $55.8 million after deducting underwriting discounts and commissions and estimated offering expenses payable by us and excluding the proceeds, if any, from the exercise of the Warrants issued in this offering.</w:t>
      </w:r>
    </w:p>
    <w:p>
      <w:pPr>
        <w:spacing w:after="0" w:line="176"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our existing cash, cash equivalents and marketable securities, to fund the ongoing and planned development of our clinical and early-stage product candidates, particularly TN-201 and TN-401, and for working capital and other general corporate purposes.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Pending the specific use of net proceeds as described in this prospectus supplement, we intend to invest the net proceeds to us from this offering in short and intermediate-term investment grade instruments, certificates of deposit or guaranteed obligations of the U.S. government in accordance with our investment policy.</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expected use of proceeds from this offering represents our current intentions based on our present plans and business condition. As of the date of this prospectus supplement, we cannot predict with certainty all of the particular uses for the proceeds to be received upon the completion of this offering or the actual amounts that we will spend on the uses set forth above. We may also use a portion of the proceeds to in-license, acquire or invest in additional businesses, technologies, products or assets. Although we have no specific agreements, commitments or understandings with respect to any in-licensing activity or acquisition, we evaluate these opportunities and engage in related discussions with other companies from time to time.</w:t>
      </w:r>
    </w:p>
    <w:p>
      <w:pPr>
        <w:spacing w:after="0" w:line="183"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net proceeds from this offering, together with our existing cash, cash equivalents and marketable securities, will not be sufficient for us to fund our clinical programs into late-stage development, and we will need to raise additional capital to achieve our business objectives.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amount and timing of our actual expenditures will depend on numerous factors, including the results of our research and development efforts, the timing and outcome of any ongoing or future preclinical studies and clinical trials the timing and outcome of regulatory submissions and any unforeseen cash needs. As a result, our management will have broad discretion over the use of the proceeds from this offering.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If you invest in this offering, your ownership interest will be diluted immediately to the extent of the difference between the offering price of our common stock and the as adjusted net tangible book value per share of our common stock immediately after this offering.</w:t>
      </w:r>
    </w:p>
    <w:p>
      <w:pPr>
        <w:spacing w:after="0" w:line="16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historical net tangible book value as of September 30, 2025, was approximately $82.9 million, or approximately $0.51 per share of common stock based upon 163,744,535 shares outstanding as of September 30, 2025. Historical net tangible book value per share represents the amount of our total tangible assets less total liabilities, divided by the number of shares of our common stock outstanding as of September 30, 2025.</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After giving effect to the sale by us of 50,000,000 units in this offering (which assumes no exercise of the Warrants sold in this offering) based on the offering price of $1.20 per unit, and after deducting underwriting discounts and commissions and estimated offering expenses payable by us, our as adjusted net tangible book value as of September 30, 2025 would have been $138.7 million, or $0.65 per share of common stock. This represents an immediate increase in net tangible book value of $0.14 per share to our existing stockholders and an immediate dilution of $0.55 in net tangible book value per share to new investors participating in this offering. Dilution per share to new investors is determined by subtracting as adjusted net tangible book value per share after this offering from the offering price per unit paid by new investors.</w:t>
      </w:r>
    </w:p>
    <w:p>
      <w:pPr>
        <w:spacing w:after="0" w:line="187"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illustrates this calculation on a per share basis.</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880" w:type="dxa"/>
            <w:vAlign w:val="bottom"/>
          </w:tcPr>
          <w:p>
            <w:pPr>
              <w:spacing w:after="0"/>
              <w:rPr>
                <w:sz w:val="21"/>
                <w:szCs w:val="21"/>
                <w:color w:val="auto"/>
              </w:rPr>
            </w:pPr>
          </w:p>
        </w:tc>
        <w:tc>
          <w:tcPr>
            <w:tcW w:w="6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unit</w:t>
            </w:r>
          </w:p>
        </w:tc>
        <w:tc>
          <w:tcPr>
            <w:tcW w:w="20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880" w:type="dxa"/>
            <w:vAlign w:val="bottom"/>
          </w:tcPr>
          <w:p>
            <w:pPr>
              <w:spacing w:after="0"/>
              <w:rPr>
                <w:sz w:val="18"/>
                <w:szCs w:val="18"/>
                <w:color w:val="auto"/>
              </w:rPr>
            </w:pPr>
          </w:p>
        </w:tc>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2025</w:t>
            </w:r>
          </w:p>
        </w:tc>
        <w:tc>
          <w:tcPr>
            <w:tcW w:w="162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$0.51</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this offering</w:t>
            </w:r>
          </w:p>
        </w:tc>
        <w:tc>
          <w:tcPr>
            <w:tcW w:w="1620" w:type="dxa"/>
            <w:vAlign w:val="bottom"/>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0.14</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to this offering</w:t>
            </w:r>
          </w:p>
        </w:tc>
        <w:tc>
          <w:tcPr>
            <w:tcW w:w="7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0.65</w:t>
            </w:r>
          </w:p>
        </w:tc>
      </w:tr>
      <w:tr>
        <w:trPr>
          <w:trHeight w:val="27"/>
        </w:trPr>
        <w:tc>
          <w:tcPr>
            <w:tcW w:w="8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purchasing in this offering</w:t>
            </w:r>
          </w:p>
        </w:tc>
        <w:tc>
          <w:tcPr>
            <w:tcW w:w="20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0.55</w:t>
            </w:r>
          </w:p>
        </w:tc>
      </w:tr>
      <w:tr>
        <w:trPr>
          <w:trHeight w:val="20"/>
        </w:trPr>
        <w:tc>
          <w:tcPr>
            <w:tcW w:w="8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above discussion and table are based on 163,744,535 shares of our common stock outstanding as of September 30, 2025 and excludes:</w:t>
      </w:r>
    </w:p>
    <w:p>
      <w:pPr>
        <w:spacing w:after="0" w:line="131" w:lineRule="exact"/>
        <w:rPr>
          <w:sz w:val="20"/>
          <w:szCs w:val="20"/>
          <w:color w:val="auto"/>
        </w:rPr>
      </w:pPr>
    </w:p>
    <w:p>
      <w:pPr>
        <w:ind w:left="1080" w:right="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12,248,914 shares of common stock issuable upon exercise of stock options outstanding as of September 30, 2025, at a weighted average exercise price of $1.93 per share;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1,737,267 shares of common stock issuable upon vesting of restricted stock units outstanding as of September 30, 2025;</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74,995,000 shares of common stock issuable upon exercise of our Series A Warrants as of September 30, 2025, at an exercise price of $0.80 per share;</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36,997,500 shares of common stock issuable upon exercise of our Series B Warrants as of September 30, 2025, at an exercise price of $0.70 per share;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 shares of common stock issued upon the exercise of Series A Warrants after September 30,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2,753,750 shares of common stock issued upon the exercise of Series B Warrants after September 30, 2025;</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122,749 shares of common stock issuable upon exercise of a warrant outstanding as of September 30, 2025, at an exercise price of $2.55 per share;</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040"/>
          </w:cols>
          <w:pgMar w:left="320" w:top="455" w:right="5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1,785,929 shares of common stock reserved for issuance under our 2021 Equity Incentive Plan (the 2021 Plan) as of September 30, 2025, as well as shares that become available pursuant to provisions in our 2021 Plan that automatically increase the share reserve thereunder each year;</w:t>
      </w:r>
    </w:p>
    <w:p>
      <w:pPr>
        <w:spacing w:after="0" w:line="81" w:lineRule="exact"/>
        <w:rPr>
          <w:rFonts w:ascii="Times New Roman" w:cs="Times New Roman" w:eastAsia="Times New Roman" w:hAnsi="Times New Roman"/>
          <w:sz w:val="18"/>
          <w:szCs w:val="18"/>
          <w:color w:val="auto"/>
        </w:rPr>
      </w:pPr>
    </w:p>
    <w:p>
      <w:pPr>
        <w:ind w:left="1080" w:right="8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525,000 shares of common stock reserved for issuance under our 2024 Inducement Equity Incentive Plan (the 2024 Plan) as of September 30, 2025;</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2,345,079 shares of common stock reserved for issuance under our 2021 Employee Stock Purchase Plan (the 2021 ESPP) as of September 30, 2025, as well as shares that become available pursuant to provisions in our 2021 ESPP that automatically increase the share reserve thereunder each year;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 shares of common stock issuable upon exercise of Warrants sold in this offering.</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the extent that outstanding options or restricted stock awards or warrants outstanding as of September 30, 2025 have been or may be exercised or other shares issued, including pursuant to our 2021 ESPP or our 2024 Plan, investors purchasing our securities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or other equity-linked securities, the issuance of these securities could result in further dilution to our stockholders.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of our future earnings, if any, to finance the growth and development of our business. We do not intend to pay cash dividends to holders of our common stock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brief summary of certain terms and conditions of the Warrants being offered by this prospectus supplement. The following description is subject in all respects to the provisions contained in the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brief summary of certain terms and conditions of the Warrants being offered by this prospectus supplement. The following description is subject in all respects to the provisions contained in the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Warrants will be issued as individual warrant agreements to the investors. The form of Warrant will also be filed as an exhibit to a Current Report on Form 8-K that we expect to file with the SEC.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Warrants will expire five years from the date of original issuance.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Warrants are exercisable at any time on or after their original issuance. The Warrants will be exercisable, at the option of each holder, in whole or in part by delivering to us a duly executed exercise notice and by payment in full in immediately available funds for the number of shares of common stock purchased upon such exercise. No fractional shares of common stock will be issued in connection with the exercise of a Warrant. In lieu of fractional shares, the number of shares shall be rounded down to the next whole number and we will pay the holder an amount in cash equal to the fair market value of the common stock on the exercise date.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Exercise Limitations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may not effect the exercise of any Warrant, and a holder will not be entitled to exercise any portion of any Warrant that, upon giving effect to such exercise, would cause: (i) the aggregate number of shares of our common stock beneficially owned by such holder (together with its affiliates) to exceed 4.99% or, at the election of the holder prior to the issuance of the warrant, 9.99% of the number of shares of our common stock outstanding immediately after giving effect to the exercise; or (ii) the combined voting power of our securities beneficially owned by such holder (together with its affiliates) to exceed 4.99% or, at the election of the holder prior to the issuance of the warrant, 9.99% of the combined voting power of all of our securities outstanding immediately after giving effect to the exercise, as such percentage ownership is determined in accordance with the terms of the Warrants. However, any holder of a Warrant may increase or decrease such percentage to any other percentage not in excess of 19.99% (or at the election of the holder prior to the issuance of the Warrant, 9.99%) upon at least 61 days’ prior notice from the holder to us.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Exercise Price</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exercise price per whole share of our common stock purchasable upon the exercise of the Warrants is $1.50 per share of common stock. The exercise price of the Warrants is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000"/>
          </w:cols>
          <w:pgMar w:left="320" w:top="455" w:right="5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Cashless Exercise</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at the time a holder exercises its Warrants, a registration statement registering the issuance of the shares of common stock underlying the Warrants under the Securities Act is not then effective or available,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Warrants.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applicable laws, the Warrants may be offered for sale, sold, transferred or assigned without our consent.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Delivery of Warrant Shares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Upon exercise of the Warrants, upon the request of the holder, we will credit such aggregate number of shares of common stock to which the holder is entitled pursuant to such exercise to the holder’s or its designee’s balance account with DTC.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Warrants may be amended only with the written consent of the holder.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There is no established trading market for the Warrants, and we do not expect a market to develop. We do not plan on applying to list the Warrants on the Nasdaq Global Select Market, any other national securities exchange or any other nationally recognized trading system.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Fundamental Transactions</w:t>
      </w:r>
    </w:p>
    <w:p>
      <w:pPr>
        <w:spacing w:after="0" w:line="121"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In the event of a fundamental transaction, as described in the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Warrants will be entitled to receive upon exercise of the Warrants the kind and amount of securities, cash or other property that the holders would have received had they exercised the Warrants immediately prior to such fundamental transaction. In the event a holder does not exercise its Warrants in connection with a fundamental transaction, such holder’s Warrants will be deemed exercised in full pursuant to the “cashless exercise” mechanism described above upon the consummation of such transaction.</w:t>
      </w:r>
    </w:p>
    <w:p>
      <w:pPr>
        <w:spacing w:after="0" w:line="17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the event a holder does not exercise its Warrants in connection with a fundamental transaction, we or our successor or acquiring corporation shall, at such holder’s option, exercisable at any time concurrently with, or within thirty days after, the consummation of the fundamental transaction (or, if later, the date of the public announcement of the applicable fundamental transaction), purchase the Warrant from the holder by paying to the holder an amount of cash equal to the Black Scholes value of the remaining unexercised portion of the Warrants on the date of the consummation of such fundamental transaction, subject to certain limitations and conditions as set forth in the Warrant.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Rights as a Stockholder</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Except by virtue of such holder’s ownership of shares of our common stock, the holder of a Warrant does not have the rights or privileges of a holder of our common stock, including any voting rights, until the holder exercises the Warrant.</w:t>
      </w:r>
    </w:p>
    <w:p>
      <w:pPr>
        <w:spacing w:after="0" w:line="9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0780"/>
          </w:cols>
          <w:pgMar w:left="320" w:top="455" w:right="7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of the ownership and disposition of our common stock and Warrants acquired in this offering, but does not purport to be a complete analysis of all the potential tax considerations relating thereto. Because the components of a unit are generally separable at the option of the holder, you will be treated for U.S. federal income tax purposes as the owner of the applicable underlying common stock and/or Warrants. As a result, the discussion below with respect to beneficial owners of common stock or Warrants will also apply to beneficial owners of units. This summary is based upon the provisions of the United States Internal Revenue Code of 1986, as amended, or 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or IRS, with respect to the statements made and the conclusions reached in the following summary, and there can be no assurance that the IRS or a court will agree with such statements and conclusions.</w:t>
      </w:r>
    </w:p>
    <w:p>
      <w:pPr>
        <w:spacing w:after="0" w:line="188"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This summary also does not address the tax considerations arising under the laws of any non-U.S., state or local jurisdiction, under U.S. federal gift and estate tax rules nor does it address any aspects of the alternative minimum tax, the special tax accounting rules under Section 451(b) of the Code, or the Medicare tax on net investment income. In addition, this discussion does not address tax considerations applicable to an investor’s particular circumstances or to investors that may be subject to special tax rules, including, without limitation:</w:t>
      </w:r>
    </w:p>
    <w:p>
      <w:pPr>
        <w:spacing w:after="0" w:line="85"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regulated investment companies, real estate investment trusts or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and tax-qualified retirement plans;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foreign controlled foreign corporations, passive foreign investment companies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currencies;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more than five percent of our capital stock and/or Warrants (except to the extent specifically set forth below);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our common stock pursuant to the exercise of any employee stock option or otherwise as compensation;</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common stock or Warrants as a position in a hedging transaction, “straddle,” “conversion transaction” or other risk reduction transaction;</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do not hold our common stock or Warrants as a capital asset within the meaning of Section 1221 of the Code (generally, property held for investment);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or Warrants under the constructive sale provisions of the Code.</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if a partnership, entity or arrangement classified as a partnership or flow-through entity for U.S. federal income tax purposes holds our common stock or Warrants, the tax treatment of a partner (or an owner) in such partnership or other entity generally will depend on the status of the partner and upon the activities of the partnership or other entity. A partner (or an owner) in a partnership or other such entity that will hold our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common stock or Warrants should consult his, her or its own tax advisor regarding the tax consequences of the ownership and disposition of our common stock or Warrants through a partnership or other such entity, as applicable.</w:t>
      </w:r>
    </w:p>
    <w:p>
      <w:pPr>
        <w:spacing w:after="0" w:line="158" w:lineRule="exact"/>
        <w:rPr>
          <w:sz w:val="20"/>
          <w:szCs w:val="20"/>
          <w:color w:val="auto"/>
        </w:rPr>
      </w:pPr>
    </w:p>
    <w:p>
      <w:pPr>
        <w:ind w:left="120" w:right="14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You are urged to consult your tax advisor with respect to the application of the U.S. federal income tax laws to your particular situation, as well as any tax consequences of the purchase, ownership and disposition of our common stock or Warrants, arising under the U.S. federal gift or estate tax rules or under the laws of any state, local, non-U.S. or other taxing jurisdiction or under any applicable tax treaty.</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U.S. Holder and Non-U.S. Holder Defined</w:t>
      </w:r>
    </w:p>
    <w:p>
      <w:pPr>
        <w:spacing w:after="0" w:line="229" w:lineRule="exact"/>
        <w:rPr>
          <w:sz w:val="20"/>
          <w:szCs w:val="20"/>
          <w:color w:val="auto"/>
        </w:rPr>
      </w:pPr>
    </w:p>
    <w:p>
      <w:pPr>
        <w:ind w:left="120" w:right="440" w:firstLine="440"/>
        <w:spacing w:after="0" w:line="312" w:lineRule="auto"/>
        <w:rPr>
          <w:sz w:val="20"/>
          <w:szCs w:val="20"/>
          <w:color w:val="auto"/>
        </w:rPr>
      </w:pPr>
      <w:r>
        <w:rPr>
          <w:rFonts w:ascii="Times New Roman" w:cs="Times New Roman" w:eastAsia="Times New Roman" w:hAnsi="Times New Roman"/>
          <w:sz w:val="17"/>
          <w:szCs w:val="17"/>
          <w:color w:val="auto"/>
        </w:rPr>
        <w:t>For purposes of this discussion, you are a “U.S. holder” if you are a beneficial owner (other than a partnership or other entity or arrangement classified as a partnership for U.S. federal income tax purposes) of our common stock or Warrants that, for U.S. federal income tax purposes, is:</w:t>
      </w:r>
    </w:p>
    <w:p>
      <w:pPr>
        <w:spacing w:after="0" w:line="45"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jc w:val="both"/>
        <w:ind w:left="1080" w:right="36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(1) whose administration is subject to the primary supervision of a U.S. court and that has one or more U.S. persons (within the meaning of the Code) who have the authority to control all substantial decisions of the trust or (2) that has made a valid election under applicable Treasury regulations to be treated as a U.S. person.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this discussion, you are a “non-U.S. holder” if you are a beneficial owner of our common stock or Warrants that is not a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 or a partnership (or other entity or arrangement classified as a partnership for U.S. federal income tax purposes).</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Allocation of Purchase Price</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No statutory, administrative or judicial authority directly addresses the treatment of a unit or instruments similar to them, for federal income tax purposes, and therefore, that treatment is not entirely clear. Under general U.S. federal income tax principles, the acquisition of a unit should be treated as the acquisition of one share of common stock and one Warrant to acquire one share of our common stock. The purchase price for each investment unit must be allocated by you between these two components in proportion to their relative fair market values at the time you purchase the unit. Under U.S. federal income tax law, each investor must make his or her own determination of these values based on all the facts and circumstances. Therefore, you should consult your tax advisor regarding the determination of value for these purposes. This allocation of the purchase price for each unit will establish your initial tax basis for U.S. federal income tax purposes in the share of common stock and the Warrant included in each unit.</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Any disposition of a unit will be treated for U.S. federal income tax purposes as a disposition of the share of common stock and the Warrant, as applicable, and the amount realized on the disposition must be allocated by you between the components according to their respective relative fair market values (as determined by you based on all the relevant facts and circumstances) at the time of disposition. The separation of the share of common stock and the Warrant included in each unit should not be a taxable event for U.S. federal income tax purposes. You should consult your own tax advisor regarding the allocation of the purchase price for a unit.</w:t>
      </w:r>
    </w:p>
    <w:p>
      <w:pPr>
        <w:spacing w:after="0" w:line="183"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foregoing treatment of the units, common stock and Warrants, and your purchase price allocation, are not binding on the IRS or the courts. Because there are no authorities that directly address instruments that are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similar to the units, no assurance can be given that the IRS or a court will agree with the characterization described above or the discussion below. The remainder of this discussion assumes that the characterization of the units described above is respected for U.S. federal income tax purposes.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Tax Consequences Applicable to U.S. Holders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of our future earnings, if any, to finance the growth and development of our business. We do not intend to pay cash dividends to holders of our common stock in the foreseeable future.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 as described below under “Tax Consequences Applicable to U.S. Holders— Gain on Disposition of Common Stock or Warrants.” If you are a non-corporate U.S. holder, and certain requirements are met, a preferential U.S. federal income tax rate will apply to any dividends paid to you if you meet certain holding period requirements.</w:t>
      </w:r>
    </w:p>
    <w:p>
      <w:pPr>
        <w:spacing w:after="0" w:line="192"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If you are a corporate shareholder, distributions constituting dividends for U.S. federal income tax purposes will generally be eligible for the dividends received deduction, or DRD. No assurance can be given that we will have sufficient earnings and profits (as determined under U.S. federal income tax principles) to cause any distributions to be eligible for a DRD. In addition, a DRD is available only if certain holding periods and other taxable income requirements are satisfied.</w:t>
      </w:r>
    </w:p>
    <w:p>
      <w:pPr>
        <w:spacing w:after="0" w:line="180"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taxation of a distribution received with respect to a Warrant is unclear. It is possible such a distribution would be treated as a distribution as described in this section, although other treatments may also be possible. You should consult your tax advisors regarding the proper treatment of any payments in respect of the Warrants.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Certain Adjustments to Warrants</w:t>
      </w:r>
    </w:p>
    <w:p>
      <w:pPr>
        <w:spacing w:after="0" w:line="229" w:lineRule="exact"/>
        <w:rPr>
          <w:sz w:val="20"/>
          <w:szCs w:val="20"/>
          <w:color w:val="auto"/>
        </w:rPr>
      </w:pPr>
    </w:p>
    <w:p>
      <w:pPr>
        <w:ind w:left="120" w:right="100" w:firstLine="440"/>
        <w:spacing w:after="0" w:line="274" w:lineRule="auto"/>
        <w:rPr>
          <w:sz w:val="20"/>
          <w:szCs w:val="20"/>
          <w:color w:val="auto"/>
        </w:rPr>
      </w:pPr>
      <w:r>
        <w:rPr>
          <w:rFonts w:ascii="Times New Roman" w:cs="Times New Roman" w:eastAsia="Times New Roman" w:hAnsi="Times New Roman"/>
          <w:sz w:val="17"/>
          <w:szCs w:val="17"/>
          <w:color w:val="auto"/>
        </w:rPr>
        <w:t>Under Section 305 of the Code, an adjustment to the number of shares of common stock that will be issued on the exercise of the Warrants, or an adjustment to the exercise price of the Warrants, may be treated as a constructive distribution to you of the Warrants if, and to the extent that, such adjustment has the effect of increasing your proportionate interest in our “earnings and profits” or assets, depending on the circumstances of such adjustment (for example, if such adjustment is to compensate for a distribution of cash or other property to our shareholders). Any such adjustment that is treated as a constructive distribution would be treated as a dividend, subject to withholding, to the extent described above under “Tax Consequences Applicable to U.S. Holders—Distributions.” You should consult your tax advisor regarding the proper tax treatment of any such adjustment.</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Gain on Disposition of Common Stock or Warrants</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Upon a sale or other taxable disposition of common stock or Warrants, you generally will recognize capital gain or loss in an amount equal to the difference between the amount realized and your adjusted tax basis in the common stock or Warrant. Your adjusted tax basis will generally equal your acquisition cost, and will be determined as discussed above under “—Allocation of Purchase Price”, and if the common stock or Warrants were sold as part of units, the portion of amount realized allocable to each component will be determined as discussed under that section. Capital gain or loss will constitute long-term capital gain or loss if your holding period for the common stock or Warrants exceeds one year. The deductibility of capital losses is subject to certain limitations. U.S. holders who recognize losses with respect to a disposition of our common stock or Warrants should consult their own tax advisors regarding the tax treatment of such losses.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Exercise of Warrants and Expiration of Warrants</w:t>
      </w:r>
    </w:p>
    <w:p>
      <w:pPr>
        <w:spacing w:after="0" w:line="22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In general, you will not recognize gain or loss for U.S. federal income tax purposes upon exercise of a Warrant. You will take a tax basis in the common stock acquired on the exercise of a Warrant equal to the exercise price of the Warrant, increased by your adjusted tax basis (determined as discussed above under “—Allocation of Purchase Price”) in the Warrant exercised. It is unclear whether your holding period for the common stock acquired on the exercise of Warrants will begin on the date following the date of exercise or on the date of exercise of the Warrants; in either case, the holding period will not include the period during which you held the Warrants.</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certain limited circumstances, you may be permitted to undertake a cashless exercise of Warrants into our common stock. The U.S. federal income tax treatment of a cashless exercise of Warrants into our common stock is unclear, and the tax consequences of a cashless exercise could differ from the consequences upon the exercise of a Warrant described in the preceding paragraph. You should consult their own tax advisors regarding the U.S. federal income tax consequences of a cashless exercise of Warrants.</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lapse or expiration of a Warrant will be treated as if you sold or exchanged the Warrant and recognized a capital loss equal to your tax basis in the Warrant. The deductibility of capital losses is subject to limitations.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Information reporting requirements generally will apply to payments of dividends (including constructive dividends) on the common stock or Warrants and to the proceeds of a sale or other disposition of common stock or Warrants paid to you unless you are an exempt recipient, such as certain corporations. Backup withholding at a current rate of 24% will apply to those payments if you fail to provide your taxpayer identification number (generally in the form of a properly completed and executed IRS Form W-9), or certification of exempt status, or if you otherwise fail to comply with applicable requirements to establish an exemption.</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Tax Consequences Applicable to Non-U.S. Holders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of our future earnings, if any, to finance the growth and development of our business. We do not intend to pay cash dividends to holders of our common stock in the foreseeable future. However, if we do make distributions on our common stock, those payments generally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 treated as described below in “Tax Consequences Applicable to Non-U.S. Holders—Gain on Disposition of Common Stock or Warrants.”</w:t>
      </w:r>
    </w:p>
    <w:p>
      <w:pPr>
        <w:spacing w:after="0" w:line="189"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Subject to the discussions below on effectively connected income and the provisions of the Code referred to as the Foreign Account Tax Compliance Act, or FATCA,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the applicable withholding agent with an IRS Form W-8BEN or W-8BEN-E or other appropriate version of IRS Form W-8 certifying qualification for the reduced rate. A non-U.S.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holder of shares of our common stock or Warrants eligible for a reduced rate of U.S. federal withholding tax pursuant to an income tax treaty may obtain a refund of any excess amounts withheld by timely filing an appropriate claim for refund with the IRS. If the non-U.S. holder holds our common stock or Warrants through a financial institution or other agent acting on the non-U.S. holder’s behalf, the non-U.S. holder will be required to provide appropriate documentation to the agent, which then will be required to provide certification to the applicable withholding agent, either directly or through other intermediaries.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Dividends received by you that are treated as effectively connected with your conduct of a U.S. trade or business (and, if required by an applicable income tax treaty, such dividends are attributable to a permanent establishment or fixed base maintained by you in the United States) are generally exempt from the 30% U.S. federal withholding tax, subject to the discussion below on backup withholding and FATCA. In order to obtain this exemption, you must provide the applicable withholding agent with a properly executed IRS Form W-8ECI or other applicable IRS Form W-8 properly certifying such exemption. Such effectively connected dividends, although not subject to U.S. federal withholding tax, are taxed at the same rates applicable to U.S. persons, net of certain deductions and credits, subject to an applicable income tax treaty providing otherwise.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common stock or Warrants, including any applicable tax treaties that may provide for different rules.</w:t>
      </w:r>
    </w:p>
    <w:p>
      <w:pPr>
        <w:spacing w:after="0" w:line="194"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taxation of a distribution received with respect to a Warrant is unclear. It is possible such a distribution would be treated as a distribution as described in this section, although other treatments may also be possible. You should consult your own tax advisors regarding the proper treatment of any payments in respect of the Warrants.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Certain Adjustments to Warrants</w:t>
      </w:r>
    </w:p>
    <w:p>
      <w:pPr>
        <w:spacing w:after="0" w:line="229" w:lineRule="exact"/>
        <w:rPr>
          <w:sz w:val="20"/>
          <w:szCs w:val="20"/>
          <w:color w:val="auto"/>
        </w:rPr>
      </w:pPr>
    </w:p>
    <w:p>
      <w:pPr>
        <w:ind w:left="120" w:right="100" w:firstLine="440"/>
        <w:spacing w:after="0" w:line="274" w:lineRule="auto"/>
        <w:rPr>
          <w:sz w:val="20"/>
          <w:szCs w:val="20"/>
          <w:color w:val="auto"/>
        </w:rPr>
      </w:pPr>
      <w:r>
        <w:rPr>
          <w:rFonts w:ascii="Times New Roman" w:cs="Times New Roman" w:eastAsia="Times New Roman" w:hAnsi="Times New Roman"/>
          <w:sz w:val="17"/>
          <w:szCs w:val="17"/>
          <w:color w:val="auto"/>
        </w:rPr>
        <w:t>Under Section 305 of the Code, an adjustment to the number of shares of common stock that will be issued on the exercise of the Warrants, or an adjustment to the exercise price of the Warrants, may be treated as a constructive distribution to you of the Warrants if, and to the extent that, such adjustment has the effect of increasing your proportionate interest in our “earnings and profits” or assets, depending on the circumstances of such adjustment (for example, if such adjustment is to compensate for a distribution of cash or other property to our shareholders). Any such adjustment that is treated as a constructive distribution would be treated as a dividend, subject to withholding, to the extent described above under “Tax Consequences Applicable to Non-U.S. Holders—Distributions.” You should consult your tax advisor regarding the proper tax treatment of any such adjustment.</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Gain on Disposition of Common Stock or Warrants</w:t>
      </w:r>
    </w:p>
    <w:p>
      <w:pPr>
        <w:spacing w:after="0" w:line="22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below regarding backup withholding and FATCA, you generally will not be required to pay U.S. federal income tax on any gain realized upon the sale or other disposition of our common stock or Warrants unless:</w:t>
      </w:r>
    </w:p>
    <w:p>
      <w:pPr>
        <w:spacing w:after="0" w:line="67" w:lineRule="exact"/>
        <w:rPr>
          <w:sz w:val="20"/>
          <w:szCs w:val="20"/>
          <w:color w:val="auto"/>
        </w:rPr>
      </w:pPr>
    </w:p>
    <w:p>
      <w:pPr>
        <w:ind w:left="1080" w:right="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is present in the United States for a period or periods aggregating 183 days or more during the calendar year in which the sale or disposition occurs and certain other conditions are met; or</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United States real property interest by reason of our status as a “United States real property holding corporation,” or USRPHC, for U.S. federal income tax purposes at 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time within the shorter of the five-year period preceding your disposition of, or your holding period for, our common stock.</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business assets, there can be no assurance that we will not become a USRPHC in the future. Even if we become a USRPHC, however, as long as our common stock is regularly traded on an established securities market, your common stock will be treated as a U.S. real property interest only if you actually (directly or indirectly) or constructively hold more than five percent of such regularly traded common stock at any time during the shorter of the five-year period preceding your disposition of, or your holding period for, our common stock. However, no assurance can be provided that our common stock will be considered to be regularly traded on an established securities market for purposes of the rules described above. Special rules may apply to non-U.S. holders of Warrants, who should consult their tax advisors.</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you are a non-U.S. holder described in the first bullet above, you generally will be required to pay tax on the gain derived from the sale (net of certain deductions and credits) under regular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treaties or other agreements that may provide for different rules.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Exercise of Warrants and Expiration of Warrants</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general, you will not recognize gain or loss for U.S. federal income tax purposes upon the exercise of Warrants into shares of common stock. The U.S. federal income tax treatment of a cashless exercise of Warrants into our common stock is unclear. A Non-U.S. Holder should consult his, her, or its own tax advisor regarding the U.S. federal income tax consequences of a cashless exercise of Warrants. The expiration of a Warrant will be treated as if you sold or exchanged the Warrant and recognized a capital loss equal to your tax basis in the warrant. However, you will not be able to utilize a loss recognized upon expiration of a Warrant against your U.S. federal income tax liability unless the loss is effectively connected with your conduct of a trade or business within the United States (and, if an income tax treaty applies, is attributable to a permanent establishment or fixed base in the United States) or is treated as a U.S.-source loss and you are present in the United States for 183 days or more in the taxable year of disposition and certain other conditions are met.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Generally, we or the applicable paying agent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Payments of dividends (including constructive dividends) on or of proceeds from the disposition of our common stock or Warrants made to you will generally be subject to information reporting and backup withholding at a current rate of 24% unless you establish an exemption, for example, by properly certifying your non-U.S. status on a properly completed IRS Form W-8BEN or W-8BEN-E, or W-8ECI or another appropriate version of IRS Form W-8 or you otherwise meet the documentary evidence requirements for establishing that you are not a U.S. person or otherwise establish an exemption. Notwithstanding the foregoing, backup withholding and information reporting may apply if the applicable withholding agent has actual knowledge, or reason to know, that you are a U.S. person.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Foreign Account Tax Compliance Act</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Provisions of the Code commonly referred to as FATCA, Treasury regulations issued thereunder and official IRS guidance generally impose a U.S. federal withholding tax of 30% on dividends on, and, subject to the discussion of certain proposed Treasury regulations below, the gross proceeds from a sale or other disposition of our common stock or Warrants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from FATCA withholding. FATCA also generally imposes a U.S. federal withholding tax of 30% on dividends on, and, subject to the discussion of certain proposed Treasury regulations below, the gross proceeds from, a sale or other disposition of our common stock or Warrants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9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withholding obligations under FATCA generally apply to dividends on our common stock or Warrants and subject to the proposed Treasury regulations described in the next sentence, will apply to the payment of gross proceeds of a sale or other disposition of our common stock or Warrants. The Treasury Department has released proposed Treasury regulations (the preamble to which specifies that taxpayers are permitted to rely on them pending finalization) that, if finalized in their present form, would eliminate the federal withholding tax of 30% applicable to the gross proceeds of a disposition of our common stock or Warrants. The withholding tax on dividends will apply regardless of whether the payment otherwise would be exempt from U.S. non-resident and backup withholding tax, including under the exemptions described above. Under certain circumstances, a non-U.S. holder might be eligible for refunds or credits of such taxes. An intergovernmental agreement between the United States and an applicable foreign country may modify the requirements described in this section. Prospective investors are encouraged to consult with their own tax advisors regarding the application of FATCA withholding to their investment in, and ownership and disposition of, our common stock or Warrants.</w:t>
      </w:r>
    </w:p>
    <w:p>
      <w:pPr>
        <w:spacing w:after="0" w:line="184"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The preceding discussion of U.S. federal tax considerations is for general information only. It is not tax advice to investors in their particular circumstances. Each prospective investor should consult its own tax advisor regarding the particular U.S. federal, state and local and non-U.S. tax consequences of purchasing, holding and disposing of our common stock or Warrants, including the consequences of any proposed change in applicable laws.</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Leerink Partners LLC and Piper Sandler &amp; Co. are acting as representatives (the Representatives) of each of the underwriters named below and as lead joint bookrunning managers for this offering. Subject to the terms and conditions set forth in the underwriting agreement among us and the underwriters, we have agreed to sell to the underwriters, and each of the underwriters has agreed, severally and not jointly, to purchase from us, the number of units set forth opposite its name below.</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11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3"/>
        </w:trPr>
        <w:tc>
          <w:tcPr>
            <w:tcW w:w="7260" w:type="dxa"/>
            <w:vAlign w:val="bottom"/>
            <w:vMerge w:val="continue"/>
          </w:tcPr>
          <w:p>
            <w:pPr>
              <w:spacing w:after="0"/>
              <w:rPr>
                <w:sz w:val="15"/>
                <w:szCs w:val="15"/>
                <w:color w:val="auto"/>
              </w:rPr>
            </w:pPr>
          </w:p>
        </w:tc>
        <w:tc>
          <w:tcPr>
            <w:tcW w:w="11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Leerink Partners LLC</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Piper Sandler &amp; Co.</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LifeSci Capital</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units sold under the underwriting agreement if any of the units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units, subject to prior sale, when, as and if issued to and accepted by them, subject to approval of legal matters by their counsel, including the validity of the units,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Discounts and Commissions</w:t>
      </w:r>
    </w:p>
    <w:p>
      <w:pPr>
        <w:spacing w:after="0" w:line="121"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units to the public at the initial public offering price set forth on the cover page of this prospectus supplement and to dealers at that price less a concession not in excess of $0.0432 per unit. After the initial offering of the units, the public offering price, concession or any other term of this offering may be changed by the Representatives.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the initial public offering price, underwriting discounts and commissions and proceeds, before expenses, to us.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860" w:type="dxa"/>
            <w:vAlign w:val="bottom"/>
          </w:tcPr>
          <w:p>
            <w:pPr>
              <w:jc w:val="center"/>
              <w:ind w:left="1837"/>
              <w:spacing w:after="0"/>
              <w:rPr>
                <w:sz w:val="20"/>
                <w:szCs w:val="20"/>
                <w:color w:val="auto"/>
              </w:rPr>
            </w:pPr>
            <w:r>
              <w:rPr>
                <w:rFonts w:ascii="Times New Roman" w:cs="Times New Roman" w:eastAsia="Times New Roman" w:hAnsi="Times New Roman"/>
                <w:sz w:val="14"/>
                <w:szCs w:val="14"/>
                <w:b w:val="1"/>
                <w:bCs w:val="1"/>
                <w:color w:val="auto"/>
              </w:rPr>
              <w:t>Per</w:t>
            </w:r>
          </w:p>
        </w:tc>
        <w:tc>
          <w:tcPr>
            <w:tcW w:w="360" w:type="dxa"/>
            <w:vAlign w:val="bottom"/>
          </w:tcPr>
          <w:p>
            <w:pPr>
              <w:spacing w:after="0"/>
              <w:rPr>
                <w:sz w:val="13"/>
                <w:szCs w:val="13"/>
                <w:color w:val="auto"/>
              </w:rPr>
            </w:pPr>
          </w:p>
        </w:tc>
        <w:tc>
          <w:tcPr>
            <w:tcW w:w="96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2860" w:type="dxa"/>
            <w:vAlign w:val="bottom"/>
          </w:tcPr>
          <w:p>
            <w:pPr>
              <w:jc w:val="center"/>
              <w:ind w:left="1837"/>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860" w:type="dxa"/>
            <w:vAlign w:val="bottom"/>
            <w:shd w:val="clear" w:color="auto" w:fill="CCEEFF"/>
          </w:tcPr>
          <w:p>
            <w:pPr>
              <w:jc w:val="center"/>
              <w:ind w:left="1837"/>
              <w:spacing w:after="0"/>
              <w:rPr>
                <w:sz w:val="20"/>
                <w:szCs w:val="20"/>
                <w:color w:val="auto"/>
              </w:rPr>
            </w:pPr>
            <w:r>
              <w:rPr>
                <w:rFonts w:ascii="Times New Roman" w:cs="Times New Roman" w:eastAsia="Times New Roman" w:hAnsi="Times New Roman"/>
                <w:sz w:val="18"/>
                <w:szCs w:val="18"/>
                <w:color w:val="auto"/>
                <w:w w:val="99"/>
              </w:rPr>
              <w:t>$ 1.200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60,000,000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2860" w:type="dxa"/>
            <w:vAlign w:val="bottom"/>
          </w:tcPr>
          <w:p>
            <w:pPr>
              <w:jc w:val="center"/>
              <w:ind w:left="1837"/>
              <w:spacing w:after="0"/>
              <w:rPr>
                <w:sz w:val="20"/>
                <w:szCs w:val="20"/>
                <w:color w:val="auto"/>
              </w:rPr>
            </w:pPr>
            <w:r>
              <w:rPr>
                <w:rFonts w:ascii="Times New Roman" w:cs="Times New Roman" w:eastAsia="Times New Roman" w:hAnsi="Times New Roman"/>
                <w:sz w:val="18"/>
                <w:szCs w:val="18"/>
                <w:color w:val="auto"/>
                <w:w w:val="99"/>
              </w:rPr>
              <w:t>$ 0.072</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860" w:type="dxa"/>
            <w:vAlign w:val="bottom"/>
            <w:shd w:val="clear" w:color="auto" w:fill="CCEEFF"/>
          </w:tcPr>
          <w:p>
            <w:pPr>
              <w:jc w:val="center"/>
              <w:ind w:left="1837"/>
              <w:spacing w:after="0"/>
              <w:rPr>
                <w:sz w:val="20"/>
                <w:szCs w:val="20"/>
                <w:color w:val="auto"/>
              </w:rPr>
            </w:pPr>
            <w:r>
              <w:rPr>
                <w:rFonts w:ascii="Times New Roman" w:cs="Times New Roman" w:eastAsia="Times New Roman" w:hAnsi="Times New Roman"/>
                <w:sz w:val="18"/>
                <w:szCs w:val="18"/>
                <w:color w:val="auto"/>
                <w:w w:val="99"/>
              </w:rPr>
              <w:t>$ 1.128</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estimate expenses payable by us in connection with this offering, other than the underwriting discounts and commissions referred to above, will be approximately $595,000. We have agreed to reimburse the underwriters for certain expenses in an amount up to $15,000.</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have agreed that, subject to certain exceptions, we will not (i) offer, pledge, sell, contract to sell, sell any option or contract to purchase, purchase any option or contract to sell, grant any option, right or warrant to purchase, lend, or otherwise transfer or dispose of, directly or indirectly, any lock up securities or (ii) enter into any swap or other arrangement that transfers to another, in whole or in part, any of the economic consequences of ownership of our common stock, whether any such transaction described in clause (ii) or (ii) is to be settled by delivery of lock up securities, in cash or otherwise or (iii) file any registration statement with the Commission relating to the offering of any lock up securities, in each case without the prior written consent of the Representatives on behalf of the underwriters for a period of 60 days after the date of this prospectus supplement (the Restricted Period).</w:t>
      </w:r>
    </w:p>
    <w:p>
      <w:pPr>
        <w:spacing w:after="0" w:line="189"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subject in certain cases to various conditions, to (A) the securities to be sold in the offering, including, for the avoidance of doubt, the issuance of the shares issuable upon the exercise of the Warrants, (B) the issuance of shares of common stock upon the exercise of an option or warrant, vesting or settlement of restricted stock or restricted stock units or the exercise or conversion of a security outstanding on the date of the underwriting agreement, (C) the establishment of a trading plan on behalf of any of our shareholders, officers or directors pursuant to Rule 10b5-1 under the Exchange Act for the transfer of shares of common stock, provided that (1) such plan does not provide for the transfer of shares of common stock during the Restricted Period and (2) to the extent a public announcement or filing under the Exchange Act, if any, is required of or voluntarily made by us regarding the establishment of such plan, such announcement or filing shall include a statement to the effect that no transfer of shares of common stock may be made under such plan during the Restricted Period, (D) the issuance of shares of, or options to purchase shares of, common stock or securities convertible into or exercisable for common stock (whether upon the exercise of stock options or otherwise) to our employees, officers, directors, advisors, or consultants pursuant to the terms of an equity compensation plan in effect on the date of the underwriting agreement and described in this prospectus supplement, provided that, prior to the issuance of any such shares or the grant of any such options to a director or executive officer, we shall cause each recipient of such grant or issuance to execute and deliver a lock up agreement (as defined below), (E) the filing of any registration statement on Form S-8 with respect to the employee benefit plans described in this prospectus supplement, (F) the sale or issuance of or entry into an agreement to sell or issue shares of common stock in connection with our acquisition of one or more businesses, products or technologies (whether by means of merger, stock purchase, asset purchase or otherwise) or in connection with joint ventures, commercial relationships or other strategic transactions, provided, that, the aggregate number of shares of common stock that the we may sell or issue or agree to sell or issue, or that may be issuable upon conversion or exercise of all other securities that we may sell or issue or agree to sell or issue, pursuant to this clause (F) shall not exceed 10% of the total number of shares of common stock issued and outstanding immediately following the completion of the transactions contemplated herein (giving effect to the issuance of the shares of common stock issuable upon exercise of the Warrants), and provided further, that we shall cause each recipient of such shares to execute and deliver to the underwriters, on or prior to such issuance, a lock-up agreement (as defined below), and (G) the amendment of, or filing of any prospectus supplement or amendment relating to, the ATM Program, or the issuance of shares of common stock pursuant to a placement made under the ATM Program.</w:t>
      </w:r>
    </w:p>
    <w:p>
      <w:pPr>
        <w:spacing w:after="0" w:line="206"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Our directors, executive officers and certain shareholders (such persons, the lock-up parties) have entered into agreements with the underwriters (the lock up agreements) prior to the commencement of this offering pursuant to which each lock-up party, with limited exceptions, will not, and will not publicly disclose an intention to, without the prior written consent of the Representatives on behalf of the Underwriters, during the Restricted Period</w:t>
      </w:r>
    </w:p>
    <w:p>
      <w:pPr>
        <w:spacing w:after="0" w:line="1" w:lineRule="exact"/>
        <w:rPr>
          <w:sz w:val="20"/>
          <w:szCs w:val="20"/>
          <w:color w:val="auto"/>
        </w:rPr>
      </w:pPr>
    </w:p>
    <w:p>
      <w:pPr>
        <w:ind w:left="120" w:hanging="4"/>
        <w:spacing w:after="0" w:line="255" w:lineRule="auto"/>
        <w:tabs>
          <w:tab w:leader="none" w:pos="3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Exchange Act) by the lock-up party, any other securities so owned convertible into or exercisable or</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exchangeable for common stock (collectively, the lock-up securities) or (2) enter into any swap or other arrangement that transfers to another, in whole or in part, any of the economic consequences of ownership of the common stock, whether any such transaction described in clause (1) or (2) above is to be settled by delivery of shares of common stock or such other lock-up securities, in cash or otherwise. Each lock-up party has further acknowledged and agreed that the foregoing precludes such party from engaging in any hedging or other transaction designed or intended, or which could reasonably be expected to lead to or result in, a sale or disposition of any shares of common stock, or any securities convertible into or exercisable or exchangeable for common stock, even if any such sale or disposition transaction or transactions would be made or executed by or on behalf of someone other than such lock-up party.</w:t>
      </w:r>
    </w:p>
    <w:p>
      <w:pPr>
        <w:spacing w:after="0" w:line="18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restrictions described in the immediately preceding paragraph and contained in the lock-up agreements between the underwriters and the lock-up parties do not apply, subject in certain cases to various conditions, to certain transactions, including:</w:t>
      </w:r>
    </w:p>
    <w:p>
      <w:pPr>
        <w:spacing w:after="0" w:line="162" w:lineRule="exact"/>
        <w:rPr>
          <w:sz w:val="20"/>
          <w:szCs w:val="20"/>
          <w:color w:val="auto"/>
        </w:rPr>
      </w:pPr>
    </w:p>
    <w:p>
      <w:pPr>
        <w:ind w:left="120" w:right="40" w:firstLine="436"/>
        <w:spacing w:after="0" w:line="261" w:lineRule="auto"/>
        <w:tabs>
          <w:tab w:leader="none" w:pos="8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shares of common stock or other lock-up securities acquired in this public offering or in open market transactions after the completion of this public offering, provided that no public announcement or filing under Section 16(a) of the Exchange Act, or any other public filing or disclosure, reporting a reduction in beneficial ownership of shares, shall be required or shall be voluntarily made in connection with subsequent sales of common stock or other securities acquired in this public offering or in such open market transactions;</w:t>
      </w:r>
    </w:p>
    <w:p>
      <w:pPr>
        <w:spacing w:after="0" w:line="179" w:lineRule="exact"/>
        <w:rPr>
          <w:rFonts w:ascii="Times New Roman" w:cs="Times New Roman" w:eastAsia="Times New Roman" w:hAnsi="Times New Roman"/>
          <w:sz w:val="18"/>
          <w:szCs w:val="18"/>
          <w:color w:val="auto"/>
        </w:rPr>
      </w:pPr>
    </w:p>
    <w:p>
      <w:pPr>
        <w:ind w:left="120" w:right="40" w:firstLine="436"/>
        <w:spacing w:after="0" w:line="266" w:lineRule="auto"/>
        <w:tabs>
          <w:tab w:leader="none" w:pos="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common stock or any lock-up security (1) as a bona fide gift or charitable contribution in a transaction exempt under Section 16(b) of the Exchange Act, (2) upon death, by will or intestate succession, including to the transferee’s nominee or custodian, or (3) to any trust for the direct or indirect benefit of the lock-up party or any immediate family member;</w:t>
      </w:r>
    </w:p>
    <w:p>
      <w:pPr>
        <w:spacing w:after="0" w:line="175" w:lineRule="exact"/>
        <w:rPr>
          <w:rFonts w:ascii="Times New Roman" w:cs="Times New Roman" w:eastAsia="Times New Roman" w:hAnsi="Times New Roman"/>
          <w:sz w:val="18"/>
          <w:szCs w:val="18"/>
          <w:color w:val="auto"/>
        </w:rPr>
      </w:pPr>
    </w:p>
    <w:p>
      <w:pPr>
        <w:ind w:left="120" w:right="80" w:firstLine="436"/>
        <w:spacing w:after="0" w:line="282" w:lineRule="auto"/>
        <w:tabs>
          <w:tab w:leader="none" w:pos="8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distributions of shares of common stock or any other lock-up securities by a stockholder that is a trust to a trustor or beneficiary of the trust or to the estate of a beneficiary of such trust;</w:t>
      </w:r>
    </w:p>
    <w:p>
      <w:pPr>
        <w:spacing w:after="0" w:line="161" w:lineRule="exact"/>
        <w:rPr>
          <w:rFonts w:ascii="Times New Roman" w:cs="Times New Roman" w:eastAsia="Times New Roman" w:hAnsi="Times New Roman"/>
          <w:sz w:val="18"/>
          <w:szCs w:val="18"/>
          <w:color w:val="auto"/>
        </w:rPr>
      </w:pPr>
    </w:p>
    <w:p>
      <w:pPr>
        <w:ind w:left="120" w:right="20" w:firstLine="436"/>
        <w:spacing w:after="0" w:line="258" w:lineRule="auto"/>
        <w:tabs>
          <w:tab w:leader="none" w:pos="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partnership, limited liability company, trust or other business entity, (1) distributions of shares of common stock or other lock-up securities to limited partners, members, stockholders or similar equity interests in the lock-up party (or in each case its nominee or custodian) or (2) transfers of shares of common stock or other lock-up securities to another corporation, partnership, limited liability company, trust or other business entity (or in each case its nominee or custodian) that is an affiliate of the lock-up party, or to any investment fund or other entity controlled or managed by the lock-up party or affiliates of the lock-up party;</w:t>
      </w:r>
    </w:p>
    <w:p>
      <w:pPr>
        <w:spacing w:after="0" w:line="183" w:lineRule="exact"/>
        <w:rPr>
          <w:rFonts w:ascii="Times New Roman" w:cs="Times New Roman" w:eastAsia="Times New Roman" w:hAnsi="Times New Roman"/>
          <w:sz w:val="18"/>
          <w:szCs w:val="18"/>
          <w:color w:val="auto"/>
        </w:rPr>
      </w:pPr>
    </w:p>
    <w:p>
      <w:pPr>
        <w:ind w:left="120" w:right="220" w:firstLine="436"/>
        <w:spacing w:after="0" w:line="261" w:lineRule="auto"/>
        <w:tabs>
          <w:tab w:leader="none" w:pos="8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other lock-up securities by operation of law pursuant to a qualified domestic order or in connection with a divorce settlement; provided that any filing required by Section 16 of the Exchange Act shall clearly indicate in the footnotes thereto that such transfer is being made pursuant to the circumstances described in this clause (e); provided further that no other public announcement or filing shall be voluntarily made;</w:t>
      </w:r>
    </w:p>
    <w:p>
      <w:pPr>
        <w:spacing w:after="0" w:line="179" w:lineRule="exact"/>
        <w:rPr>
          <w:rFonts w:ascii="Times New Roman" w:cs="Times New Roman" w:eastAsia="Times New Roman" w:hAnsi="Times New Roman"/>
          <w:sz w:val="18"/>
          <w:szCs w:val="18"/>
          <w:color w:val="auto"/>
        </w:rPr>
      </w:pPr>
    </w:p>
    <w:p>
      <w:pPr>
        <w:ind w:left="120" w:firstLine="436"/>
        <w:spacing w:after="0" w:line="254" w:lineRule="auto"/>
        <w:tabs>
          <w:tab w:leader="none" w:pos="7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receipt by the lock-up party from us of shares of common stock upon the exercise, vesting or settlement of options, restricted stock units or other equity awards granted under a stock incentive plan or other equity award plan, (2) the transfer or disposition of shares of common stock or any lock-up securities upon a vesting or settlement event of our restricted stock units or other securities or upon the exercise of any warrant or options to purchase the our securities on a “cashless” or “net exercise” basis to the extent permitted by the instruments (and any transfer to us necessary in respect of such amount needed for the payment of taxes, including estimated taxes and withholding tax and remittance obligations, due as a result of such vesting, settlement or exercise whether by means of a net settlement or otherwise) so long as such vesting, settlement, “cashless” exercise or “net exercise” is effected solely by the surrender of outstanding options (or the common stock issuable upon the exercise thereof) or shares of common stock to us and our cancellation of all or a portion thereof to pay the exercise price and/or</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withholding tax and remittance obligations in connection with the vesting, settlement or exercise of the restricted stock unit, option or other equity award, or (3) the transfer or disposition of shares of common stock or any lock-up securities in connection with the vesting or settlement of restricted stock units, for the payment of tax withholdings or remittance payments due as a result of the vesting or settlement of such restricted stock units, in all such cases, pursuant to equity awards granted under a stock incentive plan or other equity award plan; provided (i) that the shares received upon vesting, settlement or exercise of the restricted stock unit, option or other equity award are subject to the lock-up agreement, and (ii) that no public announcement or filing shall be voluntarily made during the Restricted Period, and any filing under Section 16 of the Exchange Act reporting a reduction in beneficial ownership of common stock that is required to be made during the Restricted Period shall include a statement to the effect that such transaction reflects the circumstances described in (1), (2) or (3), as the case may be;</w:t>
      </w:r>
    </w:p>
    <w:p>
      <w:pPr>
        <w:spacing w:after="0" w:line="192" w:lineRule="exact"/>
        <w:rPr>
          <w:sz w:val="20"/>
          <w:szCs w:val="20"/>
          <w:color w:val="auto"/>
        </w:rPr>
      </w:pPr>
    </w:p>
    <w:p>
      <w:pPr>
        <w:ind w:left="120" w:right="20" w:firstLine="436"/>
        <w:spacing w:after="0" w:line="256" w:lineRule="auto"/>
        <w:tabs>
          <w:tab w:leader="none" w:pos="81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any lock-up security to us pursuant to any contractual arrangement in effect on the date of this agreement and disclosed to the underwriters in writing that provides for repurchase by us of the lock-up party’s common stock or other lock-up securities pursuant to a repurchase right arising in connection with the termination of the lock-up party’s employment with or service to us; provided that any filing under Section 16 of the Exchange Act reporting a reduction in beneficial ownership of common stock shall indicate by footnote disclosure or otherwise the nature of the transfer or disposition pursuant to circumstances described in this clause; provided further that no other public announcement or filing shall be required or shall be voluntarily made during the Restricted Period;</w:t>
      </w:r>
    </w:p>
    <w:p>
      <w:pPr>
        <w:spacing w:after="0" w:line="187" w:lineRule="exact"/>
        <w:rPr>
          <w:rFonts w:ascii="Times New Roman" w:cs="Times New Roman" w:eastAsia="Times New Roman" w:hAnsi="Times New Roman"/>
          <w:sz w:val="18"/>
          <w:szCs w:val="18"/>
          <w:color w:val="auto"/>
        </w:rPr>
      </w:pPr>
    </w:p>
    <w:p>
      <w:pPr>
        <w:ind w:left="120" w:right="20" w:firstLine="436"/>
        <w:spacing w:after="0" w:line="261" w:lineRule="auto"/>
        <w:tabs>
          <w:tab w:leader="none" w:pos="81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other lock-up securities pursuant to a bona fide third-party tender offer, merger, consolidation or other similar transaction involving a change of control of us which occurs after the consummation of this public offering, is open to all holders of our common stock and that is approved by our board of directors; provided that in the event that such tender offer, merger, consolidation or other such transaction is not completed, the lock-up securities held by the lock-up party shall remain subject to the provisions of the lock-up agreement;</w:t>
      </w:r>
    </w:p>
    <w:p>
      <w:pPr>
        <w:spacing w:after="0" w:line="179" w:lineRule="exact"/>
        <w:rPr>
          <w:rFonts w:ascii="Times New Roman" w:cs="Times New Roman" w:eastAsia="Times New Roman" w:hAnsi="Times New Roman"/>
          <w:sz w:val="18"/>
          <w:szCs w:val="18"/>
          <w:color w:val="auto"/>
        </w:rPr>
      </w:pPr>
    </w:p>
    <w:p>
      <w:pPr>
        <w:ind w:left="120" w:right="400" w:firstLine="436"/>
        <w:spacing w:after="0" w:line="276" w:lineRule="auto"/>
        <w:tabs>
          <w:tab w:leader="none" w:pos="775"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facilitating the establishment of a trading plan pursuant to Rule 10b5-1 under the Exchange Act for the transfer of shares of common stock (a 10b5-1 Trading Plan), provided that (1) such plan does not provide for the transfer of common stock during the Restricted Period,</w:t>
      </w:r>
    </w:p>
    <w:p>
      <w:pPr>
        <w:jc w:val="both"/>
        <w:ind w:left="120" w:hanging="4"/>
        <w:spacing w:after="0" w:line="253" w:lineRule="auto"/>
        <w:tabs>
          <w:tab w:leader="none" w:pos="3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public announcement, report, or filing under the Exchange Act, or any public filing, report or announcement, shall be voluntarily made regarding the establishment or amendment of such plan during the Restricted Period and (3) to the extent a public announcement or filing under the Exchange Act, if any, is required of the undersigned or the Company regarding the establishment of such plan during the Restricted Period, such announcement or filing shall include a statement to the effect that no transfer of common stock may be made under such plan during the Restricted Period;</w:t>
      </w:r>
    </w:p>
    <w:p>
      <w:pPr>
        <w:spacing w:after="0" w:line="188" w:lineRule="exact"/>
        <w:rPr>
          <w:rFonts w:ascii="Times New Roman" w:cs="Times New Roman" w:eastAsia="Times New Roman" w:hAnsi="Times New Roman"/>
          <w:sz w:val="18"/>
          <w:szCs w:val="18"/>
          <w:color w:val="auto"/>
        </w:rPr>
      </w:pPr>
    </w:p>
    <w:p>
      <w:pPr>
        <w:jc w:val="both"/>
        <w:ind w:left="120" w:right="280" w:firstLine="436"/>
        <w:spacing w:after="0" w:line="261" w:lineRule="auto"/>
        <w:tabs>
          <w:tab w:leader="none" w:pos="77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shares of common stock pursuant to a 10b5-1 Trading Plan, provided that such plan was established prior to the execution of the lock-up agreement by the lock-up party, provided further that any filing under Section 16(a) of the Exchange Act that is made in connection with any such sales during the Restricted Period shall state that such sales have been executed under a 10b5-1 Trading Plan and shall also state the date such 10b5-1 Trading Plan was adopted;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Certain of the exceptions described above are subject to a requirement that the donee, trustee, transferee or distributee enter into</w:t>
      </w:r>
    </w:p>
    <w:p>
      <w:pPr>
        <w:spacing w:after="0" w:line="27" w:lineRule="exact"/>
        <w:rPr>
          <w:sz w:val="20"/>
          <w:szCs w:val="20"/>
          <w:color w:val="auto"/>
        </w:rPr>
      </w:pPr>
    </w:p>
    <w:p>
      <w:pPr>
        <w:ind w:left="120" w:right="60"/>
        <w:spacing w:after="0" w:line="260" w:lineRule="auto"/>
        <w:rPr>
          <w:sz w:val="20"/>
          <w:szCs w:val="20"/>
          <w:color w:val="auto"/>
        </w:rPr>
      </w:pPr>
      <w:r>
        <w:rPr>
          <w:rFonts w:ascii="Times New Roman" w:cs="Times New Roman" w:eastAsia="Times New Roman" w:hAnsi="Times New Roman"/>
          <w:sz w:val="18"/>
          <w:szCs w:val="18"/>
          <w:color w:val="auto"/>
        </w:rPr>
        <w:t>a lock-up agreement with the underwriters containing similar restrictions. Certain of the exceptions described above are subject to a requirement that the transfer or distribution does not involve a disposition for value.</w:t>
      </w:r>
    </w:p>
    <w:p>
      <w:pPr>
        <w:spacing w:after="0" w:line="18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lock-up provisions apply to common stock and to securities convertible into or exchangeable or exercisable for common stock. Such provisions also apply to common stock owned at the date of the lock-up agreement or acquired later by the lock-up party or for which such party later acquires the power of disposition.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Global Select Market 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“TNYA.”</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Stabilizing transactions permit bids to purchase shares of common stock so long as the stabilizing bids do not exceed a specified maximum and are engaged in for the purpose of preventing or retarding a decline in the market price of the common stock while the offering is in progress. Syndicate covering transactions involve purchases of common stock in the open market after the distribution has been completed in order to cover syndicate short positions. If the underwriters sell more shares in excess of the number of shares the underwriters are obligated to purchase and, therefore, have a naked short position, the position can be closed out only by buying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 Stabilizing transactions consist of various bids for or purchases of shares of common stock made by the underwriters in the open market prior to the closing of this offering.</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Select Market, in the over-the-counter market or otherwise.</w:t>
      </w:r>
    </w:p>
    <w:p>
      <w:pPr>
        <w:spacing w:after="0" w:line="180"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this offering, certain of the underwriters or securities dealers may distribute prospectuses by electronic means, such as e-mail.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7"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Leerink Partners LLC is the sales agent for us under our ATM Program. Under our ATM Program, we may offer and sell, from time to time, shares of our common stock through Leerink Partners LLC through an “at-the-market offering,” as defined in Rule 415(a)(4) promulgated under the Securities Act.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supplement and the accompanying prospectus in any jurisdiction where action for that purpose is required. The securities offered by this prospectus supplement and the accompanying prospectus may not be offered or sold, directly or indirectly, nor may this prospectus supplement, the accompanying prospectus or any other offering material or advertisements in connection with the offer and sale of any such securities, or any documents incorporated by reference herein, be distributed or published in any jurisdiction, except under circumstances that will result in compliance with the applicable rules and regulations of that jurisdiction. Persons into whose possession this prospectus supplement or the accompanying prospectus comes are advised to inform themselves about and to observe any restrictions relating to the offering and the distribution of this prospectus supplement and the accompanying prospectus. This prospectus supplement and the accompanying prospectus, including any documents incorporated by reference herein, do not constitute an offer to sell or a solicitation of an offer to buy any securities offered by this prospectus supplement and the accompanying prospectus in any jurisdiction in which such an offer or a solicitation is unlawful.</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22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offers of securities may be made to the public in that Relevant State at any time under the following exemptions under the Prospectus Regulation:</w:t>
      </w:r>
    </w:p>
    <w:p>
      <w:pPr>
        <w:spacing w:after="0" w:line="89" w:lineRule="exact"/>
        <w:rPr>
          <w:sz w:val="20"/>
          <w:szCs w:val="20"/>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underwriter;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provided that no such offer of securities shall require us or any underwriter to publish a prospectus pursuant to Article 3 of the Prospectus Regulation or supplement a prospectus pursuant to Article 23 of the Prospectus Regulation and each person who initially acquires any securities or to whom any offer is made will be deemed to have represented, acknowledged and agreed to and with the underwriter and the Company that it is a “qualified investor” within the meaning of Article 2(e) of the Prospectus Regulation. In the case of any securities being offered to a financial intermediary as that term is used in the Prospectus Regulation, each such financial intermediary will be deemed to have represented, acknowledged and agreed that the securities acquired by it in the offer have not been acquired on a non-discretionary basis on behalf of, nor have they been acquired with a</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view to their offer or resale to, persons in circumstances which may give rise to an offer of any securities to the public other than their offer or resale in a Relevant State to qualified investors as so defined or in circumstances in which the prior consent of the underwriter has been obtained to each such proposed offer or resale.</w:t>
      </w:r>
    </w:p>
    <w:p>
      <w:pPr>
        <w:spacing w:after="0" w:line="176"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229" w:lineRule="exact"/>
        <w:rPr>
          <w:sz w:val="20"/>
          <w:szCs w:val="20"/>
          <w:color w:val="auto"/>
        </w:rPr>
      </w:pPr>
    </w:p>
    <w:p>
      <w:pPr>
        <w:jc w:val="both"/>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In relation to the United Kingdom, no securities have been offered or will be offered pursuant to the offering to the public in the United Kingdom prior to the publication of a prospectus in relation to the securities that either have been approved by the Financial Conduct Authority or is to be treated as if it had been approved by the Financial Conduct Authority in accordance with the transitional provisions in Article 74 (transitional provisions) of the Prospectus Amendment etc (EU Exit) Regulations 2019/1234, except that the securities may be offered to the public in the United Kingdom at any time:</w:t>
      </w:r>
    </w:p>
    <w:p>
      <w:pPr>
        <w:spacing w:after="0" w:line="164" w:lineRule="exact"/>
        <w:rPr>
          <w:sz w:val="20"/>
          <w:szCs w:val="20"/>
          <w:color w:val="auto"/>
        </w:rPr>
      </w:pPr>
    </w:p>
    <w:p>
      <w:pPr>
        <w:ind w:left="800" w:hanging="244"/>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225" w:lineRule="exact"/>
        <w:rPr>
          <w:rFonts w:ascii="Times New Roman" w:cs="Times New Roman" w:eastAsia="Times New Roman" w:hAnsi="Times New Roman"/>
          <w:sz w:val="18"/>
          <w:szCs w:val="18"/>
          <w:color w:val="auto"/>
        </w:rPr>
      </w:pPr>
    </w:p>
    <w:p>
      <w:pPr>
        <w:ind w:left="120" w:right="120" w:firstLine="436"/>
        <w:spacing w:after="0" w:line="282"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underwriter for any such offer; or</w:t>
      </w:r>
    </w:p>
    <w:p>
      <w:pPr>
        <w:spacing w:after="0" w:line="161"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(the FSMA),</w:t>
      </w:r>
    </w:p>
    <w:p>
      <w:pPr>
        <w:spacing w:after="0" w:line="225" w:lineRule="exact"/>
        <w:rPr>
          <w:sz w:val="20"/>
          <w:szCs w:val="20"/>
          <w:color w:val="auto"/>
        </w:rPr>
      </w:pPr>
    </w:p>
    <w:p>
      <w:pPr>
        <w:jc w:val="both"/>
        <w:ind w:left="120" w:right="360" w:firstLine="440"/>
        <w:spacing w:after="0" w:line="256" w:lineRule="auto"/>
        <w:rPr>
          <w:sz w:val="20"/>
          <w:szCs w:val="20"/>
          <w:color w:val="auto"/>
        </w:rPr>
      </w:pPr>
      <w:r>
        <w:rPr>
          <w:rFonts w:ascii="Times New Roman" w:cs="Times New Roman" w:eastAsia="Times New Roman" w:hAnsi="Times New Roman"/>
          <w:sz w:val="18"/>
          <w:szCs w:val="18"/>
          <w:color w:val="auto"/>
        </w:rPr>
        <w:t>provided that no such offer of the securities shall require us or any underwriter to publish a prospectus pursuant to Section 85 of the FSMA or supplement a prospectus pursuant to Article 23 of the UK Prospectus Regulation. 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FSMA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w:t>
      </w:r>
    </w:p>
    <w:p>
      <w:pPr>
        <w:spacing w:after="0" w:line="187"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22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securities may be sold in Canada only to purchasers purchasing, or deemed to be purchasing, as principal that are accredited investors, as defined in National Instrument 45-106 Prospectus Exemptions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 is not required to comply with the disclosure requirements of NI 33-105 regarding underwriter conflicts of interest in connection with this offering.</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229"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does not constitute an offer to the public or a solicitation to purchase or invest in any securities. No securities have been offered or will be offered to the public in Switzerland, except that offers of securities may be made to the public in Switzerland at any time under the following exemptions under the Swiss Financial Services Act (FinSA):</w:t>
      </w:r>
    </w:p>
    <w:p>
      <w:pPr>
        <w:spacing w:after="0" w:line="176" w:lineRule="exact"/>
        <w:rPr>
          <w:sz w:val="20"/>
          <w:szCs w:val="20"/>
          <w:color w:val="auto"/>
        </w:rPr>
      </w:pPr>
    </w:p>
    <w:p>
      <w:pPr>
        <w:ind w:left="800" w:hanging="244"/>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which is a professional client as defined under the FinSA;</w:t>
      </w:r>
    </w:p>
    <w:p>
      <w:pPr>
        <w:spacing w:after="0" w:line="225" w:lineRule="exact"/>
        <w:rPr>
          <w:rFonts w:ascii="Times New Roman" w:cs="Times New Roman" w:eastAsia="Times New Roman" w:hAnsi="Times New Roman"/>
          <w:sz w:val="18"/>
          <w:szCs w:val="18"/>
          <w:color w:val="auto"/>
        </w:rPr>
      </w:pPr>
    </w:p>
    <w:p>
      <w:pPr>
        <w:ind w:left="120" w:firstLine="436"/>
        <w:spacing w:after="0" w:line="282" w:lineRule="auto"/>
        <w:tabs>
          <w:tab w:leader="none" w:pos="8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500 persons (other than professional clients as defined under the FinSA), subject to obtaining the prior consent of the underwriter for any such offer; or</w:t>
      </w:r>
    </w:p>
    <w:p>
      <w:pPr>
        <w:spacing w:after="0" w:line="161"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36 FinSA in connection with Article 44 of the Swiss Financial Services Ordinance,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provided that no such offer of securities shall require the Company or any investment bank to publish a prospectus pursuant to Article 35 FinSA.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securities have not been and will not be listed or admitted to trading on a trading venue in Switzerland.</w:t>
      </w:r>
    </w:p>
    <w:p>
      <w:pPr>
        <w:spacing w:after="0" w:line="225"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securities constitutes a prospectus as such term is understood pursuant to the FinSA and neither this document nor any other offering or marketing material relating to the securities may be publicly distributed or otherwise made publicly available in Switzerland.</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Centre</w:t>
      </w:r>
    </w:p>
    <w:p>
      <w:pPr>
        <w:spacing w:after="0" w:line="22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document relates to an Exempt Offer in accordance with the Markets Law, DIFC Law No. 1 of 2012, as amended. This document is intended for distribution only to persons of a type specified in the Markets Law, DIFC Law No. 1 of 2012, as amended. It must not be delivered to, or relied on by, any other person. The Dubai Financial Services Authority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Australia</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supplement:</w:t>
      </w:r>
    </w:p>
    <w:p>
      <w:pPr>
        <w:spacing w:after="0" w:line="131"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a disclosure document or a prospectus under Chapter 6D.2 of the Corporations Act 2001 (Cth) (the Corporations Act);</w:t>
      </w:r>
    </w:p>
    <w:p>
      <w:pPr>
        <w:spacing w:after="0" w:line="130"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81"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62" w:lineRule="exact"/>
        <w:rPr>
          <w:sz w:val="20"/>
          <w:szCs w:val="20"/>
          <w:color w:val="auto"/>
        </w:rPr>
      </w:pPr>
    </w:p>
    <w:p>
      <w:pPr>
        <w:ind w:left="120" w:right="340" w:firstLine="440"/>
        <w:spacing w:after="0" w:line="258" w:lineRule="auto"/>
        <w:rPr>
          <w:sz w:val="20"/>
          <w:szCs w:val="20"/>
          <w:color w:val="auto"/>
        </w:rPr>
      </w:pPr>
      <w:r>
        <w:rPr>
          <w:rFonts w:ascii="Times New Roman" w:cs="Times New Roman" w:eastAsia="Times New Roman" w:hAnsi="Times New Roman"/>
          <w:sz w:val="18"/>
          <w:szCs w:val="18"/>
          <w:color w:val="auto"/>
        </w:rPr>
        <w:t>The securities may not be directly or indirectly offered for subscription or purchased or sold, and no invitations to subscribe for or buy the securities may be issued, and no draft or definitive offering memorandum, advertisement or other offering material relating to any securities may be distributed in Australia, except where disclosure to investors is not required under Chapter 6D of the Corporations Act or is otherwise in compliance with all applicable Australian laws and regulations. By submitting an application for the securities, you represent and warrant to us that you are an Exempt Investor.</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any offer of securities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securities, you undertake to us that you will not, for a period of 12 months from the date of sale of the securities,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securities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SFO and any rules made thereunder.</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229"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The securities have not been and will not be registered pursuant to Article 4, Paragraph 1 of the Financial Instruments and Exchange Act. Accordingly, none of the securities nor any interest therein may be offered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140"/>
          </w:cols>
          <w:pgMar w:left="320" w:top="455"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the securities have not been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securities,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200" w:lineRule="exact"/>
        <w:rPr>
          <w:sz w:val="20"/>
          <w:szCs w:val="20"/>
          <w:color w:val="auto"/>
        </w:rPr>
      </w:pPr>
    </w:p>
    <w:p>
      <w:pPr>
        <w:spacing w:after="0" w:line="2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w:t>
      </w:r>
    </w:p>
    <w:p>
      <w:pPr>
        <w:spacing w:after="0" w:line="131" w:lineRule="exact"/>
        <w:rPr>
          <w:sz w:val="20"/>
          <w:szCs w:val="20"/>
          <w:color w:val="auto"/>
        </w:rPr>
      </w:pPr>
    </w:p>
    <w:p>
      <w:pPr>
        <w:ind w:left="1080" w:right="100" w:hanging="532"/>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81" w:lineRule="exact"/>
        <w:rPr>
          <w:sz w:val="20"/>
          <w:szCs w:val="20"/>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of the SFA;</w:t>
      </w:r>
    </w:p>
    <w:p>
      <w:pPr>
        <w:spacing w:after="0" w:line="11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080" w:right="600" w:hanging="532"/>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of 2005 of Singapore (Regulation 32).</w:t>
      </w:r>
    </w:p>
    <w:p>
      <w:pPr>
        <w:spacing w:after="0" w:line="16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Singapore SFA </w:t>
      </w:r>
      <w:r>
        <w:rPr>
          <w:rFonts w:ascii="Times New Roman" w:cs="Times New Roman" w:eastAsia="Times New Roman" w:hAnsi="Times New Roman"/>
          <w:sz w:val="18"/>
          <w:szCs w:val="18"/>
          <w:i w:val="1"/>
          <w:iCs w:val="1"/>
          <w:color w:val="auto"/>
        </w:rPr>
        <w:t>product classification</w:t>
      </w:r>
      <w:r>
        <w:rPr>
          <w:rFonts w:ascii="Times New Roman" w:cs="Times New Roman" w:eastAsia="Times New Roman" w:hAnsi="Times New Roman"/>
          <w:sz w:val="18"/>
          <w:szCs w:val="18"/>
          <w:color w:val="auto"/>
        </w:rPr>
        <w:t>. In connection with Section 309B of the SFA and the CMP Regulations 2018, unless otherwise specified before an offer of securities, we have determined, and hereby notify all relevant persons (as defined in Section 309A(1) of the SFA), that the securities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securities offered in this prospectus supplement will be passed upon for us by Wilson Sonsini Goodrich &amp; Rosati, Professional Corporation, Palo Alto, California. Davis Polk &amp; Wardwell LLP, Redwood City, California, is acting as counsel for the underwriters.</w:t>
      </w:r>
    </w:p>
    <w:p>
      <w:pPr>
        <w:spacing w:after="0" w:line="37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Tenaya Therapeutics, Inc. as of December 31, 2024 and 2023, and for each of the two years in the period ended December 31, 2024, incorporated by reference in this prospectus supplement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1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Because we are subject to the information and reporting requirements of the Exchange Act, we file annual, quarterly and current reports, proxy statements and other information with the SEC. Our SEC filings are available to the public over the Internet at the SEC’s website at www.sec.gov.</w:t>
      </w:r>
    </w:p>
    <w:p>
      <w:pPr>
        <w:spacing w:after="0" w:line="140"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that we filed with the SEC and do not contain all of the information in the registration statement. The full registration statement may be obtained from the SEC or us, as provided below. You may inspect a copy of the registration statement through the SEC’s website, as provided above.</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1040"/>
          </w:cols>
          <w:pgMar w:left="320" w:top="455" w:right="5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supplement is considered to be part of this prospectus supplement. Because we are incorporating by reference future filings with the SEC, this prospectus supplement is continually updated and those future filings may modify or supersede some of the information included or incorporated by reference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supplement forms a part is terminated or completed:</w:t>
      </w:r>
    </w:p>
    <w:p>
      <w:pPr>
        <w:spacing w:after="0" w:line="82"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10, 2025;</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68">
        <w:r>
          <w:rPr>
            <w:rFonts w:ascii="Times New Roman" w:cs="Times New Roman" w:eastAsia="Times New Roman" w:hAnsi="Times New Roman"/>
            <w:sz w:val="18"/>
            <w:szCs w:val="18"/>
            <w:u w:val="single" w:color="auto"/>
            <w:color w:val="0000EE"/>
          </w:rPr>
          <w:t>March 31, 2025</w:t>
        </w:r>
      </w:hyperlink>
      <w:r>
        <w:rPr>
          <w:rFonts w:ascii="Times New Roman" w:cs="Times New Roman" w:eastAsia="Times New Roman" w:hAnsi="Times New Roman"/>
          <w:sz w:val="18"/>
          <w:szCs w:val="18"/>
          <w:color w:val="auto"/>
        </w:rPr>
        <w:t xml:space="preserve">, </w:t>
      </w:r>
      <w:hyperlink r:id="rId69">
        <w:r>
          <w:rPr>
            <w:rFonts w:ascii="Times New Roman" w:cs="Times New Roman" w:eastAsia="Times New Roman" w:hAnsi="Times New Roman"/>
            <w:sz w:val="18"/>
            <w:szCs w:val="18"/>
            <w:u w:val="single" w:color="auto"/>
            <w:color w:val="0000EE"/>
          </w:rPr>
          <w:t>June 30, 2025</w:t>
        </w:r>
      </w:hyperlink>
      <w:r>
        <w:rPr>
          <w:rFonts w:ascii="Times New Roman" w:cs="Times New Roman" w:eastAsia="Times New Roman" w:hAnsi="Times New Roman"/>
          <w:sz w:val="18"/>
          <w:szCs w:val="18"/>
          <w:color w:val="auto"/>
        </w:rPr>
        <w:t xml:space="preserve">, and </w:t>
      </w:r>
      <w:hyperlink r:id="rId70">
        <w:r>
          <w:rPr>
            <w:rFonts w:ascii="Times New Roman" w:cs="Times New Roman" w:eastAsia="Times New Roman" w:hAnsi="Times New Roman"/>
            <w:sz w:val="18"/>
            <w:szCs w:val="18"/>
            <w:u w:val="single" w:color="auto"/>
            <w:color w:val="0000EE"/>
          </w:rPr>
          <w:t>September 30, 2025</w:t>
        </w:r>
      </w:hyperlink>
      <w:r>
        <w:rPr>
          <w:rFonts w:ascii="Times New Roman" w:cs="Times New Roman" w:eastAsia="Times New Roman" w:hAnsi="Times New Roman"/>
          <w:sz w:val="18"/>
          <w:szCs w:val="18"/>
          <w:color w:val="auto"/>
        </w:rPr>
        <w:t>, filed with the SEC on May 7, 2025, August 6, 2025 and November 10, 2025, respectively;</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71">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Schedule 14A (other than information furnished rather than filed) that are incorporated by reference into our Annual Report on Form 10-K, filed with the SEC on April 17, 2025;</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7"/>
        </w:numPr>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auto"/>
          </w:rPr>
          <w:t xml:space="preserve">our Current Reports on Form 8-K filed on </w:t>
        </w:r>
        <w:r>
          <w:rPr>
            <w:rFonts w:ascii="Times New Roman" w:cs="Times New Roman" w:eastAsia="Times New Roman" w:hAnsi="Times New Roman"/>
            <w:sz w:val="18"/>
            <w:szCs w:val="18"/>
            <w:u w:val="single" w:color="auto"/>
            <w:color w:val="0000EE"/>
          </w:rPr>
          <w:t>January 28,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4,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28,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18,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w:t>
        </w:r>
      </w:hyperlink>
      <w:r>
        <w:rPr>
          <w:rFonts w:ascii="Times New Roman" w:cs="Times New Roman" w:eastAsia="Times New Roman" w:hAnsi="Times New Roman"/>
          <w:sz w:val="18"/>
          <w:szCs w:val="18"/>
          <w:color w:val="auto"/>
        </w:rPr>
        <w:t xml:space="preserve"> </w:t>
      </w:r>
      <w:hyperlink r:id="rId72">
        <w:r>
          <w:rPr>
            <w:rFonts w:ascii="Times New Roman" w:cs="Times New Roman" w:eastAsia="Times New Roman" w:hAnsi="Times New Roman"/>
            <w:sz w:val="18"/>
            <w:szCs w:val="18"/>
            <w:u w:val="single" w:color="auto"/>
            <w:color w:val="0000EE"/>
          </w:rPr>
          <w:t>30, 2025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3">
        <w:r>
          <w:rPr>
            <w:rFonts w:ascii="Times New Roman" w:cs="Times New Roman" w:eastAsia="Times New Roman" w:hAnsi="Times New Roman"/>
            <w:sz w:val="18"/>
            <w:szCs w:val="18"/>
            <w:u w:val="single" w:color="auto"/>
            <w:color w:val="0000EE"/>
          </w:rPr>
          <w:t>November 7, 2025</w:t>
        </w:r>
      </w:hyperlink>
      <w:hyperlink r:id="rId72">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74">
        <w:r>
          <w:rPr>
            <w:rFonts w:ascii="Times New Roman" w:cs="Times New Roman" w:eastAsia="Times New Roman" w:hAnsi="Times New Roman"/>
            <w:sz w:val="18"/>
            <w:szCs w:val="18"/>
            <w:u w:val="single" w:color="auto"/>
            <w:color w:val="0000EE"/>
          </w:rPr>
          <w:t>December 11, 2025</w:t>
        </w:r>
      </w:hyperlink>
      <w:hyperlink r:id="rId72">
        <w:r>
          <w:rPr>
            <w:rFonts w:ascii="Times New Roman" w:cs="Times New Roman" w:eastAsia="Times New Roman" w:hAnsi="Times New Roman"/>
            <w:sz w:val="18"/>
            <w:szCs w:val="18"/>
            <w:color w:val="000000"/>
          </w:rPr>
          <w:t>; and</w:t>
        </w:r>
      </w:hyperlink>
    </w:p>
    <w:p>
      <w:pPr>
        <w:spacing w:after="0" w:line="67" w:lineRule="exact"/>
        <w:rPr>
          <w:rFonts w:ascii="Times New Roman" w:cs="Times New Roman" w:eastAsia="Times New Roman" w:hAnsi="Times New Roman"/>
          <w:sz w:val="18"/>
          <w:szCs w:val="18"/>
          <w:color w:val="0000EE"/>
        </w:rPr>
      </w:pPr>
    </w:p>
    <w:p>
      <w:pPr>
        <w:ind w:left="1080" w:right="6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the Registration Statement on </w:t>
      </w:r>
      <w:hyperlink r:id="rId75">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thereto, filed on July 23, 2021, including any amendment or report filed for the purpose of updating such description.</w:t>
      </w:r>
    </w:p>
    <w:p>
      <w:pPr>
        <w:spacing w:after="0" w:line="162" w:lineRule="exact"/>
        <w:rPr>
          <w:rFonts w:ascii="Times New Roman" w:cs="Times New Roman" w:eastAsia="Times New Roman" w:hAnsi="Times New Roman"/>
          <w:sz w:val="18"/>
          <w:szCs w:val="18"/>
          <w:color w:val="0000EE"/>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will furnish without charge to each person to whom this prospectus supplement is delivered, upon written or oral request, a copy of any or all of the documents incorporated by reference, including exhibits to these documents. You can request a copy of these filings by writing or telephoning us at the following address or telephone number:</w:t>
      </w:r>
    </w:p>
    <w:p>
      <w:pPr>
        <w:spacing w:after="0" w:line="176"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171 Oyster Point Boulevard, Suite 500</w:t>
      </w:r>
    </w:p>
    <w:p>
      <w:pPr>
        <w:spacing w:after="0" w:line="9"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(650) 825-6990</w:t>
      </w:r>
    </w:p>
    <w:p>
      <w:pPr>
        <w:spacing w:after="0" w:line="207" w:lineRule="exact"/>
        <w:rPr>
          <w:rFonts w:ascii="Times New Roman" w:cs="Times New Roman" w:eastAsia="Times New Roman" w:hAnsi="Times New Roman"/>
          <w:sz w:val="18"/>
          <w:szCs w:val="18"/>
          <w:color w:val="0000EE"/>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information accessible through any website referred to in this prospectus supplement or any document incorporated therein is not, and should not be deemed to be, a part of this prospectus supplement.</w:t>
      </w:r>
    </w:p>
    <w:p>
      <w:pPr>
        <w:spacing w:after="0" w:line="94"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S-44</w:t>
      </w:r>
    </w:p>
    <w:p>
      <w:pPr>
        <w:sectPr>
          <w:pgSz w:w="11900" w:h="16838" w:orient="portrait"/>
          <w:cols w:equalWidth="0" w:num="1">
            <w:col w:w="11080"/>
          </w:cols>
          <w:pgMar w:left="320" w:top="455"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97155</wp:posOffset>
            </wp:positionV>
            <wp:extent cx="1268730" cy="4629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126873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Tenaya Therapeutics,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$300,000,000</w:t>
      </w:r>
    </w:p>
    <w:p>
      <w:pPr>
        <w:spacing w:after="0" w:line="2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Purchase Contracts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 The aggregate offering price of the securities we sell pursuant to this prospectus will not exceed $300,000,000.</w:t>
      </w:r>
    </w:p>
    <w:p>
      <w:pPr>
        <w:spacing w:after="0" w:line="168"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“TNYA.” Each prospectus supplement will indicate whether the securities offered thereby will be listed on any securities exchange.</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as defined under the federal securities laws, and, as such, may elect to comply with certain reduced public company reporting requirements for this and future filings. We will provide information in any applicable prospectus supplement regarding any listing of securities other than shares of our common stock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both"/>
        <w:ind w:left="120" w:right="10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Please carefully read the information under the headings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6 of this prospectus and “Item 1A – Risk Factors” of our most recent report on Form 10-K or 10-Q that is incorporated by reference in this prospectus before you invest in our securities.</w:t>
      </w:r>
    </w:p>
    <w:p>
      <w:pPr>
        <w:spacing w:after="0" w:line="176"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March 31, 2025.</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60" w:type="dxa"/>
            <w:vAlign w:val="bottom"/>
            <w:gridSpan w:val="2"/>
          </w:tcPr>
          <w:p>
            <w:pPr>
              <w:jc w:val="right"/>
              <w:ind w:right="4419"/>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91"/>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63"/>
        </w:trPr>
        <w:tc>
          <w:tcPr>
            <w:tcW w:w="15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120" w:type="dxa"/>
            <w:vAlign w:val="bottom"/>
            <w:gridSpan w:val="9"/>
          </w:tcPr>
          <w:p>
            <w:pPr>
              <w:spacing w:after="0"/>
              <w:rPr>
                <w:sz w:val="22"/>
                <w:szCs w:val="22"/>
                <w:color w:val="auto"/>
              </w:rPr>
            </w:pPr>
          </w:p>
        </w:tc>
        <w:tc>
          <w:tcPr>
            <w:tcW w:w="696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5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180" w:type="dxa"/>
            <w:vAlign w:val="bottom"/>
            <w:gridSpan w:val="10"/>
          </w:tcPr>
          <w:p>
            <w:pPr>
              <w:spacing w:after="0"/>
              <w:rPr>
                <w:sz w:val="17"/>
                <w:szCs w:val="17"/>
                <w:color w:val="auto"/>
              </w:rPr>
            </w:pP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21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600" w:type="dxa"/>
            <w:vAlign w:val="bottom"/>
            <w:gridSpan w:val="6"/>
          </w:tcPr>
          <w:p>
            <w:pPr>
              <w:spacing w:after="0"/>
              <w:rPr>
                <w:sz w:val="17"/>
                <w:szCs w:val="17"/>
                <w:color w:val="auto"/>
              </w:rPr>
            </w:pP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r>
      <w:tr>
        <w:trPr>
          <w:trHeight w:val="196"/>
        </w:trPr>
        <w:tc>
          <w:tcPr>
            <w:tcW w:w="21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1520" w:type="dxa"/>
            <w:vAlign w:val="bottom"/>
            <w:gridSpan w:val="5"/>
          </w:tcPr>
          <w:p>
            <w:pPr>
              <w:spacing w:after="0"/>
              <w:rPr>
                <w:sz w:val="17"/>
                <w:szCs w:val="17"/>
                <w:color w:val="auto"/>
              </w:rPr>
            </w:pP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23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1320" w:type="dxa"/>
            <w:vAlign w:val="bottom"/>
            <w:gridSpan w:val="4"/>
          </w:tcPr>
          <w:p>
            <w:pPr>
              <w:spacing w:after="0"/>
              <w:rPr>
                <w:sz w:val="17"/>
                <w:szCs w:val="17"/>
                <w:color w:val="auto"/>
              </w:rPr>
            </w:pP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r>
      <w:tr>
        <w:trPr>
          <w:trHeight w:val="196"/>
        </w:trPr>
        <w:tc>
          <w:tcPr>
            <w:tcW w:w="25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Subscription Rights</w:t>
            </w:r>
          </w:p>
        </w:tc>
        <w:tc>
          <w:tcPr>
            <w:tcW w:w="1200" w:type="dxa"/>
            <w:vAlign w:val="bottom"/>
            <w:gridSpan w:val="2"/>
          </w:tcPr>
          <w:p>
            <w:pPr>
              <w:spacing w:after="0"/>
              <w:rPr>
                <w:sz w:val="17"/>
                <w:szCs w:val="17"/>
                <w:color w:val="auto"/>
              </w:rPr>
            </w:pP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24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Purchase Contracts</w:t>
            </w:r>
          </w:p>
        </w:tc>
        <w:tc>
          <w:tcPr>
            <w:tcW w:w="1240" w:type="dxa"/>
            <w:vAlign w:val="bottom"/>
            <w:gridSpan w:val="3"/>
          </w:tcPr>
          <w:p>
            <w:pPr>
              <w:spacing w:after="0"/>
              <w:rPr>
                <w:sz w:val="17"/>
                <w:szCs w:val="17"/>
                <w:color w:val="auto"/>
              </w:rPr>
            </w:pP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240" w:type="dxa"/>
            <w:vAlign w:val="bottom"/>
            <w:gridSpan w:val="11"/>
          </w:tcPr>
          <w:p>
            <w:pPr>
              <w:spacing w:after="0"/>
              <w:rPr>
                <w:sz w:val="17"/>
                <w:szCs w:val="17"/>
                <w:color w:val="auto"/>
              </w:rPr>
            </w:pP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4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280" w:type="dxa"/>
            <w:vAlign w:val="bottom"/>
            <w:gridSpan w:val="12"/>
          </w:tcPr>
          <w:p>
            <w:pPr>
              <w:spacing w:after="0"/>
              <w:rPr>
                <w:sz w:val="17"/>
                <w:szCs w:val="17"/>
                <w:color w:val="auto"/>
              </w:rPr>
            </w:pP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700" w:type="dxa"/>
            <w:vAlign w:val="bottom"/>
            <w:gridSpan w:val="14"/>
          </w:tcPr>
          <w:p>
            <w:pPr>
              <w:spacing w:after="0"/>
              <w:rPr>
                <w:sz w:val="17"/>
                <w:szCs w:val="17"/>
                <w:color w:val="auto"/>
              </w:rPr>
            </w:pP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204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820" w:type="dxa"/>
            <w:vAlign w:val="bottom"/>
            <w:tcBorders>
              <w:top w:val="single" w:sz="8" w:color="0000EE"/>
            </w:tcBorders>
            <w:gridSpan w:val="6"/>
          </w:tcPr>
          <w:p>
            <w:pPr>
              <w:spacing w:after="0"/>
              <w:rPr>
                <w:sz w:val="17"/>
                <w:szCs w:val="17"/>
                <w:color w:val="auto"/>
              </w:rPr>
            </w:pPr>
          </w:p>
        </w:tc>
        <w:tc>
          <w:tcPr>
            <w:tcW w:w="840" w:type="dxa"/>
            <w:vAlign w:val="bottom"/>
          </w:tcPr>
          <w:p>
            <w:pPr>
              <w:spacing w:after="0"/>
              <w:rPr>
                <w:sz w:val="17"/>
                <w:szCs w:val="17"/>
                <w:color w:val="auto"/>
              </w:rPr>
            </w:pP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(SEC) using a “shelf” registration process. Under this shelf registration process, we may from time to time sell any combination of the securities described in this prospectus in one or more offerings for an aggregate offering price of up to $300,000,000.</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that may be offered. Each time we sell securities, we will provide one or more prospectus supplements that will contain specific information about the terms of the offering. The prospectus supplement may also add, update or change information contained in this prospectus. Before you invest in our securities, you should read both this prospectus and any applicable prospectus supplement together with the additional information described in the sections titled “Where You Can Find More Information” and “Incorporation by Reference.”</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36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40"/>
          </w:cols>
          <w:pgMar w:left="320" w:top="455"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706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in the section titled “Risk Factors” and the financial statements and related notes and other information that we incorporate by reference herein, including our Annual Report on Form 10-K and our Quarterly Reports on Form 10-Q. Unless the context indicates otherwise, references in this prospectus to “Tenaya Therapeutics, Inc.,” “we,” “our” and “us” refer, collectively, to Tenaya Therapeutics, Inc., a Delaware corporation.</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120"/>
        <w:spacing w:after="0" w:line="266" w:lineRule="auto"/>
        <w:rPr>
          <w:sz w:val="20"/>
          <w:szCs w:val="20"/>
          <w:color w:val="auto"/>
        </w:rPr>
      </w:pPr>
      <w:r>
        <w:rPr>
          <w:rFonts w:ascii="Times New Roman" w:cs="Times New Roman" w:eastAsia="Times New Roman" w:hAnsi="Times New Roman"/>
          <w:sz w:val="18"/>
          <w:szCs w:val="18"/>
          <w:color w:val="auto"/>
        </w:rPr>
        <w:t>We are a clinical-stage biotechnology company focused on discovering, developing and delivering potentially curative therapies that address the underlying drivers of heart disease. Our vision is to change the treatment paradigm for heart disease, and in doing so improve and extend the lives of millions of patients.</w:t>
      </w:r>
    </w:p>
    <w:p>
      <w:pPr>
        <w:spacing w:after="0" w:line="176" w:lineRule="exact"/>
        <w:rPr>
          <w:sz w:val="20"/>
          <w:szCs w:val="20"/>
          <w:color w:val="auto"/>
        </w:rPr>
      </w:pPr>
    </w:p>
    <w:p>
      <w:pPr>
        <w:ind w:left="300" w:right="180"/>
        <w:spacing w:after="0" w:line="261" w:lineRule="auto"/>
        <w:rPr>
          <w:sz w:val="20"/>
          <w:szCs w:val="20"/>
          <w:color w:val="auto"/>
        </w:rPr>
      </w:pPr>
      <w:r>
        <w:rPr>
          <w:rFonts w:ascii="Times New Roman" w:cs="Times New Roman" w:eastAsia="Times New Roman" w:hAnsi="Times New Roman"/>
          <w:sz w:val="18"/>
          <w:szCs w:val="18"/>
          <w:color w:val="auto"/>
        </w:rPr>
        <w:t>We are advancing a deep and diverse pipeline of disease-modifying targeted therapies that includes both gene therapies and small molecules discovered internally and developed using our extensive core capabilities to address rare or highly prevalent forms of heart disease. All of our programs are currently being assessed in clinical trials or are in the preclinical stage; we do not have any products approved for sale and have not generated any revenue to date.</w:t>
      </w:r>
    </w:p>
    <w:p>
      <w:pPr>
        <w:spacing w:after="0" w:line="178" w:lineRule="exact"/>
        <w:rPr>
          <w:sz w:val="20"/>
          <w:szCs w:val="20"/>
          <w:color w:val="auto"/>
        </w:rPr>
      </w:pPr>
    </w:p>
    <w:p>
      <w:pPr>
        <w:ind w:left="300" w:right="120"/>
        <w:spacing w:after="0" w:line="257" w:lineRule="auto"/>
        <w:rPr>
          <w:sz w:val="20"/>
          <w:szCs w:val="20"/>
          <w:color w:val="auto"/>
        </w:rPr>
      </w:pPr>
      <w:r>
        <w:rPr>
          <w:rFonts w:ascii="Times New Roman" w:cs="Times New Roman" w:eastAsia="Times New Roman" w:hAnsi="Times New Roman"/>
          <w:sz w:val="18"/>
          <w:szCs w:val="18"/>
          <w:color w:val="auto"/>
        </w:rPr>
        <w:t xml:space="preserve">We are primarily focused on advancing our lead investigational product candidates, TN-201, a gene therapy for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hypertrophic cardiomyopathy (HCM) and TN-401, a gene therapy for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arrhythmogenic right ventricular cardiomyopathy (ARVC). Each candidate is currently in clinical testing to establish the safety profile of two different doses in adults with disease due to pathogenic/likely pathogenic mutations. We anticipate that data generated in the next year will inform late-stage development by characterizing each product candidates’ safety and tolerability profile, ability to transduce target heart cells, and produce the lacking protein underlying disease to slow – or even halt – disease progression.</w:t>
      </w:r>
    </w:p>
    <w:p>
      <w:pPr>
        <w:spacing w:after="0" w:line="182" w:lineRule="exact"/>
        <w:rPr>
          <w:sz w:val="20"/>
          <w:szCs w:val="20"/>
          <w:color w:val="auto"/>
        </w:rPr>
      </w:pPr>
    </w:p>
    <w:p>
      <w:pPr>
        <w:ind w:left="300" w:right="220"/>
        <w:spacing w:after="0" w:line="256" w:lineRule="auto"/>
        <w:rPr>
          <w:sz w:val="20"/>
          <w:szCs w:val="20"/>
          <w:color w:val="auto"/>
        </w:rPr>
      </w:pPr>
      <w:r>
        <w:rPr>
          <w:rFonts w:ascii="Times New Roman" w:cs="Times New Roman" w:eastAsia="Times New Roman" w:hAnsi="Times New Roman"/>
          <w:sz w:val="18"/>
          <w:szCs w:val="18"/>
          <w:color w:val="auto"/>
        </w:rPr>
        <w:t xml:space="preserve">TN-201 is our potential first-in-class and best-in-class gene therapy for adults and children with HCM due to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mutations. These mutations result in a deficiency of myosin binding protein (MyBP-C), which in turn can cause the heart walls of affected individuals to become significantly thickened, leading to fibrosis, abnormal heart rhythms, cardiac dysfunction, heart failure and death. HCM is a chronic, progressive condition and those diagnosed with the disease often experience significant impairment in overall quality of life and may be at higher risk for serious complications and co-morbidities. TN-201 utilizes a recombinant adeno-associated virus serotype 9 (AAV9) capsid and is designed to deliver a working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to specific cells of the heart in order to produce cardiac myosin binding protein and thereby potentially slow or even reverse the course of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 following a single infusion.</w:t>
      </w:r>
    </w:p>
    <w:p>
      <w:pPr>
        <w:spacing w:after="0" w:line="185" w:lineRule="exact"/>
        <w:rPr>
          <w:sz w:val="20"/>
          <w:szCs w:val="20"/>
          <w:color w:val="auto"/>
        </w:rPr>
      </w:pPr>
    </w:p>
    <w:p>
      <w:pPr>
        <w:ind w:left="300" w:right="100"/>
        <w:spacing w:after="0" w:line="236" w:lineRule="auto"/>
        <w:rPr>
          <w:sz w:val="20"/>
          <w:szCs w:val="20"/>
          <w:color w:val="auto"/>
        </w:rPr>
      </w:pPr>
      <w:r>
        <w:rPr>
          <w:rFonts w:ascii="Times New Roman" w:cs="Times New Roman" w:eastAsia="Times New Roman" w:hAnsi="Times New Roman"/>
          <w:sz w:val="18"/>
          <w:szCs w:val="18"/>
          <w:color w:val="auto"/>
        </w:rPr>
        <w:t>MyPEAK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-1 is our Phase 1b/2 multi-center, open-label clinical trial, designed to assess the safety, tolerability and efficacy of a one-time intravenous infusion of TN-201. We have completed Cohort 1 dosing at the 3×1013 vg/kg dose in the MyPEAK-1 trial with no unexpected events or toxicities associated with TN-201 observed. Following review of safety data from the first three MyPEAK-1 patients by an independent Data and Safety Monitoring Board (DSMB), the DSMB recommended that we proceed with the planned escalation to the 6×1013 vg/kg dose, per protocol. MyPEAK-1 is now actively enrolling patients in this higher dose cohort at several U.S. clinical sites, and we anticipate completing enrollment of Cohort 2 in the first half of 2025.</w:t>
      </w:r>
    </w:p>
    <w:p>
      <w:pPr>
        <w:spacing w:after="0" w:line="200" w:lineRule="exact"/>
        <w:rPr>
          <w:sz w:val="20"/>
          <w:szCs w:val="20"/>
          <w:color w:val="auto"/>
        </w:rPr>
      </w:pPr>
    </w:p>
    <w:p>
      <w:pPr>
        <w:ind w:left="300" w:right="40"/>
        <w:spacing w:after="0" w:line="282" w:lineRule="auto"/>
        <w:rPr>
          <w:sz w:val="20"/>
          <w:szCs w:val="20"/>
          <w:color w:val="auto"/>
        </w:rPr>
      </w:pPr>
      <w:r>
        <w:rPr>
          <w:rFonts w:ascii="Times New Roman" w:cs="Times New Roman" w:eastAsia="Times New Roman" w:hAnsi="Times New Roman"/>
          <w:sz w:val="18"/>
          <w:szCs w:val="18"/>
          <w:color w:val="auto"/>
        </w:rPr>
        <w:t>In December 2024, we announced initial safety and biopsy data from Cohort 1 of MyPEAK-1. TN-201 administered at the starting dose of 3×1013 vg/kg was generally well-tolerated among the first three patients</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320" w:top="455" w:right="6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enrolled in the clinical trial. Among the first two patients for whom Week 8 biopsy results were available, TN-201 achieved readily detectable vector DNA in the heart and evidence of transgene RNA expression. Serial biopsies at Week 8 and Week 52 for Patient 1 demonstrated increasing TN-201 mRNA and MyBP-C protein levels over time. Circulating biomarkers of cardiac muscle strain and injury remained largely stable, and certain clinical markers of disease showed stability or directional improvement in the first two individuals dosed, while other measures were not yet available, interpretable or were mixed. We plan to present additional follow-up data from Cohort 1 during the first half of 2025 and initial Cohort 2 data, along with an update on Cohort 1 patients, in the second half of 2025.</w:t>
      </w:r>
    </w:p>
    <w:p>
      <w:pPr>
        <w:spacing w:after="0" w:line="187" w:lineRule="exact"/>
        <w:rPr>
          <w:sz w:val="20"/>
          <w:szCs w:val="20"/>
          <w:color w:val="auto"/>
        </w:rPr>
      </w:pPr>
    </w:p>
    <w:p>
      <w:pPr>
        <w:ind w:left="300" w:right="120"/>
        <w:spacing w:after="0" w:line="253" w:lineRule="auto"/>
        <w:rPr>
          <w:sz w:val="20"/>
          <w:szCs w:val="20"/>
          <w:color w:val="auto"/>
        </w:rPr>
      </w:pPr>
      <w:r>
        <w:rPr>
          <w:rFonts w:ascii="Times New Roman" w:cs="Times New Roman" w:eastAsia="Times New Roman" w:hAnsi="Times New Roman"/>
          <w:sz w:val="18"/>
          <w:szCs w:val="18"/>
          <w:color w:val="auto"/>
        </w:rPr>
        <w:t xml:space="preserve">To support our development efforts for TN-201 we are conducting two noninterventional studies: a study evaluating seroprevalence to AAV9 antibodies among adults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HCM, and MyClimb, a prospective and retrospective global natural history study focused on pediatric patients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mutation-associated cardiomyopathy. The seroprevalence study has completed enrollment. Initial data indicated that antibodies to AAV9 in the majority of participants were below the eligibility threshold that would allow for participation in MyPEAK-1. The MyClimb natural history study is following patient medical history to characterize the outcomes, burden of illness, risk factors, quality of life, and biomarkers associated with disease progression in pediatric patients. MyClimb complements existing disease registries focused primarily on adult patient HCM populations and may support and expedite the development of TN-201 in the pediatric patient population. We plan to present data from MyClimb in the second half of 2025. In July 2024, we received rare pediatric disease designation from the FDA for TN-201 in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 TN-201 has also been granted orphan drug designation from the FDA, orphan medicinal product designation from the European Commission (EC) and Fast Track Designation from the FDA.</w:t>
      </w:r>
    </w:p>
    <w:p>
      <w:pPr>
        <w:spacing w:after="0" w:line="192" w:lineRule="exact"/>
        <w:rPr>
          <w:sz w:val="20"/>
          <w:szCs w:val="20"/>
          <w:color w:val="auto"/>
        </w:rPr>
      </w:pPr>
    </w:p>
    <w:p>
      <w:pPr>
        <w:ind w:left="300" w:right="20"/>
        <w:spacing w:after="0" w:line="255" w:lineRule="auto"/>
        <w:rPr>
          <w:sz w:val="20"/>
          <w:szCs w:val="20"/>
          <w:color w:val="auto"/>
        </w:rPr>
      </w:pPr>
      <w:r>
        <w:rPr>
          <w:rFonts w:ascii="Times New Roman" w:cs="Times New Roman" w:eastAsia="Times New Roman" w:hAnsi="Times New Roman"/>
          <w:sz w:val="18"/>
          <w:szCs w:val="18"/>
          <w:color w:val="auto"/>
        </w:rPr>
        <w:t xml:space="preserve">TN-401 is our AAV9-based gene therapy for the treatment of ARVC due to disease-causing variants in the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ARVC, also known as arrhythmogenic cardiomyopathy, or ACM, is a chronic, progressive disease characterized by frequent, severe, and potentially life-threatening ventricular arrhythmias. The disease is associated with adverse heart remodeling, fibrosis, cardiac dysfunction, significant impairment to patients’ overall quality of life, as well as an elevated risk of sudden cardiac death.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mutations are the most common genetic cause of ARVC and result in insufficient expression of a protein needed for proper functioning of the desmosomal complex that maintains physical connections and electrical signaling between heart muscle cells. TN-401 utilizes a recombinant AAV9 capsid and is designed to deliver a working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to specific cells of the heart in order to produce plakophilin protein and thereby potentially slow or even reverse the course of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ARVC following a single infusion.</w:t>
      </w:r>
    </w:p>
    <w:p>
      <w:pPr>
        <w:spacing w:after="0" w:line="187" w:lineRule="exact"/>
        <w:rPr>
          <w:sz w:val="20"/>
          <w:szCs w:val="20"/>
          <w:color w:val="auto"/>
        </w:rPr>
      </w:pPr>
    </w:p>
    <w:p>
      <w:pPr>
        <w:ind w:left="300" w:right="140"/>
        <w:spacing w:after="0" w:line="241" w:lineRule="auto"/>
        <w:rPr>
          <w:sz w:val="20"/>
          <w:szCs w:val="20"/>
          <w:color w:val="auto"/>
        </w:rPr>
      </w:pPr>
      <w:r>
        <w:rPr>
          <w:rFonts w:ascii="Times New Roman" w:cs="Times New Roman" w:eastAsia="Times New Roman" w:hAnsi="Times New Roman"/>
          <w:sz w:val="18"/>
          <w:szCs w:val="18"/>
          <w:color w:val="auto"/>
        </w:rPr>
        <w:t>In November 2024, we dosed the first patient in RIDGE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-1, our Phase 1b multi-center, open-label clinical trial, designed to assess the safety, tolerability and efficacy of a one-time intravenous infusion of TN-401. We have activated multiple clinical trial sites at leading cardiology centers in the U.S. with ARVC expertise and intend to expand enrollment of RIDGE-1 to the United Kingdom. We expect to complete enrollment of the first cohort of patients at the 3×1013vg/kg in the first half of 2025. An independent DSMB will review all available safety data for the first three patients dosed and then inform plans for dose escalation to 6×1013vg/kg, as needed, and/or enrollment of additional patients in the first cohort. Initial clinical data from the first cohort of patients to receive TN-401 is expected in the second half of 2025. In January 2025, we were awarded a Clinical Grant (Clin2) of $8.0 million from the California Institute for Regenerative Medicine (CIRM), a state of California Agency that funds regenerative medicine, stem cell, and gene therapy research. Proceeds from the grant will help fund clinical trial costs for our ongoing Phase 1b RIDGE-1 clinical trial of TN-401 gene therapy.</w:t>
      </w:r>
    </w:p>
    <w:p>
      <w:pPr>
        <w:spacing w:after="0" w:line="197" w:lineRule="exact"/>
        <w:rPr>
          <w:sz w:val="20"/>
          <w:szCs w:val="20"/>
          <w:color w:val="auto"/>
        </w:rPr>
      </w:pPr>
    </w:p>
    <w:p>
      <w:pPr>
        <w:ind w:left="300" w:right="120"/>
        <w:spacing w:after="0" w:line="261" w:lineRule="auto"/>
        <w:rPr>
          <w:sz w:val="20"/>
          <w:szCs w:val="20"/>
          <w:color w:val="auto"/>
        </w:rPr>
      </w:pPr>
      <w:r>
        <w:rPr>
          <w:rFonts w:ascii="Times New Roman" w:cs="Times New Roman" w:eastAsia="Times New Roman" w:hAnsi="Times New Roman"/>
          <w:sz w:val="18"/>
          <w:szCs w:val="18"/>
          <w:color w:val="auto"/>
        </w:rPr>
        <w:t xml:space="preserve">In support of our development efforts for TN-401, we initiated RIDGE, a global noninterventional study to collect natural history and seroprevalence to AAV9 antibodies data among ARVC patients who carry pathogenic or likely pathogenic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mutations. Initial data from RIDGE indicated that antibodies to AAV9 in a majority of participants were below the eligibility threshold that would allow for participation in RIDGE-1. We</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60"/>
        <w:spacing w:after="0" w:line="282" w:lineRule="auto"/>
        <w:rPr>
          <w:sz w:val="20"/>
          <w:szCs w:val="20"/>
          <w:color w:val="auto"/>
        </w:rPr>
      </w:pPr>
      <w:r>
        <w:rPr>
          <w:rFonts w:ascii="Times New Roman" w:cs="Times New Roman" w:eastAsia="Times New Roman" w:hAnsi="Times New Roman"/>
          <w:sz w:val="18"/>
          <w:szCs w:val="18"/>
          <w:color w:val="auto"/>
        </w:rPr>
        <w:t>plan to present additional data from RIDGE in the first half of 2025. TN-401 has received orphan drug designation from the FDA and orphan medicinal product designation from the EC, as well as Fast Track Designation from the FDA.</w:t>
      </w:r>
    </w:p>
    <w:p>
      <w:pPr>
        <w:spacing w:after="0" w:line="162" w:lineRule="exact"/>
        <w:rPr>
          <w:sz w:val="20"/>
          <w:szCs w:val="20"/>
          <w:color w:val="auto"/>
        </w:rPr>
      </w:pPr>
    </w:p>
    <w:p>
      <w:pPr>
        <w:ind w:left="300" w:right="180"/>
        <w:spacing w:after="0" w:line="255" w:lineRule="auto"/>
        <w:rPr>
          <w:sz w:val="20"/>
          <w:szCs w:val="20"/>
          <w:color w:val="auto"/>
        </w:rPr>
      </w:pPr>
      <w:r>
        <w:rPr>
          <w:rFonts w:ascii="Times New Roman" w:cs="Times New Roman" w:eastAsia="Times New Roman" w:hAnsi="Times New Roman"/>
          <w:sz w:val="18"/>
          <w:szCs w:val="18"/>
          <w:color w:val="auto"/>
        </w:rPr>
        <w:t xml:space="preserve">We previously completed a Phase 1 clinical trial of TN-301, a highly selective small molecule inhibitor of histone deacetylase-6 (HDAC6). HDAC6 is a cytoplasmic enzyme known to regulate diverse cellular processes. TN-301’s multi-modal mechanism addresses diverse pathological processes and has shown direct and systemic benefits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of HFpEF. HFpEF is characterized by a stiffening of the heart muscle resulting in an inability for the left ventricle to relax and fill with oxygenated blood sufficient to meet the body’s needs. The pathophysiology of HFpEF is complex and is driven by metabolic dysfunction or oxidative stress and inflammation, with diverse conditions serving as risk factors for disease, including obesity, diabetes, aging, kidney disease and hypertension. Although HFpEF accounts for approximately half of all heart failures, there are few proven treatment options.</w:t>
      </w:r>
    </w:p>
    <w:p>
      <w:pPr>
        <w:spacing w:after="0" w:line="189"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We shared positive data from our Phase 1 clinical trial of TN-301 in healthy participants at the 2023 Heart Failure Society of America Annual Scientific Meeting. TN-301 was generally well tolerated across the broad range of doses studied. Pharmacokinetic results showed overall dose proportionality with a half-life supportive of once-daily dosing. Increasing doses and exposures with TN-301 correlated with increased pharmacodynamic effects. There were no changes in histone acetylation with TN-301 underscoring the selectivity of TN-301 for HDAC6 and potentially reducing the risk of off target effects. In comparative preclinical studies, selective HDAC6 inhibition as a single agent has been shown to have similar efficacy to empagliflozin, a sodium-glucose cotransporter-2 (SGLT2) inhibitor which is approved for the treatment of HFpEF and co-administration of our HDAC6 inhibition with a SGLT2 inhibitor in a HFpEF mouse model demonstrated additive benefit. Taken together, these data support continued development of TN-301 as a potential treatment for patients with HFpEF and other severe diseases – including those outside of cardiology – in which inflammation, fibrosis and metabolic dysregulation may be implicated. We believe late-stage clinical development of TN-301 is best suited for development by or with a well-resourced partner.</w:t>
      </w:r>
    </w:p>
    <w:p>
      <w:pPr>
        <w:spacing w:after="0" w:line="194" w:lineRule="exact"/>
        <w:rPr>
          <w:sz w:val="20"/>
          <w:szCs w:val="20"/>
          <w:color w:val="auto"/>
        </w:rPr>
      </w:pPr>
    </w:p>
    <w:p>
      <w:pPr>
        <w:ind w:left="300" w:right="220"/>
        <w:spacing w:after="0" w:line="282" w:lineRule="auto"/>
        <w:rPr>
          <w:sz w:val="20"/>
          <w:szCs w:val="20"/>
          <w:color w:val="auto"/>
        </w:rPr>
      </w:pPr>
      <w:r>
        <w:rPr>
          <w:rFonts w:ascii="Times New Roman" w:cs="Times New Roman" w:eastAsia="Times New Roman" w:hAnsi="Times New Roman"/>
          <w:sz w:val="18"/>
          <w:szCs w:val="18"/>
          <w:color w:val="auto"/>
        </w:rPr>
        <w:t>In addition to our lead product candidates, we have multiple early-stage programs using various therapeutic approaches, including gene addition, gene editing, gene silencing, and cellular regeneration to address other forms of rare and/or prevalent heart disease.</w:t>
      </w:r>
    </w:p>
    <w:p>
      <w:pPr>
        <w:spacing w:after="0" w:line="162" w:lineRule="exact"/>
        <w:rPr>
          <w:sz w:val="20"/>
          <w:szCs w:val="20"/>
          <w:color w:val="auto"/>
        </w:rPr>
      </w:pPr>
    </w:p>
    <w:p>
      <w:pPr>
        <w:ind w:left="300" w:right="20"/>
        <w:spacing w:after="0" w:line="258" w:lineRule="auto"/>
        <w:rPr>
          <w:sz w:val="20"/>
          <w:szCs w:val="20"/>
          <w:color w:val="auto"/>
        </w:rPr>
      </w:pPr>
      <w:r>
        <w:rPr>
          <w:rFonts w:ascii="Times New Roman" w:cs="Times New Roman" w:eastAsia="Times New Roman" w:hAnsi="Times New Roman"/>
          <w:sz w:val="18"/>
          <w:szCs w:val="18"/>
          <w:color w:val="auto"/>
        </w:rPr>
        <w:t>Early on in our company history, we invested in differentiated capabilities to enable modality agnostic target identification and validation, anchored in human genetics and the use of human disease models. That proprietary expertise has directly informed the design, optimization and production of our pipeline. To support our initial focus on gene therapy candidates, we internalized expertise in capsid engineering, novel promoter constructs and manufacturing anchored on the use of AAVs as the method of delivery to the heart with the aim of increasing the safety and efficacy of our product candidates and accelerating early-stage discovery and preclinical optimization across modalities.</w:t>
      </w:r>
    </w:p>
    <w:p>
      <w:pPr>
        <w:spacing w:after="0" w:line="183" w:lineRule="exact"/>
        <w:rPr>
          <w:sz w:val="20"/>
          <w:szCs w:val="20"/>
          <w:color w:val="auto"/>
        </w:rPr>
      </w:pPr>
    </w:p>
    <w:p>
      <w:pPr>
        <w:ind w:left="300" w:right="80"/>
        <w:spacing w:after="0" w:line="289" w:lineRule="auto"/>
        <w:rPr>
          <w:sz w:val="20"/>
          <w:szCs w:val="20"/>
          <w:color w:val="auto"/>
        </w:rPr>
      </w:pPr>
      <w:r>
        <w:rPr>
          <w:rFonts w:ascii="Times New Roman" w:cs="Times New Roman" w:eastAsia="Times New Roman" w:hAnsi="Times New Roman"/>
          <w:sz w:val="17"/>
          <w:szCs w:val="17"/>
          <w:color w:val="auto"/>
        </w:rPr>
        <w:t>For the production of our lead gene therapy candidates, TN-201 and TN-401, we maintained complete ownership of process development, analytical development, and quality control and have already produced all necessary clinical trial material needed for our ongoing MyPEAK-1 and RIDGE-1 clinical trials at our Good Manufacturing Practice (cGMP)-certified Genetic Medicines Manufacturing Center in Union City, California.</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August 2016. Our principal executive offices are located at 171 Oyster Point Boulevard, Suite 500, South San Francisco, CA 94080. Our telephone number is (650) 825-6990. Our website address is www.tenayatherapeutics.com. Information contained on, or accessible through, our website is not incorporated by reference into this prospectus and should not be considered to be part of this prospectus. The inclusion of our website address in this prospectus is an inactive textual reference only.</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848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make available free of charge on or through our website our Securities and Exchange Commission (SEC) filings, including our annual report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 The SEC maintains a website that contains reports, proxy and information statements and other information regarding our filings at www.sec.gov.</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That May Be Offered</w:t>
      </w:r>
    </w:p>
    <w:p>
      <w:pPr>
        <w:spacing w:after="0" w:line="121"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We may offer or sell common stock, preferred stock, depositary shares, debt securities, warrants, subscription rights, purchase contracts and units in one or more offerings and in any combination. The aggregate offering price of the securities we sell pursuant to this prospectus will not exceed $300,000,000. Each time securities are offered with this prospectus, we will provide a prospectus supplement that will describe the specific amounts, prices and terms of the securities being offered and the net proceeds we expect to receive from that sale.</w:t>
      </w:r>
    </w:p>
    <w:p>
      <w:pPr>
        <w:spacing w:after="0" w:line="180"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The securities may be sold to or through underwriters, dealers or agents or directly to purchasers or as otherwise set forth in the section titled “Plan of Distribution.”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300" w:right="20" w:firstLine="426"/>
        <w:spacing w:after="0" w:line="281" w:lineRule="auto"/>
        <w:rPr>
          <w:sz w:val="20"/>
          <w:szCs w:val="20"/>
          <w:color w:val="auto"/>
        </w:rPr>
      </w:pPr>
      <w:r>
        <w:rPr>
          <w:rFonts w:ascii="Times New Roman" w:cs="Times New Roman" w:eastAsia="Times New Roman" w:hAnsi="Times New Roman"/>
          <w:sz w:val="17"/>
          <w:szCs w:val="17"/>
          <w:color w:val="auto"/>
        </w:rPr>
        <w:t>We may offer shares of our common stock, par value $0.0001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common stock is entitled to one vote per share. The holders of common stock have no preemptive rights.</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300" w:right="100" w:firstLine="426"/>
        <w:spacing w:after="0" w:line="256" w:lineRule="auto"/>
        <w:rPr>
          <w:sz w:val="20"/>
          <w:szCs w:val="20"/>
          <w:color w:val="auto"/>
        </w:rPr>
      </w:pPr>
      <w:r>
        <w:rPr>
          <w:rFonts w:ascii="Times New Roman" w:cs="Times New Roman" w:eastAsia="Times New Roman" w:hAnsi="Times New Roman"/>
          <w:sz w:val="18"/>
          <w:szCs w:val="18"/>
          <w:color w:val="auto"/>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2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Depositary Shares</w:t>
      </w:r>
    </w:p>
    <w:p>
      <w:pPr>
        <w:spacing w:after="0" w:line="121"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We may offer depositary shares evidenced by depositary receipts, with each depositary share representing a fractional interest in a share of a particular series of preferred stock issued and deposited with a depositary to be designated by us. Each series of depositary shares or depositary receipts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320" w:top="455" w:right="6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6932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6998970" cy="46932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Debt Securities</w:t>
      </w:r>
    </w:p>
    <w:p>
      <w:pPr>
        <w:spacing w:after="0" w:line="121" w:lineRule="exact"/>
        <w:rPr>
          <w:sz w:val="20"/>
          <w:szCs w:val="20"/>
          <w:color w:val="auto"/>
        </w:rPr>
      </w:pPr>
    </w:p>
    <w:p>
      <w:pPr>
        <w:ind w:left="300" w:right="200" w:firstLine="426"/>
        <w:spacing w:after="0" w:line="256" w:lineRule="auto"/>
        <w:rPr>
          <w:sz w:val="20"/>
          <w:szCs w:val="20"/>
          <w:color w:val="auto"/>
        </w:rPr>
      </w:pPr>
      <w:r>
        <w:rPr>
          <w:rFonts w:ascii="Times New Roman" w:cs="Times New Roman" w:eastAsia="Times New Roman" w:hAnsi="Times New Roman"/>
          <w:sz w:val="18"/>
          <w:szCs w:val="18"/>
          <w:color w:val="auto"/>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offer debt securities that are convertible into shares of our common stock or other securities.</w:t>
      </w:r>
    </w:p>
    <w:p>
      <w:pPr>
        <w:spacing w:after="0" w:line="187" w:lineRule="exact"/>
        <w:rPr>
          <w:sz w:val="20"/>
          <w:szCs w:val="20"/>
          <w:color w:val="auto"/>
        </w:rPr>
      </w:pPr>
    </w:p>
    <w:p>
      <w:pPr>
        <w:jc w:val="both"/>
        <w:ind w:left="300" w:right="240" w:firstLine="426"/>
        <w:spacing w:after="0" w:line="289" w:lineRule="auto"/>
        <w:rPr>
          <w:sz w:val="20"/>
          <w:szCs w:val="20"/>
          <w:color w:val="auto"/>
        </w:rPr>
      </w:pPr>
      <w:r>
        <w:rPr>
          <w:rFonts w:ascii="Times New Roman" w:cs="Times New Roman" w:eastAsia="Times New Roman" w:hAnsi="Times New Roman"/>
          <w:sz w:val="17"/>
          <w:szCs w:val="17"/>
          <w:color w:val="auto"/>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spacing w:after="0" w:line="2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300" w:right="540" w:firstLine="426"/>
        <w:spacing w:after="0" w:line="282" w:lineRule="auto"/>
        <w:rPr>
          <w:sz w:val="20"/>
          <w:szCs w:val="20"/>
          <w:color w:val="auto"/>
        </w:rPr>
      </w:pPr>
      <w:r>
        <w:rPr>
          <w:rFonts w:ascii="Times New Roman" w:cs="Times New Roman" w:eastAsia="Times New Roman" w:hAnsi="Times New Roman"/>
          <w:sz w:val="18"/>
          <w:szCs w:val="18"/>
          <w:color w:val="auto"/>
        </w:rPr>
        <w:t>We may offer warrants for the purchase of common stock, preferred stock, debt securities or depositary shares. We may offer warrants independently or together with other securities.</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Subscription Rights</w:t>
      </w:r>
    </w:p>
    <w:p>
      <w:pPr>
        <w:spacing w:after="0" w:line="121" w:lineRule="exact"/>
        <w:rPr>
          <w:sz w:val="20"/>
          <w:szCs w:val="20"/>
          <w:color w:val="auto"/>
        </w:rPr>
      </w:pPr>
    </w:p>
    <w:p>
      <w:pPr>
        <w:ind w:left="300" w:right="340" w:firstLine="426"/>
        <w:spacing w:after="0" w:line="266" w:lineRule="auto"/>
        <w:rPr>
          <w:sz w:val="20"/>
          <w:szCs w:val="20"/>
          <w:color w:val="auto"/>
        </w:rPr>
      </w:pPr>
      <w:r>
        <w:rPr>
          <w:rFonts w:ascii="Times New Roman" w:cs="Times New Roman" w:eastAsia="Times New Roman" w:hAnsi="Times New Roman"/>
          <w:sz w:val="18"/>
          <w:szCs w:val="18"/>
          <w:color w:val="auto"/>
        </w:rPr>
        <w:t>We may offer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Purchase Contracts</w:t>
      </w:r>
    </w:p>
    <w:p>
      <w:pPr>
        <w:spacing w:after="0" w:line="121" w:lineRule="exact"/>
        <w:rPr>
          <w:sz w:val="20"/>
          <w:szCs w:val="20"/>
          <w:color w:val="auto"/>
        </w:rPr>
      </w:pPr>
    </w:p>
    <w:p>
      <w:pPr>
        <w:ind w:left="300" w:right="340" w:firstLine="426"/>
        <w:spacing w:after="0" w:line="282" w:lineRule="auto"/>
        <w:rPr>
          <w:sz w:val="20"/>
          <w:szCs w:val="20"/>
          <w:color w:val="auto"/>
        </w:rPr>
      </w:pPr>
      <w:r>
        <w:rPr>
          <w:rFonts w:ascii="Times New Roman" w:cs="Times New Roman" w:eastAsia="Times New Roman" w:hAnsi="Times New Roman"/>
          <w:sz w:val="18"/>
          <w:szCs w:val="18"/>
          <w:color w:val="auto"/>
        </w:rPr>
        <w:t>We may offer purchase contracts, including contracts obligating holders or us to purchase from the other a specific or variable number of securities at a future date or dates.</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Units</w:t>
      </w:r>
    </w:p>
    <w:p>
      <w:pPr>
        <w:spacing w:after="0" w:line="12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We may offer units comprised of one or more of the other classes of securities described in this prospectus in any combination. Each unit will be issued so that the holder of the unit is also the holder of each security included in the unit.</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320" w:top="455" w:right="6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risk factors discussed in the section of the applicable prospectus supplement titled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in our most recent Quarterly Report on Form 10-Q filed subsequent to such Form 10-K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See “Where You Can Find More Information” and “Incorporation by Reference.”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This prospectus, each prospectus supplement and the information incorporated by reference in this prospectus and each prospectus supplement contain certain statements that constitute “forward-looking statements” within the meaning of Section 27A of the Securities Act of 1933, as amended (the Securities Act) and Section 21E of the Securities Exchange Act of 1934, as amended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titled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9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80"/>
          </w:cols>
          <w:pgMar w:left="320" w:top="455" w:right="4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will set forth in the prospectus supplement our intended use for the net proceeds received from the sale of any securities. We will retain broad discretion over the use of the net proceeds to us from the sale of our securities under this prospectus.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320" w:top="455" w:right="5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description of our capital stock is incorporated by reference to Exhibit 4.3 to our Annual Report on Form 10-K for the fiscal year ended December 31, 2024, filed with the SEC on March 10, 2025.</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640"/>
          </w:cols>
          <w:pgMar w:left="320" w:top="455" w:right="9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may offer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The debt securities will be issued under an indenture between us and a trustee to be identified in an accompanying prospectus supplement. We have summarized material provisions of the debt securities and select portions of the indenture below. The indenture will be qualified under the Trust Indenture Act of 1939, as amended, or the Trust Indenture Act. The summary is not complete and is subject to, and qualified in its entirety by reference to, all of the provisions of the indenture applicable to a particular series of debt securities. The form of the indenture has been filed as an exhibit to the registration statement of which this prospectus forms a part and you should read the indenture for provisions that may be important to you. Supplemental indentures and forms of debt securities containing the terms of the debt securities being offered will be filed as exhibits to the registration statement of which this prospectus is a part or will be incorporated by reference from reports that we file with the SEC, as applicable. Capitalized terms used in the summary and not defined herein have the meanings specified in the indenture. Unless the context requires otherwise, whenever we refer to an indenture, we also are referring to any supplemental indentures or forms of debt securities that specify the terms of a particular series of debt securities.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terms of the debt securities, including, if applicable:</w:t>
      </w:r>
    </w:p>
    <w:p>
      <w:pPr>
        <w:spacing w:after="0" w:line="81"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 which may be sold at a discount below their stated principal amount;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defer payment of interest and the maximum length of any such deferral period;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080" w:right="6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81"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repurchase the debt securities pursuant to any sinking fund or analogous provisions or at the option of a holder of debt securities and the period or periods within which, the price or prices at which and the terms and conditions upon which securities of the series shall be repurchased, in whole or in part, pursuant to such obligation;</w:t>
      </w:r>
    </w:p>
    <w:p>
      <w:pPr>
        <w:spacing w:after="0" w:line="81" w:lineRule="exact"/>
        <w:rPr>
          <w:rFonts w:ascii="Times New Roman" w:cs="Times New Roman" w:eastAsia="Times New Roman" w:hAnsi="Times New Roman"/>
          <w:sz w:val="18"/>
          <w:szCs w:val="18"/>
          <w:color w:val="auto"/>
        </w:rPr>
      </w:pPr>
    </w:p>
    <w:p>
      <w:pPr>
        <w:ind w:left="1080" w:right="20" w:hanging="424"/>
        <w:spacing w:after="0" w:line="281" w:lineRule="auto"/>
        <w:tabs>
          <w:tab w:leader="none" w:pos="10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relating to conversion or exchange of any debt securities of the series into our common stock or other securities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69"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and whether the debt securities will be issued in the form of certificated debt securities or global debt securities;</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 and, if other than that or those in which the debt securities are denominated, the manner in which the exchange rate with respect to these payments will be determined;</w:t>
      </w:r>
    </w:p>
    <w:p>
      <w:pPr>
        <w:spacing w:after="0" w:line="81"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or premium or interest, if any, on the debt securities will be determined, if these amounts may be determined by reference to an index based on a currency or currencies or by reference to a commodity, commodity index, stock exchange index or financial index;</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or Events of Default described in this prospectus or in the indenture with respect to the debt securities and any change in the acceleration provisions described in this prospectus or in the indenture with respect to the debt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more than one trustee or a different trustee, the identity of the trustee and, if not the trustee, the identity of each security registrar, paying agent or authenticating agent with respect to such debt securities;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may offer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titled “—Global Debt Securities and Book-Entry System,” below, book-entry debt securities will not be issuable in certificated form.</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Global Debt Securities and Book-Entry System</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Each global debt security representing book-entry debt securities will be deposited with, or on behalf of, the depositary, and registered in the name of the depositary or a nominee of the depositary.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or series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provide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which we refer to as a successor person, unless:</w:t>
      </w:r>
    </w:p>
    <w:p>
      <w:pPr>
        <w:spacing w:after="0" w:line="67" w:lineRule="exact"/>
        <w:rPr>
          <w:sz w:val="20"/>
          <w:szCs w:val="20"/>
          <w:color w:val="auto"/>
        </w:rPr>
      </w:pPr>
    </w:p>
    <w:p>
      <w:pPr>
        <w:ind w:left="1080" w:right="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67"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(as defined below), shall have occurred and be continuing.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properties to 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5"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5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(except an Event of Default resulting from certain events of bankruptcy, insolvency, or reorganization as described below),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7" w:lineRule="exact"/>
        <w:rPr>
          <w:sz w:val="20"/>
          <w:szCs w:val="20"/>
          <w:color w:val="auto"/>
        </w:rPr>
      </w:pPr>
    </w:p>
    <w:p>
      <w:pPr>
        <w:ind w:left="1080" w:right="1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67"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1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67"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225"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1"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Legal Defeasance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9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Defeasance of Certain Covenants</w:t>
      </w:r>
    </w:p>
    <w:p>
      <w:pPr>
        <w:spacing w:after="0" w:line="22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upon compliance with certain conditions:</w:t>
      </w:r>
    </w:p>
    <w:p>
      <w:pPr>
        <w:spacing w:after="0" w:line="67" w:lineRule="exact"/>
        <w:rPr>
          <w:sz w:val="20"/>
          <w:szCs w:val="20"/>
          <w:color w:val="auto"/>
        </w:rPr>
      </w:pPr>
    </w:p>
    <w:p>
      <w:pPr>
        <w:ind w:left="1080" w:right="20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refer to this as covenant defeasance. The conditions include:</w:t>
      </w:r>
    </w:p>
    <w:p>
      <w:pPr>
        <w:spacing w:after="0" w:line="131" w:lineRule="exact"/>
        <w:rPr>
          <w:sz w:val="20"/>
          <w:szCs w:val="20"/>
          <w:color w:val="auto"/>
        </w:rPr>
      </w:pPr>
    </w:p>
    <w:p>
      <w:pPr>
        <w:ind w:left="1080" w:right="100" w:hanging="424"/>
        <w:spacing w:after="0" w:line="25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92"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indenture or any other agreement to which we are a party;</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applicable series of debt securities shall have occurred or is continuing on the date of such deposit; and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we have received from, or there has been published by, the United States Internal Revenue Service a ruling or, since the date of execution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40"/>
        <w:spacing w:after="0" w:line="258" w:lineRule="auto"/>
        <w:rPr>
          <w:sz w:val="20"/>
          <w:szCs w:val="20"/>
          <w:color w:val="auto"/>
        </w:rPr>
      </w:pPr>
      <w:r>
        <w:rPr>
          <w:rFonts w:ascii="Times New Roman" w:cs="Times New Roman" w:eastAsia="Times New Roman" w:hAnsi="Times New Roman"/>
          <w:sz w:val="18"/>
          <w:szCs w:val="18"/>
          <w:color w:val="auto"/>
        </w:rPr>
        <w:t>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Stockholders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60"/>
          </w:cols>
          <w:pgMar w:left="320" w:top="455" w:right="5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may offer depositary shares representing a fractional interest in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80"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and paying certain charges.</w:t>
      </w:r>
    </w:p>
    <w:p>
      <w:pPr>
        <w:spacing w:after="0" w:line="162"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of Stock</w:t>
      </w:r>
    </w:p>
    <w:p>
      <w:pPr>
        <w:spacing w:after="0" w:line="121" w:lineRule="exact"/>
        <w:rPr>
          <w:sz w:val="20"/>
          <w:szCs w:val="20"/>
          <w:color w:val="auto"/>
        </w:rPr>
      </w:pPr>
    </w:p>
    <w:p>
      <w:pPr>
        <w:ind w:left="120" w:right="140" w:firstLine="440"/>
        <w:spacing w:after="0" w:line="273" w:lineRule="auto"/>
        <w:rPr>
          <w:sz w:val="20"/>
          <w:szCs w:val="20"/>
          <w:color w:val="auto"/>
        </w:rPr>
      </w:pPr>
      <w:r>
        <w:rPr>
          <w:rFonts w:ascii="Times New Roman" w:cs="Times New Roman" w:eastAsia="Times New Roman" w:hAnsi="Times New Roman"/>
          <w:sz w:val="17"/>
          <w:szCs w:val="17"/>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87"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the Preferred Stock</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that it receives specific instructions from the holders of depositary shares representing that number of shares of preferred stock.</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Charges of the Depositary</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 Agreement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85"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 or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final distribution of the preferred stock in connection with our dissolution and such distribution has been made to all the holders of depositary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Neither we nor the depositary will be liable if either is prevented or delayed by law or any circumstance beyond its control in performing its obligations. Our obligations and those of the depositary will be limited to performance in good faith of our and its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may offer warrants to purchase debt securities, preferred stock, depositary shares or common stock. We may offer warrants separately or together with one or more additional warrants, debt securities, preferred stock, depositary shares or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9"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debt securities, preferred stock, depositary shares or common stock with which the warrants are issued and the number of warrants issued with each security;</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preferred stock, the number of depositary shares or the number of shares of common stock purchasable upon exercise of a warrant and the price at which those shares may be purchased;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and other provisions for changes to or adjustment in the exercise price,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40"/>
          </w:cols>
          <w:pgMar w:left="320" w:top="455" w:right="5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offer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67"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common stock, preferred stock, debt securities, depositary shares, warrants or units consisting of some or all of these securities upon the exercise of the subscription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stockholder;</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common stock, preferred stock, debt securities, depositary shares, warrants or units consisting of some or all of these securities which may be purchased per each subscription right;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they,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titled “Where You Can Find More Information.”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offer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If we offer any purchase contracts, certain terms of that series of purchase contracts will be described in the applicable prospectus supplement, including, without limitation, the following:</w:t>
      </w:r>
    </w:p>
    <w:p>
      <w:pPr>
        <w:spacing w:after="0" w:line="67" w:lineRule="exact"/>
        <w:rPr>
          <w:sz w:val="20"/>
          <w:szCs w:val="20"/>
          <w:color w:val="auto"/>
        </w:rPr>
      </w:pPr>
    </w:p>
    <w:p>
      <w:pPr>
        <w:ind w:left="1080" w:right="10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the securities or other property subject to the purchase contracts (which may be determined by reference to a specific formula described in the purchase contracts);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issued separately, or as a part of units each consisting of a purchase contract and one or more of our other securities, including U.S. Treasury securities, securing the holder’s obligations under the purchase contract;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for us to make periodic payments to holders or vice versa, and whether the payments are unsecured or pre-funded;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purchase contracts;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prepaid or not;</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settled by delivery, or by reference or linkage to the value, performance or level of the securities subject to purchase under the purchase contract;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acceleration, cancellation, termination or other provisions relating to the settlement of the purchase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U.S. federal income tax considerations applicable to the purchase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will be issued in fully registered or global form;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purchase contracts and any securities subject to such purchase contracts.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5" w:right="4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may offer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titled “Where You Can Find More Information.”</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particular issuance of units will describe the terms of those units, including, to the extent applicable, the following:</w:t>
      </w:r>
    </w:p>
    <w:p>
      <w:pPr>
        <w:spacing w:after="0" w:line="67" w:lineRule="exact"/>
        <w:rPr>
          <w:sz w:val="20"/>
          <w:szCs w:val="20"/>
          <w:color w:val="auto"/>
        </w:rPr>
      </w:pPr>
    </w:p>
    <w:p>
      <w:pPr>
        <w:ind w:left="1080" w:right="4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sell securities:</w:t>
      </w:r>
    </w:p>
    <w:p>
      <w:pPr>
        <w:spacing w:after="0" w:line="131"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securityholders.</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that may be changed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67"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the agent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5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Agents, underwriters, dealers and other persons may be entitled under agreements that they may enter into with us to indemnification by us against certain civil liabilities, including liabilities under the Securities Act.</w:t>
      </w:r>
    </w:p>
    <w:p>
      <w:pPr>
        <w:spacing w:after="0" w:line="162" w:lineRule="exact"/>
        <w:rPr>
          <w:sz w:val="20"/>
          <w:szCs w:val="20"/>
          <w:color w:val="auto"/>
        </w:rPr>
      </w:pPr>
    </w:p>
    <w:p>
      <w:pPr>
        <w:ind w:left="120" w:right="240" w:firstLine="440"/>
        <w:spacing w:after="0" w:line="274" w:lineRule="auto"/>
        <w:rPr>
          <w:sz w:val="20"/>
          <w:szCs w:val="20"/>
          <w:color w:val="auto"/>
        </w:rPr>
      </w:pPr>
      <w:r>
        <w:rPr>
          <w:rFonts w:ascii="Times New Roman" w:cs="Times New Roman" w:eastAsia="Times New Roman" w:hAnsi="Times New Roman"/>
          <w:sz w:val="17"/>
          <w:szCs w:val="17"/>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8" w:lineRule="exact"/>
        <w:rPr>
          <w:sz w:val="20"/>
          <w:szCs w:val="20"/>
          <w:color w:val="auto"/>
        </w:rPr>
      </w:pPr>
    </w:p>
    <w:p>
      <w:pPr>
        <w:ind w:left="1080" w:right="14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w:t>
      </w:r>
    </w:p>
    <w:p>
      <w:pPr>
        <w:spacing w:after="0" w:line="162"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underwriters and other persons acting as agents will not have any responsibility in respect of the validity or performance of delayed delivery contracts.</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Wilson Sonsini Goodrich &amp; Rosati, Professional Corporation, Palo Alto, California. Additional legal matters may be passed on for us, or any underwriters, dealers or agents, by counsel that we will name in the applicable prospectus supplement.</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of Tenaya Therapeutics, Inc.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www.tenayatherapeutics.com</w:t>
      </w:r>
      <w:r>
        <w:rPr>
          <w:rFonts w:ascii="Times New Roman" w:cs="Times New Roman" w:eastAsia="Times New Roman" w:hAnsi="Times New Roman"/>
          <w:sz w:val="18"/>
          <w:szCs w:val="18"/>
          <w:color w:val="auto"/>
        </w:rPr>
        <w:t>. Information accessible on or through our website is not a part of this prospectus.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after the date of the initial registration statement of which this prospectus forms a part and prior to the effectiveness of the registration statement, as well as subsequent to the effectiveness of the registration statement, until the offering of the securities under the registration statement of which this prospectus forms a part is terminated or completed:</w:t>
      </w:r>
    </w:p>
    <w:p>
      <w:pPr>
        <w:spacing w:after="0" w:line="97"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10,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116">
        <w:r>
          <w:rPr>
            <w:rFonts w:ascii="Times New Roman" w:cs="Times New Roman" w:eastAsia="Times New Roman" w:hAnsi="Times New Roman"/>
            <w:sz w:val="18"/>
            <w:szCs w:val="18"/>
            <w:u w:val="single" w:color="auto"/>
            <w:color w:val="0000EE"/>
          </w:rPr>
          <w:t>January 28, 2025</w:t>
        </w:r>
      </w:hyperlink>
      <w:r>
        <w:rPr>
          <w:rFonts w:ascii="Times New Roman" w:cs="Times New Roman" w:eastAsia="Times New Roman" w:hAnsi="Times New Roman"/>
          <w:sz w:val="18"/>
          <w:szCs w:val="18"/>
          <w:color w:val="auto"/>
        </w:rPr>
        <w:t xml:space="preserve">, </w:t>
      </w:r>
      <w:hyperlink r:id="rId117">
        <w:r>
          <w:rPr>
            <w:rFonts w:ascii="Times New Roman" w:cs="Times New Roman" w:eastAsia="Times New Roman" w:hAnsi="Times New Roman"/>
            <w:sz w:val="18"/>
            <w:szCs w:val="18"/>
            <w:u w:val="single" w:color="auto"/>
            <w:color w:val="0000EE"/>
          </w:rPr>
          <w:t>February 7,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18">
        <w:r>
          <w:rPr>
            <w:rFonts w:ascii="Times New Roman" w:cs="Times New Roman" w:eastAsia="Times New Roman" w:hAnsi="Times New Roman"/>
            <w:sz w:val="18"/>
            <w:szCs w:val="18"/>
            <w:u w:val="single" w:color="auto"/>
            <w:color w:val="0000EE"/>
          </w:rPr>
          <w:t>March 4, 2025</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8"/>
        </w:numPr>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auto"/>
          </w:rPr>
          <w:t xml:space="preserve">the description of our common stock contained in the Registration Statement on Form 8-A relating thereto, filed with the SEC on </w:t>
        </w:r>
        <w:r>
          <w:rPr>
            <w:rFonts w:ascii="Times New Roman" w:cs="Times New Roman" w:eastAsia="Times New Roman" w:hAnsi="Times New Roman"/>
            <w:sz w:val="18"/>
            <w:szCs w:val="18"/>
            <w:u w:val="single" w:color="auto"/>
            <w:color w:val="0000EE"/>
          </w:rPr>
          <w:t>July 23,</w:t>
        </w:r>
      </w:hyperlink>
      <w:r>
        <w:rPr>
          <w:rFonts w:ascii="Times New Roman" w:cs="Times New Roman" w:eastAsia="Times New Roman" w:hAnsi="Times New Roman"/>
          <w:sz w:val="18"/>
          <w:szCs w:val="18"/>
          <w:color w:val="auto"/>
        </w:rPr>
        <w:t xml:space="preserve"> </w:t>
      </w:r>
      <w:hyperlink r:id="rId75">
        <w:r>
          <w:rPr>
            <w:rFonts w:ascii="Times New Roman" w:cs="Times New Roman" w:eastAsia="Times New Roman" w:hAnsi="Times New Roman"/>
            <w:sz w:val="18"/>
            <w:szCs w:val="18"/>
            <w:u w:val="single" w:color="auto"/>
            <w:color w:val="0000EE"/>
          </w:rPr>
          <w:t>2021</w:t>
        </w:r>
        <w:r>
          <w:rPr>
            <w:rFonts w:ascii="Times New Roman" w:cs="Times New Roman" w:eastAsia="Times New Roman" w:hAnsi="Times New Roman"/>
            <w:sz w:val="18"/>
            <w:szCs w:val="18"/>
            <w:color w:val="000000"/>
          </w:rPr>
          <w:t>, including any amendment or report filed for the purpose of updating such description.</w:t>
        </w:r>
      </w:hyperlink>
    </w:p>
    <w:p>
      <w:pPr>
        <w:spacing w:after="0" w:line="162"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and telephone number:</w:t>
      </w:r>
    </w:p>
    <w:p>
      <w:pPr>
        <w:spacing w:after="0" w:line="225"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171 Oyster Point Boulevard, Suite 500</w:t>
      </w:r>
    </w:p>
    <w:p>
      <w:pPr>
        <w:spacing w:after="0" w:line="9"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825-6990</w:t>
      </w:r>
    </w:p>
    <w:p>
      <w:pPr>
        <w:spacing w:after="0" w:line="13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320" w:top="455" w:right="5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645795</wp:posOffset>
            </wp:positionV>
            <wp:extent cx="1920240" cy="6940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192024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$60,000,000</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50,000,000 UNITS CONSISTING OF ONE SHARE OF COMMON STOCK AND</w:t>
      </w:r>
    </w:p>
    <w:p>
      <w:pPr>
        <w:spacing w:after="0" w:line="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ONE WARRANT TO PURCHASE COMMON STOCK</w:t>
      </w:r>
    </w:p>
    <w:p>
      <w:pPr>
        <w:spacing w:after="0" w:line="1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SHARES OF COMMON STOCK ISSUABLE UPON THE EXERCISE OF THE</w:t>
      </w:r>
    </w:p>
    <w:p>
      <w:pPr>
        <w:spacing w:after="0" w:line="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1650365</wp:posOffset>
            </wp:positionV>
            <wp:extent cx="1474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p>
      <w:pPr>
        <w:sectPr>
          <w:pgSz w:w="11900" w:h="16838" w:orient="portrait"/>
          <w:cols w:equalWidth="0" w:num="1">
            <w:col w:w="11140"/>
          </w:cols>
          <w:pgMar w:left="320" w:top="455" w:right="439" w:bottom="1440" w:gutter="0" w:footer="0" w:header="0"/>
        </w:sectPr>
      </w:pPr>
    </w:p>
    <w:p>
      <w:pPr>
        <w:spacing w:after="0" w:line="2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8"/>
          <w:szCs w:val="28"/>
          <w:b w:val="1"/>
          <w:bCs w:val="1"/>
          <w:color w:val="auto"/>
        </w:rPr>
        <w:t>Leerink Partners</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Piper Sandler</w:t>
      </w:r>
    </w:p>
    <w:p>
      <w:pPr>
        <w:spacing w:after="0" w:line="200" w:lineRule="exact"/>
        <w:rPr>
          <w:sz w:val="20"/>
          <w:szCs w:val="20"/>
          <w:color w:val="auto"/>
        </w:rPr>
      </w:pPr>
    </w:p>
    <w:p>
      <w:pPr>
        <w:sectPr>
          <w:pgSz w:w="11900" w:h="16838" w:orient="portrait"/>
          <w:cols w:equalWidth="0" w:num="2">
            <w:col w:w="8720" w:space="720"/>
            <w:col w:w="1700"/>
          </w:cols>
          <w:pgMar w:left="320" w:top="455" w:right="439" w:bottom="1440" w:gutter="0" w:footer="0" w:header="0"/>
          <w:type w:val="continuous"/>
        </w:sectPr>
      </w:pPr>
    </w:p>
    <w:p>
      <w:pPr>
        <w:spacing w:after="0" w:line="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LifeSci Capital</w:t>
      </w:r>
    </w:p>
    <w:p>
      <w:pPr>
        <w:sectPr>
          <w:pgSz w:w="11900" w:h="16838" w:orient="portrait"/>
          <w:cols w:equalWidth="0" w:num="1">
            <w:col w:w="11140"/>
          </w:cols>
          <w:pgMar w:left="320" w:top="45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December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447040</wp:posOffset>
            </wp:positionV>
            <wp:extent cx="69951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507365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140"/>
      </w:cols>
      <w:pgMar w:left="320" w:top="45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1"/>
      <w:numFmt w:val="decimal"/>
      <w:start w:val="1"/>
    </w:lvl>
    <w:lvl w:ilvl="1">
      <w:lvlJc w:val="left"/>
      <w:lvlText w:val="(%2)"/>
      <w:numFmt w:val="lowerLetter"/>
      <w:start w:val="7"/>
    </w:lvl>
  </w:abstractNum>
  <w:abstractNum w:abstractNumId="19">
    <w:nsid w:val="419AC241"/>
    <w:multiLevelType w:val="hybridMultilevel"/>
    <w:lvl w:ilvl="0">
      <w:lvlJc w:val="left"/>
      <w:lvlText w:val="(%1)"/>
      <w:numFmt w:val="decimal"/>
      <w:start w:val="2"/>
    </w:lvl>
    <w:lvl w:ilvl="1">
      <w:lvlJc w:val="left"/>
      <w:lvlText w:val="(%2)"/>
      <w:numFmt w:val="lowerLetter"/>
      <w:start w:val="10"/>
    </w:lvl>
  </w:abstractNum>
  <w:abstractNum w:abstractNumId="20">
    <w:nsid w:val="5577F8E1"/>
    <w:multiLevelType w:val="hybridMultilevel"/>
    <w:lvl w:ilvl="0">
      <w:lvlJc w:val="left"/>
      <w:lvlText w:val="(%1)"/>
      <w:numFmt w:val="lowerLetter"/>
      <w:start w:val="1"/>
    </w:lvl>
  </w:abstractNum>
  <w:abstractNum w:abstractNumId="21">
    <w:nsid w:val="440BADFC"/>
    <w:multiLevelType w:val="hybridMultilevel"/>
    <w:lvl w:ilvl="0">
      <w:lvlJc w:val="left"/>
      <w:lvlText w:val="(%1)"/>
      <w:numFmt w:val="lowerLetter"/>
      <w:start w:val="1"/>
    </w:lvl>
  </w:abstractNum>
  <w:abstractNum w:abstractNumId="22">
    <w:nsid w:val="5072367"/>
    <w:multiLevelType w:val="hybridMultilevel"/>
    <w:lvl w:ilvl="0">
      <w:lvlJc w:val="left"/>
      <w:lvlText w:val="(%1)"/>
      <w:numFmt w:val="lowerLetter"/>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1."/>
      <w:numFmt w:val="lowerLetter"/>
      <w:start w:val="1"/>
    </w:lvl>
  </w:abstractNum>
  <w:abstractNum w:abstractNumId="25">
    <w:nsid w:val="7724C67E"/>
    <w:multiLevelType w:val="hybridMultilevel"/>
    <w:lvl w:ilvl="0">
      <w:lvlJc w:val="left"/>
      <w:lvlText w:val="%1."/>
      <w:numFmt w:val="lowerLetter"/>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1)"/>
      <w:numFmt w:val="decimal"/>
      <w:start w:val="65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jpe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jpe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67" Type="http://schemas.openxmlformats.org/officeDocument/2006/relationships/hyperlink" Target="http://www.sec.gov/ix?doc=/Archives/edgar/data/0001858848/000095017025036329/tnya-20241231.htm" TargetMode="External"/><Relationship Id="rId68" Type="http://schemas.openxmlformats.org/officeDocument/2006/relationships/hyperlink" Target="http://www.sec.gov/ix?doc=/Archives/edgar/data/0001858848/000095017025065741/tnya-20250331.htm" TargetMode="External"/><Relationship Id="rId69" Type="http://schemas.openxmlformats.org/officeDocument/2006/relationships/hyperlink" Target="http://www.sec.gov/ix?doc=/Archives/edgar/data/0001858848/000095017025104182/tnya-20250630.htm" TargetMode="External"/><Relationship Id="rId70" Type="http://schemas.openxmlformats.org/officeDocument/2006/relationships/hyperlink" Target="http://www.sec.gov/ix?doc=/Archives/edgar/data/0001858848/000119312525273239/tnya-20250930.htm" TargetMode="External"/><Relationship Id="rId71" Type="http://schemas.openxmlformats.org/officeDocument/2006/relationships/hyperlink" Target="http://www.sec.gov/Archives/edgar/data/1858848/000119312525084313/d884353ddef14a.htm" TargetMode="External"/><Relationship Id="rId72" Type="http://schemas.openxmlformats.org/officeDocument/2006/relationships/hyperlink" Target="http://www.sec.gov/ix?doc=/Archives/edgar/data/0001858848/000095017025079773/tnya-20250528.htm" TargetMode="External"/><Relationship Id="rId73" Type="http://schemas.openxmlformats.org/officeDocument/2006/relationships/hyperlink" Target="http://www.sec.gov/ix?doc=/Archives/edgar/data/0001858848/000119312525272423/tnya-20251107.htm" TargetMode="External"/><Relationship Id="rId74" Type="http://schemas.openxmlformats.org/officeDocument/2006/relationships/hyperlink" Target="http://www.sec.gov/ix?doc=/Archives/edgar/data/1858848/000119312525315951/d68368d8k.htm" TargetMode="External"/><Relationship Id="rId75" Type="http://schemas.openxmlformats.org/officeDocument/2006/relationships/hyperlink" Target="http://www.sec.gov/Archives/edgar/data/1858848/000119312521223152/d170858d8a12b.htm" TargetMode="External"/><Relationship Id="rId116" Type="http://schemas.openxmlformats.org/officeDocument/2006/relationships/hyperlink" Target="http://www.sec.gov/ix?doc=/Archives/edgar/data/0001858848/000095017025009946/tnya-20250124.htm" TargetMode="External"/><Relationship Id="rId117" Type="http://schemas.openxmlformats.org/officeDocument/2006/relationships/hyperlink" Target="http://www.sec.gov/ix?doc=/Archives/edgar/data/0001858848/000095017025016378/tnya-20250206.htm" TargetMode="External"/><Relationship Id="rId118" Type="http://schemas.openxmlformats.org/officeDocument/2006/relationships/hyperlink" Target="http://www.sec.gov/ix?doc=/Archives/edgar/data/0001858848/000119312525045628/d878268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2025-12-12T16:45:21Z</dcterms:created>
  <dcterms:modified xsi:type="dcterms:W3CDTF">2025-12-12T16:45:21Z</dcterms:modified>
</cp:coreProperties>
</file>