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0" w:lineRule="exact"/>
        <w:rPr>
          <w:sz w:val="24"/>
          <w:szCs w:val="24"/>
          <w:color w:val="auto"/>
        </w:rPr>
      </w:pPr>
    </w:p>
    <w:p>
      <w:pPr>
        <w:ind w:left="36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-235585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-614680</wp:posOffset>
            </wp:positionV>
            <wp:extent cx="57785" cy="628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801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-614680</wp:posOffset>
            </wp:positionV>
            <wp:extent cx="57785" cy="628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801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7047865" cy="49244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92442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Ali Faraz</w:t>
        </w:r>
      </w:hyperlink>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1100" w:type="dxa"/>
            <w:vAlign w:val="bottom"/>
          </w:tcPr>
          <w:p>
            <w:pPr>
              <w:ind w:left="40"/>
              <w:spacing w:after="0"/>
              <w:rPr>
                <w:sz w:val="20"/>
                <w:szCs w:val="20"/>
                <w:color w:val="auto"/>
              </w:rPr>
            </w:pPr>
            <w:r>
              <w:rPr>
                <w:rFonts w:ascii="Arial" w:cs="Arial" w:eastAsia="Arial" w:hAnsi="Arial"/>
                <w:sz w:val="13"/>
                <w:szCs w:val="13"/>
                <w:color w:val="auto"/>
              </w:rPr>
              <w:t>(Last)</w:t>
            </w:r>
          </w:p>
        </w:tc>
        <w:tc>
          <w:tcPr>
            <w:tcW w:w="960" w:type="dxa"/>
            <w:vAlign w:val="bottom"/>
          </w:tcPr>
          <w:p>
            <w:pPr>
              <w:ind w:left="160"/>
              <w:spacing w:after="0"/>
              <w:rPr>
                <w:sz w:val="20"/>
                <w:szCs w:val="20"/>
                <w:color w:val="auto"/>
              </w:rPr>
            </w:pPr>
            <w:r>
              <w:rPr>
                <w:rFonts w:ascii="Arial" w:cs="Arial" w:eastAsia="Arial" w:hAnsi="Arial"/>
                <w:sz w:val="13"/>
                <w:szCs w:val="13"/>
                <w:color w:val="auto"/>
              </w:rPr>
              <w:t>(First)</w:t>
            </w:r>
          </w:p>
        </w:tc>
        <w:tc>
          <w:tcPr>
            <w:tcW w:w="900" w:type="dxa"/>
            <w:vAlign w:val="bottom"/>
          </w:tcPr>
          <w:p>
            <w:pPr>
              <w:ind w:left="420"/>
              <w:spacing w:after="0"/>
              <w:rPr>
                <w:sz w:val="20"/>
                <w:szCs w:val="20"/>
                <w:color w:val="auto"/>
              </w:rPr>
            </w:pPr>
            <w:r>
              <w:rPr>
                <w:rFonts w:ascii="Arial" w:cs="Arial" w:eastAsia="Arial" w:hAnsi="Arial"/>
                <w:sz w:val="13"/>
                <w:szCs w:val="13"/>
                <w:color w:val="auto"/>
                <w:w w:val="97"/>
              </w:rPr>
              <w:t>(Middle)</w:t>
            </w:r>
          </w:p>
        </w:tc>
        <w:tc>
          <w:tcPr>
            <w:tcW w:w="0" w:type="dxa"/>
            <w:vAlign w:val="bottom"/>
          </w:tcPr>
          <w:p>
            <w:pPr>
              <w:spacing w:after="0"/>
              <w:rPr>
                <w:sz w:val="1"/>
                <w:szCs w:val="1"/>
                <w:color w:val="auto"/>
              </w:rPr>
            </w:pPr>
          </w:p>
        </w:tc>
      </w:tr>
      <w:tr>
        <w:trPr>
          <w:trHeight w:val="263"/>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C/O TENAYA THERAPEUTICS, INC.</w:t>
            </w:r>
          </w:p>
        </w:tc>
        <w:tc>
          <w:tcPr>
            <w:tcW w:w="0" w:type="dxa"/>
            <w:vAlign w:val="bottom"/>
          </w:tcPr>
          <w:p>
            <w:pPr>
              <w:spacing w:after="0"/>
              <w:rPr>
                <w:sz w:val="1"/>
                <w:szCs w:val="1"/>
                <w:color w:val="auto"/>
              </w:rPr>
            </w:pPr>
          </w:p>
        </w:tc>
      </w:tr>
      <w:tr>
        <w:trPr>
          <w:trHeight w:val="253"/>
        </w:trPr>
        <w:tc>
          <w:tcPr>
            <w:tcW w:w="296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171 OYSTER POINT BLVD., 5TH FLOOR</w:t>
            </w:r>
          </w:p>
        </w:tc>
        <w:tc>
          <w:tcPr>
            <w:tcW w:w="0" w:type="dxa"/>
            <w:vAlign w:val="bottom"/>
          </w:tcPr>
          <w:p>
            <w:pPr>
              <w:spacing w:after="0"/>
              <w:rPr>
                <w:sz w:val="1"/>
                <w:szCs w:val="1"/>
                <w:color w:val="auto"/>
              </w:rPr>
            </w:pPr>
          </w:p>
        </w:tc>
      </w:tr>
      <w:tr>
        <w:trPr>
          <w:trHeight w:val="420"/>
        </w:trPr>
        <w:tc>
          <w:tcPr>
            <w:tcW w:w="1100" w:type="dxa"/>
            <w:vAlign w:val="bottom"/>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SOUTH SAN</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0000FF"/>
              </w:rPr>
              <w:t>CA</w:t>
            </w:r>
          </w:p>
        </w:tc>
        <w:tc>
          <w:tcPr>
            <w:tcW w:w="90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0000FF"/>
              </w:rPr>
              <w:t>94080</w:t>
            </w:r>
          </w:p>
        </w:tc>
        <w:tc>
          <w:tcPr>
            <w:tcW w:w="0" w:type="dxa"/>
            <w:vAlign w:val="bottom"/>
          </w:tcPr>
          <w:p>
            <w:pPr>
              <w:spacing w:after="0"/>
              <w:rPr>
                <w:sz w:val="1"/>
                <w:szCs w:val="1"/>
                <w:color w:val="auto"/>
              </w:rPr>
            </w:pPr>
          </w:p>
        </w:tc>
      </w:tr>
      <w:tr>
        <w:trPr>
          <w:trHeight w:val="113"/>
        </w:trPr>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rPr>
              <w:t>FRANCISCO</w:t>
            </w:r>
          </w:p>
        </w:tc>
        <w:tc>
          <w:tcPr>
            <w:tcW w:w="96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58"/>
        </w:trPr>
        <w:tc>
          <w:tcPr>
            <w:tcW w:w="1100" w:type="dxa"/>
            <w:vAlign w:val="bottom"/>
          </w:tcPr>
          <w:p>
            <w:pPr>
              <w:ind w:left="4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90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8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Tenaya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TNYA</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18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6"/>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02/23/2024</w:t>
            </w:r>
          </w:p>
        </w:tc>
        <w:tc>
          <w:tcPr>
            <w:tcW w:w="1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16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6"/>
                <w:szCs w:val="16"/>
                <w:color w:val="0000FF"/>
              </w:rPr>
              <w:t>Chief Executive Officer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9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7" w:lineRule="auto"/>
        <w:tabs>
          <w:tab w:leader="none" w:pos="442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29"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20" w:right="420"/>
        <w:spacing w:after="0" w:line="282"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5"/>
          </w:tcPr>
          <w:p>
            <w:pPr>
              <w:ind w:left="1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264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4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60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9"/>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1"/>
                <w:szCs w:val="21"/>
                <w:color w:val="008000"/>
                <w:vertAlign w:val="superscript"/>
              </w:rPr>
              <w:t>(1)</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6"/>
                <w:szCs w:val="16"/>
                <w:color w:val="0000FF"/>
              </w:rPr>
              <w:t>02/23/2024</w:t>
            </w:r>
            <w:r>
              <w:rPr>
                <w:rFonts w:ascii="Times New Roman" w:cs="Times New Roman" w:eastAsia="Times New Roman" w:hAnsi="Times New Roman"/>
                <w:sz w:val="21"/>
                <w:szCs w:val="21"/>
                <w:color w:val="008000"/>
                <w:vertAlign w:val="superscript"/>
              </w:rPr>
              <w:t>(2)</w:t>
            </w: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6"/>
                <w:szCs w:val="16"/>
                <w:color w:val="0000FF"/>
                <w:w w:val="95"/>
              </w:rPr>
              <w:t>85,000</w:t>
            </w:r>
          </w:p>
        </w:tc>
        <w:tc>
          <w:tcPr>
            <w:tcW w:w="6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6"/>
                <w:szCs w:val="16"/>
                <w:color w:val="0000FF"/>
              </w:rPr>
              <w:t>A</w:t>
            </w:r>
          </w:p>
        </w:tc>
        <w:tc>
          <w:tcPr>
            <w:tcW w:w="620" w:type="dxa"/>
            <w:vAlign w:val="bottom"/>
            <w:tcBorders>
              <w:bottom w:val="single" w:sz="8" w:color="2C2C2C"/>
            </w:tcBorders>
          </w:tcPr>
          <w:p>
            <w:pPr>
              <w:ind w:left="30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198,079</w:t>
            </w:r>
            <w:r>
              <w:rPr>
                <w:rFonts w:ascii="Times New Roman" w:cs="Times New Roman" w:eastAsia="Times New Roman" w:hAnsi="Times New Roman"/>
                <w:sz w:val="21"/>
                <w:szCs w:val="21"/>
                <w:color w:val="008000"/>
                <w:vertAlign w:val="superscript"/>
              </w:rPr>
              <w:t>(3)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w w:val="99"/>
              </w:rPr>
              <w:t>Expiration Date</w:t>
            </w: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0"/>
                <w:szCs w:val="10"/>
                <w:color w:val="auto"/>
              </w:rPr>
            </w:pPr>
          </w:p>
        </w:tc>
        <w:tc>
          <w:tcPr>
            <w:tcW w:w="1560" w:type="dxa"/>
            <w:vAlign w:val="bottom"/>
            <w:gridSpan w:val="3"/>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0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5.22</w:t>
            </w: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3"/>
                <w:szCs w:val="13"/>
                <w:color w:val="0000FF"/>
              </w:rPr>
              <w:t>02/23/2024</w:t>
            </w: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A</w:t>
            </w:r>
          </w:p>
        </w:tc>
        <w:tc>
          <w:tcPr>
            <w:tcW w:w="6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505,000</w:t>
            </w:r>
          </w:p>
        </w:tc>
        <w:tc>
          <w:tcPr>
            <w:tcW w:w="220" w:type="dxa"/>
            <w:vAlign w:val="bottom"/>
          </w:tcPr>
          <w:p>
            <w:pPr>
              <w:spacing w:after="0"/>
              <w:rPr>
                <w:sz w:val="17"/>
                <w:szCs w:val="17"/>
                <w:color w:val="auto"/>
              </w:rPr>
            </w:pPr>
          </w:p>
        </w:tc>
        <w:tc>
          <w:tcPr>
            <w:tcW w:w="900" w:type="dxa"/>
            <w:vAlign w:val="bottom"/>
            <w:gridSpan w:val="2"/>
          </w:tcPr>
          <w:p>
            <w:pPr>
              <w:ind w:left="80"/>
              <w:spacing w:after="0" w:line="203" w:lineRule="exact"/>
              <w:rPr>
                <w:sz w:val="20"/>
                <w:szCs w:val="20"/>
                <w:color w:val="auto"/>
              </w:rPr>
            </w:pPr>
            <w:r>
              <w:rPr>
                <w:rFonts w:ascii="Times New Roman" w:cs="Times New Roman" w:eastAsia="Times New Roman" w:hAnsi="Times New Roman"/>
                <w:sz w:val="13"/>
                <w:szCs w:val="13"/>
                <w:color w:val="0000FF"/>
              </w:rPr>
              <w:t>03/23/2024</w:t>
            </w:r>
            <w:r>
              <w:rPr>
                <w:rFonts w:ascii="Times New Roman" w:cs="Times New Roman" w:eastAsia="Times New Roman" w:hAnsi="Times New Roman"/>
                <w:sz w:val="21"/>
                <w:szCs w:val="21"/>
                <w:color w:val="008000"/>
                <w:vertAlign w:val="superscript"/>
              </w:rPr>
              <w:t>(4)</w:t>
            </w:r>
          </w:p>
        </w:tc>
        <w:tc>
          <w:tcPr>
            <w:tcW w:w="66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02/22/2034</w:t>
            </w:r>
          </w:p>
        </w:tc>
        <w:tc>
          <w:tcPr>
            <w:tcW w:w="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6"/>
                <w:szCs w:val="16"/>
                <w:color w:val="0000FF"/>
              </w:rPr>
              <w:t>505,000</w:t>
            </w:r>
          </w:p>
        </w:tc>
        <w:tc>
          <w:tcPr>
            <w:tcW w:w="20" w:type="dxa"/>
            <w:vAlign w:val="bottom"/>
          </w:tcPr>
          <w:p>
            <w:pPr>
              <w:spacing w:after="0"/>
              <w:rPr>
                <w:sz w:val="17"/>
                <w:szCs w:val="17"/>
                <w:color w:val="auto"/>
              </w:rPr>
            </w:pPr>
          </w:p>
        </w:tc>
        <w:tc>
          <w:tcPr>
            <w:tcW w:w="680" w:type="dxa"/>
            <w:vAlign w:val="bottom"/>
            <w:gridSpan w:val="2"/>
          </w:tcPr>
          <w:p>
            <w:pPr>
              <w:ind w:left="2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505,000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0" w:lineRule="exact"/>
              <w:rPr>
                <w:sz w:val="20"/>
                <w:szCs w:val="20"/>
                <w:color w:val="auto"/>
              </w:rPr>
            </w:pPr>
            <w:r>
              <w:rPr>
                <w:rFonts w:ascii="Times New Roman" w:cs="Times New Roman" w:eastAsia="Times New Roman" w:hAnsi="Times New Roman"/>
                <w:sz w:val="9"/>
                <w:szCs w:val="9"/>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ind w:left="10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180" w:hanging="1"/>
        <w:spacing w:after="0" w:line="247"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Tenaya Therapeutics, Inc. common stock that will be issued to the Reporting Person upon vesting of restricted stock units. Each restricted stock unit is the economic equivalent of one share of Tenaya Therapeutics, Inc. common stock.</w:t>
      </w:r>
    </w:p>
    <w:p>
      <w:pPr>
        <w:spacing w:after="0" w:line="21" w:lineRule="exact"/>
        <w:rPr>
          <w:rFonts w:ascii="Times New Roman" w:cs="Times New Roman" w:eastAsia="Times New Roman" w:hAnsi="Times New Roman"/>
          <w:sz w:val="13"/>
          <w:szCs w:val="13"/>
          <w:color w:val="008000"/>
        </w:rPr>
      </w:pPr>
    </w:p>
    <w:p>
      <w:pPr>
        <w:ind w:left="40" w:right="260" w:hanging="1"/>
        <w:spacing w:after="0" w:line="285" w:lineRule="auto"/>
        <w:tabs>
          <w:tab w:leader="none" w:pos="166"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restricted stock units were granted to the Reporting Person on the Transaction Date pursuant to the Tenaya Therapeutics, Inc. 2021 Equity Incentive Plan. The restricted stock units will vest as to 1/8th of the total number of shares subject to the restricted stock unit award on August 15, 2024, and 1/8th of the total number of shares subject to the restricted stock unit award every six months thereafter until fully vested.</w:t>
      </w:r>
    </w:p>
    <w:p>
      <w:pPr>
        <w:spacing w:after="0" w:line="1" w:lineRule="exact"/>
        <w:rPr>
          <w:rFonts w:ascii="Times New Roman" w:cs="Times New Roman" w:eastAsia="Times New Roman" w:hAnsi="Times New Roman"/>
          <w:sz w:val="12"/>
          <w:szCs w:val="12"/>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178,750 shares of Tenaya Therapeutics, Inc. common stock that will be issued to the Reporting Person upon vesting of restricted stock units.</w:t>
      </w:r>
    </w:p>
    <w:p>
      <w:pPr>
        <w:spacing w:after="0" w:line="40" w:lineRule="exact"/>
        <w:rPr>
          <w:rFonts w:ascii="Times New Roman" w:cs="Times New Roman" w:eastAsia="Times New Roman" w:hAnsi="Times New Roman"/>
          <w:sz w:val="13"/>
          <w:szCs w:val="13"/>
          <w:color w:val="008000"/>
        </w:rPr>
      </w:pPr>
    </w:p>
    <w:p>
      <w:pPr>
        <w:ind w:left="40" w:right="720" w:hanging="1"/>
        <w:spacing w:after="0" w:line="243"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Option granted pursuant to the Tenaya Therapeutics, Inc. 2021 Equity Incentive Plan. Option will vest as to 1/48th of the total number of shares subject to the option on the one month anniversary of the Transaction Date and 1/48th of the total number of shares subject to the option on each monthly anniversary thereafter until fully vested.</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Jennifer Drimmer Rokovich,  </w:t>
      </w:r>
      <w:r>
        <w:rPr>
          <w:rFonts w:ascii="Times New Roman" w:cs="Times New Roman" w:eastAsia="Times New Roman" w:hAnsi="Times New Roman"/>
          <w:sz w:val="31"/>
          <w:szCs w:val="31"/>
          <w:color w:val="0000FF"/>
          <w:vertAlign w:val="subscript"/>
        </w:rPr>
        <w:t>02/27/2024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277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77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Attorney in 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-15240</wp:posOffset>
            </wp:positionV>
            <wp:extent cx="68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8453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5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5615"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40" w:hanging="1"/>
        <w:spacing w:after="0" w:line="329"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7937" TargetMode="External"/><Relationship Id="rId13"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2024-02-27T18:33:37Z</dcterms:created>
  <dcterms:modified xsi:type="dcterms:W3CDTF">2024-02-27T18:33:37Z</dcterms:modified>
</cp:coreProperties>
</file>