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-217170</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-598170</wp:posOffset>
            </wp:positionV>
            <wp:extent cx="56515" cy="61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634365</wp:posOffset>
            </wp:positionV>
            <wp:extent cx="7049135" cy="7280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7280910"/>
                    </a:xfrm>
                    <a:prstGeom prst="rect">
                      <a:avLst/>
                    </a:prstGeom>
                    <a:noFill/>
                  </pic:spPr>
                </pic:pic>
              </a:graphicData>
            </a:graphic>
          </wp:anchor>
        </w:drawing>
      </w:r>
    </w:p>
    <w:p>
      <w:pPr>
        <w:spacing w:after="0" w:line="1069"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Ali Faraz</w:t>
        </w:r>
      </w:hyperlink>
    </w:p>
    <w:p>
      <w:pPr>
        <w:spacing w:after="0" w:line="27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02/06/2025</w:t>
      </w:r>
    </w:p>
    <w:p>
      <w:pPr>
        <w:spacing w:after="0" w:line="20" w:lineRule="exact"/>
        <w:rPr>
          <w:sz w:val="24"/>
          <w:szCs w:val="24"/>
          <w:color w:val="auto"/>
        </w:rPr>
      </w:pPr>
      <w:r>
        <w:rPr>
          <w:sz w:val="24"/>
          <w:szCs w:val="24"/>
          <w:color w:val="auto"/>
        </w:rPr>
        <w:br w:type="column"/>
      </w:r>
    </w:p>
    <w:p>
      <w:pPr>
        <w:ind w:left="9" w:right="760" w:hanging="9"/>
        <w:spacing w:after="0" w:line="276" w:lineRule="auto"/>
        <w:tabs>
          <w:tab w:leader="none" w:pos="14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5"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1"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82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0" w:lineRule="exact"/>
        <w:rPr>
          <w:sz w:val="24"/>
          <w:szCs w:val="24"/>
          <w:color w:val="auto"/>
        </w:rPr>
      </w:pPr>
    </w:p>
    <w:p>
      <w:pPr>
        <w:sectPr>
          <w:pgSz w:w="11900" w:h="16838" w:orient="portrait"/>
          <w:cols w:equalWidth="0" w:num="3">
            <w:col w:w="3180" w:space="720"/>
            <w:col w:w="3111" w:space="720"/>
            <w:col w:w="3349"/>
          </w:cols>
          <w:pgMar w:left="460" w:top="213" w:right="359" w:bottom="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79"/>
        </w:trPr>
        <w:tc>
          <w:tcPr>
            <w:tcW w:w="20" w:type="dxa"/>
            <w:vAlign w:val="bottom"/>
            <w:vMerge w:val="restart"/>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gridSpan w:val="8"/>
            <w:vMerge w:val="restart"/>
          </w:tcPr>
          <w:p>
            <w:pPr>
              <w:ind w:left="2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SOUTH SAN</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94080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5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12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1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5"/>
          </w:tcPr>
          <w:p>
            <w:pPr>
              <w:ind w:left="9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ind w:left="9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5"/>
          </w:tcPr>
          <w:p>
            <w:pPr>
              <w:ind w:left="98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52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w w:val="94"/>
              </w:rPr>
              <w:t>02/06/2025</w:t>
            </w:r>
            <w:r>
              <w:rPr>
                <w:rFonts w:ascii="Times New Roman" w:cs="Times New Roman" w:eastAsia="Times New Roman" w:hAnsi="Times New Roman"/>
                <w:sz w:val="20"/>
                <w:szCs w:val="20"/>
                <w:color w:val="008000"/>
                <w:w w:val="94"/>
                <w:vertAlign w:val="superscript"/>
              </w:rPr>
              <w:t>(2)</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107,500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295,831</w:t>
            </w:r>
            <w:r>
              <w:rPr>
                <w:rFonts w:ascii="Times New Roman" w:cs="Times New Roman" w:eastAsia="Times New Roman" w:hAnsi="Times New Roman"/>
                <w:sz w:val="20"/>
                <w:szCs w:val="20"/>
                <w:color w:val="008000"/>
                <w:vertAlign w:val="superscript"/>
              </w:rPr>
              <w:t>(3)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w w:val="94"/>
              </w:rPr>
              <w:t>02/06/2025</w:t>
            </w:r>
            <w:r>
              <w:rPr>
                <w:rFonts w:ascii="Times New Roman" w:cs="Times New Roman" w:eastAsia="Times New Roman" w:hAnsi="Times New Roman"/>
                <w:sz w:val="20"/>
                <w:szCs w:val="20"/>
                <w:color w:val="008000"/>
                <w:w w:val="94"/>
                <w:vertAlign w:val="superscript"/>
              </w:rPr>
              <w:t>(4)</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60" w:type="dxa"/>
            <w:vAlign w:val="bottom"/>
            <w:tcBorders>
              <w:bottom w:val="single" w:sz="8" w:color="2C2C2C"/>
            </w:tcBorders>
          </w:tcPr>
          <w:p>
            <w:pPr>
              <w:jc w:val="right"/>
              <w:ind w:right="18"/>
              <w:spacing w:after="0"/>
              <w:rPr>
                <w:sz w:val="20"/>
                <w:szCs w:val="20"/>
                <w:color w:val="auto"/>
              </w:rPr>
            </w:pPr>
            <w:r>
              <w:rPr>
                <w:rFonts w:ascii="Times New Roman" w:cs="Times New Roman" w:eastAsia="Times New Roman" w:hAnsi="Times New Roman"/>
                <w:sz w:val="16"/>
                <w:szCs w:val="16"/>
                <w:color w:val="0000FF"/>
              </w:rPr>
              <w:t>34,424</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330,255</w:t>
            </w:r>
            <w:r>
              <w:rPr>
                <w:rFonts w:ascii="Times New Roman" w:cs="Times New Roman" w:eastAsia="Times New Roman" w:hAnsi="Times New Roman"/>
                <w:sz w:val="20"/>
                <w:szCs w:val="20"/>
                <w:color w:val="008000"/>
                <w:vertAlign w:val="superscript"/>
              </w:rPr>
              <w:t>(5)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520" w:type="dxa"/>
            <w:vAlign w:val="bottom"/>
          </w:tcPr>
          <w:p>
            <w:pPr>
              <w:spacing w:after="0" w:line="123" w:lineRule="exact"/>
              <w:rPr>
                <w:sz w:val="20"/>
                <w:szCs w:val="20"/>
                <w:color w:val="auto"/>
              </w:rPr>
            </w:pPr>
            <w:r>
              <w:rPr>
                <w:rFonts w:ascii="Arial" w:cs="Arial" w:eastAsia="Arial" w:hAnsi="Arial"/>
                <w:sz w:val="11"/>
                <w:szCs w:val="11"/>
                <w:b w:val="1"/>
                <w:bCs w:val="1"/>
                <w:color w:val="auto"/>
                <w:w w:val="94"/>
              </w:rPr>
              <w:t>Derivative</w:t>
            </w:r>
          </w:p>
        </w:tc>
        <w:tc>
          <w:tcPr>
            <w:tcW w:w="52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line="123" w:lineRule="exact"/>
              <w:rPr>
                <w:sz w:val="20"/>
                <w:szCs w:val="20"/>
                <w:color w:val="auto"/>
              </w:rPr>
            </w:pPr>
            <w:r>
              <w:rPr>
                <w:rFonts w:ascii="Arial" w:cs="Arial" w:eastAsia="Arial" w:hAnsi="Arial"/>
                <w:sz w:val="11"/>
                <w:szCs w:val="11"/>
                <w:b w:val="1"/>
                <w:bCs w:val="1"/>
                <w:color w:val="auto"/>
                <w:w w:val="94"/>
              </w:rPr>
              <w:t>Securities</w:t>
            </w:r>
          </w:p>
        </w:tc>
        <w:tc>
          <w:tcPr>
            <w:tcW w:w="520" w:type="dxa"/>
            <w:vAlign w:val="bottom"/>
          </w:tcPr>
          <w:p>
            <w:pPr>
              <w:spacing w:after="0"/>
              <w:rPr>
                <w:sz w:val="10"/>
                <w:szCs w:val="10"/>
                <w:color w:val="auto"/>
              </w:rPr>
            </w:pPr>
          </w:p>
        </w:tc>
        <w:tc>
          <w:tcPr>
            <w:tcW w:w="152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Underlying</w:t>
            </w:r>
          </w:p>
        </w:tc>
        <w:tc>
          <w:tcPr>
            <w:tcW w:w="60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1</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02/06/2025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650,000</w:t>
            </w:r>
          </w:p>
        </w:tc>
        <w:tc>
          <w:tcPr>
            <w:tcW w:w="520" w:type="dxa"/>
            <w:vAlign w:val="bottom"/>
          </w:tcPr>
          <w:p>
            <w:pPr>
              <w:spacing w:after="0"/>
              <w:rPr>
                <w:sz w:val="17"/>
                <w:szCs w:val="17"/>
                <w:color w:val="auto"/>
              </w:rPr>
            </w:pPr>
          </w:p>
        </w:tc>
        <w:tc>
          <w:tcPr>
            <w:tcW w:w="86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03/06/2025</w:t>
            </w:r>
            <w:r>
              <w:rPr>
                <w:rFonts w:ascii="Times New Roman" w:cs="Times New Roman" w:eastAsia="Times New Roman" w:hAnsi="Times New Roman"/>
                <w:sz w:val="20"/>
                <w:szCs w:val="20"/>
                <w:color w:val="008000"/>
                <w:w w:val="96"/>
                <w:vertAlign w:val="superscript"/>
              </w:rPr>
              <w:t>(6)</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0000FF"/>
              </w:rPr>
              <w:t>03/05/2035</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650,000</w:t>
            </w: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650,000</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ind w:left="14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5.64</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02/06/2025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2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353,271</w:t>
            </w:r>
          </w:p>
        </w:tc>
        <w:tc>
          <w:tcPr>
            <w:tcW w:w="86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03/27/2021</w:t>
            </w:r>
            <w:r>
              <w:rPr>
                <w:rFonts w:ascii="Times New Roman" w:cs="Times New Roman" w:eastAsia="Times New Roman" w:hAnsi="Times New Roman"/>
                <w:sz w:val="20"/>
                <w:szCs w:val="20"/>
                <w:color w:val="008000"/>
                <w:w w:val="96"/>
                <w:vertAlign w:val="superscript"/>
              </w:rPr>
              <w:t>(7)</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0000FF"/>
              </w:rPr>
              <w:t>02/26/2031</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353,271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540" w:type="dxa"/>
            <w:vAlign w:val="bottom"/>
          </w:tcPr>
          <w:p>
            <w:pPr>
              <w:jc w:val="center"/>
              <w:ind w:left="30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ind w:left="14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02/06/2025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353,271</w:t>
            </w:r>
          </w:p>
        </w:tc>
        <w:tc>
          <w:tcPr>
            <w:tcW w:w="520" w:type="dxa"/>
            <w:vAlign w:val="bottom"/>
          </w:tcPr>
          <w:p>
            <w:pPr>
              <w:spacing w:after="0"/>
              <w:rPr>
                <w:sz w:val="17"/>
                <w:szCs w:val="17"/>
                <w:color w:val="auto"/>
              </w:rPr>
            </w:pPr>
          </w:p>
        </w:tc>
        <w:tc>
          <w:tcPr>
            <w:tcW w:w="86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03/27/2021</w:t>
            </w:r>
            <w:r>
              <w:rPr>
                <w:rFonts w:ascii="Times New Roman" w:cs="Times New Roman" w:eastAsia="Times New Roman" w:hAnsi="Times New Roman"/>
                <w:sz w:val="20"/>
                <w:szCs w:val="20"/>
                <w:color w:val="008000"/>
                <w:w w:val="96"/>
                <w:vertAlign w:val="superscript"/>
              </w:rPr>
              <w:t>(7)</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0000FF"/>
              </w:rPr>
              <w:t>02/26/2031</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353,271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353,271</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ind w:left="14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9.36</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02/06/2025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2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161,214</w:t>
            </w:r>
          </w:p>
        </w:tc>
        <w:tc>
          <w:tcPr>
            <w:tcW w:w="860" w:type="dxa"/>
            <w:vAlign w:val="bottom"/>
            <w:gridSpan w:val="2"/>
          </w:tcPr>
          <w:p>
            <w:pPr>
              <w:jc w:val="center"/>
              <w:ind w:right="22"/>
              <w:spacing w:after="0" w:line="198" w:lineRule="exact"/>
              <w:rPr>
                <w:sz w:val="20"/>
                <w:szCs w:val="20"/>
                <w:color w:val="auto"/>
              </w:rPr>
            </w:pPr>
            <w:r>
              <w:rPr>
                <w:rFonts w:ascii="Times New Roman" w:cs="Times New Roman" w:eastAsia="Times New Roman" w:hAnsi="Times New Roman"/>
                <w:sz w:val="12"/>
                <w:szCs w:val="12"/>
                <w:color w:val="0000FF"/>
                <w:w w:val="96"/>
              </w:rPr>
              <w:t>07/17/2021</w:t>
            </w:r>
            <w:r>
              <w:rPr>
                <w:rFonts w:ascii="Times New Roman" w:cs="Times New Roman" w:eastAsia="Times New Roman" w:hAnsi="Times New Roman"/>
                <w:sz w:val="20"/>
                <w:szCs w:val="20"/>
                <w:color w:val="008000"/>
                <w:w w:val="96"/>
                <w:vertAlign w:val="superscript"/>
              </w:rPr>
              <w:t>(10)</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0000FF"/>
              </w:rPr>
              <w:t>06/16/2031</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161,214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540" w:type="dxa"/>
            <w:vAlign w:val="bottom"/>
          </w:tcPr>
          <w:p>
            <w:pPr>
              <w:jc w:val="center"/>
              <w:ind w:left="30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ind w:left="14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02/06/2025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161,214</w:t>
            </w:r>
          </w:p>
        </w:tc>
        <w:tc>
          <w:tcPr>
            <w:tcW w:w="520" w:type="dxa"/>
            <w:vAlign w:val="bottom"/>
          </w:tcPr>
          <w:p>
            <w:pPr>
              <w:spacing w:after="0"/>
              <w:rPr>
                <w:sz w:val="17"/>
                <w:szCs w:val="17"/>
                <w:color w:val="auto"/>
              </w:rPr>
            </w:pPr>
          </w:p>
        </w:tc>
        <w:tc>
          <w:tcPr>
            <w:tcW w:w="860" w:type="dxa"/>
            <w:vAlign w:val="bottom"/>
            <w:gridSpan w:val="2"/>
          </w:tcPr>
          <w:p>
            <w:pPr>
              <w:jc w:val="center"/>
              <w:ind w:right="22"/>
              <w:spacing w:after="0" w:line="198" w:lineRule="exact"/>
              <w:rPr>
                <w:sz w:val="20"/>
                <w:szCs w:val="20"/>
                <w:color w:val="auto"/>
              </w:rPr>
            </w:pPr>
            <w:r>
              <w:rPr>
                <w:rFonts w:ascii="Times New Roman" w:cs="Times New Roman" w:eastAsia="Times New Roman" w:hAnsi="Times New Roman"/>
                <w:sz w:val="12"/>
                <w:szCs w:val="12"/>
                <w:color w:val="0000FF"/>
                <w:w w:val="96"/>
              </w:rPr>
              <w:t>07/17/2021</w:t>
            </w:r>
            <w:r>
              <w:rPr>
                <w:rFonts w:ascii="Times New Roman" w:cs="Times New Roman" w:eastAsia="Times New Roman" w:hAnsi="Times New Roman"/>
                <w:sz w:val="20"/>
                <w:szCs w:val="20"/>
                <w:color w:val="008000"/>
                <w:w w:val="96"/>
                <w:vertAlign w:val="superscript"/>
              </w:rPr>
              <w:t>(10)</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0000FF"/>
              </w:rPr>
              <w:t>06/16/2031</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161,214</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161,214</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ind w:left="14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8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15.19</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02/06/2025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2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401,390</w:t>
            </w:r>
          </w:p>
        </w:tc>
        <w:tc>
          <w:tcPr>
            <w:tcW w:w="860" w:type="dxa"/>
            <w:vAlign w:val="bottom"/>
            <w:gridSpan w:val="2"/>
          </w:tcPr>
          <w:p>
            <w:pPr>
              <w:jc w:val="center"/>
              <w:ind w:right="22"/>
              <w:spacing w:after="0" w:line="198" w:lineRule="exact"/>
              <w:rPr>
                <w:sz w:val="20"/>
                <w:szCs w:val="20"/>
                <w:color w:val="auto"/>
              </w:rPr>
            </w:pPr>
            <w:r>
              <w:rPr>
                <w:rFonts w:ascii="Times New Roman" w:cs="Times New Roman" w:eastAsia="Times New Roman" w:hAnsi="Times New Roman"/>
                <w:sz w:val="12"/>
                <w:szCs w:val="12"/>
                <w:color w:val="0000FF"/>
                <w:w w:val="96"/>
              </w:rPr>
              <w:t>03/15/2022</w:t>
            </w:r>
            <w:r>
              <w:rPr>
                <w:rFonts w:ascii="Times New Roman" w:cs="Times New Roman" w:eastAsia="Times New Roman" w:hAnsi="Times New Roman"/>
                <w:sz w:val="20"/>
                <w:szCs w:val="20"/>
                <w:color w:val="008000"/>
                <w:w w:val="96"/>
                <w:vertAlign w:val="superscript"/>
              </w:rPr>
              <w:t>(11)</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0000FF"/>
              </w:rPr>
              <w:t>02/14/2032</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401,390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540" w:type="dxa"/>
            <w:vAlign w:val="bottom"/>
          </w:tcPr>
          <w:p>
            <w:pPr>
              <w:jc w:val="center"/>
              <w:ind w:left="30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ind w:left="14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02/06/2025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spacing w:after="0"/>
              <w:rPr>
                <w:sz w:val="20"/>
                <w:szCs w:val="20"/>
                <w:color w:val="auto"/>
              </w:rPr>
            </w:pPr>
            <w:r>
              <w:rPr>
                <w:rFonts w:ascii="Times New Roman" w:cs="Times New Roman" w:eastAsia="Times New Roman" w:hAnsi="Times New Roman"/>
                <w:sz w:val="12"/>
                <w:szCs w:val="12"/>
                <w:color w:val="0000FF"/>
              </w:rPr>
              <w:t>401,390</w:t>
            </w:r>
          </w:p>
        </w:tc>
        <w:tc>
          <w:tcPr>
            <w:tcW w:w="520" w:type="dxa"/>
            <w:vAlign w:val="bottom"/>
          </w:tcPr>
          <w:p>
            <w:pPr>
              <w:spacing w:after="0"/>
              <w:rPr>
                <w:sz w:val="17"/>
                <w:szCs w:val="17"/>
                <w:color w:val="auto"/>
              </w:rPr>
            </w:pPr>
          </w:p>
        </w:tc>
        <w:tc>
          <w:tcPr>
            <w:tcW w:w="860" w:type="dxa"/>
            <w:vAlign w:val="bottom"/>
            <w:gridSpan w:val="2"/>
          </w:tcPr>
          <w:p>
            <w:pPr>
              <w:jc w:val="center"/>
              <w:ind w:right="22"/>
              <w:spacing w:after="0" w:line="198" w:lineRule="exact"/>
              <w:rPr>
                <w:sz w:val="20"/>
                <w:szCs w:val="20"/>
                <w:color w:val="auto"/>
              </w:rPr>
            </w:pPr>
            <w:r>
              <w:rPr>
                <w:rFonts w:ascii="Times New Roman" w:cs="Times New Roman" w:eastAsia="Times New Roman" w:hAnsi="Times New Roman"/>
                <w:sz w:val="12"/>
                <w:szCs w:val="12"/>
                <w:color w:val="0000FF"/>
                <w:w w:val="96"/>
              </w:rPr>
              <w:t>03/15/2022</w:t>
            </w:r>
            <w:r>
              <w:rPr>
                <w:rFonts w:ascii="Times New Roman" w:cs="Times New Roman" w:eastAsia="Times New Roman" w:hAnsi="Times New Roman"/>
                <w:sz w:val="20"/>
                <w:szCs w:val="20"/>
                <w:color w:val="008000"/>
                <w:w w:val="96"/>
                <w:vertAlign w:val="superscript"/>
              </w:rPr>
              <w:t>(11)</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0000FF"/>
              </w:rPr>
              <w:t>02/14/2032</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401,390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401,390</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ind w:left="140"/>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40" w:right="460" w:hanging="5"/>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6" w:lineRule="exact"/>
        <w:rPr>
          <w:rFonts w:ascii="Times New Roman" w:cs="Times New Roman" w:eastAsia="Times New Roman" w:hAnsi="Times New Roman"/>
          <w:sz w:val="12"/>
          <w:szCs w:val="12"/>
          <w:color w:val="008000"/>
        </w:rPr>
      </w:pPr>
    </w:p>
    <w:p>
      <w:pPr>
        <w:ind w:left="40" w:right="300" w:hanging="5"/>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2025, and 1/8th of the total number of shares subject to the restricted stock unit award every six months thereafter until fully vested.</w:t>
      </w:r>
    </w:p>
    <w:p>
      <w:pPr>
        <w:spacing w:after="0" w:line="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260,000 shares of Tenaya Therapeutics, Inc. common stock that will be issued to the Reporting Person upon vesting of restricted stock units.</w:t>
      </w:r>
    </w:p>
    <w:p>
      <w:pPr>
        <w:spacing w:after="0" w:line="46" w:lineRule="exact"/>
        <w:rPr>
          <w:rFonts w:ascii="Times New Roman" w:cs="Times New Roman" w:eastAsia="Times New Roman" w:hAnsi="Times New Roman"/>
          <w:sz w:val="12"/>
          <w:szCs w:val="12"/>
          <w:color w:val="008000"/>
        </w:rPr>
      </w:pPr>
    </w:p>
    <w:p>
      <w:pPr>
        <w:ind w:left="40" w:right="300" w:hanging="5"/>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1/4th of the total number of shares subject to the restricted stock unit award on May 15, 2025, and 1/4th of the total number of shares subject to the restricted stock unit award every six months thereafter until fully vested.</w:t>
      </w:r>
    </w:p>
    <w:p>
      <w:pPr>
        <w:spacing w:after="0" w:line="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294,424 shares of Tenaya Therapeutics, Inc. common stock that will be issued to the Reporting Person upon vesting of restricted stock units.</w:t>
      </w:r>
    </w:p>
    <w:p>
      <w:pPr>
        <w:spacing w:after="0" w:line="46" w:lineRule="exact"/>
        <w:rPr>
          <w:rFonts w:ascii="Times New Roman" w:cs="Times New Roman" w:eastAsia="Times New Roman" w:hAnsi="Times New Roman"/>
          <w:sz w:val="12"/>
          <w:szCs w:val="12"/>
          <w:color w:val="008000"/>
        </w:rPr>
      </w:pPr>
    </w:p>
    <w:p>
      <w:pPr>
        <w:ind w:left="40" w:right="380" w:hanging="5"/>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spacing w:after="0" w:line="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underlying the option are fully vested and exercisable.</w:t>
      </w:r>
    </w:p>
    <w:p>
      <w:pPr>
        <w:spacing w:after="0" w:line="46" w:lineRule="exact"/>
        <w:rPr>
          <w:rFonts w:ascii="Times New Roman" w:cs="Times New Roman" w:eastAsia="Times New Roman" w:hAnsi="Times New Roman"/>
          <w:sz w:val="12"/>
          <w:szCs w:val="12"/>
          <w:color w:val="008000"/>
        </w:rPr>
      </w:pPr>
    </w:p>
    <w:p>
      <w:pPr>
        <w:ind w:left="40" w:right="540" w:hanging="5"/>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February 6, 2025 (the "Effective Date"). The Option Repricing applies to nonstatutory options with exercise prices greater than $5.25 per share held by Reporting Person as of the Effective Date.</w:t>
      </w:r>
    </w:p>
    <w:p>
      <w:pPr>
        <w:sectPr>
          <w:pgSz w:w="11900" w:h="16838" w:orient="portrait"/>
          <w:cols w:equalWidth="0" w:num="1">
            <w:col w:w="11080"/>
          </w:cols>
          <w:pgMar w:left="460" w:top="213" w:right="359" w:bottom="0" w:gutter="0" w:footer="0" w:header="0"/>
          <w:type w:val="continuous"/>
        </w:sectPr>
      </w:pPr>
    </w:p>
    <w:bookmarkStart w:id="1" w:name="page2"/>
    <w:bookmarkEnd w:id="1"/>
    <w:p>
      <w:pPr>
        <w:jc w:val="both"/>
        <w:ind w:left="5" w:hanging="5"/>
        <w:spacing w:after="0" w:line="248"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Option Repricing, the exercise price of the repriced options, including the reported option, has been amended to reduce the exercise price to $1.21 per share. However, if the Reporting Person exercises a repriced option before the end of a "Retention Period" that begins on the Effective Date of the Option Repricing and ends on the earliest to occur of the following: (i) July 24, 2025 or (ii) a Change in Control, as defined in the Issuer's 2021 Equity Incentive Plan, then the Reporting Person will be required to pay a premium exercise price that is equal to the original exercise price per share of such option. There was no change to the vesting schedules, expiration dates or number of shares underlying the repriced options.</w:t>
      </w:r>
    </w:p>
    <w:p>
      <w:pPr>
        <w:spacing w:after="0" w:line="20"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1/48th of the shares underying the option vested on July 17, 2021, and the remaining shares vest in 48 equal monthly installments thereafter.</w:t>
      </w:r>
    </w:p>
    <w:p>
      <w:pPr>
        <w:spacing w:after="0" w:line="46"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1/48th of the shares underying the option vested on March 15, 2022, and the remaining shares vest in 48 equal monthly installments thereafter.</w:t>
      </w:r>
    </w:p>
    <w:p>
      <w:pPr>
        <w:spacing w:after="0" w:line="60" w:lineRule="exact"/>
        <w:rPr>
          <w:sz w:val="20"/>
          <w:szCs w:val="20"/>
          <w:color w:val="auto"/>
        </w:rPr>
      </w:pPr>
    </w:p>
    <w:tbl>
      <w:tblPr>
        <w:tblLayout w:type="fixed"/>
        <w:tblInd w:w="6565"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Jennifer Drimmer Rokovich,</w:t>
            </w:r>
          </w:p>
        </w:tc>
        <w:tc>
          <w:tcPr>
            <w:tcW w:w="1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02/07/2025</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7" w:lineRule="exact"/>
              <w:rPr>
                <w:sz w:val="20"/>
                <w:szCs w:val="20"/>
                <w:color w:val="auto"/>
              </w:rPr>
            </w:pPr>
            <w:r>
              <w:rPr>
                <w:rFonts w:ascii="Times New Roman" w:cs="Times New Roman" w:eastAsia="Times New Roman" w:hAnsi="Times New Roman"/>
                <w:sz w:val="16"/>
                <w:szCs w:val="16"/>
                <w:color w:val="0000FF"/>
              </w:rPr>
              <w:t>Attorney in Fact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3760" w:hanging="5"/>
        <w:spacing w:after="0" w:line="321"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5"/>
      </w:cols>
      <w:pgMar w:left="495"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7937"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2025-02-07T19:36:13Z</dcterms:created>
  <dcterms:modified xsi:type="dcterms:W3CDTF">2025-02-07T19:36:13Z</dcterms:modified>
</cp:coreProperties>
</file>