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5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57190"/>
                    </a:xfrm>
                    <a:prstGeom prst="rect">
                      <a:avLst/>
                    </a:prstGeom>
                    <a:noFill/>
                  </pic:spPr>
                </pic:pic>
              </a:graphicData>
            </a:graphic>
          </wp:anchor>
        </w:drawing>
      </w:r>
    </w:p>
    <w:p>
      <w:pPr>
        <w:sectPr>
          <w:pgSz w:w="11900" w:h="16838" w:orient="portrait"/>
          <w:cols w:equalWidth="0" w:num="1">
            <w:col w:w="10940"/>
          </w:cols>
          <w:pgMar w:left="480" w:top="236" w:right="479" w:bottom="541"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Tingley Whittemore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40" w:type="dxa"/>
            <w:vAlign w:val="bottom"/>
            <w:tcBorders>
              <w:top w:val="single" w:sz="8" w:color="0000EE"/>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Tenaya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541"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TENAYA THERAPEUTICS, INC.</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171 OYSTER POINT BLVD., 5TH FLR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703"/>
        <w:spacing w:after="0"/>
        <w:rPr>
          <w:sz w:val="20"/>
          <w:szCs w:val="20"/>
          <w:color w:val="auto"/>
        </w:rPr>
      </w:pPr>
      <w:r>
        <w:rPr>
          <w:rFonts w:ascii="Arial" w:cs="Arial" w:eastAsia="Arial" w:hAnsi="Arial"/>
          <w:sz w:val="20"/>
          <w:szCs w:val="20"/>
          <w:color w:val="0000FF"/>
        </w:rPr>
        <w:t>Chief Medical Officer</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541"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12/09/2028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7"/>
              <w:spacing w:after="0"/>
              <w:rPr>
                <w:sz w:val="20"/>
                <w:szCs w:val="20"/>
                <w:color w:val="auto"/>
              </w:rPr>
            </w:pPr>
            <w:r>
              <w:rPr>
                <w:rFonts w:ascii="Arial" w:cs="Arial" w:eastAsia="Arial" w:hAnsi="Arial"/>
                <w:sz w:val="20"/>
                <w:szCs w:val="20"/>
                <w:color w:val="0000FF"/>
                <w:w w:val="88"/>
              </w:rPr>
              <w:t>75,000</w:t>
            </w:r>
          </w:p>
        </w:tc>
        <w:tc>
          <w:tcPr>
            <w:tcW w:w="1000" w:type="dxa"/>
            <w:vAlign w:val="bottom"/>
          </w:tcPr>
          <w:p>
            <w:pPr>
              <w:ind w:left="340"/>
              <w:spacing w:after="0"/>
              <w:rPr>
                <w:sz w:val="20"/>
                <w:szCs w:val="20"/>
                <w:color w:val="auto"/>
              </w:rPr>
            </w:pPr>
            <w:r>
              <w:rPr>
                <w:rFonts w:ascii="Arial" w:cs="Arial" w:eastAsia="Arial" w:hAnsi="Arial"/>
                <w:sz w:val="20"/>
                <w:szCs w:val="20"/>
                <w:color w:val="0000FF"/>
              </w:rPr>
              <w:t>0.78</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01/18/2031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7"/>
              <w:spacing w:after="0"/>
              <w:rPr>
                <w:sz w:val="20"/>
                <w:szCs w:val="20"/>
                <w:color w:val="auto"/>
              </w:rPr>
            </w:pPr>
            <w:r>
              <w:rPr>
                <w:rFonts w:ascii="Arial" w:cs="Arial" w:eastAsia="Arial" w:hAnsi="Arial"/>
                <w:sz w:val="20"/>
                <w:szCs w:val="20"/>
                <w:color w:val="0000FF"/>
                <w:w w:val="88"/>
              </w:rPr>
              <w:t>25,000</w:t>
            </w:r>
          </w:p>
        </w:tc>
        <w:tc>
          <w:tcPr>
            <w:tcW w:w="1000" w:type="dxa"/>
            <w:vAlign w:val="bottom"/>
          </w:tcPr>
          <w:p>
            <w:pPr>
              <w:ind w:left="340"/>
              <w:spacing w:after="0"/>
              <w:rPr>
                <w:sz w:val="20"/>
                <w:szCs w:val="20"/>
                <w:color w:val="auto"/>
              </w:rPr>
            </w:pPr>
            <w:r>
              <w:rPr>
                <w:rFonts w:ascii="Arial" w:cs="Arial" w:eastAsia="Arial" w:hAnsi="Arial"/>
                <w:sz w:val="20"/>
                <w:szCs w:val="20"/>
                <w:color w:val="0000FF"/>
              </w:rPr>
              <w:t>5.64</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(3)</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06/16/2031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center"/>
              <w:ind w:left="37"/>
              <w:spacing w:after="0"/>
              <w:rPr>
                <w:sz w:val="20"/>
                <w:szCs w:val="20"/>
                <w:color w:val="auto"/>
              </w:rPr>
            </w:pPr>
            <w:r>
              <w:rPr>
                <w:rFonts w:ascii="Arial" w:cs="Arial" w:eastAsia="Arial" w:hAnsi="Arial"/>
                <w:sz w:val="20"/>
                <w:szCs w:val="20"/>
                <w:color w:val="0000FF"/>
                <w:w w:val="85"/>
              </w:rPr>
              <w:t>108,333</w:t>
            </w:r>
          </w:p>
        </w:tc>
        <w:tc>
          <w:tcPr>
            <w:tcW w:w="1000" w:type="dxa"/>
            <w:vAlign w:val="bottom"/>
          </w:tcPr>
          <w:p>
            <w:pPr>
              <w:ind w:left="340"/>
              <w:spacing w:after="0"/>
              <w:rPr>
                <w:sz w:val="20"/>
                <w:szCs w:val="20"/>
                <w:color w:val="auto"/>
              </w:rPr>
            </w:pPr>
            <w:r>
              <w:rPr>
                <w:rFonts w:ascii="Arial" w:cs="Arial" w:eastAsia="Arial" w:hAnsi="Arial"/>
                <w:sz w:val="20"/>
                <w:szCs w:val="20"/>
                <w:color w:val="0000FF"/>
              </w:rPr>
              <w:t>9.36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1/4th of the shares subject to the option granted on December 10, 2018 became vested and exercisable as of December 7, 2018 and 1/48th of the shares subject to the option shall vest monthly thereafter, provided that the Reporting Person remains a service provider to the issuer on each such vest date.</w:t>
      </w:r>
    </w:p>
    <w:p>
      <w:pPr>
        <w:spacing w:after="0" w:line="26" w:lineRule="exact"/>
        <w:rPr>
          <w:rFonts w:ascii="Arial" w:cs="Arial" w:eastAsia="Arial" w:hAnsi="Arial"/>
          <w:sz w:val="15"/>
          <w:szCs w:val="15"/>
          <w:color w:val="008000"/>
        </w:rPr>
      </w:pPr>
    </w:p>
    <w:p>
      <w:pPr>
        <w:ind w:left="40" w:right="24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1/48th of the shares subject to the option granted on January 19, 2021 became vested and exercisable as of January 19, 2021 and 1/48th of the shares subject to the option shall vest monthly thereafter, provided that the Reporting Person remains a service provider to the issuer on each such vest date.</w:t>
      </w:r>
    </w:p>
    <w:p>
      <w:pPr>
        <w:spacing w:after="0" w:line="26" w:lineRule="exact"/>
        <w:rPr>
          <w:rFonts w:ascii="Arial" w:cs="Arial" w:eastAsia="Arial" w:hAnsi="Arial"/>
          <w:sz w:val="15"/>
          <w:szCs w:val="15"/>
          <w:color w:val="008000"/>
        </w:rPr>
      </w:pPr>
    </w:p>
    <w:p>
      <w:pPr>
        <w:ind w:left="40" w:right="4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1/48th of the shares subject to the option granted on June 17,2021 became vested and exercisable as of July 17, 2021 and 1/48th of the shares subject to the option shall vest monthly thereafter, provided that the Reporting Person remains a service provider to the issuer on each such vest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Date set forth above represents the effective date of the Issuer's initial public offering.</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Leone Patterson</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1600" w:type="dxa"/>
            <w:vAlign w:val="bottom"/>
            <w:tcBorders>
              <w:bottom w:val="single" w:sz="8" w:color="auto"/>
            </w:tcBorders>
            <w:gridSpan w:val="3"/>
          </w:tcPr>
          <w:p>
            <w:pPr>
              <w:spacing w:after="0" w:line="220" w:lineRule="exact"/>
              <w:rPr>
                <w:sz w:val="20"/>
                <w:szCs w:val="20"/>
                <w:color w:val="auto"/>
              </w:rPr>
            </w:pPr>
            <w:r>
              <w:rPr>
                <w:rFonts w:ascii="Arial" w:cs="Arial" w:eastAsia="Arial" w:hAnsi="Arial"/>
                <w:sz w:val="20"/>
                <w:szCs w:val="20"/>
                <w:color w:val="0000FF"/>
                <w:w w:val="92"/>
              </w:rPr>
              <w:t>Attorney-in-Fact for</w:t>
            </w:r>
          </w:p>
        </w:tc>
        <w:tc>
          <w:tcPr>
            <w:tcW w:w="580" w:type="dxa"/>
            <w:vAlign w:val="bottom"/>
          </w:tcPr>
          <w:p>
            <w:pPr>
              <w:spacing w:after="0"/>
              <w:rPr>
                <w:sz w:val="19"/>
                <w:szCs w:val="19"/>
                <w:color w:val="auto"/>
              </w:rPr>
            </w:pPr>
          </w:p>
        </w:tc>
        <w:tc>
          <w:tcPr>
            <w:tcW w:w="900" w:type="dxa"/>
            <w:vAlign w:val="bottom"/>
            <w:tcBorders>
              <w:bottom w:val="single" w:sz="8" w:color="auto"/>
            </w:tcBorders>
          </w:tcPr>
          <w:p>
            <w:pPr>
              <w:spacing w:after="0" w:line="220" w:lineRule="exact"/>
              <w:rPr>
                <w:sz w:val="20"/>
                <w:szCs w:val="20"/>
                <w:color w:val="auto"/>
              </w:rPr>
            </w:pPr>
            <w:r>
              <w:rPr>
                <w:rFonts w:ascii="Arial" w:cs="Arial" w:eastAsia="Arial" w:hAnsi="Arial"/>
                <w:sz w:val="20"/>
                <w:szCs w:val="20"/>
                <w:color w:val="0000FF"/>
                <w:w w:val="87"/>
              </w:rPr>
              <w:t>07/29/2021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8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90"/>
              </w:rPr>
              <w:t>Whittemore Tingley</w:t>
            </w:r>
          </w:p>
        </w:tc>
        <w:tc>
          <w:tcPr>
            <w:tcW w:w="60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541"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The undersigned, as a Section 16 reporting person of Tenaya Therapeutics, Inc. (the Company), hereby constitutes and appoints Faraz Ali and Leone Patterson, and each of them, as the true and lawful attorney-in-fact of the undersigned to:</w:t>
      </w:r>
    </w:p>
    <w:p>
      <w:pPr>
        <w:spacing w:after="0" w:line="200" w:lineRule="exact"/>
        <w:rPr>
          <w:sz w:val="20"/>
          <w:szCs w:val="20"/>
          <w:color w:val="auto"/>
        </w:rPr>
      </w:pPr>
    </w:p>
    <w:p>
      <w:pPr>
        <w:spacing w:after="0" w:line="227" w:lineRule="exact"/>
        <w:rPr>
          <w:sz w:val="20"/>
          <w:szCs w:val="20"/>
          <w:color w:val="auto"/>
        </w:rPr>
      </w:pPr>
    </w:p>
    <w:p>
      <w:pPr>
        <w:ind w:right="619"/>
        <w:spacing w:after="0" w:line="268"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by the undersigned;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233"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holdings of and transactions of the undersigned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July,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Signature:/s/Whittemore Tingley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Whittemore Tingley</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8494" TargetMode="External"/><Relationship Id="rId11"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2021-07-29T18:41:47Z</dcterms:created>
  <dcterms:modified xsi:type="dcterms:W3CDTF">2021-07-29T18:41:47Z</dcterms:modified>
</cp:coreProperties>
</file>