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56970ddef14a.htm"/>
        <w:bookmarkStart w:id="1" w:name="ksd656970ddef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
        <w:gridCol w:w="102"/>
        <w:gridCol w:w="9595"/>
      </w:tblGrid>
      <w:tr>
        <w:trPr/>
        <w:tc>
          <w:tcPr>
            <w:tcW w:w="5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595"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08" w:type="dxa"/>
            <w:tcBorders/>
            <w:vAlign w:val="center"/>
          </w:tcPr>
          <w:p>
            <w:pPr>
              <w:pStyle w:val="TableContents"/>
              <w:bidi w:val="0"/>
              <w:spacing w:before="0" w:after="283"/>
              <w:jc w:val="left"/>
              <w:rPr>
                <w:sz w:val="4"/>
                <w:szCs w:val="4"/>
              </w:rPr>
            </w:pPr>
            <w:r>
              <w:rPr>
                <w:sz w:val="4"/>
                <w:szCs w:val="4"/>
              </w:rPr>
            </w:r>
          </w:p>
        </w:tc>
        <w:tc>
          <w:tcPr>
            <w:tcW w:w="9697"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9595" w:type="dxa"/>
            <w:tcBorders/>
            <w:vAlign w:val="bottom"/>
          </w:tcPr>
          <w:p>
            <w:pPr>
              <w:pStyle w:val="TableContents"/>
              <w:bidi w:val="0"/>
              <w:spacing w:before="0" w:after="283"/>
              <w:jc w:val="left"/>
              <w:rPr/>
            </w:pPr>
            <w:r>
              <w:rPr/>
              <w:t>Preliminary Proxy Statement</w:t>
            </w:r>
          </w:p>
        </w:tc>
      </w:tr>
      <w:tr>
        <w:trPr>
          <w:trHeight w:val="120" w:hRule="atLeast"/>
        </w:trPr>
        <w:tc>
          <w:tcPr>
            <w:tcW w:w="508" w:type="dxa"/>
            <w:tcBorders/>
            <w:vAlign w:val="center"/>
          </w:tcPr>
          <w:p>
            <w:pPr>
              <w:pStyle w:val="TableContents"/>
              <w:bidi w:val="0"/>
              <w:spacing w:before="0" w:after="283"/>
              <w:jc w:val="left"/>
              <w:rPr>
                <w:sz w:val="4"/>
                <w:szCs w:val="4"/>
              </w:rPr>
            </w:pPr>
            <w:r>
              <w:rPr>
                <w:sz w:val="4"/>
                <w:szCs w:val="4"/>
              </w:rPr>
            </w:r>
          </w:p>
        </w:tc>
        <w:tc>
          <w:tcPr>
            <w:tcW w:w="9697"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9595"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508" w:type="dxa"/>
            <w:tcBorders/>
            <w:vAlign w:val="center"/>
          </w:tcPr>
          <w:p>
            <w:pPr>
              <w:pStyle w:val="TableContents"/>
              <w:bidi w:val="0"/>
              <w:spacing w:before="0" w:after="283"/>
              <w:jc w:val="left"/>
              <w:rPr>
                <w:sz w:val="4"/>
                <w:szCs w:val="4"/>
              </w:rPr>
            </w:pPr>
            <w:r>
              <w:rPr>
                <w:sz w:val="4"/>
                <w:szCs w:val="4"/>
              </w:rPr>
            </w:r>
          </w:p>
        </w:tc>
        <w:tc>
          <w:tcPr>
            <w:tcW w:w="9697"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9595" w:type="dxa"/>
            <w:tcBorders/>
            <w:vAlign w:val="bottom"/>
          </w:tcPr>
          <w:p>
            <w:pPr>
              <w:pStyle w:val="TableContents"/>
              <w:bidi w:val="0"/>
              <w:spacing w:before="0" w:after="283"/>
              <w:jc w:val="left"/>
              <w:rPr/>
            </w:pPr>
            <w:r>
              <w:rPr/>
              <w:t>Definitive Proxy Statement</w:t>
            </w:r>
          </w:p>
        </w:tc>
      </w:tr>
      <w:tr>
        <w:trPr>
          <w:trHeight w:val="120" w:hRule="atLeast"/>
        </w:trPr>
        <w:tc>
          <w:tcPr>
            <w:tcW w:w="508" w:type="dxa"/>
            <w:tcBorders/>
            <w:vAlign w:val="center"/>
          </w:tcPr>
          <w:p>
            <w:pPr>
              <w:pStyle w:val="TableContents"/>
              <w:bidi w:val="0"/>
              <w:spacing w:before="0" w:after="283"/>
              <w:jc w:val="left"/>
              <w:rPr>
                <w:sz w:val="4"/>
                <w:szCs w:val="4"/>
              </w:rPr>
            </w:pPr>
            <w:r>
              <w:rPr>
                <w:sz w:val="4"/>
                <w:szCs w:val="4"/>
              </w:rPr>
            </w:r>
          </w:p>
        </w:tc>
        <w:tc>
          <w:tcPr>
            <w:tcW w:w="9697"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9595" w:type="dxa"/>
            <w:tcBorders/>
            <w:vAlign w:val="bottom"/>
          </w:tcPr>
          <w:p>
            <w:pPr>
              <w:pStyle w:val="TableContents"/>
              <w:bidi w:val="0"/>
              <w:spacing w:before="0" w:after="283"/>
              <w:jc w:val="left"/>
              <w:rPr/>
            </w:pPr>
            <w:r>
              <w:rPr/>
              <w:t>Definitive Additional Materials</w:t>
            </w:r>
          </w:p>
        </w:tc>
      </w:tr>
      <w:tr>
        <w:trPr>
          <w:trHeight w:val="120" w:hRule="atLeast"/>
        </w:trPr>
        <w:tc>
          <w:tcPr>
            <w:tcW w:w="508" w:type="dxa"/>
            <w:tcBorders/>
            <w:vAlign w:val="center"/>
          </w:tcPr>
          <w:p>
            <w:pPr>
              <w:pStyle w:val="TableContents"/>
              <w:bidi w:val="0"/>
              <w:spacing w:before="0" w:after="283"/>
              <w:jc w:val="left"/>
              <w:rPr>
                <w:sz w:val="4"/>
                <w:szCs w:val="4"/>
              </w:rPr>
            </w:pPr>
            <w:r>
              <w:rPr>
                <w:sz w:val="4"/>
                <w:szCs w:val="4"/>
              </w:rPr>
            </w:r>
          </w:p>
        </w:tc>
        <w:tc>
          <w:tcPr>
            <w:tcW w:w="9697"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9595" w:type="dxa"/>
            <w:tcBorders/>
            <w:vAlign w:val="bottom"/>
          </w:tcPr>
          <w:p>
            <w:pPr>
              <w:pStyle w:val="TableContents"/>
              <w:bidi w:val="0"/>
              <w:spacing w:before="0" w:after="283"/>
              <w:jc w:val="left"/>
              <w:rPr/>
            </w:pPr>
            <w:r>
              <w:rPr/>
              <w:t>Soliciting Material Pursuant to §240.14a-12</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TENAYA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36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6"/>
        <w:gridCol w:w="120"/>
        <w:gridCol w:w="9549"/>
      </w:tblGrid>
      <w:tr>
        <w:trPr/>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549"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36" w:type="dxa"/>
            <w:tcBorders/>
            <w:vAlign w:val="center"/>
          </w:tcPr>
          <w:p>
            <w:pPr>
              <w:pStyle w:val="TableContents"/>
              <w:bidi w:val="0"/>
              <w:spacing w:before="0" w:after="283"/>
              <w:jc w:val="left"/>
              <w:rPr>
                <w:sz w:val="4"/>
                <w:szCs w:val="4"/>
              </w:rPr>
            </w:pPr>
            <w:r>
              <w:rPr>
                <w:sz w:val="4"/>
                <w:szCs w:val="4"/>
              </w:rPr>
            </w:r>
          </w:p>
        </w:tc>
        <w:tc>
          <w:tcPr>
            <w:tcW w:w="9669" w:type="dxa"/>
            <w:gridSpan w:val="2"/>
            <w:tcBorders/>
            <w:vAlign w:val="center"/>
          </w:tcPr>
          <w:p>
            <w:pPr>
              <w:pStyle w:val="TableContents"/>
              <w:bidi w:val="0"/>
              <w:spacing w:before="0" w:after="283"/>
              <w:jc w:val="left"/>
              <w:rPr>
                <w:sz w:val="4"/>
                <w:szCs w:val="4"/>
              </w:rPr>
            </w:pPr>
            <w:r>
              <w:rPr>
                <w:sz w:val="4"/>
                <w:szCs w:val="4"/>
              </w:rPr>
            </w:r>
          </w:p>
        </w:tc>
      </w:tr>
      <w:tr>
        <w:trPr/>
        <w:tc>
          <w:tcPr>
            <w:tcW w:w="5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549" w:type="dxa"/>
            <w:tcBorders/>
          </w:tcPr>
          <w:p>
            <w:pPr>
              <w:pStyle w:val="TableContents"/>
              <w:bidi w:val="0"/>
              <w:spacing w:before="0" w:after="283"/>
              <w:jc w:val="left"/>
              <w:rPr/>
            </w:pPr>
            <w:r>
              <w:rPr/>
              <w:t>No fee required</w:t>
            </w:r>
          </w:p>
        </w:tc>
      </w:tr>
      <w:tr>
        <w:trPr>
          <w:trHeight w:val="240" w:hRule="atLeast"/>
        </w:trPr>
        <w:tc>
          <w:tcPr>
            <w:tcW w:w="536" w:type="dxa"/>
            <w:tcBorders/>
            <w:vAlign w:val="center"/>
          </w:tcPr>
          <w:p>
            <w:pPr>
              <w:pStyle w:val="TableContents"/>
              <w:bidi w:val="0"/>
              <w:spacing w:before="0" w:after="283"/>
              <w:jc w:val="left"/>
              <w:rPr>
                <w:sz w:val="4"/>
                <w:szCs w:val="4"/>
              </w:rPr>
            </w:pPr>
            <w:r>
              <w:rPr>
                <w:sz w:val="4"/>
                <w:szCs w:val="4"/>
              </w:rPr>
            </w:r>
          </w:p>
        </w:tc>
        <w:tc>
          <w:tcPr>
            <w:tcW w:w="9669" w:type="dxa"/>
            <w:gridSpan w:val="2"/>
            <w:tcBorders/>
            <w:vAlign w:val="center"/>
          </w:tcPr>
          <w:p>
            <w:pPr>
              <w:pStyle w:val="TableContents"/>
              <w:bidi w:val="0"/>
              <w:spacing w:before="0" w:after="283"/>
              <w:jc w:val="left"/>
              <w:rPr>
                <w:sz w:val="4"/>
                <w:szCs w:val="4"/>
              </w:rPr>
            </w:pPr>
            <w:r>
              <w:rPr>
                <w:sz w:val="4"/>
                <w:szCs w:val="4"/>
              </w:rPr>
            </w:r>
          </w:p>
        </w:tc>
      </w:tr>
      <w:tr>
        <w:trPr/>
        <w:tc>
          <w:tcPr>
            <w:tcW w:w="5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549" w:type="dxa"/>
            <w:tcBorders/>
          </w:tcPr>
          <w:p>
            <w:pPr>
              <w:pStyle w:val="TableContents"/>
              <w:bidi w:val="0"/>
              <w:spacing w:before="0" w:after="283"/>
              <w:jc w:val="left"/>
              <w:rPr/>
            </w:pPr>
            <w:r>
              <w:rPr/>
              <w:t>Fee paid previously with preliminary materials</w:t>
            </w:r>
          </w:p>
        </w:tc>
      </w:tr>
      <w:tr>
        <w:trPr>
          <w:trHeight w:val="240" w:hRule="atLeast"/>
        </w:trPr>
        <w:tc>
          <w:tcPr>
            <w:tcW w:w="536" w:type="dxa"/>
            <w:tcBorders/>
            <w:vAlign w:val="center"/>
          </w:tcPr>
          <w:p>
            <w:pPr>
              <w:pStyle w:val="TableContents"/>
              <w:bidi w:val="0"/>
              <w:spacing w:before="0" w:after="283"/>
              <w:jc w:val="left"/>
              <w:rPr>
                <w:sz w:val="4"/>
                <w:szCs w:val="4"/>
              </w:rPr>
            </w:pPr>
            <w:r>
              <w:rPr>
                <w:sz w:val="4"/>
                <w:szCs w:val="4"/>
              </w:rPr>
            </w:r>
          </w:p>
        </w:tc>
        <w:tc>
          <w:tcPr>
            <w:tcW w:w="9669" w:type="dxa"/>
            <w:gridSpan w:val="2"/>
            <w:tcBorders/>
            <w:vAlign w:val="center"/>
          </w:tcPr>
          <w:p>
            <w:pPr>
              <w:pStyle w:val="TableContents"/>
              <w:bidi w:val="0"/>
              <w:spacing w:before="0" w:after="283"/>
              <w:jc w:val="left"/>
              <w:rPr>
                <w:sz w:val="4"/>
                <w:szCs w:val="4"/>
              </w:rPr>
            </w:pPr>
            <w:r>
              <w:rPr>
                <w:sz w:val="4"/>
                <w:szCs w:val="4"/>
              </w:rPr>
            </w:r>
          </w:p>
        </w:tc>
      </w:tr>
      <w:tr>
        <w:trPr/>
        <w:tc>
          <w:tcPr>
            <w:tcW w:w="53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549" w:type="dxa"/>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59715" cy="927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715" cy="927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(650) 825-6900 </w:t>
      </w:r>
    </w:p>
    <w:p>
      <w:pPr>
        <w:pStyle w:val="TextBody"/>
        <w:bidi w:val="0"/>
        <w:spacing w:before="240" w:after="0"/>
        <w:jc w:val="left"/>
        <w:rPr>
          <w:rFonts w:ascii="Times New Roman" w:hAnsi="Times New Roman"/>
          <w:sz w:val="20"/>
        </w:rPr>
      </w:pPr>
      <w:r>
        <w:rPr>
          <w:rFonts w:ascii="Times New Roman" w:hAnsi="Times New Roman"/>
          <w:sz w:val="20"/>
        </w:rPr>
        <w:t xml:space="preserve">April 17, 2024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pleased to invite you to attend the annual meeting of stockholders of Tenaya Therapeutics, Inc. (Tenaya or the Company), to be held on Thursday, May 30, 2024 at 8:00 a.m. Pacific Time. The annual meeting will be conducted virtually this year via a live audio webcast and will afford all of our stockholders the same rights and opportunities to participate as would be available at an in-person meeting. You will be able to attend the annual meeting virtually by visiting www.proxydocs.com/TNYA, where you will be able to listen to the meeting live, submit questions and vote online by entering the control number located on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attached formal meeting notice and proxy statement contain details of the business to be conducted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Whether or not you attend the annual meeting, it is important that your shares be represented and voted at the annual meeting. Therefore, we urge you to vote and submit your proxy promptly via the Internet, telephone or mail. </w:t>
      </w:r>
    </w:p>
    <w:p>
      <w:pPr>
        <w:pStyle w:val="TextBody"/>
        <w:bidi w:val="0"/>
        <w:spacing w:before="240" w:after="0"/>
        <w:jc w:val="left"/>
        <w:rPr>
          <w:rFonts w:ascii="Times New Roman" w:hAnsi="Times New Roman"/>
          <w:sz w:val="20"/>
        </w:rPr>
      </w:pPr>
      <w:r>
        <w:rPr>
          <w:rFonts w:ascii="Times New Roman" w:hAnsi="Times New Roman"/>
          <w:sz w:val="20"/>
        </w:rPr>
        <w:t xml:space="preserve">On behalf of our Board of Directors, we would like to express our appreciation for your continued support of and interest in Tenaya.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11125" cy="533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125" cy="5334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Faraz Ali, M.B.A.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171 Oyster Point Boulevard, Suite 500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2"/>
        <w:gridCol w:w="204"/>
        <w:gridCol w:w="6839"/>
      </w:tblGrid>
      <w:tr>
        <w:trPr/>
        <w:tc>
          <w:tcPr>
            <w:tcW w:w="316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Time and Date</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8:00 a.m. Pacific Time on Thursday, May 30, 2024</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Place</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The annual meeting will be conducted virtually via a live audio webcast. You will be able to attend the annual meeting virtually by visiting www.proxydocs.com/TNYA, where you will be able to listen to the meeting live, submit questions and vote online during the meeting by visiting www.proxypush.com/TNYA.</w:t>
            </w:r>
          </w:p>
        </w:tc>
      </w:tr>
      <w:tr>
        <w:trPr>
          <w:trHeight w:val="12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Items of Business</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0"/>
              <w:jc w:val="left"/>
              <w:rPr>
                <w:rFonts w:ascii="Times New Roman" w:hAnsi="Times New Roman"/>
                <w:sz w:val="20"/>
              </w:rPr>
            </w:pPr>
            <w:r>
              <w:rPr>
                <w:rFonts w:ascii="Times New Roman" w:hAnsi="Times New Roman"/>
                <w:sz w:val="20"/>
              </w:rPr>
              <w:t>  To elect three Class III directors to hold office until our 2027 annual meeting of stockholders and until their respective successors are elected and qualified.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ratify the appointment of Deloitte &amp; Touche LLP as our independent registered public accounting firm for our fiscal year ending December 31, 2024.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  To transact other business that may properly come before the annual meeting or any adjournments or postponements thereof.</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Record Date</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0"/>
              <w:jc w:val="left"/>
              <w:rPr>
                <w:rFonts w:ascii="Times New Roman" w:hAnsi="Times New Roman"/>
                <w:sz w:val="20"/>
              </w:rPr>
            </w:pPr>
            <w:r>
              <w:rPr>
                <w:rFonts w:ascii="Times New Roman" w:hAnsi="Times New Roman"/>
                <w:sz w:val="20"/>
              </w:rPr>
              <w:t>Monday, April 1, 2024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Only stockholders of record as of Monday, April 1, 2024, at the close of business are entitled to notice of and to vote at the annual meeting.</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Availability of Proxy Materials</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0"/>
              <w:jc w:val="left"/>
              <w:rPr>
                <w:rFonts w:ascii="Times New Roman" w:hAnsi="Times New Roman"/>
                <w:sz w:val="20"/>
              </w:rPr>
            </w:pPr>
            <w:r>
              <w:rPr>
                <w:rFonts w:ascii="Times New Roman" w:hAnsi="Times New Roman"/>
                <w:i/>
                <w:sz w:val="20"/>
              </w:rPr>
              <w:t>The Notice of Internet Availability of Proxy Materials containing instructions on how to access our proxy statement, notice of annual meeting, form of proxy and our annual report, is first being sent or given on or about April</w:t>
            </w:r>
            <w:r>
              <w:rPr>
                <w:rFonts w:ascii="Times New Roman" w:hAnsi="Times New Roman"/>
                <w:sz w:val="20"/>
              </w:rPr>
              <w:t> </w:t>
            </w:r>
            <w:r>
              <w:rPr>
                <w:rFonts w:ascii="Times New Roman" w:hAnsi="Times New Roman"/>
                <w:i/>
                <w:sz w:val="20"/>
              </w:rPr>
              <w:t>17, 2024, to all stockholders entitled to vote at the annual meeting</w:t>
            </w:r>
            <w:r>
              <w:rPr>
                <w:rFonts w:ascii="Times New Roman" w:hAnsi="Times New Roman"/>
                <w:sz w:val="20"/>
              </w:rPr>
              <w:t xml:space="preserve">. </w:t>
            </w:r>
            <w:r>
              <w:rPr>
                <w:rFonts w:ascii="Times New Roman" w:hAnsi="Times New Roman"/>
                <w:i/>
                <w:sz w:val="20"/>
              </w:rPr>
              <w:t>We are providing access to our proxy materials over the Internet under the rules adopted by the Securities and Exchange Commission (SEC).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proxy materials and our annual report can be accessed as of April 17, 2024, by visiting www.proxydocs.com/TNYA.</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Voting</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b/>
              </w:rPr>
              <w:t>Your vote is important</w:t>
            </w:r>
            <w:r>
              <w:rPr/>
              <w:t>. Whether or not you plan to attend the annual meeting, we urge you to submit your proxy or voting instructions via the Internet, telephone or mail as soon as possible to ensure your shares are represented. For additional instructions for each of these voting options, please refer to the proxy card. Returning your proxy card does not deprive you of your right to attend the annual meeting and to vote your shares at the annual meeting. The proxy statement explains proxy voting and the matters to be voted on in more detail.</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111125" cy="533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125" cy="53340"/>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283"/>
              <w:jc w:val="left"/>
              <w:rPr/>
            </w:pPr>
            <w:r>
              <w:rPr/>
              <w:t>Faraz Ali, M.B.A.</w:t>
            </w:r>
          </w:p>
        </w:tc>
      </w:tr>
      <w:tr>
        <w:trPr/>
        <w:tc>
          <w:tcPr>
            <w:tcW w:w="4082" w:type="dxa"/>
            <w:tcBorders/>
            <w:vAlign w:val="bottom"/>
          </w:tcPr>
          <w:p>
            <w:pPr>
              <w:pStyle w:val="TableContents"/>
              <w:bidi w:val="0"/>
              <w:spacing w:before="0" w:after="283"/>
              <w:jc w:val="left"/>
              <w:rPr/>
            </w:pPr>
            <w:r>
              <w:rPr/>
              <w:t>Chief Executive Officer</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South San Francisco, California</w:t>
            </w:r>
          </w:p>
          <w:p>
            <w:pPr>
              <w:pStyle w:val="TableContents"/>
              <w:bidi w:val="0"/>
              <w:spacing w:before="0" w:after="20"/>
              <w:jc w:val="left"/>
              <w:rPr>
                <w:rFonts w:ascii="Times New Roman" w:hAnsi="Times New Roman"/>
                <w:sz w:val="20"/>
              </w:rPr>
            </w:pPr>
            <w:r>
              <w:rPr>
                <w:rFonts w:ascii="Times New Roman" w:hAnsi="Times New Roman"/>
                <w:sz w:val="20"/>
              </w:rPr>
              <w:t>April 17, 2024</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This proxy statement is being mailed to stockholders on or about April 17,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3"/>
        <w:gridCol w:w="350"/>
        <w:gridCol w:w="96"/>
        <w:gridCol w:w="424"/>
        <w:gridCol w:w="62"/>
      </w:tblGrid>
      <w:tr>
        <w:trPr/>
        <w:tc>
          <w:tcPr>
            <w:tcW w:w="9273"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73"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
              <w:r>
                <w:rPr>
                  <w:rStyle w:val="InternetLink"/>
                  <w:rFonts w:ascii="Times New Roman" w:hAnsi="Times New Roman"/>
                  <w:sz w:val="20"/>
                </w:rPr>
                <w:t>QUESTIONS AND ANSWERS ABOUT THE PROXY MATERIALS AND OUR ANNUAL MEETING</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
              <w:r>
                <w:rPr>
                  <w:rStyle w:val="InternetLink"/>
                  <w:rFonts w:ascii="Times New Roman" w:hAnsi="Times New Roman"/>
                  <w:sz w:val="20"/>
                </w:rPr>
                <w:t>BOARD OF DIRECTORS AND CORPORATE GOVERNANCE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
              <w:r>
                <w:rPr>
                  <w:rStyle w:val="InternetLink"/>
                  <w:rFonts w:ascii="Times New Roman" w:hAnsi="Times New Roman"/>
                  <w:sz w:val="20"/>
                </w:rPr>
                <w:t>Composition of the Board</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
              <w:r>
                <w:rPr>
                  <w:rStyle w:val="InternetLink"/>
                  <w:rFonts w:ascii="Times New Roman" w:hAnsi="Times New Roman"/>
                  <w:sz w:val="20"/>
                </w:rPr>
                <w:t>Class III Nominees for Director</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5">
              <w:r>
                <w:rPr>
                  <w:rStyle w:val="InternetLink"/>
                  <w:rFonts w:ascii="Times New Roman" w:hAnsi="Times New Roman"/>
                  <w:sz w:val="20"/>
                </w:rPr>
                <w:t>Continuing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6">
              <w:r>
                <w:rPr>
                  <w:rStyle w:val="InternetLink"/>
                  <w:rFonts w:ascii="Times New Roman" w:hAnsi="Times New Roman"/>
                  <w:sz w:val="20"/>
                </w:rPr>
                <w:t>Director Independence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7">
              <w:r>
                <w:rPr>
                  <w:rStyle w:val="InternetLink"/>
                  <w:rFonts w:ascii="Times New Roman" w:hAnsi="Times New Roman"/>
                  <w:sz w:val="20"/>
                </w:rPr>
                <w:t>Board Leadership Structure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8">
              <w:r>
                <w:rPr>
                  <w:rStyle w:val="InternetLink"/>
                  <w:rFonts w:ascii="Times New Roman" w:hAnsi="Times New Roman"/>
                  <w:sz w:val="20"/>
                </w:rPr>
                <w:t>Role of Board in Risk Oversight Process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9">
              <w:r>
                <w:rPr>
                  <w:rStyle w:val="InternetLink"/>
                  <w:rFonts w:ascii="Times New Roman" w:hAnsi="Times New Roman"/>
                  <w:sz w:val="20"/>
                </w:rPr>
                <w:t>Board Committees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0">
              <w:r>
                <w:rPr>
                  <w:rStyle w:val="InternetLink"/>
                  <w:rFonts w:ascii="Times New Roman" w:hAnsi="Times New Roman"/>
                  <w:sz w:val="20"/>
                </w:rPr>
                <w:t>Attendance at Board and Stockholders Meetings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1">
              <w:r>
                <w:rPr>
                  <w:rStyle w:val="InternetLink"/>
                  <w:rFonts w:ascii="Times New Roman" w:hAnsi="Times New Roman"/>
                  <w:sz w:val="20"/>
                </w:rPr>
                <w:t>Compensation Committee Interlocks and Insider Participation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2">
              <w:r>
                <w:rPr>
                  <w:rStyle w:val="InternetLink"/>
                  <w:rFonts w:ascii="Times New Roman" w:hAnsi="Times New Roman"/>
                  <w:sz w:val="20"/>
                </w:rPr>
                <w:t>Considerations in Evaluating Director Nominees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3">
              <w:r>
                <w:rPr>
                  <w:rStyle w:val="InternetLink"/>
                  <w:rFonts w:ascii="Times New Roman" w:hAnsi="Times New Roman"/>
                  <w:sz w:val="20"/>
                </w:rPr>
                <w:t>Stockholders Recommendations and Nominations to our Board of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4">
              <w:r>
                <w:rPr>
                  <w:rStyle w:val="InternetLink"/>
                  <w:rFonts w:ascii="Times New Roman" w:hAnsi="Times New Roman"/>
                  <w:sz w:val="20"/>
                </w:rPr>
                <w:t>Communications with the Board of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5">
              <w:r>
                <w:rPr>
                  <w:rStyle w:val="InternetLink"/>
                  <w:rFonts w:ascii="Times New Roman" w:hAnsi="Times New Roman"/>
                  <w:sz w:val="20"/>
                </w:rPr>
                <w:t>Policy Prohibiting Hedging or Pledging of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6">
              <w:r>
                <w:rPr>
                  <w:rStyle w:val="InternetLink"/>
                  <w:rFonts w:ascii="Times New Roman" w:hAnsi="Times New Roman"/>
                  <w:sz w:val="20"/>
                </w:rPr>
                <w:t>Corporate Governance Guidelines and Code of Business Conduct and Ethics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7">
              <w:r>
                <w:rPr>
                  <w:rStyle w:val="InternetLink"/>
                  <w:rFonts w:ascii="Times New Roman" w:hAnsi="Times New Roman"/>
                  <w:sz w:val="20"/>
                </w:rPr>
                <w:t>Board Diversity</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8">
              <w:r>
                <w:rPr>
                  <w:rStyle w:val="InternetLink"/>
                  <w:rFonts w:ascii="Times New Roman" w:hAnsi="Times New Roman"/>
                  <w:sz w:val="20"/>
                </w:rPr>
                <w:t>Director Compensation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19">
              <w:r>
                <w:rPr>
                  <w:rStyle w:val="InternetLink"/>
                  <w:rFonts w:ascii="Times New Roman" w:hAnsi="Times New Roman"/>
                  <w:sz w:val="20"/>
                </w:rPr>
                <w:t>PROPOSAL NO. 1: ELECTION OF CLASS III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0">
              <w:r>
                <w:rPr>
                  <w:rStyle w:val="InternetLink"/>
                  <w:rFonts w:ascii="Times New Roman" w:hAnsi="Times New Roman"/>
                  <w:sz w:val="20"/>
                </w:rPr>
                <w:t>Nominees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1">
              <w:r>
                <w:rPr>
                  <w:rStyle w:val="InternetLink"/>
                  <w:rFonts w:ascii="Times New Roman" w:hAnsi="Times New Roman"/>
                  <w:sz w:val="20"/>
                </w:rPr>
                <w:t>Vote Required</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2">
              <w:r>
                <w:rPr>
                  <w:rStyle w:val="InternetLink"/>
                  <w:rFonts w:ascii="Times New Roman" w:hAnsi="Times New Roman"/>
                  <w:sz w:val="20"/>
                </w:rPr>
                <w:t>Board Recommendation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3">
              <w:r>
                <w:rPr>
                  <w:rStyle w:val="InternetLink"/>
                  <w:rFonts w:ascii="Times New Roman" w:hAnsi="Times New Roman"/>
                  <w:sz w:val="20"/>
                </w:rPr>
                <w:t>PROPOSAL NO. 2: RATIFICATION OF APPOINTMENT OF INDEPENDENT REGISTERED PUBLIC ACCOUNTING FIRM</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4">
              <w:r>
                <w:rPr>
                  <w:rStyle w:val="InternetLink"/>
                  <w:rFonts w:ascii="Times New Roman" w:hAnsi="Times New Roman"/>
                  <w:sz w:val="20"/>
                </w:rPr>
                <w:t>Fees Paid to the Independent Registered Public Accounting Firm</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5">
              <w:r>
                <w:rPr>
                  <w:rStyle w:val="InternetLink"/>
                  <w:rFonts w:ascii="Times New Roman" w:hAnsi="Times New Roman"/>
                  <w:sz w:val="20"/>
                </w:rPr>
                <w:t>Auditor Independence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6">
              <w:r>
                <w:rPr>
                  <w:rStyle w:val="InternetLink"/>
                  <w:rFonts w:ascii="Times New Roman" w:hAnsi="Times New Roman"/>
                  <w:sz w:val="20"/>
                </w:rPr>
                <w:t>Audit Committee Policy on Pre-Approval of Audit and Permissible Non-Audit Services of Independent Registered Public Accounting Firm</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7">
              <w:r>
                <w:rPr>
                  <w:rStyle w:val="InternetLink"/>
                  <w:rFonts w:ascii="Times New Roman" w:hAnsi="Times New Roman"/>
                  <w:sz w:val="20"/>
                </w:rPr>
                <w:t>Vote Required</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8">
              <w:r>
                <w:rPr>
                  <w:rStyle w:val="InternetLink"/>
                  <w:rFonts w:ascii="Times New Roman" w:hAnsi="Times New Roman"/>
                  <w:sz w:val="20"/>
                </w:rPr>
                <w:t>Board Recommendation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29">
              <w:r>
                <w:rPr>
                  <w:rStyle w:val="InternetLink"/>
                  <w:rFonts w:ascii="Times New Roman" w:hAnsi="Times New Roman"/>
                  <w:sz w:val="20"/>
                </w:rPr>
                <w:t>AUDIT COMMITTEE REPORT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0">
              <w:r>
                <w:rPr>
                  <w:rStyle w:val="InternetLink"/>
                  <w:rFonts w:ascii="Times New Roman" w:hAnsi="Times New Roman"/>
                  <w:sz w:val="20"/>
                </w:rPr>
                <w:t>EXECUTIVE OFFICERS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1">
              <w:r>
                <w:rPr>
                  <w:rStyle w:val="InternetLink"/>
                  <w:rFonts w:ascii="Times New Roman" w:hAnsi="Times New Roman"/>
                  <w:sz w:val="20"/>
                </w:rPr>
                <w:t>EXECUTIVE COMPENSATION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2">
              <w:r>
                <w:rPr>
                  <w:rStyle w:val="InternetLink"/>
                  <w:rFonts w:ascii="Times New Roman" w:hAnsi="Times New Roman"/>
                  <w:sz w:val="20"/>
                </w:rPr>
                <w:t>Processes and Procedures for Compensation Decisions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3">
              <w:r>
                <w:rPr>
                  <w:rStyle w:val="InternetLink"/>
                  <w:rFonts w:ascii="Times New Roman" w:hAnsi="Times New Roman"/>
                  <w:sz w:val="20"/>
                </w:rPr>
                <w:t>Summary Compensation Table for Fiscal 2023</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4">
              <w:r>
                <w:rPr>
                  <w:rStyle w:val="InternetLink"/>
                  <w:rFonts w:ascii="Times New Roman" w:hAnsi="Times New Roman"/>
                  <w:sz w:val="20"/>
                </w:rPr>
                <w:t>Employment Arrangements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5">
              <w:r>
                <w:rPr>
                  <w:rStyle w:val="InternetLink"/>
                  <w:rFonts w:ascii="Times New Roman" w:hAnsi="Times New Roman"/>
                  <w:sz w:val="20"/>
                </w:rPr>
                <w:t>Executive Change in Control and Severance Plan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6">
              <w:r>
                <w:rPr>
                  <w:rStyle w:val="InternetLink"/>
                  <w:rFonts w:ascii="Times New Roman" w:hAnsi="Times New Roman"/>
                  <w:sz w:val="20"/>
                </w:rPr>
                <w:t>Equity Plans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7">
              <w:r>
                <w:rPr>
                  <w:rStyle w:val="InternetLink"/>
                  <w:rFonts w:ascii="Times New Roman" w:hAnsi="Times New Roman"/>
                  <w:sz w:val="20"/>
                </w:rPr>
                <w:t>Executive Incentive Compensation Plan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8">
              <w:r>
                <w:rPr>
                  <w:rStyle w:val="InternetLink"/>
                  <w:rFonts w:ascii="Times New Roman" w:hAnsi="Times New Roman"/>
                  <w:sz w:val="20"/>
                </w:rPr>
                <w:t>Clawback Policy</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39">
              <w:r>
                <w:rPr>
                  <w:rStyle w:val="InternetLink"/>
                  <w:rFonts w:ascii="Times New Roman" w:hAnsi="Times New Roman"/>
                  <w:sz w:val="20"/>
                </w:rPr>
                <w:t>401(k) Plan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0">
              <w:r>
                <w:rPr>
                  <w:rStyle w:val="InternetLink"/>
                  <w:rFonts w:ascii="Times New Roman" w:hAnsi="Times New Roman"/>
                  <w:sz w:val="20"/>
                </w:rPr>
                <w:t xml:space="preserve">Outstanding Equity Awards at Fiscal 2023 Year-End </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1">
              <w:r>
                <w:rPr>
                  <w:rStyle w:val="InternetLink"/>
                  <w:rFonts w:ascii="Times New Roman" w:hAnsi="Times New Roman"/>
                  <w:sz w:val="20"/>
                </w:rPr>
                <w:t>Equity Compensation Plan Information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2">
              <w:r>
                <w:rPr>
                  <w:rStyle w:val="InternetLink"/>
                  <w:rFonts w:ascii="Times New Roman" w:hAnsi="Times New Roman"/>
                  <w:sz w:val="20"/>
                </w:rPr>
                <w:t>SECURITY OWNERSHIP OF CERTAIN BENEFICIAL OWNERS AND MANAGEMENT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3">
              <w:r>
                <w:rPr>
                  <w:rStyle w:val="InternetLink"/>
                  <w:rFonts w:ascii="Times New Roman" w:hAnsi="Times New Roman"/>
                  <w:sz w:val="20"/>
                </w:rPr>
                <w:t>RELATED PERSON TRANSACTIONS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4">
              <w:r>
                <w:rPr>
                  <w:rStyle w:val="InternetLink"/>
                  <w:rFonts w:ascii="Times New Roman" w:hAnsi="Times New Roman"/>
                  <w:sz w:val="20"/>
                </w:rPr>
                <w:t>Policies and Procedures for Related Person Transactions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5">
              <w:r>
                <w:rPr>
                  <w:rStyle w:val="InternetLink"/>
                  <w:rFonts w:ascii="Times New Roman" w:hAnsi="Times New Roman"/>
                  <w:sz w:val="20"/>
                </w:rPr>
                <w:t>OTHER MATTERS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6">
              <w:r>
                <w:rPr>
                  <w:rStyle w:val="InternetLink"/>
                  <w:rFonts w:ascii="Times New Roman" w:hAnsi="Times New Roman"/>
                  <w:sz w:val="20"/>
                </w:rPr>
                <w:t>Delinquent Section 16(a) Reports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656970_47">
              <w:r>
                <w:rPr>
                  <w:rStyle w:val="InternetLink"/>
                  <w:rFonts w:ascii="Times New Roman" w:hAnsi="Times New Roman"/>
                  <w:sz w:val="20"/>
                </w:rPr>
                <w:t>Fiscal Year 2023 Annual Report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2024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at 8:00 a.m. Pacific Time on Thursday, May 30, 2024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480" w:after="0"/>
        <w:jc w:val="center"/>
        <w:rPr>
          <w:rFonts w:ascii="Times New Roman" w:hAnsi="Times New Roman"/>
          <w:b/>
          <w:sz w:val="20"/>
        </w:rPr>
      </w:pPr>
      <w:bookmarkStart w:id="3" w:name="toc656970_1"/>
      <w:bookmarkEnd w:id="3"/>
      <w:r>
        <w:rPr>
          <w:rFonts w:ascii="Times New Roman" w:hAnsi="Times New Roman"/>
          <w:b/>
          <w:sz w:val="20"/>
        </w:rPr>
        <w:t xml:space="preserve">QUESTIONS AND ANSWERS ABOUT THE PROXY MATERIALS AND OUR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and the form of proxy are furnished in connection with the solicitation of proxies by our board of directors for use at the 2024 annual meeting of stockholders of Tenaya Therapeutics, Inc., a Delaware corporation, and any postponements, adjournments or continuations thereof. The annual meeting will be held on Thursday, May 30, 2024, at 8:00 a.m. Pacific Time. The annual meeting will be conducted virtually via a live audio webcast. You will be able to attend the annual meeting virtually by visiting www.proxydocs.com/TNYA, where you will be able to listen to the meeting live, submit questions and vote online during the meeting by entering the control number on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17, 2024, to all stockholders of record as of the close of business on April 1, 2024. The proxy materials and our annual report can be accessed as of April 17, 2024, by visiting www.proxydocs.com/TNYA.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 </w:t>
      </w:r>
    </w:p>
    <w:p>
      <w:pPr>
        <w:pStyle w:val="TextBody"/>
        <w:bidi w:val="0"/>
        <w:spacing w:before="360" w:after="0"/>
        <w:jc w:val="left"/>
        <w:rPr>
          <w:rFonts w:ascii="Times New Roman" w:hAnsi="Times New Roman"/>
          <w:b/>
          <w:sz w:val="20"/>
        </w:rPr>
      </w:pPr>
      <w:r>
        <w:rPr>
          <w:rFonts w:ascii="Times New Roman" w:hAnsi="Times New Roman"/>
          <w:b/>
          <w:sz w:val="20"/>
        </w:rPr>
        <w:t xml:space="preserve">What proposals will be voted 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proposals will be voted on at the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three Class III directors to hold office until our 2027 annual meeting of stockholders and until their respective successors are elected and qualified;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Deloitte &amp; Touche LLP as our independent registered public accounting firm for our fiscal year ending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our management and board of directors were not aware of any other matters to be presented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of directors recommend that I vote on these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recommends that you vote your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election of each Class III director nominee named in this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Deloitte &amp; Touche LLP as our independent registered public accounting firm for our fiscal year ending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Who is entitled to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as of the close of business on April 1, 2024, the record date for the annual meeting, may vote at the annual meeting. As of the record date, there were 78,517,534 shares of our common stock outstanding. Each share of common stock is entitled to one vote on each matter properly brought before the annual meeting. Stockholders are not permitted to cumulate votes with respect to the election of directors. </w:t>
      </w:r>
    </w:p>
    <w:p>
      <w:pPr>
        <w:pStyle w:val="TextBody"/>
        <w:bidi w:val="0"/>
        <w:spacing w:before="24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your shares of common stock are registered directly in your name with our transfer agent, Computershare Trust Company, N.A.,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Is there a list of registered stockholders entitled to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171 Oyster Point Boulevard, Suite 500, South San Francisco, CA 94080 by contacting our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quorum is the minimum number of shares required to be present or represented at the annual meeting for the meeting to be properly held under our amended and restated bylaws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Whether or not a quorum is present, the chairperson of the meeting may adjourn the meeting to another time or place.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are needed for approval of each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xml:space="preserve">: Each director is elected by a plurality of the voting power of the shares present in person (including virtually) or represented by proxy at the annual meeting and 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 If you WITHHOLD your vote as to all nominees, you will be deemed to have abstained from voting on Proposal No. 1, and such abstention will have no effect on the outcome of the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2</w:t>
            </w:r>
            <w:r>
              <w:rPr>
                <w:rFonts w:ascii="Times New Roman" w:hAnsi="Times New Roman"/>
                <w:sz w:val="20"/>
              </w:rPr>
              <w:t xml:space="preserve">: The ratification of the appointment of Deloitte &amp; Touche LLP as our independent registered public accounting firm for our fiscal year ending December 31, 2024,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Because this is a routine proposal, your broker, bank or other nominee will have discretion to vote your shares on this routine matter. See </w:t>
            </w:r>
            <w:r>
              <w:rPr>
                <w:rFonts w:ascii="Times New Roman" w:hAnsi="Times New Roman"/>
                <w:i/>
                <w:sz w:val="20"/>
              </w:rPr>
              <w:t>What if I do not specify how my shares are to be voted or fail to provide timely directions to my broker, bank or other nominee?</w:t>
            </w:r>
            <w:r>
              <w:rPr>
                <w:rFonts w:ascii="Times New Roman" w:hAnsi="Times New Roman"/>
                <w:sz w:val="20"/>
              </w:rPr>
              <w:t xml:space="preserve"> below. Therefore, we do not expect any broker non-votes on this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 I vote and what are the voting deadlines? </w:t>
      </w:r>
    </w:p>
    <w:p>
      <w:pPr>
        <w:pStyle w:val="TextBody"/>
        <w:bidi w:val="0"/>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you may vote in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Internet at www.proxypush.com/TNYA, 24 hours a day, 7 days a week, until 11:59 p.m. Eastern Time on May 29, 2024. To vote via the Internet prior to the annual meeting, go to www.proxydocs.com/TNYA to complete an electronic proxy card. You will be asked to provide the control number from the proxy card you receive. If you vote via the Internet prior to the annual meeting, you do not need to return a proxy card by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toll-free telephone at 1-866-475-3780, 24 hours a day, 7 days a week, until 11:59 p.m. Eastern Time on May 29, 2024. You will be asked to provide the control number from the proxy card. If you vote by telephone, you do not need to return a proxy card by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completing, signing and mailing your proxy card that accompanies this proxy statement, which must be received prior to the annual meeting.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annual meeting virtually by visiting www.proxydocs.com/TNYA, where you may vote during the meeting (have your Notice of Internet Availability or proxy card in hand when you visit the website). </w:t>
            </w:r>
          </w:p>
        </w:tc>
      </w:tr>
    </w:tbl>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do not specify how my shares are to be voted or fail to provide timely directions to my broker, bank or other nominee? </w:t>
      </w:r>
    </w:p>
    <w:p>
      <w:pPr>
        <w:pStyle w:val="TextBody"/>
        <w:bidi w:val="0"/>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and you submit a proxy, but you do not provide voting instructions, your shares will be voted: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election of each Class III director nominee named in this proxy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Deloitte &amp; Touche LLP as our independent registered public accounting firm for our fiscal year ending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any other matters are properly brought before the annual meeting, the persons named as proxies will be authorized to vote or otherwise act on those matters in accordance with their judgment.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Deloitte &amp; Touche LLP as our independent registered public accounting firm for our fiscal year ending December 31, 2024.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effects of abstentions and broker non-votes? </w:t>
      </w:r>
    </w:p>
    <w:p>
      <w:pPr>
        <w:pStyle w:val="TextBody"/>
        <w:bidi w:val="0"/>
        <w:spacing w:before="120" w:after="0"/>
        <w:jc w:val="left"/>
        <w:rPr>
          <w:rFonts w:ascii="Times New Roman" w:hAnsi="Times New Roman"/>
          <w:sz w:val="20"/>
        </w:rPr>
      </w:pPr>
      <w:r>
        <w:rPr>
          <w:rFonts w:ascii="Times New Roman" w:hAnsi="Times New Roman"/>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thereon or a majority of the voting power of the shares of capital stock of the Company outstanding as of the record date and entitled to vote thereon (</w:t>
      </w:r>
      <w:r>
        <w:rPr>
          <w:rFonts w:ascii="Times New Roman" w:hAnsi="Times New Roman"/>
          <w:i/>
          <w:sz w:val="20"/>
        </w:rPr>
        <w:t>e.g.</w:t>
      </w:r>
      <w:r>
        <w:rPr>
          <w:rFonts w:ascii="Times New Roman" w:hAnsi="Times New Roman"/>
          <w:sz w:val="20"/>
        </w:rPr>
        <w:t xml:space="preserve">, Proposal No. 2). However, because the outcome of Proposal No. 1 (election of directors) will be determined by a plurality vote, abstentions will have no impact on the outcome of such proposal as long as a quorum exists. </w:t>
      </w:r>
    </w:p>
    <w:p>
      <w:pPr>
        <w:pStyle w:val="TextBody"/>
        <w:bidi w:val="0"/>
        <w:spacing w:before="240" w:after="0"/>
        <w:jc w:val="left"/>
        <w:rPr>
          <w:rFonts w:ascii="Times New Roman" w:hAnsi="Times New Roman"/>
          <w:sz w:val="20"/>
        </w:rPr>
      </w:pPr>
      <w:r>
        <w:rPr>
          <w:rFonts w:ascii="Times New Roman" w:hAnsi="Times New Roman"/>
          <w:sz w:val="20"/>
        </w:rPr>
        <w:t xml:space="preserve">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Proposals No. 1 and 2.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or revoke my proxy? </w:t>
      </w:r>
    </w:p>
    <w:p>
      <w:pPr>
        <w:pStyle w:val="TextBody"/>
        <w:bidi w:val="0"/>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you can change your vote or revoke your proxy before the annual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a new vote by Internet or telephone (subject to the applicable deadlines for each method as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completing and returning a later-dated proxy card, which must be received prior to the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a written notice of revocation to our Secretary at Tenaya Therapeutics, Inc., 171 Oyster Point Boulevard, Suite 500, South San Francisco, CA 94080, Attention: Corporate Secretary, which must be received prior to the annual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virtually and voting at the annual meeting (although attendance at the annual meeting will not, by itself, revoke a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are a street name stockholder, then your broker, bank or other nominee can provide you with instructions on how to change or revoke your proxy. </w:t>
      </w:r>
    </w:p>
    <w:p>
      <w:pPr>
        <w:pStyle w:val="TextBody"/>
        <w:bidi w:val="0"/>
        <w:spacing w:before="360" w:after="0"/>
        <w:jc w:val="left"/>
        <w:rPr>
          <w:rFonts w:ascii="Times New Roman" w:hAnsi="Times New Roman"/>
          <w:b/>
          <w:sz w:val="20"/>
        </w:rPr>
      </w:pPr>
      <w:r>
        <w:rPr>
          <w:rFonts w:ascii="Times New Roman" w:hAnsi="Times New Roman"/>
          <w:b/>
          <w:sz w:val="20"/>
        </w:rPr>
        <w:t xml:space="preserve">What do I need to do to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be hosting the annual meeting via a live audio webcast only. </w:t>
      </w:r>
    </w:p>
    <w:p>
      <w:pPr>
        <w:pStyle w:val="TextBody"/>
        <w:bidi w:val="0"/>
        <w:spacing w:before="24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were a stockholder of record as of the record date, then you may attend the annual meeting virtually, and will be able to submit your questions during the meeting and vote your shares electronically during the meeting. To attend and participate in the annual meeting, you must register in advance at www.proxydocs.com/TNYA prior to the deadline of 7:59 a.m. Pacific Time on May 29, 2024. Upon completing your registration, you will receive further instructions via email, including your unique link that will allow you to access the annual meeting and to submit questions during the annual meeting. Stockholders are already provided the opportunity to submit questions prior to the annual meeting at the time of registration. The annual meeting via a live audio only webcast will begin promptly at 8:00 a.m. Pacific Time. We encourage you to access the meeting prior to the start time. Online check-in will begin at 7:45 a.m. Pacific Time on May 30, 2024, and you should allow ample time for the check-in procedures.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were a street name stockholder as of the record date and your voting instruction form or notice of internet availability 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get help if I have trouble checking in or listening to the annual meeting online? </w:t>
      </w:r>
    </w:p>
    <w:p>
      <w:pPr>
        <w:pStyle w:val="TextBody"/>
        <w:bidi w:val="0"/>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w:t>
      </w:r>
    </w:p>
    <w:p>
      <w:pPr>
        <w:pStyle w:val="TextBody"/>
        <w:bidi w:val="0"/>
        <w:spacing w:before="360" w:after="0"/>
        <w:jc w:val="left"/>
        <w:rPr>
          <w:rFonts w:ascii="Times New Roman" w:hAnsi="Times New Roman"/>
          <w:b/>
          <w:sz w:val="20"/>
        </w:rPr>
      </w:pPr>
      <w:r>
        <w:rPr>
          <w:rFonts w:ascii="Times New Roman" w:hAnsi="Times New Roman"/>
          <w:b/>
          <w:sz w:val="20"/>
        </w:rPr>
        <w:t xml:space="preserve">Why is the annual meeting held virtually?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a virtual annual meeting allows for participation by a broader group of stockholders and reduces the costs to stockholders associated with holding an in-person meeting. The virtual meeting format is intended to facilitate a level of transparency as close as possible to an in-person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effect of giving a proxy? </w:t>
      </w:r>
    </w:p>
    <w:p>
      <w:pPr>
        <w:pStyle w:val="TextBody"/>
        <w:bidi w:val="0"/>
        <w:spacing w:before="120" w:after="0"/>
        <w:jc w:val="left"/>
        <w:rPr>
          <w:rFonts w:ascii="Times New Roman" w:hAnsi="Times New Roman"/>
          <w:sz w:val="20"/>
        </w:rPr>
      </w:pPr>
      <w:r>
        <w:rPr>
          <w:rFonts w:ascii="Times New Roman" w:hAnsi="Times New Roman"/>
          <w:sz w:val="20"/>
        </w:rPr>
        <w:t xml:space="preserve">Proxies are solicited by and on behalf of our board of directors. Faraz Ali, our Chief Executive Officer, Leone D. Patterson, our Chief Financial and Business Officer, and Jennifer Drimmer Rokovich,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stockholders.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Who will count the votes? </w:t>
      </w:r>
    </w:p>
    <w:p>
      <w:pPr>
        <w:pStyle w:val="TextBody"/>
        <w:bidi w:val="0"/>
        <w:spacing w:before="120" w:after="0"/>
        <w:jc w:val="left"/>
        <w:rPr>
          <w:rFonts w:ascii="Times New Roman" w:hAnsi="Times New Roman"/>
          <w:sz w:val="20"/>
        </w:rPr>
      </w:pPr>
      <w:r>
        <w:rPr>
          <w:rFonts w:ascii="Times New Roman" w:hAnsi="Times New Roman"/>
          <w:sz w:val="20"/>
        </w:rPr>
        <w:t xml:space="preserve">A representative of Mediant Communications Inc. will tabulate the votes and act as inspector of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can I contact Tenayas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You may contact our transfer agent, Computershare Trust Company, N.A., by telephone at 800-736-3001, or by writing Computershare Trust Company, N.A, at 150 Royall Street, Canton, Massachusetts 02021. You may also access instructions with respect to certain stockholders matters (e.g., change of address) via the Internet at www-us.computershare.com. </w:t>
      </w:r>
    </w:p>
    <w:p>
      <w:pPr>
        <w:pStyle w:val="TextBody"/>
        <w:bidi w:val="0"/>
        <w:spacing w:before="360" w:after="0"/>
        <w:jc w:val="left"/>
        <w:rPr>
          <w:rFonts w:ascii="Times New Roman" w:hAnsi="Times New Roman"/>
          <w:b/>
          <w:sz w:val="20"/>
        </w:rPr>
      </w:pPr>
      <w:r>
        <w:rPr>
          <w:rFonts w:ascii="Times New Roman" w:hAnsi="Times New Roman"/>
          <w:b/>
          <w:sz w:val="20"/>
        </w:rPr>
        <w:t xml:space="preserve">How are proxies solicited for the annual meeting and who is paying for such solicitation?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I find the voting results of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Why did I receive a Notice of Internet Availability instead of a full set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Notice of Internet Availability or more than one set of printed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I share an address with another stockholder, and we received only one paper copy of the Notice of Internet Availability or proxy statement and annual report. How may I obtain an additional copy of the Notice of Internet Availability or proxy statement and annual report?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continue to be able to access and receive separate proxy cards. Upon written or oral request, we will deliver promptly a separate copy of the Notice of Internet Availability and, if applicable, the proxy statement and annual report, to any stockholders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 </w:t>
      </w:r>
    </w:p>
    <w:p>
      <w:pPr>
        <w:pStyle w:val="TextBody"/>
        <w:bidi w:val="0"/>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Tel: (650) 825-6990 </w:t>
      </w:r>
    </w:p>
    <w:p>
      <w:pPr>
        <w:pStyle w:val="TextBody"/>
        <w:bidi w:val="0"/>
        <w:spacing w:before="240" w:after="0"/>
        <w:jc w:val="left"/>
        <w:rPr>
          <w:rFonts w:ascii="Times New Roman" w:hAnsi="Times New Roman"/>
          <w:sz w:val="20"/>
        </w:rPr>
      </w:pPr>
      <w:r>
        <w:rPr>
          <w:rFonts w:ascii="Times New Roman" w:hAnsi="Times New Roman"/>
          <w:sz w:val="20"/>
        </w:rPr>
        <w:t xml:space="preserve">Street name stockholders may contact their broker, bank or other nominee to request information about householding.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deadline to propose actions for consideration at next years annual meeting of stockholders or to nominate individuals to serve as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2025 annual meeting of stockholders, our corporate secretary must receive the written proposal at our principal executive offices not later than December 18, 2024.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corporate secretary, which notice must contain the information specified in our Bylaws, provided that clause (iii) is the exclusive means under our Bylaws for stockholders to propose business other than such proposals as are properly made pursuant to the Exchange Act. To be timely for our 2025 annual meeting of stockholders, our corporate secretary must receive the written notice at our principal executive offices: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earlier than 8:00 a.m., Eastern time, January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later 5:00 p.m., Eastern time, than March 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we hold our 2025 annual meeting of stockholders more than 25 days before or after the first anniversary of the date of this years annual meeting, then notice of a stockholder proposal that is not intended to be included in our proxy statement must be received no earlier than 8:00 a.m., Eastern time, on the 120th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such annual meeting and no later than 5:00 p.m., Eastern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such annual meeting is first made.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does not appear to present his, her or its proposal at such annual meeting, we are not required to present the proposal for a vote at such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permit stockholders to nominate directors for election at an annual meeting of stockholders. To nominate a director, the stockholder must provide the information required by our Bylaws and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Availability of Bylaws </w:t>
      </w:r>
    </w:p>
    <w:p>
      <w:pPr>
        <w:pStyle w:val="TextBody"/>
        <w:bidi w:val="0"/>
        <w:spacing w:before="120" w:after="0"/>
        <w:jc w:val="left"/>
        <w:rPr>
          <w:rFonts w:ascii="Times New Roman" w:hAnsi="Times New Roman"/>
          <w:sz w:val="20"/>
        </w:rPr>
      </w:pPr>
      <w:r>
        <w:rPr>
          <w:rFonts w:ascii="Times New Roman" w:hAnsi="Times New Roman"/>
          <w:sz w:val="20"/>
        </w:rPr>
        <w:t xml:space="preserve">A copy of our Bylaws may be obtained by accessing our public filings on the SECs website at http://www.sec.gov. You may also contact our corporate secretary at our principal executive office for a copy of the relevant bylaw provisions regarding the requirements for making stockholder proposals and nominating director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656970_2"/>
      <w:bookmarkEnd w:id="4"/>
      <w:r>
        <w:rPr>
          <w:rFonts w:ascii="Times New Roman" w:hAnsi="Times New Roman"/>
          <w:b/>
          <w:sz w:val="20"/>
        </w:rPr>
        <w:t xml:space="preserve">BOARD OF DIRECTORS AND CORPORATE GOVERNANCE </w:t>
      </w:r>
    </w:p>
    <w:p>
      <w:pPr>
        <w:pStyle w:val="TextBody"/>
        <w:bidi w:val="0"/>
        <w:spacing w:before="360" w:after="0"/>
        <w:jc w:val="left"/>
        <w:rPr>
          <w:rFonts w:ascii="Times New Roman" w:hAnsi="Times New Roman"/>
          <w:b/>
          <w:sz w:val="20"/>
        </w:rPr>
      </w:pPr>
      <w:bookmarkStart w:id="5" w:name="toc656970_3"/>
      <w:bookmarkEnd w:id="5"/>
      <w:r>
        <w:rPr>
          <w:rFonts w:ascii="Times New Roman" w:hAnsi="Times New Roman"/>
          <w:b/>
          <w:sz w:val="20"/>
        </w:rPr>
        <w:t xml:space="preserve">Composition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ten (10) directors, nine (9)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 </w:t>
      </w:r>
    </w:p>
    <w:p>
      <w:pPr>
        <w:pStyle w:val="TextBody"/>
        <w:bidi w:val="0"/>
        <w:spacing w:before="240" w:after="0"/>
        <w:jc w:val="left"/>
        <w:rPr>
          <w:rFonts w:ascii="Times New Roman" w:hAnsi="Times New Roman"/>
          <w:sz w:val="20"/>
        </w:rPr>
      </w:pPr>
      <w:r>
        <w:rPr>
          <w:rFonts w:ascii="Times New Roman" w:hAnsi="Times New Roman"/>
          <w:sz w:val="20"/>
        </w:rPr>
        <w:t xml:space="preserve">Upon the recommendation of our corporate governance and nominating committee, we are nominating Faraz Ali, M.B.A., June Lee, M.D. and Deepak Srivastava, M.D., as Class III directors at the annual meeting. If elected, Drs. Lee and Srivastava and Mr. Ali will each hold office for a three-year term until the annual meeting of stockholders to be held in 2027 or until their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ages as of March 31, 2024, and certain other information for each of our directors and director nominees: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6"/>
        <w:gridCol w:w="60"/>
        <w:gridCol w:w="438"/>
        <w:gridCol w:w="60"/>
        <w:gridCol w:w="79"/>
        <w:gridCol w:w="346"/>
        <w:gridCol w:w="102"/>
        <w:gridCol w:w="60"/>
        <w:gridCol w:w="3695"/>
        <w:gridCol w:w="72"/>
        <w:gridCol w:w="93"/>
        <w:gridCol w:w="808"/>
        <w:gridCol w:w="87"/>
        <w:gridCol w:w="71"/>
        <w:gridCol w:w="92"/>
        <w:gridCol w:w="795"/>
        <w:gridCol w:w="72"/>
        <w:gridCol w:w="72"/>
        <w:gridCol w:w="122"/>
        <w:gridCol w:w="1054"/>
        <w:gridCol w:w="81"/>
      </w:tblGrid>
      <w:tr>
        <w:trPr/>
        <w:tc>
          <w:tcPr>
            <w:tcW w:w="19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r>
      <w:tr>
        <w:trPr/>
        <w:tc>
          <w:tcPr>
            <w:tcW w:w="19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4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w:t>
            </w:r>
          </w:p>
        </w:tc>
        <w:tc>
          <w:tcPr>
            <w:tcW w:w="60"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c>
          <w:tcPr>
            <w:tcW w:w="72"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Director</w:t>
              <w:br/>
              <w:t>Since</w:t>
            </w:r>
          </w:p>
        </w:tc>
        <w:tc>
          <w:tcPr>
            <w:tcW w:w="8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br/>
              <w:t>Term</w:t>
              <w:br/>
              <w:t>Expires</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w:t>
              <w:br/>
              <w:t>of Term</w:t>
              <w:br/>
              <w:t>for Which</w:t>
              <w:br/>
              <w:t>Nominated</w:t>
            </w:r>
          </w:p>
        </w:tc>
        <w:tc>
          <w:tcPr>
            <w:tcW w:w="81" w:type="dxa"/>
            <w:tcBorders/>
            <w:vAlign w:val="bottom"/>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Nominees for Director</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79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Faraz Ali, M.B.A.</w:t>
            </w:r>
          </w:p>
        </w:tc>
        <w:tc>
          <w:tcPr>
            <w:tcW w:w="60" w:type="dxa"/>
            <w:tcBorders/>
            <w:vAlign w:val="bottom"/>
          </w:tcPr>
          <w:p>
            <w:pPr>
              <w:pStyle w:val="TableContents"/>
              <w:bidi w:val="0"/>
              <w:spacing w:before="0" w:after="283"/>
              <w:jc w:val="left"/>
              <w:rPr/>
            </w:pPr>
            <w:r>
              <w:rPr/>
              <w:t> </w:t>
            </w:r>
          </w:p>
        </w:tc>
        <w:tc>
          <w:tcPr>
            <w:tcW w:w="438" w:type="dxa"/>
            <w:tcBorders/>
          </w:tcPr>
          <w:p>
            <w:pPr>
              <w:pStyle w:val="TableContents"/>
              <w:bidi w:val="0"/>
              <w:spacing w:before="0" w:after="283"/>
              <w:jc w:val="right"/>
              <w:rPr/>
            </w:pPr>
            <w:r>
              <w:rPr/>
              <w:t>III</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51</w:t>
            </w:r>
          </w:p>
        </w:tc>
        <w:tc>
          <w:tcPr>
            <w:tcW w:w="102"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283"/>
              <w:jc w:val="left"/>
              <w:rPr/>
            </w:pPr>
            <w:r>
              <w:rPr/>
              <w:t>Chief Executive Officer and 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808" w:type="dxa"/>
            <w:tcBorders/>
          </w:tcPr>
          <w:p>
            <w:pPr>
              <w:pStyle w:val="TableContents"/>
              <w:bidi w:val="0"/>
              <w:spacing w:before="0" w:after="283"/>
              <w:jc w:val="right"/>
              <w:rPr/>
            </w:pPr>
            <w:r>
              <w:rPr/>
              <w:t>2018</w:t>
            </w:r>
          </w:p>
        </w:tc>
        <w:tc>
          <w:tcPr>
            <w:tcW w:w="87" w:type="dxa"/>
            <w:tcBorders/>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95" w:type="dxa"/>
            <w:tcBorders/>
          </w:tcPr>
          <w:p>
            <w:pPr>
              <w:pStyle w:val="TableContents"/>
              <w:bidi w:val="0"/>
              <w:spacing w:before="0" w:after="283"/>
              <w:jc w:val="right"/>
              <w:rPr/>
            </w:pPr>
            <w:r>
              <w:rPr/>
              <w:t>2024</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2027</w:t>
            </w:r>
          </w:p>
        </w:tc>
        <w:tc>
          <w:tcPr>
            <w:tcW w:w="81" w:type="dxa"/>
            <w:tcBorders/>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Lee, M.D.(2)(4)</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tcPr>
          <w:p>
            <w:pPr>
              <w:pStyle w:val="TableContents"/>
              <w:bidi w:val="0"/>
              <w:spacing w:before="0" w:after="283"/>
              <w:jc w:val="right"/>
              <w:rPr/>
            </w:pPr>
            <w:r>
              <w:rPr/>
              <w:t>III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58</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5" w:type="dxa"/>
            <w:tcBorders/>
            <w:shd w:fill="CCEEFF" w:val="clear"/>
            <w:vAlign w:val="bottom"/>
          </w:tcPr>
          <w:p>
            <w:pPr>
              <w:pStyle w:val="TableContents"/>
              <w:bidi w:val="0"/>
              <w:spacing w:before="0" w:after="283"/>
              <w:jc w:val="left"/>
              <w:rPr/>
            </w:pPr>
            <w:r>
              <w:rPr/>
              <w:t>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808" w:type="dxa"/>
            <w:tcBorders/>
            <w:shd w:fill="CCEEFF" w:val="clear"/>
          </w:tcPr>
          <w:p>
            <w:pPr>
              <w:pStyle w:val="TableContents"/>
              <w:bidi w:val="0"/>
              <w:spacing w:before="0" w:after="283"/>
              <w:jc w:val="right"/>
              <w:rPr/>
            </w:pPr>
            <w:r>
              <w:rPr/>
              <w:t>2021</w:t>
            </w:r>
          </w:p>
        </w:tc>
        <w:tc>
          <w:tcPr>
            <w:tcW w:w="87" w:type="dxa"/>
            <w:tcBorders/>
            <w:shd w:fill="CCEEFF" w:val="clear"/>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2" w:type="dxa"/>
            <w:tcBorders/>
            <w:shd w:fill="CCEEFF" w:val="clear"/>
          </w:tcPr>
          <w:p>
            <w:pPr>
              <w:pStyle w:val="TableContents"/>
              <w:bidi w:val="0"/>
              <w:spacing w:before="0" w:after="283"/>
              <w:jc w:val="left"/>
              <w:rPr/>
            </w:pPr>
            <w:r>
              <w:rPr/>
              <w:t> </w:t>
            </w:r>
          </w:p>
        </w:tc>
        <w:tc>
          <w:tcPr>
            <w:tcW w:w="795" w:type="dxa"/>
            <w:tcBorders/>
            <w:shd w:fill="CCEEFF" w:val="clear"/>
          </w:tcPr>
          <w:p>
            <w:pPr>
              <w:pStyle w:val="TableContents"/>
              <w:bidi w:val="0"/>
              <w:spacing w:before="0" w:after="283"/>
              <w:jc w:val="right"/>
              <w:rPr/>
            </w:pPr>
            <w:r>
              <w:rPr/>
              <w:t>2024</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1054" w:type="dxa"/>
            <w:tcBorders/>
            <w:shd w:fill="CCEEFF" w:val="clear"/>
          </w:tcPr>
          <w:p>
            <w:pPr>
              <w:pStyle w:val="TableContents"/>
              <w:bidi w:val="0"/>
              <w:spacing w:before="0" w:after="283"/>
              <w:jc w:val="right"/>
              <w:rPr/>
            </w:pPr>
            <w:r>
              <w:rPr/>
              <w:t>2027</w:t>
            </w:r>
          </w:p>
        </w:tc>
        <w:tc>
          <w:tcPr>
            <w:tcW w:w="81" w:type="dxa"/>
            <w:tcBorders/>
            <w:shd w:fill="CCEEFF" w:val="clear"/>
          </w:tcPr>
          <w:p>
            <w:pPr>
              <w:pStyle w:val="TableContents"/>
              <w:bidi w:val="0"/>
              <w:spacing w:before="0" w:after="283"/>
              <w:jc w:val="left"/>
              <w:rPr/>
            </w:pPr>
            <w:r>
              <w:rPr/>
              <w:t> </w:t>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Deepak Srivastava, M.D.(3)(4)</w:t>
            </w:r>
          </w:p>
        </w:tc>
        <w:tc>
          <w:tcPr>
            <w:tcW w:w="60" w:type="dxa"/>
            <w:tcBorders/>
            <w:vAlign w:val="bottom"/>
          </w:tcPr>
          <w:p>
            <w:pPr>
              <w:pStyle w:val="TableContents"/>
              <w:bidi w:val="0"/>
              <w:spacing w:before="0" w:after="283"/>
              <w:jc w:val="left"/>
              <w:rPr/>
            </w:pPr>
            <w:r>
              <w:rPr/>
              <w:t> </w:t>
            </w:r>
          </w:p>
        </w:tc>
        <w:tc>
          <w:tcPr>
            <w:tcW w:w="438" w:type="dxa"/>
            <w:tcBorders/>
          </w:tcPr>
          <w:p>
            <w:pPr>
              <w:pStyle w:val="TableContents"/>
              <w:bidi w:val="0"/>
              <w:spacing w:before="0" w:after="283"/>
              <w:jc w:val="right"/>
              <w:rPr/>
            </w:pPr>
            <w:r>
              <w:rPr/>
              <w:t>III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57</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808" w:type="dxa"/>
            <w:tcBorders/>
          </w:tcPr>
          <w:p>
            <w:pPr>
              <w:pStyle w:val="TableContents"/>
              <w:bidi w:val="0"/>
              <w:spacing w:before="0" w:after="283"/>
              <w:jc w:val="right"/>
              <w:rPr/>
            </w:pPr>
            <w:r>
              <w:rPr/>
              <w:t>2016</w:t>
            </w:r>
          </w:p>
        </w:tc>
        <w:tc>
          <w:tcPr>
            <w:tcW w:w="87" w:type="dxa"/>
            <w:tcBorders/>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95" w:type="dxa"/>
            <w:tcBorders/>
          </w:tcPr>
          <w:p>
            <w:pPr>
              <w:pStyle w:val="TableContents"/>
              <w:bidi w:val="0"/>
              <w:spacing w:before="0" w:after="283"/>
              <w:jc w:val="right"/>
              <w:rPr/>
            </w:pPr>
            <w:r>
              <w:rPr/>
              <w:t>2024</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2027</w:t>
            </w:r>
          </w:p>
        </w:tc>
        <w:tc>
          <w:tcPr>
            <w:tcW w:w="81" w:type="dxa"/>
            <w:tcBorders/>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Continuing Directors</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sz w:val="4"/>
                <w:szCs w:val="4"/>
              </w:rPr>
            </w:pPr>
            <w:r>
              <w:rPr>
                <w:sz w:val="4"/>
                <w:szCs w:val="4"/>
              </w:rPr>
            </w:r>
          </w:p>
        </w:tc>
        <w:tc>
          <w:tcPr>
            <w:tcW w:w="808" w:type="dxa"/>
            <w:tcBorders/>
            <w:shd w:fill="CCEEFF" w:val="clear"/>
          </w:tcPr>
          <w:p>
            <w:pPr>
              <w:pStyle w:val="TableContents"/>
              <w:bidi w:val="0"/>
              <w:spacing w:before="0" w:after="283"/>
              <w:jc w:val="left"/>
              <w:rPr>
                <w:sz w:val="4"/>
                <w:szCs w:val="4"/>
              </w:rPr>
            </w:pPr>
            <w:r>
              <w:rPr>
                <w:sz w:val="4"/>
                <w:szCs w:val="4"/>
              </w:rPr>
            </w:r>
          </w:p>
        </w:tc>
        <w:tc>
          <w:tcPr>
            <w:tcW w:w="87" w:type="dxa"/>
            <w:tcBorders/>
            <w:shd w:fill="CCEEFF" w:val="clear"/>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2" w:type="dxa"/>
            <w:tcBorders/>
            <w:shd w:fill="CCEEFF" w:val="clear"/>
          </w:tcPr>
          <w:p>
            <w:pPr>
              <w:pStyle w:val="TableContents"/>
              <w:bidi w:val="0"/>
              <w:spacing w:before="0" w:after="283"/>
              <w:jc w:val="left"/>
              <w:rPr>
                <w:sz w:val="4"/>
                <w:szCs w:val="4"/>
              </w:rPr>
            </w:pPr>
            <w:r>
              <w:rPr>
                <w:sz w:val="4"/>
                <w:szCs w:val="4"/>
              </w:rPr>
            </w:r>
          </w:p>
        </w:tc>
        <w:tc>
          <w:tcPr>
            <w:tcW w:w="795" w:type="dxa"/>
            <w:tcBorders/>
            <w:shd w:fill="CCEEFF" w:val="clear"/>
          </w:tcPr>
          <w:p>
            <w:pPr>
              <w:pStyle w:val="TableContents"/>
              <w:bidi w:val="0"/>
              <w:spacing w:before="0" w:after="283"/>
              <w:jc w:val="left"/>
              <w:rPr>
                <w:sz w:val="4"/>
                <w:szCs w:val="4"/>
              </w:rPr>
            </w:pPr>
            <w:r>
              <w:rPr>
                <w:sz w:val="4"/>
                <w:szCs w:val="4"/>
              </w:rPr>
            </w:r>
          </w:p>
        </w:tc>
        <w:tc>
          <w:tcPr>
            <w:tcW w:w="72" w:type="dxa"/>
            <w:tcBorders/>
            <w:shd w:fill="CCEEFF" w:val="clear"/>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sz w:val="4"/>
                <w:szCs w:val="4"/>
              </w:rPr>
            </w:pPr>
            <w:r>
              <w:rPr>
                <w:sz w:val="4"/>
                <w:szCs w:val="4"/>
              </w:rPr>
            </w:r>
          </w:p>
        </w:tc>
        <w:tc>
          <w:tcPr>
            <w:tcW w:w="1054"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tcPr>
          <w:p>
            <w:pPr>
              <w:pStyle w:val="TableContents"/>
              <w:bidi w:val="0"/>
              <w:spacing w:before="0" w:after="283"/>
              <w:jc w:val="left"/>
              <w:rPr>
                <w:sz w:val="4"/>
                <w:szCs w:val="4"/>
              </w:rPr>
            </w:pPr>
            <w:r>
              <w:rPr>
                <w:sz w:val="4"/>
                <w:szCs w:val="4"/>
              </w:rPr>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David Goeddel, Ph.D.(3)</w:t>
            </w:r>
          </w:p>
        </w:tc>
        <w:tc>
          <w:tcPr>
            <w:tcW w:w="60" w:type="dxa"/>
            <w:tcBorders/>
            <w:vAlign w:val="bottom"/>
          </w:tcPr>
          <w:p>
            <w:pPr>
              <w:pStyle w:val="TableContents"/>
              <w:bidi w:val="0"/>
              <w:spacing w:before="0" w:after="283"/>
              <w:jc w:val="left"/>
              <w:rPr/>
            </w:pPr>
            <w:r>
              <w:rPr/>
              <w:t> </w:t>
            </w:r>
          </w:p>
        </w:tc>
        <w:tc>
          <w:tcPr>
            <w:tcW w:w="438" w:type="dxa"/>
            <w:tcBorders/>
          </w:tcPr>
          <w:p>
            <w:pPr>
              <w:pStyle w:val="TableContents"/>
              <w:bidi w:val="0"/>
              <w:spacing w:before="0" w:after="283"/>
              <w:jc w:val="right"/>
              <w:rPr/>
            </w:pPr>
            <w:r>
              <w:rPr/>
              <w:t>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72</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283"/>
              <w:jc w:val="left"/>
              <w:rPr/>
            </w:pPr>
            <w:r>
              <w:rPr/>
              <w:t>Chair and 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808" w:type="dxa"/>
            <w:tcBorders/>
          </w:tcPr>
          <w:p>
            <w:pPr>
              <w:pStyle w:val="TableContents"/>
              <w:bidi w:val="0"/>
              <w:spacing w:before="0" w:after="283"/>
              <w:jc w:val="right"/>
              <w:rPr/>
            </w:pPr>
            <w:r>
              <w:rPr/>
              <w:t>2016</w:t>
            </w:r>
          </w:p>
        </w:tc>
        <w:tc>
          <w:tcPr>
            <w:tcW w:w="87" w:type="dxa"/>
            <w:tcBorders/>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95" w:type="dxa"/>
            <w:tcBorders/>
          </w:tcPr>
          <w:p>
            <w:pPr>
              <w:pStyle w:val="TableContents"/>
              <w:bidi w:val="0"/>
              <w:spacing w:before="0" w:after="283"/>
              <w:jc w:val="right"/>
              <w:rPr/>
            </w:pPr>
            <w:r>
              <w:rPr/>
              <w:t>2025</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 </w:t>
            </w:r>
          </w:p>
        </w:tc>
        <w:tc>
          <w:tcPr>
            <w:tcW w:w="81" w:type="dxa"/>
            <w:tcBorders/>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Karah Parschauer, J.D.(1)</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46</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5" w:type="dxa"/>
            <w:tcBorders/>
            <w:shd w:fill="CCEEFF" w:val="clear"/>
            <w:vAlign w:val="bottom"/>
          </w:tcPr>
          <w:p>
            <w:pPr>
              <w:pStyle w:val="TableContents"/>
              <w:bidi w:val="0"/>
              <w:spacing w:before="0" w:after="283"/>
              <w:jc w:val="left"/>
              <w:rPr/>
            </w:pPr>
            <w:r>
              <w:rPr/>
              <w:t>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808" w:type="dxa"/>
            <w:tcBorders/>
            <w:shd w:fill="CCEEFF" w:val="clear"/>
          </w:tcPr>
          <w:p>
            <w:pPr>
              <w:pStyle w:val="TableContents"/>
              <w:bidi w:val="0"/>
              <w:spacing w:before="0" w:after="283"/>
              <w:jc w:val="right"/>
              <w:rPr/>
            </w:pPr>
            <w:r>
              <w:rPr/>
              <w:t>2021</w:t>
            </w:r>
          </w:p>
        </w:tc>
        <w:tc>
          <w:tcPr>
            <w:tcW w:w="87" w:type="dxa"/>
            <w:tcBorders/>
            <w:shd w:fill="CCEEFF" w:val="clear"/>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2" w:type="dxa"/>
            <w:tcBorders/>
            <w:shd w:fill="CCEEFF" w:val="clear"/>
          </w:tcPr>
          <w:p>
            <w:pPr>
              <w:pStyle w:val="TableContents"/>
              <w:bidi w:val="0"/>
              <w:spacing w:before="0" w:after="283"/>
              <w:jc w:val="left"/>
              <w:rPr/>
            </w:pPr>
            <w:r>
              <w:rPr/>
              <w:t> </w:t>
            </w:r>
          </w:p>
        </w:tc>
        <w:tc>
          <w:tcPr>
            <w:tcW w:w="795" w:type="dxa"/>
            <w:tcBorders/>
            <w:shd w:fill="CCEEFF" w:val="clear"/>
          </w:tcPr>
          <w:p>
            <w:pPr>
              <w:pStyle w:val="TableContents"/>
              <w:bidi w:val="0"/>
              <w:spacing w:before="0" w:after="283"/>
              <w:jc w:val="right"/>
              <w:rPr/>
            </w:pPr>
            <w:r>
              <w:rPr/>
              <w:t>2025</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1054" w:type="dxa"/>
            <w:tcBorders/>
            <w:shd w:fill="CCEEFF" w:val="clear"/>
          </w:tcPr>
          <w:p>
            <w:pPr>
              <w:pStyle w:val="TableContents"/>
              <w:bidi w:val="0"/>
              <w:spacing w:before="0" w:after="283"/>
              <w:jc w:val="right"/>
              <w:rPr/>
            </w:pPr>
            <w:r>
              <w:rPr/>
              <w:t> </w:t>
            </w:r>
          </w:p>
        </w:tc>
        <w:tc>
          <w:tcPr>
            <w:tcW w:w="81" w:type="dxa"/>
            <w:tcBorders/>
            <w:shd w:fill="CCEEFF" w:val="clear"/>
          </w:tcPr>
          <w:p>
            <w:pPr>
              <w:pStyle w:val="TableContents"/>
              <w:bidi w:val="0"/>
              <w:spacing w:before="0" w:after="283"/>
              <w:jc w:val="left"/>
              <w:rPr/>
            </w:pPr>
            <w:r>
              <w:rPr/>
              <w:t> </w:t>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Jeffrey T. Walsh, M.B.A.(1)(2)</w:t>
            </w:r>
          </w:p>
        </w:tc>
        <w:tc>
          <w:tcPr>
            <w:tcW w:w="60" w:type="dxa"/>
            <w:tcBorders/>
            <w:vAlign w:val="bottom"/>
          </w:tcPr>
          <w:p>
            <w:pPr>
              <w:pStyle w:val="TableContents"/>
              <w:bidi w:val="0"/>
              <w:spacing w:before="0" w:after="283"/>
              <w:jc w:val="left"/>
              <w:rPr/>
            </w:pPr>
            <w:r>
              <w:rPr/>
              <w:t> </w:t>
            </w:r>
          </w:p>
        </w:tc>
        <w:tc>
          <w:tcPr>
            <w:tcW w:w="438" w:type="dxa"/>
            <w:tcBorders/>
          </w:tcPr>
          <w:p>
            <w:pPr>
              <w:pStyle w:val="TableContents"/>
              <w:bidi w:val="0"/>
              <w:spacing w:before="0" w:after="283"/>
              <w:jc w:val="right"/>
              <w:rPr/>
            </w:pPr>
            <w:r>
              <w:rPr/>
              <w:t>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58</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808" w:type="dxa"/>
            <w:tcBorders/>
          </w:tcPr>
          <w:p>
            <w:pPr>
              <w:pStyle w:val="TableContents"/>
              <w:bidi w:val="0"/>
              <w:spacing w:before="0" w:after="283"/>
              <w:jc w:val="right"/>
              <w:rPr/>
            </w:pPr>
            <w:r>
              <w:rPr/>
              <w:t>2020</w:t>
            </w:r>
          </w:p>
        </w:tc>
        <w:tc>
          <w:tcPr>
            <w:tcW w:w="87" w:type="dxa"/>
            <w:tcBorders/>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95" w:type="dxa"/>
            <w:tcBorders/>
          </w:tcPr>
          <w:p>
            <w:pPr>
              <w:pStyle w:val="TableContents"/>
              <w:bidi w:val="0"/>
              <w:spacing w:before="0" w:after="283"/>
              <w:jc w:val="right"/>
              <w:rPr/>
            </w:pPr>
            <w:r>
              <w:rPr/>
              <w:t>2025</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 </w:t>
            </w:r>
          </w:p>
        </w:tc>
        <w:tc>
          <w:tcPr>
            <w:tcW w:w="81" w:type="dxa"/>
            <w:tcBorders/>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 Sanders Williams, M.D.(2)(4)</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75</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5" w:type="dxa"/>
            <w:tcBorders/>
            <w:shd w:fill="CCEEFF" w:val="clear"/>
            <w:vAlign w:val="bottom"/>
          </w:tcPr>
          <w:p>
            <w:pPr>
              <w:pStyle w:val="TableContents"/>
              <w:bidi w:val="0"/>
              <w:spacing w:before="0" w:after="283"/>
              <w:jc w:val="left"/>
              <w:rPr/>
            </w:pPr>
            <w:r>
              <w:rPr/>
              <w:t>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808" w:type="dxa"/>
            <w:tcBorders/>
            <w:shd w:fill="CCEEFF" w:val="clear"/>
          </w:tcPr>
          <w:p>
            <w:pPr>
              <w:pStyle w:val="TableContents"/>
              <w:bidi w:val="0"/>
              <w:spacing w:before="0" w:after="283"/>
              <w:jc w:val="right"/>
              <w:rPr/>
            </w:pPr>
            <w:r>
              <w:rPr/>
              <w:t>2016</w:t>
            </w:r>
          </w:p>
        </w:tc>
        <w:tc>
          <w:tcPr>
            <w:tcW w:w="87" w:type="dxa"/>
            <w:tcBorders/>
            <w:shd w:fill="CCEEFF" w:val="clear"/>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2" w:type="dxa"/>
            <w:tcBorders/>
            <w:shd w:fill="CCEEFF" w:val="clear"/>
          </w:tcPr>
          <w:p>
            <w:pPr>
              <w:pStyle w:val="TableContents"/>
              <w:bidi w:val="0"/>
              <w:spacing w:before="0" w:after="283"/>
              <w:jc w:val="left"/>
              <w:rPr/>
            </w:pPr>
            <w:r>
              <w:rPr/>
              <w:t> </w:t>
            </w:r>
          </w:p>
        </w:tc>
        <w:tc>
          <w:tcPr>
            <w:tcW w:w="795" w:type="dxa"/>
            <w:tcBorders/>
            <w:shd w:fill="CCEEFF" w:val="clear"/>
          </w:tcPr>
          <w:p>
            <w:pPr>
              <w:pStyle w:val="TableContents"/>
              <w:bidi w:val="0"/>
              <w:spacing w:before="0" w:after="283"/>
              <w:jc w:val="right"/>
              <w:rPr/>
            </w:pPr>
            <w:r>
              <w:rPr/>
              <w:t>2025</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1054" w:type="dxa"/>
            <w:tcBorders/>
            <w:shd w:fill="CCEEFF" w:val="clear"/>
          </w:tcPr>
          <w:p>
            <w:pPr>
              <w:pStyle w:val="TableContents"/>
              <w:bidi w:val="0"/>
              <w:spacing w:before="0" w:after="283"/>
              <w:jc w:val="right"/>
              <w:rPr/>
            </w:pPr>
            <w:r>
              <w:rPr/>
              <w:t> </w:t>
            </w:r>
          </w:p>
        </w:tc>
        <w:tc>
          <w:tcPr>
            <w:tcW w:w="81" w:type="dxa"/>
            <w:tcBorders/>
            <w:shd w:fill="CCEEFF" w:val="clear"/>
          </w:tcPr>
          <w:p>
            <w:pPr>
              <w:pStyle w:val="TableContents"/>
              <w:bidi w:val="0"/>
              <w:spacing w:before="0" w:after="283"/>
              <w:jc w:val="left"/>
              <w:rPr/>
            </w:pPr>
            <w:r>
              <w:rPr/>
              <w:t> </w:t>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Amy Burroughs, M.B.A.(1)</w:t>
            </w:r>
          </w:p>
        </w:tc>
        <w:tc>
          <w:tcPr>
            <w:tcW w:w="60" w:type="dxa"/>
            <w:tcBorders/>
            <w:vAlign w:val="bottom"/>
          </w:tcPr>
          <w:p>
            <w:pPr>
              <w:pStyle w:val="TableContents"/>
              <w:bidi w:val="0"/>
              <w:spacing w:before="0" w:after="283"/>
              <w:jc w:val="left"/>
              <w:rPr/>
            </w:pPr>
            <w:r>
              <w:rPr/>
              <w:t> </w:t>
            </w:r>
          </w:p>
        </w:tc>
        <w:tc>
          <w:tcPr>
            <w:tcW w:w="438" w:type="dxa"/>
            <w:tcBorders/>
          </w:tcPr>
          <w:p>
            <w:pPr>
              <w:pStyle w:val="TableContents"/>
              <w:bidi w:val="0"/>
              <w:spacing w:before="0" w:after="283"/>
              <w:jc w:val="right"/>
              <w:rPr/>
            </w:pPr>
            <w:r>
              <w:rPr/>
              <w:t>II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53</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808" w:type="dxa"/>
            <w:tcBorders/>
          </w:tcPr>
          <w:p>
            <w:pPr>
              <w:pStyle w:val="TableContents"/>
              <w:bidi w:val="0"/>
              <w:spacing w:before="0" w:after="283"/>
              <w:jc w:val="right"/>
              <w:rPr/>
            </w:pPr>
            <w:r>
              <w:rPr/>
              <w:t>2022</w:t>
            </w:r>
          </w:p>
        </w:tc>
        <w:tc>
          <w:tcPr>
            <w:tcW w:w="87" w:type="dxa"/>
            <w:tcBorders/>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95" w:type="dxa"/>
            <w:tcBorders/>
          </w:tcPr>
          <w:p>
            <w:pPr>
              <w:pStyle w:val="TableContents"/>
              <w:bidi w:val="0"/>
              <w:spacing w:before="0" w:after="283"/>
              <w:jc w:val="right"/>
              <w:rPr/>
            </w:pPr>
            <w:r>
              <w:rPr/>
              <w:t>2026</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 </w:t>
            </w:r>
          </w:p>
        </w:tc>
        <w:tc>
          <w:tcPr>
            <w:tcW w:w="81" w:type="dxa"/>
            <w:tcBorders/>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Jin-Long Chen, Ph.D.(3)</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tcPr>
          <w:p>
            <w:pPr>
              <w:pStyle w:val="TableContents"/>
              <w:bidi w:val="0"/>
              <w:spacing w:before="0" w:after="283"/>
              <w:jc w:val="right"/>
              <w:rPr/>
            </w:pPr>
            <w:r>
              <w:rPr/>
              <w:t>II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61</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5" w:type="dxa"/>
            <w:tcBorders/>
            <w:shd w:fill="CCEEFF" w:val="clear"/>
            <w:vAlign w:val="bottom"/>
          </w:tcPr>
          <w:p>
            <w:pPr>
              <w:pStyle w:val="TableContents"/>
              <w:bidi w:val="0"/>
              <w:spacing w:before="0" w:after="283"/>
              <w:jc w:val="left"/>
              <w:rPr/>
            </w:pPr>
            <w:r>
              <w:rPr/>
              <w:t>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808" w:type="dxa"/>
            <w:tcBorders/>
            <w:shd w:fill="CCEEFF" w:val="clear"/>
          </w:tcPr>
          <w:p>
            <w:pPr>
              <w:pStyle w:val="TableContents"/>
              <w:bidi w:val="0"/>
              <w:spacing w:before="0" w:after="283"/>
              <w:jc w:val="right"/>
              <w:rPr/>
            </w:pPr>
            <w:r>
              <w:rPr/>
              <w:t>2016</w:t>
            </w:r>
          </w:p>
        </w:tc>
        <w:tc>
          <w:tcPr>
            <w:tcW w:w="87" w:type="dxa"/>
            <w:tcBorders/>
            <w:shd w:fill="CCEEFF" w:val="clear"/>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2" w:type="dxa"/>
            <w:tcBorders/>
            <w:shd w:fill="CCEEFF" w:val="clear"/>
          </w:tcPr>
          <w:p>
            <w:pPr>
              <w:pStyle w:val="TableContents"/>
              <w:bidi w:val="0"/>
              <w:spacing w:before="0" w:after="283"/>
              <w:jc w:val="left"/>
              <w:rPr/>
            </w:pPr>
            <w:r>
              <w:rPr/>
              <w:t> </w:t>
            </w:r>
          </w:p>
        </w:tc>
        <w:tc>
          <w:tcPr>
            <w:tcW w:w="795" w:type="dxa"/>
            <w:tcBorders/>
            <w:shd w:fill="CCEEFF" w:val="clear"/>
          </w:tcPr>
          <w:p>
            <w:pPr>
              <w:pStyle w:val="TableContents"/>
              <w:bidi w:val="0"/>
              <w:spacing w:before="0" w:after="283"/>
              <w:jc w:val="right"/>
              <w:rPr/>
            </w:pPr>
            <w:r>
              <w:rPr/>
              <w:t>2026</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1054" w:type="dxa"/>
            <w:tcBorders/>
            <w:shd w:fill="CCEEFF" w:val="clear"/>
          </w:tcPr>
          <w:p>
            <w:pPr>
              <w:pStyle w:val="TableContents"/>
              <w:bidi w:val="0"/>
              <w:spacing w:before="0" w:after="283"/>
              <w:jc w:val="right"/>
              <w:rPr/>
            </w:pPr>
            <w:r>
              <w:rPr/>
              <w:t> </w:t>
            </w:r>
          </w:p>
        </w:tc>
        <w:tc>
          <w:tcPr>
            <w:tcW w:w="81" w:type="dxa"/>
            <w:tcBorders/>
            <w:shd w:fill="CCEEFF" w:val="clear"/>
          </w:tcPr>
          <w:p>
            <w:pPr>
              <w:pStyle w:val="TableContents"/>
              <w:bidi w:val="0"/>
              <w:spacing w:before="0" w:after="283"/>
              <w:jc w:val="left"/>
              <w:rPr/>
            </w:pPr>
            <w:r>
              <w:rPr/>
              <w:t> </w:t>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Catherine Stehman-Breen, M.D.(4)</w:t>
            </w:r>
          </w:p>
        </w:tc>
        <w:tc>
          <w:tcPr>
            <w:tcW w:w="60" w:type="dxa"/>
            <w:tcBorders/>
            <w:vAlign w:val="bottom"/>
          </w:tcPr>
          <w:p>
            <w:pPr>
              <w:pStyle w:val="TableContents"/>
              <w:bidi w:val="0"/>
              <w:spacing w:before="0" w:after="283"/>
              <w:jc w:val="left"/>
              <w:rPr/>
            </w:pPr>
            <w:r>
              <w:rPr/>
              <w:t> </w:t>
            </w:r>
          </w:p>
        </w:tc>
        <w:tc>
          <w:tcPr>
            <w:tcW w:w="438" w:type="dxa"/>
            <w:tcBorders/>
          </w:tcPr>
          <w:p>
            <w:pPr>
              <w:pStyle w:val="TableContents"/>
              <w:bidi w:val="0"/>
              <w:spacing w:before="0" w:after="283"/>
              <w:jc w:val="right"/>
              <w:rPr/>
            </w:pPr>
            <w:r>
              <w:rPr/>
              <w:t>II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61</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808" w:type="dxa"/>
            <w:tcBorders/>
          </w:tcPr>
          <w:p>
            <w:pPr>
              <w:pStyle w:val="TableContents"/>
              <w:bidi w:val="0"/>
              <w:spacing w:before="0" w:after="283"/>
              <w:jc w:val="right"/>
              <w:rPr/>
            </w:pPr>
            <w:r>
              <w:rPr/>
              <w:t>2020</w:t>
            </w:r>
          </w:p>
        </w:tc>
        <w:tc>
          <w:tcPr>
            <w:tcW w:w="87" w:type="dxa"/>
            <w:tcBorders/>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95" w:type="dxa"/>
            <w:tcBorders/>
          </w:tcPr>
          <w:p>
            <w:pPr>
              <w:pStyle w:val="TableContents"/>
              <w:bidi w:val="0"/>
              <w:spacing w:before="0" w:after="283"/>
              <w:jc w:val="right"/>
              <w:rPr/>
            </w:pPr>
            <w:r>
              <w:rPr/>
              <w:t>2026</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1054" w:type="dxa"/>
            <w:tcBorders/>
          </w:tcPr>
          <w:p>
            <w:pPr>
              <w:pStyle w:val="TableContents"/>
              <w:bidi w:val="0"/>
              <w:spacing w:before="0" w:after="283"/>
              <w:jc w:val="right"/>
              <w:rPr/>
            </w:pPr>
            <w:r>
              <w:rPr/>
              <w:t> </w:t>
            </w:r>
          </w:p>
        </w:tc>
        <w:tc>
          <w:tcPr>
            <w:tcW w:w="81" w:type="dxa"/>
            <w:tcBorders/>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compensation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corporate governance and nominating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science and technology committee </w:t>
            </w:r>
          </w:p>
        </w:tc>
      </w:tr>
    </w:tbl>
    <w:p>
      <w:pPr>
        <w:pStyle w:val="TextBody"/>
        <w:bidi w:val="0"/>
        <w:spacing w:before="360" w:after="0"/>
        <w:jc w:val="left"/>
        <w:rPr>
          <w:rFonts w:ascii="Times New Roman" w:hAnsi="Times New Roman"/>
          <w:b/>
          <w:sz w:val="20"/>
        </w:rPr>
      </w:pPr>
      <w:bookmarkStart w:id="6" w:name="toc656970_4"/>
      <w:bookmarkEnd w:id="6"/>
      <w:r>
        <w:rPr>
          <w:rFonts w:ascii="Times New Roman" w:hAnsi="Times New Roman"/>
          <w:b/>
          <w:sz w:val="20"/>
        </w:rPr>
        <w:t xml:space="preserve">Class III Nominees for Director </w:t>
      </w:r>
    </w:p>
    <w:p>
      <w:pPr>
        <w:pStyle w:val="TextBody"/>
        <w:bidi w:val="0"/>
        <w:spacing w:before="120" w:after="0"/>
        <w:jc w:val="left"/>
        <w:rPr>
          <w:rFonts w:ascii="Times New Roman" w:hAnsi="Times New Roman"/>
          <w:sz w:val="20"/>
        </w:rPr>
      </w:pPr>
      <w:r>
        <w:rPr>
          <w:rFonts w:ascii="Times New Roman" w:hAnsi="Times New Roman"/>
          <w:b/>
          <w:i/>
          <w:sz w:val="20"/>
        </w:rPr>
        <w:t>Faraz Ali, M.B.A.</w:t>
      </w:r>
      <w:r>
        <w:rPr>
          <w:rFonts w:ascii="Times New Roman" w:hAnsi="Times New Roman"/>
          <w:sz w:val="20"/>
        </w:rPr>
        <w:t xml:space="preserve">, has served as our Chief Executive Officer since June 2018 and as a member of our board of directors since September 2018. Prior to joining us, Mr. Ali was Chief Business Officer at REGENXBIO, a publicly traded biotechnology company, from February 2016 to January 2018. From May 2011 to February 2016, he served as Vice President, Global Commercial Development and External Affairs at bluebird bio, a publicly traded biotechnology company. From August 2001 to November 2010, Mr. Ali held various roles at Genzyme, including Head of U.S. Marketing and Strategic Planning for the rare disease business unit. Prior to Genzyme, he served in leadership roles at GE Corporate and GE Healthcare. Mr. Ali is a member of the Board of Directors of the Alliance for Regenerative Medicine. He holds a B.S. in Electrical Engineering from Stanford University and an M.B.A. with distinction from Harvard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We believe Mr. Ali is qualified to serve on our board of directors because of the perspective and experience he brings as our Chief Executive Officer, his experience in leadership and corporate development positions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biotechnology industry and with companies focused on gene therapies and therapies for rare and orphan diseases, and his educational background. </w:t>
      </w:r>
    </w:p>
    <w:p>
      <w:pPr>
        <w:pStyle w:val="TextBody"/>
        <w:bidi w:val="0"/>
        <w:spacing w:before="240" w:after="0"/>
        <w:jc w:val="left"/>
        <w:rPr>
          <w:rFonts w:ascii="Times New Roman" w:hAnsi="Times New Roman"/>
          <w:sz w:val="20"/>
        </w:rPr>
      </w:pPr>
      <w:r>
        <w:rPr>
          <w:rFonts w:ascii="Times New Roman" w:hAnsi="Times New Roman"/>
          <w:b/>
          <w:i/>
          <w:sz w:val="20"/>
        </w:rPr>
        <w:t>June Lee, M.D.</w:t>
      </w:r>
      <w:r>
        <w:rPr>
          <w:rFonts w:ascii="Times New Roman" w:hAnsi="Times New Roman"/>
          <w:sz w:val="20"/>
        </w:rPr>
        <w:t xml:space="preserve">, has served as a member of our board of directors since November 2021. Dr. Lee joined 5AM Ventures as a Venture Partner in July 2022. From February 2021 to November 2021, Dr. Lee served as Founder and Chief Executive Officer at Alumis Inc. (formerly known as Esker Therapeutics), a precision medicine company developing treatments for autoimmune diseases. From January 2017 until June 2020, Dr. Lee was Chief Development Officer and Chief Operating Officer of MyoKardia, Inc. (MyoKardia), a clinical stage biotechnology company with a focus on precision cardiovascular medicines. Prior to MyoKardia, from April 2011 to January 2017, Dr. Lee was Professor of Medicine at the University of California, San Francisco (UCSF) School of Medicine, where she served as Director of Translational Research. She is also the founding chair of the University of California Drug, Device, Discovery and Development Group. Previously, from March 2004 to April 2011, she was therapeutic area head in early clinical development in cardiovascular, metabolism, respiratory, and infectious diseases at Genentech. Dr. Lee is a member of the Board of Directors of Eledon Pharmaceuticals, Inc., and Abivax S.A., each publicly traded biotechnology companies and GenEdit, a privately held biotechnology company. She previously served as a member of the Board of Directors of CinCor Pharma, a publicly traded biotechnology company, from January 2022 until its acquisition by AstraZeneca Finance and Holdings Inc. in February 2023. Dr. Lee is also a member of and the Council of Korean Americans, of which she previously served as Chair. She is a founding member of the Translational Research Advisory Council of South Koreas MOGAM Research Institute, and the MTRAC for Life Sciences Innovation Hub Therapeutic/Diagnostic Oversight Committee, a unit associated with the University of Michigan Medical School. Dr. Lee currently serves on Johns Hopkins University Center for Therapeutic Translations Advisory Board, and on the Scientific Advisory Boards for Aer Therapeutics, Inc. and Foresite Labs. She completed a Bachelor of Science in chemistry at the Johns Hopkins University, an M.D. at the School of Medicine at University of California, Davis, and her clinical training in internal medicine and pulmonary and critical care at the University of California, Los Angeles and UCSF. </w:t>
      </w:r>
    </w:p>
    <w:p>
      <w:pPr>
        <w:pStyle w:val="TextBody"/>
        <w:bidi w:val="0"/>
        <w:spacing w:before="240" w:after="0"/>
        <w:jc w:val="left"/>
        <w:rPr>
          <w:rFonts w:ascii="Times New Roman" w:hAnsi="Times New Roman"/>
          <w:sz w:val="20"/>
        </w:rPr>
      </w:pPr>
      <w:r>
        <w:rPr>
          <w:rFonts w:ascii="Times New Roman" w:hAnsi="Times New Roman"/>
          <w:sz w:val="20"/>
        </w:rPr>
        <w:t xml:space="preserve">We believe Dr. Lee is qualified to serve on our board of directors because of her extensive scientific background, medical training, expertise in the cardiovascular field, and executive leadership experience in our industry. </w:t>
      </w:r>
    </w:p>
    <w:p>
      <w:pPr>
        <w:pStyle w:val="TextBody"/>
        <w:bidi w:val="0"/>
        <w:spacing w:before="240" w:after="0"/>
        <w:jc w:val="left"/>
        <w:rPr>
          <w:rFonts w:ascii="Times New Roman" w:hAnsi="Times New Roman"/>
          <w:sz w:val="20"/>
        </w:rPr>
      </w:pPr>
      <w:r>
        <w:rPr>
          <w:rFonts w:ascii="Times New Roman" w:hAnsi="Times New Roman"/>
          <w:b/>
          <w:i/>
          <w:sz w:val="20"/>
        </w:rPr>
        <w:t>Deepak Srivastava, M.D.</w:t>
      </w:r>
      <w:r>
        <w:rPr>
          <w:rFonts w:ascii="Times New Roman" w:hAnsi="Times New Roman"/>
          <w:sz w:val="20"/>
        </w:rPr>
        <w:t xml:space="preserve">, has served as a member of our board of directors since October 2016. Dr. Srivastava has been a consultant for our company since September 2016 and Chairman of our Scientific Advisory Board since October 2016. Dr. Srivastava has been President of Gladstone Institutes since January 2018. He is currently the Robert W. and Linda Mahley Distinguished Professor and a senior investigator at the Gladstone Institute of Cardiovascular Disease and director of the Roddenberry Stem Cell Center. Since 2005, Dr. Srivastava has been a professor in the Departments of Pediatrics and Biochemistry and Biophysics at the University of California, San Francisco, and he is the Wilma and Adeline Pirag Distinguished Professor in pediatric developmental cardiology. He is a past 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 </w:t>
      </w:r>
    </w:p>
    <w:p>
      <w:pPr>
        <w:pStyle w:val="TextBody"/>
        <w:bidi w:val="0"/>
        <w:spacing w:before="240" w:after="0"/>
        <w:jc w:val="left"/>
        <w:rPr>
          <w:rFonts w:ascii="Times New Roman" w:hAnsi="Times New Roman"/>
          <w:sz w:val="20"/>
        </w:rPr>
      </w:pPr>
      <w:r>
        <w:rPr>
          <w:rFonts w:ascii="Times New Roman" w:hAnsi="Times New Roman"/>
          <w:sz w:val="20"/>
        </w:rPr>
        <w:t xml:space="preserve">We believe Dr. Srivastava is qualified to serve on our board because of his scientific and educational background and his extensive expertise in the cardiovascular field and as a co-founder of the Company with specific expertise in the science of using direct in vivo reprogramming approach to cellular regeneration and human iPS-derived cardiomyocytes for drug discovery. </w:t>
      </w:r>
    </w:p>
    <w:p>
      <w:pPr>
        <w:pStyle w:val="TextBody"/>
        <w:bidi w:val="0"/>
        <w:spacing w:before="360" w:after="0"/>
        <w:jc w:val="left"/>
        <w:rPr>
          <w:rFonts w:ascii="Times New Roman" w:hAnsi="Times New Roman"/>
          <w:b/>
          <w:sz w:val="20"/>
        </w:rPr>
      </w:pPr>
      <w:bookmarkStart w:id="7" w:name="toc656970_5"/>
      <w:bookmarkEnd w:id="7"/>
      <w:r>
        <w:rPr>
          <w:rFonts w:ascii="Times New Roman" w:hAnsi="Times New Roman"/>
          <w:b/>
          <w:sz w:val="20"/>
        </w:rPr>
        <w:t xml:space="preserve">Continuing Directors </w:t>
      </w:r>
    </w:p>
    <w:p>
      <w:pPr>
        <w:pStyle w:val="TextBody"/>
        <w:bidi w:val="0"/>
        <w:spacing w:before="120" w:after="0"/>
        <w:jc w:val="left"/>
        <w:rPr>
          <w:rFonts w:ascii="Times New Roman" w:hAnsi="Times New Roman"/>
          <w:sz w:val="20"/>
        </w:rPr>
      </w:pPr>
      <w:r>
        <w:rPr>
          <w:rFonts w:ascii="Times New Roman" w:hAnsi="Times New Roman"/>
          <w:b/>
          <w:i/>
          <w:sz w:val="20"/>
        </w:rPr>
        <w:t>David Goeddel, Ph.D.</w:t>
      </w:r>
      <w:r>
        <w:rPr>
          <w:rFonts w:ascii="Times New Roman" w:hAnsi="Times New Roman"/>
          <w:sz w:val="20"/>
        </w:rPr>
        <w:t xml:space="preserve">, has served as a member of our board of directors since August 2016. Dr. Goeddel has served as a Managing Partner of The Column Group, a venture capital firm, since 2007. Dr. Goeddel is a member of the board of directors of NGM, A2 Biotherapeutics, Inc. (Chairman) and Hexagon Bio, Inc. (Chairman),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privately held biopharmaceutical companies. He previously served as a member of the board of directors for multiple other publicly and privately held companies, including most recently, RAPT Therapeutics, Inc., Nura Bio Inc., Surrozen, Inc., Exonics Therapeutics, Inc. and Peloton Therapeutics, Inc. Dr. Goeddel co-founded Tularik, Inc. (Tularik) in November 1991, was Vice President of Research until 1996, and served as Chief Executive Officer from 1996 until 2004. He then served as the first Senior Vice President of Amgen, Inc. (Amgen)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He holds a B.A. in chemistry from the University of California, San Diego and a Ph.D. in biochemistry from the University of Colorado. </w:t>
      </w:r>
    </w:p>
    <w:p>
      <w:pPr>
        <w:pStyle w:val="TextBody"/>
        <w:bidi w:val="0"/>
        <w:spacing w:before="240" w:after="0"/>
        <w:jc w:val="left"/>
        <w:rPr>
          <w:rFonts w:ascii="Times New Roman" w:hAnsi="Times New Roman"/>
          <w:sz w:val="20"/>
        </w:rPr>
      </w:pPr>
      <w:r>
        <w:rPr>
          <w:rFonts w:ascii="Times New Roman" w:hAnsi="Times New Roman"/>
          <w:sz w:val="20"/>
        </w:rPr>
        <w:t xml:space="preserve">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 </w:t>
      </w:r>
    </w:p>
    <w:p>
      <w:pPr>
        <w:pStyle w:val="TextBody"/>
        <w:bidi w:val="0"/>
        <w:spacing w:before="240" w:after="0"/>
        <w:jc w:val="left"/>
        <w:rPr>
          <w:rFonts w:ascii="Times New Roman" w:hAnsi="Times New Roman"/>
          <w:sz w:val="20"/>
        </w:rPr>
      </w:pPr>
      <w:r>
        <w:rPr>
          <w:rFonts w:ascii="Times New Roman" w:hAnsi="Times New Roman"/>
          <w:b/>
          <w:i/>
          <w:sz w:val="20"/>
        </w:rPr>
        <w:t>Karah Parschauer, J.D.</w:t>
      </w:r>
      <w:r>
        <w:rPr>
          <w:rFonts w:ascii="Times New Roman" w:hAnsi="Times New Roman"/>
          <w:sz w:val="20"/>
        </w:rPr>
        <w:t xml:space="preserve">, has served as a member of our board of directors since December 2021. In June 2016, Ms. Parschauer began serving as the General Counsel and Executive Vice President and is currently serving as Chief Legal Officer and Executive Vice President, Corporate Affairs of Ultragenyx Pharmaceutical Inc., a publicly traded biopharmaceutical company developing treatments for rare and ultra-rare genetic diseases. From June 2005 to June 2016, Ms. Parschauer served in various executive capacities, and most recently as Vice President, Associate General Counsel, at Allergan plc, a pharmaceutical company. Before Allergan, Ms. Parschauer was an attorney at Latham &amp; Watkins LLP, where she practiced in the areas of mergers and acquisitions, securities offerings and corporate governance. Ms. Parschauer is a member of the board of directors of Evolus, Inc., a publicly traded performance beauty company. She previously served as a member of the board of directors of Arcturus Therapeutics Holdings Inc., and Anebulo Pharmaceuticals, Inc. Ms. Parschauer holds a B.A. in biology from Miami University and a J.D. from Harvard Law School. </w:t>
      </w:r>
    </w:p>
    <w:p>
      <w:pPr>
        <w:pStyle w:val="TextBody"/>
        <w:bidi w:val="0"/>
        <w:spacing w:before="240" w:after="0"/>
        <w:jc w:val="left"/>
        <w:rPr>
          <w:rFonts w:ascii="Times New Roman" w:hAnsi="Times New Roman"/>
          <w:sz w:val="20"/>
        </w:rPr>
      </w:pPr>
      <w:r>
        <w:rPr>
          <w:rFonts w:ascii="Times New Roman" w:hAnsi="Times New Roman"/>
          <w:sz w:val="20"/>
        </w:rPr>
        <w:t xml:space="preserve">We believe Ms. Parschauer is qualified to serve on our board of directors because of her extensive experience as an executive in the life sciences sector, her legal expertise, and her experience as a public company board member within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Jeffrey T. Walsh, M.B.A.</w:t>
      </w:r>
      <w:r>
        <w:rPr>
          <w:rFonts w:ascii="Times New Roman" w:hAnsi="Times New Roman"/>
          <w:sz w:val="20"/>
        </w:rPr>
        <w:t xml:space="preserve">, has served as a member of our board of directors since March 2020. In April 2023, Mr. Walsh began serving as Chief Executive Officer of Nvelop Therapeutics, Inc., a private biotechnology company focused on genetic medicines. From January 2022 through April 2023, Mr. Walsh served as a part-time venture partner at Third Rock Ventures. Previously, between May 2011 and March 2021, he served in various roles at bluebird bio, Inc., including most recently as Strategic Advisor,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Mr. Walsh serves as a member of the Board of Tevard Biosciences, a private biotechnology company. He received a B.A. in sociology and economics from Yale University and an M.B.A. from the Kellogg Graduate School of Management at Northwestern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 Sanders (Sandy) Williams, M.D.</w:t>
      </w:r>
      <w:r>
        <w:rPr>
          <w:rFonts w:ascii="Times New Roman" w:hAnsi="Times New Roman"/>
          <w:i/>
          <w:sz w:val="20"/>
        </w:rPr>
        <w:t>,</w:t>
      </w:r>
      <w:r>
        <w:rPr>
          <w:rFonts w:ascii="Times New Roman" w:hAnsi="Times New Roman"/>
          <w:sz w:val="20"/>
        </w:rPr>
        <w:t xml:space="preserve"> has served as a member of our board of directors since October 2016.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Science &amp; Technology at Duke University and, from February 2021-January 2022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and Amgen, both publicly traded companies, and Scion Neurotism, Inc., a private biotechnology company. Dr. Williams was elected to the National Academy of Medicine in 2002. Dr. Williams received an A.B. from Princeton University and an M.D. from Duke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Dr. Williams is qualified to serve on our board because of his scientific and educational background, his extensive expertise in the cardiovascular field, and his experience as a public company board member, including within the biotechnology industry. </w:t>
      </w:r>
    </w:p>
    <w:p>
      <w:pPr>
        <w:pStyle w:val="TextBody"/>
        <w:bidi w:val="0"/>
        <w:spacing w:before="240" w:after="0"/>
        <w:jc w:val="left"/>
        <w:rPr>
          <w:rFonts w:ascii="Times New Roman" w:hAnsi="Times New Roman"/>
          <w:sz w:val="20"/>
        </w:rPr>
      </w:pPr>
      <w:r>
        <w:rPr>
          <w:rFonts w:ascii="Times New Roman" w:hAnsi="Times New Roman"/>
          <w:b/>
          <w:i/>
          <w:sz w:val="20"/>
        </w:rPr>
        <w:t>Amy Burroughs, M.B.A.</w:t>
      </w:r>
      <w:r>
        <w:rPr>
          <w:rFonts w:ascii="Times New Roman" w:hAnsi="Times New Roman"/>
          <w:i/>
          <w:sz w:val="20"/>
        </w:rPr>
        <w:t>,</w:t>
      </w:r>
      <w:r>
        <w:rPr>
          <w:rFonts w:ascii="Times New Roman" w:hAnsi="Times New Roman"/>
          <w:sz w:val="20"/>
        </w:rPr>
        <w:t xml:space="preserve"> has served as a member of our board of directors since December 2022. Since February 2024, she has served as Chief Executive Officer and Board member of Terns Pharmaceuticals, Inc., a clinical-stage biopharmaceutical company developing a portfolio of small-molecule product candidates to address serious diseases. From April 2019 until September 2023, Ms. Burroughs served as President and Chief Executive Officer and director of Cleave Therapeutics, Inc. (Cleave), a privately held biopharmaceutical company. She previously served as an executive in residence at 5AM Ventures and, in parallel, as senior advisor to one of its portfolio companies, Crinetics Pharmaceuticals. Earlier in her career, Ms. Burroughs held roles of increasing responsibility in commercial and strategy at Genentech, commercial and business development at other high growth therapeutics companies, talent and governance at Egon Zehnder International, and brand management at Procter &amp; Gamble. She has served as a member of the board of directors of Cleave, since April 2019, and previously served as a member of the board of directors of DiaMedica Therapeutics, Inc. Ms. Burroughs holds a Bachelor of Arts in Computer Science and a minor in Economics from Dartmouth College and an MBA from Harvard Business School where she graduated as a Baker Scholar. </w:t>
      </w:r>
    </w:p>
    <w:p>
      <w:pPr>
        <w:pStyle w:val="TextBody"/>
        <w:bidi w:val="0"/>
        <w:spacing w:before="240" w:after="0"/>
        <w:jc w:val="left"/>
        <w:rPr>
          <w:rFonts w:ascii="Times New Roman" w:hAnsi="Times New Roman"/>
          <w:sz w:val="20"/>
        </w:rPr>
      </w:pPr>
      <w:r>
        <w:rPr>
          <w:rFonts w:ascii="Times New Roman" w:hAnsi="Times New Roman"/>
          <w:sz w:val="20"/>
        </w:rPr>
        <w:t xml:space="preserve">We believe Ms. Burroughs is qualified to serve on our board of directors because of her knowledge and experience in the biotechnology and pharmaceutical industries and her broad leadership experience resulting from service as an executive of a biotechnology company and service as a public company board member within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Jin-Long Chen, Ph.D.</w:t>
      </w:r>
      <w:r>
        <w:rPr>
          <w:rFonts w:ascii="Times New Roman" w:hAnsi="Times New Roman"/>
          <w:sz w:val="20"/>
        </w:rPr>
        <w:t xml:space="preserve">, has served as member of our board of directors since October 2016. He currently serves as Managing Partner and Chief Executive Officer of TCG Labs-Soleil. Dr. Chen is the founder of NGM Biopharmaceuticals, Inc. (NGM), a publicly traded biopharmaceutical company, and served previously as a member of the NGM board of directors and as Chief Scientific Officer from January 2008 to April 2023. He was also NGMs President until November 2014. Previously, Dr. Chen held various positions at Amgen, a publicly traded biopharmaceutical company, most recently as Vice President, Metabolic Disorders. Prior to joining Amgen. Dr. Chen served as Vice President of Biology at Tularik, prior to Amgens acquisition of Tularik in 2004. Dr. Chen received a B.S. in nutrition and food science from Fu-Jen Catholic University and a Ph.D. in molecular and cell biology from the University of California, Berkeley.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Dr. Chen is qualified to serve on our board because of his extensive medical research experience, and his experience as a founder, executive, and director of a public biopharmaceutical company. </w:t>
      </w:r>
    </w:p>
    <w:p>
      <w:pPr>
        <w:pStyle w:val="TextBody"/>
        <w:bidi w:val="0"/>
        <w:spacing w:before="240" w:after="0"/>
        <w:jc w:val="left"/>
        <w:rPr>
          <w:rFonts w:ascii="Times New Roman" w:hAnsi="Times New Roman"/>
          <w:sz w:val="20"/>
        </w:rPr>
      </w:pPr>
      <w:r>
        <w:rPr>
          <w:rFonts w:ascii="Times New Roman" w:hAnsi="Times New Roman"/>
          <w:b/>
          <w:i/>
          <w:sz w:val="20"/>
        </w:rPr>
        <w:t>Catherine Stehman-Breen, M.D.</w:t>
      </w:r>
      <w:r>
        <w:rPr>
          <w:rFonts w:ascii="Times New Roman" w:hAnsi="Times New Roman"/>
          <w:i/>
          <w:sz w:val="20"/>
        </w:rPr>
        <w:t>,</w:t>
      </w:r>
      <w:r>
        <w:rPr>
          <w:rFonts w:ascii="Times New Roman" w:hAnsi="Times New Roman"/>
          <w:sz w:val="20"/>
        </w:rPr>
        <w:t xml:space="preserve"> has served as a member of our board of directors since June 2020. Since December 2020, Dr. Stehman-Breen has served as the Chief Executive Officer and a member of the board of directors of Chroma Medicine, a private biotechnology company. Previously, she served as the Chief Research and Development Officer of Obsidian Therapeutics, Inc., a private biotechnology company, from July 2019 to December 2020, and as an entrepreneur-in-residence at Atlas Ventures, serving as Chief Medical Officer of both Dyne Therapeutics, Inc., a biotechnology company, from March 2018 to July 2019 and Disarm Therapeutics, Inc., a biotechnology company, from April 2018 to July 2019. Dr. Stehman-Breen also served as Chief Medical Officer of Sarepta Therapeutics, Inc., a publicly traded biopharmaceutical company, from March 2017 to December 2017. Prior to that, she served as Vice President, Clinical Development and Regulatory Affairs at Regeneron Pharmaceuticals, Inc., a publicly traded biotechnology company, from January 2015 to March 2017. From 2003 to 2015, Dr. Stehman-Breen held senior leadership roles at Amgen, including Vice President, Global Development, leading the neuroscience, nephrology and bone therapeutic areas. She has also served on the boards of directors of Dyne Therapeutics, Inc. since June 2019 and Generation Bio Co., a publicly traded biotechnology company, since December 2017. Dr. Stehman-Breen earned a B.A. in biology and psychology from Colby College, an M.S. in epidemiology from the University of Washington, where she also completed her residency and fellowship training, and an M.D. from the University of Chicago. </w:t>
      </w:r>
    </w:p>
    <w:p>
      <w:pPr>
        <w:pStyle w:val="TextBody"/>
        <w:bidi w:val="0"/>
        <w:spacing w:before="240" w:after="0"/>
        <w:jc w:val="left"/>
        <w:rPr>
          <w:rFonts w:ascii="Times New Roman" w:hAnsi="Times New Roman"/>
          <w:sz w:val="20"/>
        </w:rPr>
      </w:pPr>
      <w:r>
        <w:rPr>
          <w:rFonts w:ascii="Times New Roman" w:hAnsi="Times New Roman"/>
          <w:sz w:val="20"/>
        </w:rPr>
        <w:t xml:space="preserve">We believe Dr. Stehman-Breen is qualified to serve on our board based on her medical expertise, her experience with clinical development and regulatory affairs in many therapeutic areas, her expertise as an executive in the biotechnology industry and her experience as a public company board member, including within the biotechnology industry. </w:t>
      </w:r>
    </w:p>
    <w:p>
      <w:pPr>
        <w:pStyle w:val="TextBody"/>
        <w:bidi w:val="0"/>
        <w:spacing w:before="360" w:after="0"/>
        <w:jc w:val="left"/>
        <w:rPr>
          <w:rFonts w:ascii="Times New Roman" w:hAnsi="Times New Roman"/>
          <w:b/>
          <w:sz w:val="20"/>
        </w:rPr>
      </w:pPr>
      <w:bookmarkStart w:id="8" w:name="toc656970_6"/>
      <w:bookmarkEnd w:id="8"/>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rules of Nasdaq, independent directors must comprise a majority of our board of directors. A director will only qualify as independent under Nasdaq listing rules if, in the opinion of our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corporate governance and nominating committees be independent. </w:t>
      </w:r>
    </w:p>
    <w:p>
      <w:pPr>
        <w:pStyle w:val="TextBody"/>
        <w:bidi w:val="0"/>
        <w:spacing w:before="240" w:after="0"/>
        <w:jc w:val="left"/>
        <w:rPr>
          <w:rFonts w:ascii="Times New Roman" w:hAnsi="Times New Roman"/>
          <w:sz w:val="20"/>
        </w:rPr>
      </w:pPr>
      <w:r>
        <w:rPr>
          <w:rFonts w:ascii="Times New Roman" w:hAnsi="Times New Roman"/>
          <w:sz w:val="20"/>
        </w:rPr>
        <w:t xml:space="preserve">Audit committee members must also satisfy the additional independence criteria set forth in Rule 10A-3 under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undertaken a review of the independence of each of our directors. Based on information provided by each director concerning his or her background, employment and affiliations, our board of directors has determined that each of Drs. Chen, Goeddel, Lee, Srivastava, Stehman-Breen and Williams, Mses. Burroughs and Parschauer and Mr. Walsh, representing nine of our ten directors, do not have a relationship that would interfere with the exercise of independent judgment in carrying out the responsibilities of a director and that each of these directors is an independent director as defined under the listing standards of Nasdaq. Mr. Ali is not considered an independent director because of his position as our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no family relationships among any of our directors, director nominees or executive officers. </w:t>
      </w:r>
    </w:p>
    <w:p>
      <w:pPr>
        <w:pStyle w:val="TextBody"/>
        <w:bidi w:val="0"/>
        <w:spacing w:before="360" w:after="0"/>
        <w:jc w:val="left"/>
        <w:rPr>
          <w:rFonts w:ascii="Times New Roman" w:hAnsi="Times New Roman"/>
          <w:b/>
          <w:sz w:val="20"/>
        </w:rPr>
      </w:pPr>
      <w:bookmarkStart w:id="9" w:name="toc656970_7"/>
      <w:bookmarkEnd w:id="9"/>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currently chaired by Dr. Goeddel.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Goeddel serves as the Chair of our board of directors but is not an officer. We currently expect and intend the positions of Chair of our board of directors and Chief Executive Officer to continue to be held by two individuals in the future. </w:t>
      </w:r>
    </w:p>
    <w:p>
      <w:pPr>
        <w:pStyle w:val="TextBody"/>
        <w:bidi w:val="0"/>
        <w:spacing w:before="360" w:after="0"/>
        <w:jc w:val="left"/>
        <w:rPr>
          <w:rFonts w:ascii="Times New Roman" w:hAnsi="Times New Roman"/>
          <w:b/>
          <w:sz w:val="20"/>
        </w:rPr>
      </w:pPr>
      <w:bookmarkStart w:id="10" w:name="toc656970_8"/>
      <w:bookmarkEnd w:id="10"/>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board has tasked designated standing committees with oversight of certain categories of risk 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audit committee assists our board in fulfilling its oversight responsibilities with respect to risk management in the areas of internal control over financial reporting and disclosure controls and procedures, cybersecurity and data security, legal and regulatory compliance, and also, among other things, discusses with management and the independent auditor guidelines and policies with respect to risk assessment and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compensation committee assesses risks relating to our executive compensation plans and arrangements, and whether our compensation policies and programs have the potential to encourage excessive risk taking.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corporate governance and nominating committee assesses risks relating to our corporate governance practices, the independence of the board and potential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science and technology committee assesses risks relating to our research and development strategy and product pipeline.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believes its current leadership structure supports the risk oversight function of the board. </w:t>
      </w:r>
    </w:p>
    <w:p>
      <w:pPr>
        <w:pStyle w:val="TextBody"/>
        <w:bidi w:val="0"/>
        <w:spacing w:before="360" w:after="0"/>
        <w:jc w:val="left"/>
        <w:rPr>
          <w:rFonts w:ascii="Times New Roman" w:hAnsi="Times New Roman"/>
          <w:b/>
          <w:sz w:val="20"/>
        </w:rPr>
      </w:pPr>
      <w:bookmarkStart w:id="11" w:name="toc656970_9"/>
      <w:bookmarkEnd w:id="11"/>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established the following standing committees of the board: audit committee; compensation committee; corporate governance and nominating committee; and science and technology committee. The composition and responsibilities of each of the committees of our board of directors is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audit committee are Mses. Burroughs and Parschauer and Mr. Walsh. Mr. Walsh is the chairperson of our audit committee. Our board of directors has determined that each member of our audit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Mr. Walsh is an audit committee financial expert within the meaning of Item 407(d) of Regulation S-K. Our audit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retaining, compensating, evaluating, overseeing and, where appropriate, terminating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scope and plans for the audits and the audit fees and approving all non-audit and tax services to be performed by the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independence and qualifications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financial statements, and discussing with management and our independent registered public accounting firm the results of the annual audit and the quarterly reviews;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our independent registered public accounting firm the quality and adequacy of our internal controls and our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our procedures regarding the presentation of our financial information, and reviewing earnings press releases and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design, implementation and performance of our internal audit function,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setting hiring policies with regard to the hiring of employees and former employees of our independent auditor and overseeing compliance with such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approving and monitoring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adopting and overseeing procedures to address complaints regarding accounting, internal accounting controls and auditing matters, including confidential, anonymous submissions by our employees of concerns regarding questionable accounting or auditing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our independent auditor the adequacy and effectiveness of our legal, regulatory and ethical compliance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our independent auditor our guidelines and policies to identify, monitor and address enterprise risks, including financial, operating, cybersecurity and data security risks.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operates under a written charter that satisfies the applicable rules and regulations of the SEC and the listing standards of Nasdaq. A copy of the charter of our audit committee is available on our website at https://investors.tenayatherapeutics.com/corporate-governance/governance-overview. During 2023, our audit committee held four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compensation committee are Drs. Lee and Williams and Mr. Walsh. Dr. Williams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approving or making recommendations to our board of directors regarding the compensation for our executive officers, including our chief executive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approving and administering our employee benefit and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reviewing the compensation plans and programs of our employees, and ensuring that they are consistent with our general compensation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making recommendations to our board of directors regarding the creation or revision of any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our board of directors regarding non-employee director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compensation policies and practices to determine whether any policies are reasonably likely to have a material adverse effect on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operates under a written charter that satisfies the applicable rules and regulations of the SEC and the listing standards of Nasdaq. A copy of the charter of our compensation committee is available on our website at https://investors.tenayatherapeutics.com/corporate-governance/governance-overview. During 2023, our compensation committee held five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Governance and 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corporate governance and nominating committee are Drs. Chen, Goeddel, and Srivastava. Dr. Srivastava is the chairperson of our corporate governance and nominating committee. Our board of directors has determined that each member of our corporate governance and nominating committee meets the requirements for independence for corporate governance and nominating committee members under the listing standards of Nasdaq. Our corporate governance and nominating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and making recommendations to our board of directors regarding desired qualifications, expertise and characteristics sought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evaluating, selecting or making recommendations to our board of directors regarding nominees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policies and procedures for considering stockholder nominees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succession planning process for our chief executive officer and any other members of our executive management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regarding the composition, organization and governance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directors regarding our corporate governance guidelines and corporate governance framework;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our corporate sustainability strategy and policies and to oversee our implementation of and preparation of public disclosures pertaining to our environmental, social and governance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director orientation for new directors and continuing education for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performance of our board of directors and its committees;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compliance with our code of business conduct and ethics, and reviewing conflicts of interest of our board members and officers other than related party transactions reviewed by our audit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and nominating committee operates under a written charter that satisfies the applicable listing standards of Nasdaq. A copy of the charter of our corporate governance and nominating committee is available on our website at https://investors.tenayatherapeutics.com/corporate-governance/governance-overview. During 2023, our corporate governance and nominating committee held two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Science and Technology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science and technology committee are Drs. Lee, Srivastava, Stehman-Breen and Williams. Dr. Stehman-Breen is the chairperson of our science and technology committee. Our board of directors has determined that each member of our science and technology committee meets the requirements for independence under the listing standards of Nasdaq. Our science and technology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progress of our product pipeline, as well as the quality, direction and competitiveness of our research and development programs and related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scientific aspects of potential future business development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trends in the treatment landscape of areas of therapeutic interest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the board with respect to the overall research, development and manufacturing organizations.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science and technology committee operates under a written charter. A copy of the charter of our science and technology committee is available on our website at https://investors.tenayatherapeutics.com/corporate-governance/governance-overview. During 2023, our science and technology committee held one meeting. </w:t>
      </w:r>
    </w:p>
    <w:p>
      <w:pPr>
        <w:pStyle w:val="TextBody"/>
        <w:bidi w:val="0"/>
        <w:spacing w:before="360" w:after="0"/>
        <w:jc w:val="left"/>
        <w:rPr>
          <w:rFonts w:ascii="Times New Roman" w:hAnsi="Times New Roman"/>
          <w:b/>
          <w:sz w:val="20"/>
        </w:rPr>
      </w:pPr>
      <w:bookmarkStart w:id="12" w:name="toc656970_10"/>
      <w:bookmarkEnd w:id="12"/>
      <w:r>
        <w:rPr>
          <w:rFonts w:ascii="Times New Roman" w:hAnsi="Times New Roman"/>
          <w:b/>
          <w:sz w:val="20"/>
        </w:rPr>
        <w:t xml:space="preserve">Attendance at Board and Stockholders Meetings </w:t>
      </w:r>
    </w:p>
    <w:p>
      <w:pPr>
        <w:pStyle w:val="TextBody"/>
        <w:bidi w:val="0"/>
        <w:spacing w:before="120" w:after="0"/>
        <w:jc w:val="left"/>
        <w:rPr>
          <w:rFonts w:ascii="Times New Roman" w:hAnsi="Times New Roman"/>
          <w:sz w:val="20"/>
        </w:rPr>
      </w:pPr>
      <w:r>
        <w:rPr>
          <w:rFonts w:ascii="Times New Roman" w:hAnsi="Times New Roman"/>
          <w:sz w:val="20"/>
        </w:rPr>
        <w:t xml:space="preserve">During our fiscal year ended December 31, 2023, our board of directors held five meetings (including regularly scheduled and special meetings), and each director, other than Dr. Stehman-Breen,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 Dr. Stehman-Breens absences were due principally to scheduling conflicts with certain activities and meetings in connection with her service as Chief Executive Officer of Chroma Medicine. </w:t>
      </w:r>
    </w:p>
    <w:p>
      <w:pPr>
        <w:pStyle w:val="TextBody"/>
        <w:bidi w:val="0"/>
        <w:spacing w:before="240" w:after="0"/>
        <w:jc w:val="left"/>
        <w:rPr>
          <w:rFonts w:ascii="Times New Roman" w:hAnsi="Times New Roman"/>
          <w:sz w:val="20"/>
        </w:rPr>
      </w:pPr>
      <w:r>
        <w:rPr>
          <w:rFonts w:ascii="Times New Roman" w:hAnsi="Times New Roman"/>
          <w:sz w:val="20"/>
        </w:rPr>
        <w:t xml:space="preserve">Although we do not have a formal policy regarding attendance by members of our board of directors at the annual meetings of stockholders, we encourage, but do not require, directors to attend. All our directors serving at the time were in attendance at the 2023 Annual Meeting of Stockholders. </w:t>
      </w:r>
    </w:p>
    <w:p>
      <w:pPr>
        <w:pStyle w:val="TextBody"/>
        <w:bidi w:val="0"/>
        <w:spacing w:before="360" w:after="0"/>
        <w:jc w:val="left"/>
        <w:rPr>
          <w:rFonts w:ascii="Times New Roman" w:hAnsi="Times New Roman"/>
          <w:b/>
          <w:sz w:val="20"/>
        </w:rPr>
      </w:pPr>
      <w:bookmarkStart w:id="13" w:name="toc656970_11"/>
      <w:bookmarkEnd w:id="13"/>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2023, the members of our compensation committee were Drs. Lee (joined in September 2023), Stehman-Breen (resigned in September 2023) and Williams and Mr. Walsh.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 </w:t>
      </w:r>
    </w:p>
    <w:p>
      <w:pPr>
        <w:pStyle w:val="TextBody"/>
        <w:bidi w:val="0"/>
        <w:spacing w:before="360" w:after="0"/>
        <w:jc w:val="left"/>
        <w:rPr>
          <w:rFonts w:ascii="Times New Roman" w:hAnsi="Times New Roman"/>
          <w:b/>
          <w:sz w:val="20"/>
        </w:rPr>
      </w:pPr>
      <w:bookmarkStart w:id="14" w:name="toc656970_12"/>
      <w:bookmarkEnd w:id="14"/>
      <w:r>
        <w:rPr>
          <w:rFonts w:ascii="Times New Roman" w:hAnsi="Times New Roman"/>
          <w:b/>
          <w:sz w:val="20"/>
        </w:rPr>
        <w:t xml:space="preserve">Considerations in Evaluating 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and nominating committee uses a variety of methods for identifying and evaluating potential director nominees. In its evaluation of director candidates, including the current directors eligible for re-election, our corporate governance and nominating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corporate governance and nominating committee considers in assessing director nominee qualifications include, without limitation, issues of character, professional ethics and integrity, judgment, business experience and diversity, and with respect to diversity, such factors as race, ethnicity, gender,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corporate governance and nominating committee considers a broad range of perspectives, backgrounds and experiences. </w:t>
      </w:r>
    </w:p>
    <w:p>
      <w:pPr>
        <w:pStyle w:val="TextBody"/>
        <w:bidi w:val="0"/>
        <w:spacing w:before="240" w:after="0"/>
        <w:jc w:val="left"/>
        <w:rPr>
          <w:rFonts w:ascii="Times New Roman" w:hAnsi="Times New Roman"/>
          <w:sz w:val="20"/>
        </w:rPr>
      </w:pPr>
      <w:r>
        <w:rPr>
          <w:rFonts w:ascii="Times New Roman" w:hAnsi="Times New Roman"/>
          <w:sz w:val="20"/>
        </w:rPr>
        <w:t xml:space="preserve">If our corporate governance and nominating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w:t>
      </w:r>
    </w:p>
    <w:p>
      <w:pPr>
        <w:pStyle w:val="TextBody"/>
        <w:bidi w:val="0"/>
        <w:spacing w:before="240" w:after="0"/>
        <w:jc w:val="left"/>
        <w:rPr>
          <w:rFonts w:ascii="Times New Roman" w:hAnsi="Times New Roman"/>
          <w:sz w:val="20"/>
        </w:rPr>
      </w:pPr>
      <w:r>
        <w:rPr>
          <w:rFonts w:ascii="Times New Roman" w:hAnsi="Times New Roman"/>
          <w:sz w:val="20"/>
        </w:rPr>
        <w:t xml:space="preserve">After completing its review and evaluation of director candidates, our corporate governance and nominating committee recommends to our full board of directors the director nominees for selection. Our corporate governance and nominating committee has discretion to decide which individuals to recommend for nomination as directors and our board of directors has the final authority in determining the selection of director candidates for nomination to our board. </w:t>
      </w:r>
    </w:p>
    <w:p>
      <w:pPr>
        <w:pStyle w:val="TextBody"/>
        <w:bidi w:val="0"/>
        <w:spacing w:before="360" w:after="0"/>
        <w:jc w:val="left"/>
        <w:rPr>
          <w:rFonts w:ascii="Times New Roman" w:hAnsi="Times New Roman"/>
          <w:b/>
          <w:sz w:val="20"/>
        </w:rPr>
      </w:pPr>
      <w:bookmarkStart w:id="15" w:name="toc656970_13"/>
      <w:bookmarkEnd w:id="15"/>
      <w:r>
        <w:rPr>
          <w:rFonts w:ascii="Times New Roman" w:hAnsi="Times New Roman"/>
          <w:b/>
          <w:sz w:val="20"/>
        </w:rPr>
        <w:t xml:space="preserve">Stockholders Recommendations and Nominations to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and nominating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Bylaws, all applicable company policies and all applicable laws, rules and regulations, including those promulgated by the SEC. Our corporate governance and nominating committee will evaluate such recommendations in accordance with its charter, our Bylaws and corporate governance guidelines and the director nominee criteria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wants to recommend a candidate to our board of directors should direct the recommendation in writing by letter to our corporate secretary at Tenaya Therapeutics, Inc., 171 Oyster Point Boulevard, Suite 500, South San Francisco, CA 94080,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stockholder(s) in support of the candidate. Our corporate governance and nominating committee has discretion to decide which individuals to recommend for nomination as directors. </w:t>
      </w:r>
    </w:p>
    <w:p>
      <w:pPr>
        <w:pStyle w:val="TextBody"/>
        <w:bidi w:val="0"/>
        <w:spacing w:before="240" w:after="0"/>
        <w:jc w:val="left"/>
        <w:rPr>
          <w:rFonts w:ascii="Times New Roman" w:hAnsi="Times New Roman"/>
          <w:sz w:val="20"/>
        </w:rPr>
      </w:pPr>
      <w:r>
        <w:rPr>
          <w:rFonts w:ascii="Times New Roman" w:hAnsi="Times New Roman"/>
          <w:sz w:val="20"/>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2025 annual meeting of stockholders, nominations must be received by our corporate secretary observing the deadlines discussed above under </w:t>
      </w:r>
      <w:r>
        <w:rPr>
          <w:rFonts w:ascii="Times New Roman" w:hAnsi="Times New Roman"/>
          <w:i/>
          <w:sz w:val="20"/>
        </w:rPr>
        <w:t>Questions and Answers About The Proxy MaterialsWhat is the deadline to propose actions for consideration at next years annual meeting of stockholders or to nominate individuals to serve as directors?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oc656970_14"/>
      <w:bookmarkEnd w:id="16"/>
      <w:r>
        <w:rPr>
          <w:rFonts w:ascii="Times New Roman" w:hAnsi="Times New Roman"/>
          <w:b/>
          <w:sz w:val="20"/>
        </w:rPr>
        <w:t xml:space="preserve">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wishing to communicate directly with our non-management directors, may do so by writing and sending the correspondence to our corporate secretary by mail to our principal executive offices at 171 Oyster Point Boulevard, Suite 500, South San Francisco, CA 94080, Attention: Corporate Secretary. Our corporate secretary, in consultation with appropriate directors as necessary, will review all incoming communications and screen for communications that (1) are solicitations for products and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corporate secretary will route such communications to the appropriate director(s) or, if none is specified, then to the chairperson of the board. These policies and procedures do not apply to (a) communications to non-management directors from our officers or directors who are stockholders, (b) stockholder proposals submitted pursuant to Rule 14a-8 under the Exchange Act, or (c) communications to our audit committee pursuant to our complaint procedures for accounting and audit matters. </w:t>
      </w:r>
    </w:p>
    <w:p>
      <w:pPr>
        <w:pStyle w:val="TextBody"/>
        <w:bidi w:val="0"/>
        <w:spacing w:before="360" w:after="0"/>
        <w:jc w:val="left"/>
        <w:rPr>
          <w:rFonts w:ascii="Times New Roman" w:hAnsi="Times New Roman"/>
          <w:b/>
          <w:sz w:val="20"/>
        </w:rPr>
      </w:pPr>
      <w:bookmarkStart w:id="17" w:name="toc656970_15"/>
      <w:bookmarkEnd w:id="17"/>
      <w:r>
        <w:rPr>
          <w:rFonts w:ascii="Times New Roman" w:hAnsi="Times New Roman"/>
          <w:b/>
          <w:sz w:val="20"/>
        </w:rPr>
        <w:t xml:space="preserve">Policy Prohibiting Hedging or Pledging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 </w:t>
      </w:r>
    </w:p>
    <w:p>
      <w:pPr>
        <w:pStyle w:val="TextBody"/>
        <w:bidi w:val="0"/>
        <w:spacing w:before="360" w:after="0"/>
        <w:jc w:val="left"/>
        <w:rPr>
          <w:rFonts w:ascii="Times New Roman" w:hAnsi="Times New Roman"/>
          <w:b/>
          <w:sz w:val="20"/>
        </w:rPr>
      </w:pPr>
      <w:bookmarkStart w:id="18" w:name="toc656970_16"/>
      <w:bookmarkEnd w:id="18"/>
      <w:r>
        <w:rPr>
          <w:rFonts w:ascii="Times New Roman" w:hAnsi="Times New Roman"/>
          <w:b/>
          <w:sz w:val="20"/>
        </w:rPr>
        <w:t xml:space="preserve">Corporate Governance Guidelines and 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https://investors.tenayatherapeutics.com/corporate-governance/governance-overview. We will post amendments to our code of business conduct and ethics or any waivers of our code of business conduct and ethics for directors and executive officers on the same website. </w:t>
      </w:r>
    </w:p>
    <w:p>
      <w:pPr>
        <w:pStyle w:val="TextBody"/>
        <w:bidi w:val="0"/>
        <w:spacing w:before="360" w:after="0"/>
        <w:jc w:val="left"/>
        <w:rPr>
          <w:rFonts w:ascii="Times New Roman" w:hAnsi="Times New Roman"/>
          <w:b/>
          <w:sz w:val="20"/>
        </w:rPr>
      </w:pPr>
      <w:bookmarkStart w:id="19" w:name="toc656970_17"/>
      <w:bookmarkEnd w:id="19"/>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and nominating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As shown below in the board diversity matrix, the Company is currently in compliance with the diversity requirements of Nasdaq Rule 5605(f).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12"/>
        <w:gridCol w:w="518"/>
        <w:gridCol w:w="227"/>
        <w:gridCol w:w="529"/>
        <w:gridCol w:w="60"/>
        <w:gridCol w:w="518"/>
        <w:gridCol w:w="159"/>
        <w:gridCol w:w="371"/>
        <w:gridCol w:w="61"/>
      </w:tblGrid>
      <w:tr>
        <w:trPr/>
        <w:tc>
          <w:tcPr>
            <w:tcW w:w="5312"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7694" w:type="dxa"/>
            <w:gridSpan w:val="8"/>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Board Diversity Matrix</w:t>
            </w:r>
          </w:p>
          <w:p>
            <w:pPr>
              <w:pStyle w:val="TableContents"/>
              <w:bidi w:val="0"/>
              <w:spacing w:before="0" w:after="20"/>
              <w:jc w:val="center"/>
              <w:rPr>
                <w:rFonts w:ascii="Times New Roman" w:hAnsi="Times New Roman"/>
                <w:b/>
                <w:sz w:val="20"/>
              </w:rPr>
            </w:pPr>
            <w:r>
              <w:rPr>
                <w:rFonts w:ascii="Times New Roman" w:hAnsi="Times New Roman"/>
                <w:b/>
                <w:sz w:val="20"/>
              </w:rPr>
              <w:t>(as of December 31, 2023 and April 17, 2024)*</w:t>
            </w:r>
          </w:p>
        </w:tc>
        <w:tc>
          <w:tcPr>
            <w:tcW w:w="61" w:type="dxa"/>
            <w:tcBorders/>
            <w:vAlign w:val="bottom"/>
          </w:tcPr>
          <w:p>
            <w:pPr>
              <w:pStyle w:val="TableContents"/>
              <w:bidi w:val="0"/>
              <w:spacing w:before="0" w:after="283"/>
              <w:jc w:val="left"/>
              <w:rPr/>
            </w:pPr>
            <w:r>
              <w:rPr/>
              <w:t> </w:t>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Number of Directors</w:t>
            </w:r>
          </w:p>
        </w:tc>
        <w:tc>
          <w:tcPr>
            <w:tcW w:w="5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center"/>
              <w:rPr/>
            </w:pPr>
            <w:r>
              <w:rPr/>
              <w:t> </w:t>
            </w:r>
          </w:p>
        </w:tc>
        <w:tc>
          <w:tcPr>
            <w:tcW w:w="1637" w:type="dxa"/>
            <w:gridSpan w:val="5"/>
            <w:tcBorders/>
            <w:shd w:fill="CCEEFF" w:val="clear"/>
            <w:vAlign w:val="bottom"/>
          </w:tcPr>
          <w:p>
            <w:pPr>
              <w:pStyle w:val="TableContents"/>
              <w:bidi w:val="0"/>
              <w:spacing w:before="0" w:after="283"/>
              <w:jc w:val="center"/>
              <w:rPr/>
            </w:pPr>
            <w:r>
              <w:rPr/>
              <w:t>10</w:t>
            </w:r>
          </w:p>
        </w:tc>
        <w:tc>
          <w:tcPr>
            <w:tcW w:w="61" w:type="dxa"/>
            <w:tcBorders/>
            <w:shd w:fill="CCEEFF" w:val="clear"/>
            <w:vAlign w:val="bottom"/>
          </w:tcPr>
          <w:p>
            <w:pPr>
              <w:pStyle w:val="TableContents"/>
              <w:bidi w:val="0"/>
              <w:spacing w:before="0" w:after="283"/>
              <w:jc w:val="left"/>
              <w:rPr/>
            </w:pPr>
            <w:r>
              <w:rPr/>
              <w:t> </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c>
          <w:tcPr>
            <w:tcW w:w="1109" w:type="dxa"/>
            <w:gridSpan w:val="4"/>
            <w:tcBorders/>
            <w:vAlign w:val="center"/>
          </w:tcPr>
          <w:p>
            <w:pPr>
              <w:pStyle w:val="TableContents"/>
              <w:bidi w:val="0"/>
              <w:spacing w:before="0" w:after="283"/>
              <w:jc w:val="left"/>
              <w:rPr>
                <w:sz w:val="4"/>
                <w:szCs w:val="4"/>
              </w:rPr>
            </w:pPr>
            <w:r>
              <w:rPr>
                <w:sz w:val="4"/>
                <w:szCs w:val="4"/>
              </w:rPr>
            </w:r>
          </w:p>
        </w:tc>
      </w:tr>
      <w:tr>
        <w:trPr/>
        <w:tc>
          <w:tcPr>
            <w:tcW w:w="531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center"/>
              <w:rPr>
                <w:b/>
              </w:rPr>
            </w:pPr>
            <w:r>
              <w:rPr>
                <w:b/>
              </w:rPr>
              <w:t>Female</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center"/>
              <w:rPr>
                <w:b/>
              </w:rPr>
            </w:pPr>
            <w:r>
              <w:rPr>
                <w:b/>
              </w:rPr>
              <w:t>Male</w:t>
            </w:r>
          </w:p>
        </w:tc>
        <w:tc>
          <w:tcPr>
            <w:tcW w:w="61" w:type="dxa"/>
            <w:tcBorders/>
            <w:vAlign w:val="bottom"/>
          </w:tcPr>
          <w:p>
            <w:pPr>
              <w:pStyle w:val="TableContents"/>
              <w:bidi w:val="0"/>
              <w:spacing w:before="0" w:after="283"/>
              <w:jc w:val="left"/>
              <w:rPr/>
            </w:pPr>
            <w:r>
              <w:rPr/>
              <w:t> </w:t>
            </w:r>
          </w:p>
        </w:tc>
      </w:tr>
      <w:tr>
        <w:trPr/>
        <w:tc>
          <w:tcPr>
            <w:tcW w:w="7694"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 Gender Identity</w:t>
            </w:r>
          </w:p>
        </w:tc>
        <w:tc>
          <w:tcPr>
            <w:tcW w:w="61" w:type="dxa"/>
            <w:tcBorders/>
            <w:shd w:fill="CCEEFF" w:val="clear"/>
          </w:tcPr>
          <w:p>
            <w:pPr>
              <w:pStyle w:val="TableContents"/>
              <w:bidi w:val="0"/>
              <w:spacing w:before="0" w:after="0"/>
              <w:jc w:val="left"/>
              <w:rPr/>
            </w:pPr>
            <w:r>
              <w:rPr/>
              <w:t> </w:t>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Directors</w:t>
            </w:r>
          </w:p>
        </w:tc>
        <w:tc>
          <w:tcPr>
            <w:tcW w:w="5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7694"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II: Demographic Background</w:t>
            </w:r>
          </w:p>
        </w:tc>
        <w:tc>
          <w:tcPr>
            <w:tcW w:w="61" w:type="dxa"/>
            <w:tcBorders/>
            <w:shd w:fill="CCEEFF" w:val="clear"/>
          </w:tcPr>
          <w:p>
            <w:pPr>
              <w:pStyle w:val="TableContents"/>
              <w:bidi w:val="0"/>
              <w:spacing w:before="0" w:after="0"/>
              <w:jc w:val="left"/>
              <w:rPr/>
            </w:pPr>
            <w:r>
              <w:rPr/>
              <w:t> </w:t>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5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White</w:t>
            </w:r>
          </w:p>
          <w:p>
            <w:pPr>
              <w:pStyle w:val="TableContents"/>
              <w:bidi w:val="0"/>
              <w:spacing w:before="0" w:after="20"/>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right"/>
              <w:rPr/>
            </w:pPr>
            <w:r>
              <w:rPr/>
              <w:t>3</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see our Board Diversity Matrix as of December 31, 2022, please see our proxy statement filed with the SEC on April 27,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0" w:name="toc656970_18"/>
      <w:bookmarkEnd w:id="20"/>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our Outside Director Compensation Policy, non-employee directors receive compensation in the form of cash and equity, as described below. We also reimburse our non-employee directors for expenses incurred in connection with attending board and committee meetings, as well as continuing director education.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Prior to January 1, 2024, the Outside Director Compensation Policy provides for each non-employee director to be paid an annual cash retainer of $35,000. Effective January 1, 2024, each non-employee director is to be paid an annual cash retainer of $40,000. In addition, each non-employee director who serves as a chair or chair or member of a committee will be entitled to receive the following cash compensation for his or her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 per year for service as non-executive chair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$20,000 per year for service as a lead independent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$15,000 per year for service as chair of the audit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$7,500 per year for service as a member of the audit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 per year for service as chair of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 per year for service as a member of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$8,000 per year for service as chair of the corporate governance and nominating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$4,000 per year for service as a member of the corporate governance and nominating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 per year for service as chair of the science and technology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 per year for service as a member of the science and technology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 The Outside Director Compensation Policy was amended in September 2023 to add the annual retainers for the chair and other members of our science and technology committee. </w:t>
      </w:r>
    </w:p>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i/>
          <w:sz w:val="20"/>
        </w:rPr>
        <w:t>Initial Award</w:t>
      </w:r>
      <w:r>
        <w:rPr>
          <w:rFonts w:ascii="Times New Roman" w:hAnsi="Times New Roman"/>
          <w:sz w:val="20"/>
        </w:rPr>
        <w:t xml:space="preserve">. Pursuant to our Outside Director Compensation Policy, each person who first becomes a non-employee director after the initial effective date of such policy will receive, on the first trading day on or after the date that the person first becomes a non-employee director, an initial award, or the Initial Award, of stock options to purchase shares of our common stock with a grant date fair value as determined in accordance with U.S. GAAP equal to $320,000. However, beginning in December 2022, our Outside Director Compensation Policy provided that, notwithstanding the foregoing, with respect to Initial Awards granted on or following the December 2022 restatement date, no more than 40,000 shares of our common stock could be subject to an Initial Award, and our Outside Director Compensation Policy was restated again in March 2023 to change this Initial Award limit to 68,000 shares for Initial Awards granted on or after the March 2023 restatement date.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Annual Award</w:t>
      </w:r>
      <w:r>
        <w:rPr>
          <w:rFonts w:ascii="Times New Roman" w:hAnsi="Times New Roman"/>
          <w:sz w:val="20"/>
        </w:rPr>
        <w:t xml:space="preserve">. Pursuant to our Outside Director Compensation Policy, each non-employee director who has served continuously as an outside director since the date of the most recently preceding annual meeting of stockholders will automatically receive, on the first trading day immediately after the date of each annual meeting of our stockholders, an annual award, or the Annual Award, of stock options to purchase shares of our common stock with a grant date fair value as determined in accordance with U.S. GAAP equal to $160,000. Our Outside Director Compensation Policy provides that, in the case of a director who joined our board after the immediately preceding annual meeting of stockholders, the number of shares subject to his or her first Annual Award will be prorated for the months the director served prior to and including the date of the annual meeting at which the Annual Award is to be granted. However, beginning in December 2022, our Outside Director Compensation Policy provided that, notwithstanding the formula stated above, with respect to Annual Awards granted on or following the December 2022 restatement date, no more than 20,000 shares of our common stock could be subject to an Annual Award, and the March 2023 restatement changed this Annual Award limit to 34,000 shares for Annual Awards granted on or after the March 2023 restatement date. Each Annual Award will be scheduled to vest in full upon the first anniversary of the date of the grant, or if earlier, the day immediately before the date of the next annual meeting that occurs after the Annual Awards grant date, subject to the outside director remaining a service provider through the applicable vesting date.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in our 2021 Equity Incentive Plan, each non-employee directors then outstanding equity awards covering shares of our common stock will accelerate vesting in full, provided that he or she remains a non-employee director through the date of our change in control. </w:t>
      </w:r>
    </w:p>
    <w:p>
      <w:pPr>
        <w:pStyle w:val="TextBody"/>
        <w:bidi w:val="0"/>
        <w:spacing w:before="240" w:after="0"/>
        <w:jc w:val="left"/>
        <w:rPr>
          <w:rFonts w:ascii="Times New Roman" w:hAnsi="Times New Roman"/>
          <w:sz w:val="20"/>
        </w:rPr>
      </w:pPr>
      <w:r>
        <w:rPr>
          <w:rFonts w:ascii="Times New Roman" w:hAnsi="Times New Roman"/>
          <w:i/>
          <w:sz w:val="20"/>
        </w:rPr>
        <w:t>Other Award Terms</w:t>
      </w:r>
      <w:r>
        <w:rPr>
          <w:rFonts w:ascii="Times New Roman" w:hAnsi="Times New Roman"/>
          <w:sz w:val="20"/>
        </w:rPr>
        <w:t xml:space="preserve">. Each Initial Award and Annual Award will be granted under our 2021 Equity Incentive Plan (or its successor plan, as applicable) and form of award agreement under such plan. These awards will have a maximum term to expiration of ten years from their grant and a per-share exercise price equal to 100% of the fair market value of a share of our common stock on the awards grant date. </w:t>
      </w:r>
    </w:p>
    <w:p>
      <w:pPr>
        <w:pStyle w:val="TextBody"/>
        <w:bidi w:val="0"/>
        <w:spacing w:before="240" w:after="0"/>
        <w:jc w:val="left"/>
        <w:rPr>
          <w:rFonts w:ascii="Times New Roman" w:hAnsi="Times New Roman"/>
          <w:sz w:val="20"/>
        </w:rPr>
      </w:pPr>
      <w:r>
        <w:rPr>
          <w:rFonts w:ascii="Times New Roman" w:hAnsi="Times New Roman"/>
          <w:i/>
          <w:sz w:val="20"/>
        </w:rPr>
        <w:t>Director Compensation Limits</w:t>
      </w:r>
      <w:r>
        <w:rPr>
          <w:rFonts w:ascii="Times New Roman" w:hAnsi="Times New Roman"/>
          <w:sz w:val="20"/>
        </w:rPr>
        <w:t xml:space="preserve">. Our Outside Director Compensation Policy provides that in any fiscal year, a non-employee director may be granted equity awards or provided cash or other compensation with an aggregate value of no more than $500,000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for Fiscal 2023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regarding the total compensation awarded to, earned by or paid to our non-employee directors for their service on our board of directors, for the fiscal year ended December 31, 2023. Directors who are also our employees receive no additional compensation for their service as directors. During 2023, Mr. Ali was an employee and executive officer of the company and therefore, did not receive compensation as a director. See </w:t>
      </w:r>
      <w:r>
        <w:rPr>
          <w:rFonts w:ascii="Times New Roman" w:hAnsi="Times New Roman"/>
          <w:i/>
          <w:sz w:val="20"/>
        </w:rPr>
        <w:t>Executive Compensation</w:t>
      </w:r>
      <w:r>
        <w:rPr>
          <w:rFonts w:ascii="Times New Roman" w:hAnsi="Times New Roman"/>
          <w:sz w:val="20"/>
        </w:rPr>
        <w:t xml:space="preserve"> for additional information regarding Mr. Alis compensation.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57"/>
        <w:gridCol w:w="406"/>
        <w:gridCol w:w="89"/>
        <w:gridCol w:w="1210"/>
        <w:gridCol w:w="624"/>
        <w:gridCol w:w="314"/>
        <w:gridCol w:w="60"/>
        <w:gridCol w:w="811"/>
        <w:gridCol w:w="60"/>
        <w:gridCol w:w="406"/>
        <w:gridCol w:w="60"/>
        <w:gridCol w:w="811"/>
        <w:gridCol w:w="64"/>
      </w:tblGrid>
      <w:tr>
        <w:trPr/>
        <w:tc>
          <w:tcPr>
            <w:tcW w:w="3657"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06"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Paid or</w:t>
              <w:br/>
              <w:t>Earned in</w:t>
              <w:br/>
              <w:t>Cash ($)</w:t>
            </w:r>
          </w:p>
        </w:tc>
        <w:tc>
          <w:tcPr>
            <w:tcW w:w="62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($)(1)(2)</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Amy Burroughs, M.B.A.</w:t>
            </w:r>
          </w:p>
        </w:tc>
        <w:tc>
          <w:tcPr>
            <w:tcW w:w="40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42,500</w:t>
            </w:r>
          </w:p>
        </w:tc>
        <w:tc>
          <w:tcPr>
            <w:tcW w:w="62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79,945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122,445</w:t>
            </w:r>
          </w:p>
        </w:tc>
        <w:tc>
          <w:tcPr>
            <w:tcW w:w="64"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Jin-Long Chen, Ph.D.</w:t>
            </w:r>
          </w:p>
        </w:tc>
        <w:tc>
          <w:tcPr>
            <w:tcW w:w="40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39,000</w:t>
            </w:r>
          </w:p>
        </w:tc>
        <w:tc>
          <w:tcPr>
            <w:tcW w:w="62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159,889</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198,889</w:t>
            </w:r>
          </w:p>
        </w:tc>
        <w:tc>
          <w:tcPr>
            <w:tcW w:w="64"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Goeddel, Ph.D.</w:t>
            </w:r>
          </w:p>
        </w:tc>
        <w:tc>
          <w:tcPr>
            <w:tcW w:w="40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69,000</w:t>
            </w:r>
          </w:p>
        </w:tc>
        <w:tc>
          <w:tcPr>
            <w:tcW w:w="62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159,889</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228,889</w:t>
            </w:r>
          </w:p>
        </w:tc>
        <w:tc>
          <w:tcPr>
            <w:tcW w:w="64"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June Lee, M.D.</w:t>
            </w:r>
          </w:p>
        </w:tc>
        <w:tc>
          <w:tcPr>
            <w:tcW w:w="40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40,000</w:t>
            </w:r>
          </w:p>
        </w:tc>
        <w:tc>
          <w:tcPr>
            <w:tcW w:w="624" w:type="dxa"/>
            <w:tcBorders/>
            <w:vAlign w:val="bottom"/>
          </w:tcPr>
          <w:p>
            <w:pPr>
              <w:pStyle w:val="TableContents"/>
              <w:bidi w:val="0"/>
              <w:spacing w:before="0" w:after="283"/>
              <w:jc w:val="left"/>
              <w:rPr/>
            </w:pPr>
            <w:r>
              <w:rPr/>
              <w:t>(3) </w:t>
            </w:r>
          </w:p>
        </w:tc>
        <w:tc>
          <w:tcPr>
            <w:tcW w:w="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159,889</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199,889</w:t>
            </w:r>
          </w:p>
        </w:tc>
        <w:tc>
          <w:tcPr>
            <w:tcW w:w="64"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Karah Parschauer, J.D.</w:t>
            </w:r>
          </w:p>
        </w:tc>
        <w:tc>
          <w:tcPr>
            <w:tcW w:w="40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42,500</w:t>
            </w:r>
          </w:p>
        </w:tc>
        <w:tc>
          <w:tcPr>
            <w:tcW w:w="62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159,889</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202,389</w:t>
            </w:r>
          </w:p>
        </w:tc>
        <w:tc>
          <w:tcPr>
            <w:tcW w:w="64"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Deepak Srivastava, M.D.</w:t>
            </w:r>
          </w:p>
        </w:tc>
        <w:tc>
          <w:tcPr>
            <w:tcW w:w="40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120,500</w:t>
            </w:r>
          </w:p>
        </w:tc>
        <w:tc>
          <w:tcPr>
            <w:tcW w:w="624" w:type="dxa"/>
            <w:tcBorders/>
            <w:vAlign w:val="bottom"/>
          </w:tcPr>
          <w:p>
            <w:pPr>
              <w:pStyle w:val="TableContents"/>
              <w:bidi w:val="0"/>
              <w:spacing w:before="0" w:after="283"/>
              <w:jc w:val="left"/>
              <w:rPr/>
            </w:pPr>
            <w:r>
              <w:rPr/>
              <w:t>(3)(4) </w:t>
            </w:r>
          </w:p>
        </w:tc>
        <w:tc>
          <w:tcPr>
            <w:tcW w:w="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159,889</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280,389</w:t>
            </w:r>
          </w:p>
        </w:tc>
        <w:tc>
          <w:tcPr>
            <w:tcW w:w="64"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Catherine Stehman-Breen, M.D.</w:t>
            </w:r>
          </w:p>
        </w:tc>
        <w:tc>
          <w:tcPr>
            <w:tcW w:w="40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42,500</w:t>
            </w:r>
          </w:p>
        </w:tc>
        <w:tc>
          <w:tcPr>
            <w:tcW w:w="624" w:type="dxa"/>
            <w:tcBorders/>
            <w:shd w:fill="CCEEFF" w:val="clear"/>
            <w:vAlign w:val="bottom"/>
          </w:tcPr>
          <w:p>
            <w:pPr>
              <w:pStyle w:val="TableContents"/>
              <w:bidi w:val="0"/>
              <w:spacing w:before="0" w:after="283"/>
              <w:jc w:val="left"/>
              <w:rPr/>
            </w:pPr>
            <w:r>
              <w:rPr/>
              <w:t>(3) </w:t>
            </w:r>
          </w:p>
        </w:tc>
        <w:tc>
          <w:tcPr>
            <w:tcW w:w="3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159,889</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202,389</w:t>
            </w:r>
          </w:p>
        </w:tc>
        <w:tc>
          <w:tcPr>
            <w:tcW w:w="64"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Jeffrey T. Walsh, M.B.A.</w:t>
            </w:r>
          </w:p>
        </w:tc>
        <w:tc>
          <w:tcPr>
            <w:tcW w:w="40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55,000</w:t>
            </w:r>
          </w:p>
        </w:tc>
        <w:tc>
          <w:tcPr>
            <w:tcW w:w="62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159,889</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214,889</w:t>
            </w:r>
          </w:p>
        </w:tc>
        <w:tc>
          <w:tcPr>
            <w:tcW w:w="64"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 Sanders Williams, M.D.</w:t>
            </w:r>
          </w:p>
        </w:tc>
        <w:tc>
          <w:tcPr>
            <w:tcW w:w="40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47,500</w:t>
            </w:r>
          </w:p>
        </w:tc>
        <w:tc>
          <w:tcPr>
            <w:tcW w:w="624" w:type="dxa"/>
            <w:tcBorders/>
            <w:shd w:fill="CCEEFF" w:val="clear"/>
            <w:vAlign w:val="bottom"/>
          </w:tcPr>
          <w:p>
            <w:pPr>
              <w:pStyle w:val="TableContents"/>
              <w:bidi w:val="0"/>
              <w:spacing w:before="0" w:after="283"/>
              <w:jc w:val="left"/>
              <w:rPr/>
            </w:pPr>
            <w:r>
              <w:rPr/>
              <w:t>(3) </w:t>
            </w:r>
          </w:p>
        </w:tc>
        <w:tc>
          <w:tcPr>
            <w:tcW w:w="3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159,889</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207,389</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option awards granted to the directors in the applicable fiscal year, computed in accordance with Financial Accounting Standards Board (FASB), Accounting Standards Codification Topic 718 (ASC 718). See Note 7 to our financial statements for the year ended December 31, 2023, included in our Annual Report on Form 10-K for the year ended December 31, 2023, filed with the SEC on March 18, 2024, for a discussion of the assumptions made by us in determining the grant date fair value of our equity awards. Our directors will only realize compensation to the extent the trading price of our common stock is greater than the exercise price of such stock options.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shares subject to all stock options held by each of our current non-employee directors as of December 31, 2023, is as follows: Ms. Burroughs54,766; Dr. Chen74,259; Dr. Goeddel69,259; Dr. Lee88,196; Ms. Parschauer69,027; Dr. Srivastava106,759; Dr. Stehman-Breen91,134; Mr. Walsh109,259; and Dr. Williams69,259.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an administrative error, the following directors were overpaid cash compensation in 2023, all of which has been credited towards payment of fees in 2024: Dr. Lee ($2,034), Dr. Srivastava ($1,017), Dr. Stehman-Breen ($1,021) and Dr. Willaims ($1,017).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disclosed includes $75,000 paid pursuant to our consulting agreement with Dr. Srivastava.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656970_19"/>
      <w:bookmarkEnd w:id="21"/>
      <w:r>
        <w:rPr>
          <w:rFonts w:ascii="Times New Roman" w:hAnsi="Times New Roman"/>
          <w:b/>
          <w:sz w:val="20"/>
        </w:rPr>
        <w:t xml:space="preserve">PROPOSAL NO. 1 </w:t>
      </w:r>
    </w:p>
    <w:p>
      <w:pPr>
        <w:pStyle w:val="TextBody"/>
        <w:bidi w:val="0"/>
        <w:spacing w:before="240" w:after="0"/>
        <w:jc w:val="center"/>
        <w:rPr>
          <w:rFonts w:ascii="Times New Roman" w:hAnsi="Times New Roman"/>
          <w:b/>
          <w:sz w:val="20"/>
        </w:rPr>
      </w:pPr>
      <w:r>
        <w:rPr>
          <w:rFonts w:ascii="Times New Roman" w:hAnsi="Times New Roman"/>
          <w:b/>
          <w:sz w:val="20"/>
        </w:rPr>
        <w:t xml:space="preserve">ELECTION OF CLASS III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currently consists of ten members. In accordance with our Amended and Restated Certificate of Incorporation, our board of directors is divided into three classes with staggered three-year terms. At the annual meeting, three Class III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 </w:t>
      </w:r>
    </w:p>
    <w:p>
      <w:pPr>
        <w:pStyle w:val="TextBody"/>
        <w:bidi w:val="0"/>
        <w:spacing w:before="360" w:after="0"/>
        <w:jc w:val="left"/>
        <w:rPr>
          <w:rFonts w:ascii="Times New Roman" w:hAnsi="Times New Roman"/>
          <w:b/>
          <w:sz w:val="20"/>
        </w:rPr>
      </w:pPr>
      <w:bookmarkStart w:id="22" w:name="toc656970_20"/>
      <w:bookmarkEnd w:id="22"/>
      <w:r>
        <w:rPr>
          <w:rFonts w:ascii="Times New Roman" w:hAnsi="Times New Roman"/>
          <w:b/>
          <w:sz w:val="20"/>
        </w:rPr>
        <w:t xml:space="preserve">Nominees </w:t>
      </w:r>
    </w:p>
    <w:p>
      <w:pPr>
        <w:pStyle w:val="TextBody"/>
        <w:bidi w:val="0"/>
        <w:spacing w:before="120" w:after="0"/>
        <w:jc w:val="left"/>
        <w:rPr>
          <w:rFonts w:ascii="Times New Roman" w:hAnsi="Times New Roman"/>
          <w:sz w:val="20"/>
        </w:rPr>
      </w:pPr>
      <w:r>
        <w:rPr>
          <w:rFonts w:ascii="Times New Roman" w:hAnsi="Times New Roman"/>
          <w:sz w:val="20"/>
        </w:rPr>
        <w:t>Our corporate governance and nominating committee has recommended, and our board of directors has approved, Faraz Ali, M.B.A., June Lee, M.D. and Deepak Srivastava, M.D., as nominees for election as Class III directors at the annual meeting. If elected, each of Drs. Lee and Srivastava and Mr. Ali will serve as a Class III director until the 2027 annual meeting of stockholders and until his or her respective successor is elected and qualified or until his or her earlier death, resignation or removal. For more information concerning the nominees, please see the section titled </w:t>
      </w:r>
      <w:r>
        <w:rPr>
          <w:rFonts w:ascii="Times New Roman" w:hAnsi="Times New Roman"/>
          <w:i/>
          <w:sz w:val="20"/>
        </w:rPr>
        <w:t>Board of Directors and Corporate Governance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Drs. Lee and Srivastava and Mr. Ali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 </w:t>
      </w:r>
    </w:p>
    <w:p>
      <w:pPr>
        <w:pStyle w:val="TextBody"/>
        <w:bidi w:val="0"/>
        <w:spacing w:before="360" w:after="0"/>
        <w:jc w:val="left"/>
        <w:rPr>
          <w:rFonts w:ascii="Times New Roman" w:hAnsi="Times New Roman"/>
          <w:b/>
          <w:sz w:val="20"/>
        </w:rPr>
      </w:pPr>
      <w:bookmarkStart w:id="23" w:name="toc656970_21"/>
      <w:bookmarkEnd w:id="23"/>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 </w:t>
      </w:r>
    </w:p>
    <w:p>
      <w:pPr>
        <w:pStyle w:val="TextBody"/>
        <w:bidi w:val="0"/>
        <w:spacing w:before="360" w:after="0"/>
        <w:jc w:val="left"/>
        <w:rPr>
          <w:rFonts w:ascii="Times New Roman" w:hAnsi="Times New Roman"/>
          <w:b/>
          <w:sz w:val="20"/>
        </w:rPr>
      </w:pPr>
      <w:bookmarkStart w:id="24" w:name="toc656970_22"/>
      <w:bookmarkEnd w:id="24"/>
      <w:r>
        <w:rPr>
          <w:rFonts w:ascii="Times New Roman" w:hAnsi="Times New Roman"/>
          <w:b/>
          <w:sz w:val="20"/>
        </w:rPr>
        <w:t xml:space="preserve">Board Recommendation </w:t>
      </w:r>
    </w:p>
    <w:p>
      <w:pPr>
        <w:pStyle w:val="TextBody"/>
        <w:bidi w:val="0"/>
        <w:spacing w:before="480" w:after="0"/>
        <w:jc w:val="center"/>
        <w:rPr>
          <w:rFonts w:ascii="Times New Roman" w:hAnsi="Times New Roman"/>
          <w:b/>
          <w:sz w:val="20"/>
        </w:rPr>
      </w:pPr>
      <w:r>
        <w:rPr>
          <w:rFonts w:ascii="Times New Roman" w:hAnsi="Times New Roman"/>
          <w:b/>
          <w:sz w:val="20"/>
        </w:rPr>
        <w:t xml:space="preserve">OUR BOARD OF DIRECTORS RECOMMENDS A VOTE FOR THE ELECTION OF EACH OF THE DIRECTOR NOMINEES NAMED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oc656970_23"/>
      <w:bookmarkEnd w:id="25"/>
      <w:r>
        <w:rPr>
          <w:rFonts w:ascii="Times New Roman" w:hAnsi="Times New Roman"/>
          <w:b/>
          <w:sz w:val="20"/>
        </w:rPr>
        <w:t xml:space="preserve">PROPOSAL NO. 2 </w:t>
      </w:r>
    </w:p>
    <w:p>
      <w:pPr>
        <w:pStyle w:val="TextBody"/>
        <w:bidi w:val="0"/>
        <w:spacing w:before="240" w:after="0"/>
        <w:jc w:val="center"/>
        <w:rPr>
          <w:rFonts w:ascii="Times New Roman" w:hAnsi="Times New Roman"/>
          <w:b/>
          <w:sz w:val="20"/>
        </w:rPr>
      </w:pPr>
      <w:r>
        <w:rPr>
          <w:rFonts w:ascii="Times New Roman" w:hAnsi="Times New Roman"/>
          <w:b/>
          <w:sz w:val="20"/>
        </w:rPr>
        <w:t xml:space="preserve">RATIFICATION OF APPOINTMENT OF </w:t>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appointed Deloitte &amp; Touche LLP as our independent registered public accounting firm to audit our financial statements for our fiscal year ending December 31, 2024. Deloitte &amp; Touche LLP served as our independent registered public accounting firm for the fiscal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we are asking our stockholders to ratify the appointment of Deloitte &amp; Touche LLP as our independent registered public accounting firm for our fiscal year ending December 31, 2024. Our audit committee is submitting the appointment of Deloitte &amp; Touche LLP to our stockholders because we value our stockholders views on our independent registered public accounting firm and as a matter of good corporate governance. Notwithstanding the appointment of Deloitte &amp; Touche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Deloitte &amp; Touche LLP, then our audit committee may reconsider the appointment. One or more representatives of Deloitte &amp; Touche LLP are expected to be present at the annual meeting, and they will have an opportunity to make a statement and are expected to be available to respond to appropriate questions from our stockholders. </w:t>
      </w:r>
    </w:p>
    <w:p>
      <w:pPr>
        <w:pStyle w:val="TextBody"/>
        <w:bidi w:val="0"/>
        <w:spacing w:before="360" w:after="0"/>
        <w:jc w:val="left"/>
        <w:rPr>
          <w:rFonts w:ascii="Times New Roman" w:hAnsi="Times New Roman"/>
          <w:b/>
          <w:sz w:val="20"/>
        </w:rPr>
      </w:pPr>
      <w:bookmarkStart w:id="26" w:name="toc656970_24"/>
      <w:bookmarkEnd w:id="26"/>
      <w:r>
        <w:rPr>
          <w:rFonts w:ascii="Times New Roman" w:hAnsi="Times New Roman"/>
          <w:b/>
          <w:sz w:val="20"/>
        </w:rPr>
        <w:t xml:space="preserve">Fees Paid to the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fees for professional audit services and other services rendered to us by Deloitte &amp; Touche LLP for our fiscal years ended December 31, 2023, and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06"/>
        <w:gridCol w:w="357"/>
        <w:gridCol w:w="141"/>
        <w:gridCol w:w="881"/>
        <w:gridCol w:w="60"/>
        <w:gridCol w:w="357"/>
        <w:gridCol w:w="141"/>
        <w:gridCol w:w="1047"/>
        <w:gridCol w:w="65"/>
      </w:tblGrid>
      <w:tr>
        <w:trPr/>
        <w:tc>
          <w:tcPr>
            <w:tcW w:w="4706"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4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951,700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1,158,224</w:t>
            </w:r>
          </w:p>
        </w:tc>
        <w:tc>
          <w:tcPr>
            <w:tcW w:w="65" w:type="dxa"/>
            <w:tcBorders/>
            <w:shd w:fill="CCEEFF" w:val="clear"/>
            <w:vAlign w:val="bottom"/>
          </w:tcPr>
          <w:p>
            <w:pPr>
              <w:pStyle w:val="TableContents"/>
              <w:bidi w:val="0"/>
              <w:spacing w:before="0" w:after="283"/>
              <w:jc w:val="left"/>
              <w:rPr/>
            </w:pPr>
            <w:r>
              <w:rPr/>
              <w:t> </w:t>
            </w:r>
          </w:p>
        </w:tc>
      </w:tr>
      <w:tr>
        <w:trPr/>
        <w:tc>
          <w:tcPr>
            <w:tcW w:w="4706"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25,254</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06"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0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976,954</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1,158,224</w:t>
            </w:r>
          </w:p>
        </w:tc>
        <w:tc>
          <w:tcPr>
            <w:tcW w:w="65" w:type="dxa"/>
            <w:tcBorders/>
            <w:shd w:fill="CCEEFF" w:val="clear"/>
            <w:vAlign w:val="bottom"/>
          </w:tcPr>
          <w:p>
            <w:pPr>
              <w:pStyle w:val="TableContents"/>
              <w:bidi w:val="0"/>
              <w:spacing w:before="0" w:after="283"/>
              <w:jc w:val="left"/>
              <w:rPr/>
            </w:pPr>
            <w:r>
              <w:rPr/>
              <w:t> </w:t>
            </w:r>
          </w:p>
        </w:tc>
      </w:tr>
      <w:tr>
        <w:trPr/>
        <w:tc>
          <w:tcPr>
            <w:tcW w:w="470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billed for professional services rendered for the audit of our consolidated financial statements and review of the interim financial statements included in quarterly reports and services that are normally provided by Deloitte &amp; Touche LLP in connection with statutory and regulatory filings and other engagements such as consents and review of documents filed with the SEC. The fees for 2022 include services associated with the filing of our S-3 in August 2022 and our public offering in November 2022. The fees for 2023 include services associated with the activation of our at-the-market program. </w:t>
            </w:r>
          </w:p>
        </w:tc>
      </w:tr>
    </w:tbl>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fees consist of fees for tax advice and tax planning. </w:t>
            </w:r>
          </w:p>
        </w:tc>
      </w:tr>
    </w:tbl>
    <w:p>
      <w:pPr>
        <w:pStyle w:val="TextBody"/>
        <w:bidi w:val="0"/>
        <w:spacing w:before="360" w:after="0"/>
        <w:jc w:val="left"/>
        <w:rPr>
          <w:rFonts w:ascii="Times New Roman" w:hAnsi="Times New Roman"/>
          <w:b/>
          <w:sz w:val="20"/>
        </w:rPr>
      </w:pPr>
      <w:bookmarkStart w:id="27" w:name="toc656970_25"/>
      <w:bookmarkEnd w:id="27"/>
      <w:r>
        <w:rPr>
          <w:rFonts w:ascii="Times New Roman" w:hAnsi="Times New Roman"/>
          <w:b/>
          <w:sz w:val="20"/>
        </w:rPr>
        <w:t xml:space="preserve">Auditor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In 2023, there were no other professional services provided by Deloitte &amp; Touche LLP, other than those listed above, that would have required our audit committee to consider their compatibility with maintaining the independence of Deloitte &amp; Touche LLP. </w:t>
      </w:r>
    </w:p>
    <w:p>
      <w:pPr>
        <w:pStyle w:val="TextBody"/>
        <w:bidi w:val="0"/>
        <w:spacing w:before="360" w:after="0"/>
        <w:jc w:val="left"/>
        <w:rPr>
          <w:rFonts w:ascii="Times New Roman" w:hAnsi="Times New Roman"/>
          <w:b/>
          <w:sz w:val="20"/>
        </w:rPr>
      </w:pPr>
      <w:bookmarkStart w:id="28" w:name="toc656970_26"/>
      <w:bookmarkEnd w:id="28"/>
      <w:r>
        <w:rPr>
          <w:rFonts w:ascii="Times New Roman" w:hAnsi="Times New Roman"/>
          <w:b/>
          <w:sz w:val="20"/>
        </w:rPr>
        <w:t xml:space="preserve">Audit Committee Policy on Pre-Approval of Audit and Permissible Non-Audit Services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established a policy governing our use of the services of our independent registered public accounting firm. Under this policy, our audit committee is required to pre-approve all services performed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our independent registered public accounting firm in order to ensure that the provision of such services does not impair such accounting firms independence. All fees paid to Deloitte &amp; Touche LLP for our fiscal year ended December 31, 2023, were pre-approved by our audit committee. </w:t>
      </w:r>
    </w:p>
    <w:p>
      <w:pPr>
        <w:pStyle w:val="TextBody"/>
        <w:bidi w:val="0"/>
        <w:spacing w:before="360" w:after="0"/>
        <w:jc w:val="left"/>
        <w:rPr>
          <w:rFonts w:ascii="Times New Roman" w:hAnsi="Times New Roman"/>
          <w:b/>
          <w:sz w:val="20"/>
        </w:rPr>
      </w:pPr>
      <w:bookmarkStart w:id="29" w:name="toc656970_27"/>
      <w:bookmarkEnd w:id="29"/>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The ratification of the appointment of Deloitte &amp; Touche LLP as our independent registered public accounting firm for our fiscal year ending December 31, 2024, requires the affirmative vote of a majority of the voting power of the shares present in person (including virtually) or represented by proxy at the annual meeting and entitled to vote thereon. Abstentions will have the same effect as a vote AGAINST this proposal. Because this is a routine proposal, your broker, bank or other nominee will have discretion to vote your shares on this routine matter. See </w:t>
      </w:r>
      <w:r>
        <w:rPr>
          <w:rFonts w:ascii="Times New Roman" w:hAnsi="Times New Roman"/>
          <w:i/>
          <w:sz w:val="20"/>
        </w:rPr>
        <w:t>What if I do not specify how my shares are to be voted or fail to provide timely directions to my broker, bank or other nominee?</w:t>
      </w:r>
      <w:r>
        <w:rPr>
          <w:rFonts w:ascii="Times New Roman" w:hAnsi="Times New Roman"/>
          <w:sz w:val="20"/>
        </w:rPr>
        <w:t xml:space="preserve"> above. Therefore, we do not expect any broker non-votes on this proposal. </w:t>
      </w:r>
    </w:p>
    <w:p>
      <w:pPr>
        <w:pStyle w:val="TextBody"/>
        <w:bidi w:val="0"/>
        <w:spacing w:before="360" w:after="0"/>
        <w:jc w:val="left"/>
        <w:rPr>
          <w:rFonts w:ascii="Times New Roman" w:hAnsi="Times New Roman"/>
          <w:b/>
          <w:sz w:val="20"/>
        </w:rPr>
      </w:pPr>
      <w:bookmarkStart w:id="30" w:name="toc656970_28"/>
      <w:bookmarkEnd w:id="30"/>
      <w:r>
        <w:rPr>
          <w:rFonts w:ascii="Times New Roman" w:hAnsi="Times New Roman"/>
          <w:b/>
          <w:sz w:val="20"/>
        </w:rPr>
        <w:t xml:space="preserve">Board Recommendation </w:t>
      </w:r>
    </w:p>
    <w:p>
      <w:pPr>
        <w:pStyle w:val="TextBody"/>
        <w:bidi w:val="0"/>
        <w:spacing w:before="480" w:after="0"/>
        <w:jc w:val="center"/>
        <w:rPr>
          <w:rFonts w:ascii="Times New Roman" w:hAnsi="Times New Roman"/>
          <w:b/>
          <w:sz w:val="20"/>
        </w:rPr>
      </w:pPr>
      <w:r>
        <w:rPr>
          <w:rFonts w:ascii="Times New Roman" w:hAnsi="Times New Roman"/>
          <w:b/>
          <w:sz w:val="20"/>
        </w:rPr>
        <w:t xml:space="preserve">OUR BOARD OF DIRECTORS RECOMMENDS A VOTE FOR THE RATIFICATION OF THE APPOINTMENT OF DELOITTE &amp; TOUCHE LLP AS OUR INDEPENDENT REGISTERED PUBLIC ACCOUNTING FIRM FOR OUR FISCAL YEAR ENDING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oc656970_29"/>
      <w:bookmarkEnd w:id="31"/>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The audit committee reviews and assesses the adequacy of its charter and the audit committees performance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 </w:t>
      </w:r>
    </w:p>
    <w:p>
      <w:pPr>
        <w:pStyle w:val="TextBody"/>
        <w:bidi w:val="0"/>
        <w:spacing w:before="240" w:after="0"/>
        <w:jc w:val="left"/>
        <w:rPr>
          <w:rFonts w:ascii="Times New Roman" w:hAnsi="Times New Roman"/>
          <w:sz w:val="20"/>
        </w:rPr>
      </w:pPr>
      <w:r>
        <w:rPr>
          <w:rFonts w:ascii="Times New Roman" w:hAnsi="Times New Roman"/>
          <w:sz w:val="20"/>
        </w:rPr>
        <w:t xml:space="preserve">In the performance of its oversight function, the audit committee has: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the audited financial statements with management and Deloitte;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Deloitte the matters required to be discussed by the applicable requirements of the Public Company Accounting Oversight Board (PCAOB) and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Deloitte required by applicable requirements of the PCAOB regarding the independent accountants communications with the audit committee concerning independence and has discussed with Deloitte its independence.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with management and Deloitte, the audit committee recommended to the board of directors that the audited financial statements be included in the Companys Annual Report on Form 10-K for the fiscal year ended December 31, 2023, for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by the members of the audit committee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Jeffrey T. Walsh (Chair) </w:t>
      </w:r>
    </w:p>
    <w:p>
      <w:pPr>
        <w:pStyle w:val="TextBody"/>
        <w:bidi w:val="0"/>
        <w:spacing w:before="120" w:after="0"/>
        <w:jc w:val="left"/>
        <w:rPr>
          <w:rFonts w:ascii="Times New Roman" w:hAnsi="Times New Roman"/>
          <w:b/>
          <w:sz w:val="20"/>
        </w:rPr>
      </w:pPr>
      <w:r>
        <w:rPr>
          <w:rFonts w:ascii="Times New Roman" w:hAnsi="Times New Roman"/>
          <w:b/>
          <w:sz w:val="20"/>
        </w:rPr>
        <w:t xml:space="preserve">Amy Burroughs </w:t>
      </w:r>
    </w:p>
    <w:p>
      <w:pPr>
        <w:pStyle w:val="TextBody"/>
        <w:bidi w:val="0"/>
        <w:spacing w:before="120" w:after="0"/>
        <w:jc w:val="left"/>
        <w:rPr>
          <w:rFonts w:ascii="Times New Roman" w:hAnsi="Times New Roman"/>
          <w:b/>
          <w:sz w:val="20"/>
        </w:rPr>
      </w:pPr>
      <w:r>
        <w:rPr>
          <w:rFonts w:ascii="Times New Roman" w:hAnsi="Times New Roman"/>
          <w:b/>
          <w:sz w:val="20"/>
        </w:rPr>
        <w:t xml:space="preserve">Karah Parschauer </w:t>
      </w:r>
    </w:p>
    <w:p>
      <w:pPr>
        <w:pStyle w:val="TextBody"/>
        <w:bidi w:val="0"/>
        <w:spacing w:before="240" w:after="0"/>
        <w:jc w:val="left"/>
        <w:rPr>
          <w:rFonts w:ascii="Times New Roman" w:hAnsi="Times New Roman"/>
          <w:i/>
          <w:sz w:val="20"/>
        </w:rPr>
      </w:pPr>
      <w:r>
        <w:rPr>
          <w:rFonts w:ascii="Times New Roman" w:hAnsi="Times New Roman"/>
          <w:i/>
          <w:sz w:val="20"/>
        </w:rPr>
        <w:t xml:space="preserve">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Exchange Act, except to the extent the Company specifically requests that the information be treated as soliciting material or specifically incorporates it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oc656970_30"/>
      <w:bookmarkEnd w:id="32"/>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about our executive officers as of March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89"/>
        <w:gridCol w:w="120"/>
        <w:gridCol w:w="79"/>
        <w:gridCol w:w="446"/>
        <w:gridCol w:w="192"/>
        <w:gridCol w:w="208"/>
        <w:gridCol w:w="5371"/>
      </w:tblGrid>
      <w:tr>
        <w:trPr/>
        <w:tc>
          <w:tcPr>
            <w:tcW w:w="37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37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9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5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Faraz Ali, M.B.A.</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51</w:t>
            </w:r>
          </w:p>
        </w:tc>
        <w:tc>
          <w:tcPr>
            <w:tcW w:w="19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5371" w:type="dxa"/>
            <w:tcBorders/>
            <w:shd w:fill="CCEEFF" w:val="clear"/>
            <w:vAlign w:val="bottom"/>
          </w:tcPr>
          <w:p>
            <w:pPr>
              <w:pStyle w:val="TableContents"/>
              <w:bidi w:val="0"/>
              <w:spacing w:before="0" w:after="283"/>
              <w:jc w:val="left"/>
              <w:rPr/>
            </w:pPr>
            <w:r>
              <w:rPr/>
              <w:t>Chief Executive Officer</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Leone D. Patterson, M.B.A.</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61</w:t>
            </w:r>
          </w:p>
        </w:tc>
        <w:tc>
          <w:tcPr>
            <w:tcW w:w="19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5371" w:type="dxa"/>
            <w:tcBorders/>
            <w:vAlign w:val="bottom"/>
          </w:tcPr>
          <w:p>
            <w:pPr>
              <w:pStyle w:val="TableContents"/>
              <w:bidi w:val="0"/>
              <w:spacing w:before="0" w:after="283"/>
              <w:jc w:val="left"/>
              <w:rPr/>
            </w:pPr>
            <w:r>
              <w:rPr/>
              <w:t>Chief Financial and Business Officer</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Timothy Hoey, Ph.D.</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65</w:t>
            </w:r>
          </w:p>
        </w:tc>
        <w:tc>
          <w:tcPr>
            <w:tcW w:w="19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5371" w:type="dxa"/>
            <w:tcBorders/>
            <w:shd w:fill="CCEEFF" w:val="clear"/>
            <w:vAlign w:val="bottom"/>
          </w:tcPr>
          <w:p>
            <w:pPr>
              <w:pStyle w:val="TableContents"/>
              <w:bidi w:val="0"/>
              <w:spacing w:before="0" w:after="283"/>
              <w:jc w:val="left"/>
              <w:rPr/>
            </w:pPr>
            <w:r>
              <w:rPr/>
              <w:t>Chief Scientific Officer</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Whittemore (Whit) Tingley, M.D., Ph.D.</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56</w:t>
            </w:r>
          </w:p>
        </w:tc>
        <w:tc>
          <w:tcPr>
            <w:tcW w:w="19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5371" w:type="dxa"/>
            <w:tcBorders/>
            <w:vAlign w:val="bottom"/>
          </w:tcPr>
          <w:p>
            <w:pPr>
              <w:pStyle w:val="TableContents"/>
              <w:bidi w:val="0"/>
              <w:spacing w:before="0" w:after="283"/>
              <w:jc w:val="left"/>
              <w:rPr/>
            </w:pPr>
            <w:r>
              <w:rPr/>
              <w:t>Chief Medical Officer</w:t>
            </w:r>
          </w:p>
        </w:tc>
      </w:tr>
    </w:tbl>
    <w:p>
      <w:pPr>
        <w:pStyle w:val="TextBody"/>
        <w:bidi w:val="0"/>
        <w:spacing w:before="240" w:after="0"/>
        <w:jc w:val="left"/>
        <w:rPr>
          <w:rFonts w:ascii="Times New Roman" w:hAnsi="Times New Roman"/>
          <w:sz w:val="20"/>
        </w:rPr>
      </w:pPr>
      <w:r>
        <w:rPr>
          <w:rFonts w:ascii="Times New Roman" w:hAnsi="Times New Roman"/>
          <w:sz w:val="20"/>
        </w:rPr>
        <w:t>For the biography of Mr. Ali, please see </w:t>
      </w:r>
      <w:r>
        <w:rPr>
          <w:rFonts w:ascii="Times New Roman" w:hAnsi="Times New Roman"/>
          <w:i/>
          <w:sz w:val="20"/>
        </w:rPr>
        <w:t>Board of Directors and Corporate GovernanceContinuing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Leone D. Patterson, M.B.A.</w:t>
      </w:r>
      <w:r>
        <w:rPr>
          <w:rFonts w:ascii="Times New Roman" w:hAnsi="Times New Roman"/>
          <w:sz w:val="20"/>
        </w:rPr>
        <w:t xml:space="preserve">, began serving as our Chief Financial and Business Officer in June 2021. Prior to joining us, Ms. Patterson joined Adverum Biotechnologies, Inc., a public clinical-stage gene therapy company, in June 2016 as the Chief Financial Officer and also served as Chief Executive Officer from May 2018 to June 2020, director from October 2018 to June 2020, and President from December 2019 to June 2021. Ms. Patterson has held various senior positions at Diadexus, Inc., Transcept Pharmaceuticals, Inc., NetApp, Inc., Exelixis, Inc., Novartis AG, Chiron (acquired by Novartis AG), and KPMG. Ms. Patterson currently serves on the board of directors and as the Chair of the audit committee of Nkarta, Inc. a publicly traded biotechnology company and Oxford Biomedica (UK) Limited, a publicly traded biotechnology company. She previously served as a member of the board of directors of Eliem Therapeutics, Inc., a publicly traded biotechnology company. Ms. Patterson holds a B.S. in Business Administration and Accounting from Chapman University and an Executive M.B.A. from St. Marys College. Ms. Patterson is also a Certified Public Accountant (inactive status). </w:t>
      </w:r>
    </w:p>
    <w:p>
      <w:pPr>
        <w:pStyle w:val="TextBody"/>
        <w:bidi w:val="0"/>
        <w:spacing w:before="240" w:after="0"/>
        <w:jc w:val="left"/>
        <w:rPr>
          <w:rFonts w:ascii="Times New Roman" w:hAnsi="Times New Roman"/>
          <w:sz w:val="20"/>
        </w:rPr>
      </w:pPr>
      <w:r>
        <w:rPr>
          <w:rFonts w:ascii="Times New Roman" w:hAnsi="Times New Roman"/>
          <w:b/>
          <w:i/>
          <w:sz w:val="20"/>
        </w:rPr>
        <w:t>Timothy Hoey, Ph.D.</w:t>
      </w:r>
      <w:r>
        <w:rPr>
          <w:rFonts w:ascii="Times New Roman" w:hAnsi="Times New Roman"/>
          <w:sz w:val="20"/>
        </w:rPr>
        <w:t xml:space="preserve">, has served as our Chief Scientific Officer since August 2017. From 2005 to June 2017, he held various roles at OncoMed Pharmaceuticals, a public biotechnology company (acquired by Mereo BioPharma Group), including as the Senior Vice-President, Cancer Biology and co-Chief Scientific Officer from January 2016 to June 2017. From 1993 to 2005, Dr. Hoey served in various roles at Tularik, including as Director, Biology Department at both Tularik and Amgen. Dr. Hoey received a B.S. in Biology from the University of Michigan and a Ph.D. in Biological Sciences from Columbia University. </w:t>
      </w:r>
    </w:p>
    <w:p>
      <w:pPr>
        <w:pStyle w:val="TextBody"/>
        <w:bidi w:val="0"/>
        <w:spacing w:before="240" w:after="0"/>
        <w:jc w:val="left"/>
        <w:rPr>
          <w:rFonts w:ascii="Times New Roman" w:hAnsi="Times New Roman"/>
          <w:sz w:val="20"/>
        </w:rPr>
      </w:pPr>
      <w:r>
        <w:rPr>
          <w:rFonts w:ascii="Times New Roman" w:hAnsi="Times New Roman"/>
          <w:b/>
          <w:i/>
          <w:sz w:val="20"/>
        </w:rPr>
        <w:t>Whittemore (Whit) Tingley, M.D., Ph.D.</w:t>
      </w:r>
      <w:r>
        <w:rPr>
          <w:rFonts w:ascii="Times New Roman" w:hAnsi="Times New Roman"/>
          <w:sz w:val="20"/>
        </w:rPr>
        <w:t xml:space="preserve">, has served as our Chief Medical Officer since December 2018. Before joining us, he served as the Vice President of Clinical Research, Cardiology, at Cytokinetics, a publicly traded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(UCSF),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UCSF and post-doctoral research at Gladstone Institutes.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oc656970_31"/>
      <w:bookmarkEnd w:id="33"/>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34" w:name="toc656970_32"/>
      <w:bookmarkEnd w:id="34"/>
      <w:r>
        <w:rPr>
          <w:rFonts w:ascii="Times New Roman" w:hAnsi="Times New Roman"/>
          <w:b/>
          <w:sz w:val="20"/>
        </w:rPr>
        <w:t xml:space="preserve">Processes and Procedures for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incentive compensation for all executive officers (other than himself) based on our results, an individual executive officers contribution toward these results and performance toward individual goal achievement. Our compensation committee then reviews the recommendations and other data furnished by its independent compensation consultant. Our compensation committee makes decisions as to total compensation for each executive officer other than the chief executive officer, although it may instead, in its discretion, make recommendations to our board of directors regarding executive compensation for its approval. Our compensation committee makes recommendations to our board of directors regarding our chief executive officers compensation and our board of directors makes decisions as to such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is authorized to retain the services of one or more executive compensation advisors, as it sees fit, in connection with the establishment of our compensation programs and related policies. Beginning in August 2022, our compensation committee retained Pearl Meyer, an independent compensation and leadership consulting firm, to provide it with information, recommendations and other advice relating to executive compensation and non-employee director compensation on an ongoing basis. Pearl Meyer served at the discretion of our compensation committee. As part of its engagement, Pearl Meyer assisted our compensation committee in developing a group of peer companies to help us determine the appropriate level of overall compensation for our executive officers, as well as assess each separate element of compensation, with a goal of ensuring that the compensation we offer to our executive officers is competitive and fair.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consisting of our principal executive officer and the two most highly compensated executive officers (other than our principal executive officer), as of December 31, 2023,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Faraz Ali, M.B.A.,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Whittemore (Whit) Tingley, M.D., Ph.D., our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Leone Patterson, our Chief Financial and Business Officer. </w:t>
            </w:r>
          </w:p>
        </w:tc>
      </w:tr>
    </w:tbl>
    <w:p>
      <w:pPr>
        <w:pStyle w:val="TextBody"/>
        <w:bidi w:val="0"/>
        <w:spacing w:before="360" w:after="0"/>
        <w:jc w:val="left"/>
        <w:rPr>
          <w:rFonts w:ascii="Times New Roman" w:hAnsi="Times New Roman"/>
          <w:b/>
          <w:sz w:val="20"/>
        </w:rPr>
      </w:pPr>
      <w:bookmarkStart w:id="35" w:name="toc656970_33"/>
      <w:bookmarkEnd w:id="35"/>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reportable for our named executive officers for the years ended December 31, 2023, and 2022. </w:t>
      </w:r>
    </w:p>
    <w:p>
      <w:pPr>
        <w:pStyle w:val="TextBody"/>
        <w:bidi w:val="0"/>
        <w:spacing w:before="0" w:after="0"/>
        <w:jc w:val="left"/>
        <w:rPr/>
      </w:pPr>
      <w:r>
        <w:rPr/>
        <w:t> </w:t>
      </w:r>
    </w:p>
    <w:tbl>
      <w:tblPr>
        <w:tblW w:w="12035" w:type="dxa"/>
        <w:jc w:val="center"/>
        <w:tblInd w:w="0" w:type="dxa"/>
        <w:tblLayout w:type="fixed"/>
        <w:tblCellMar>
          <w:top w:w="0" w:type="dxa"/>
          <w:left w:w="0" w:type="dxa"/>
          <w:bottom w:w="0" w:type="dxa"/>
          <w:right w:w="0" w:type="dxa"/>
        </w:tblCellMar>
      </w:tblPr>
      <w:tblGrid>
        <w:gridCol w:w="1460"/>
        <w:gridCol w:w="60"/>
        <w:gridCol w:w="60"/>
        <w:gridCol w:w="500"/>
        <w:gridCol w:w="60"/>
        <w:gridCol w:w="60"/>
        <w:gridCol w:w="60"/>
        <w:gridCol w:w="800"/>
        <w:gridCol w:w="60"/>
        <w:gridCol w:w="60"/>
        <w:gridCol w:w="199"/>
        <w:gridCol w:w="466"/>
        <w:gridCol w:w="60"/>
        <w:gridCol w:w="60"/>
        <w:gridCol w:w="60"/>
        <w:gridCol w:w="800"/>
        <w:gridCol w:w="60"/>
        <w:gridCol w:w="60"/>
        <w:gridCol w:w="60"/>
        <w:gridCol w:w="980"/>
        <w:gridCol w:w="60"/>
        <w:gridCol w:w="60"/>
        <w:gridCol w:w="103"/>
        <w:gridCol w:w="1387"/>
        <w:gridCol w:w="60"/>
        <w:gridCol w:w="60"/>
        <w:gridCol w:w="447"/>
        <w:gridCol w:w="1043"/>
        <w:gridCol w:w="60"/>
        <w:gridCol w:w="60"/>
        <w:gridCol w:w="144"/>
        <w:gridCol w:w="1346"/>
        <w:gridCol w:w="60"/>
        <w:gridCol w:w="60"/>
        <w:gridCol w:w="60"/>
        <w:gridCol w:w="980"/>
        <w:gridCol w:w="60"/>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w:t>
              <w:br/>
              <w:t>Position</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Nonqualified</w:t>
              <w:br/>
              <w:t>Deferred</w:t>
              <w:br/>
              <w:t>Compensation</w:t>
              <w:br/>
              <w:t>Earnings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Faraz Ali, M.B.A.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593,800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1,617,503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293,931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2,890,062</w:t>
            </w:r>
          </w:p>
        </w:tc>
        <w:tc>
          <w:tcPr>
            <w:tcW w:w="60" w:type="dxa"/>
            <w:tcBorders/>
            <w:shd w:fill="CCEEFF" w:val="clear"/>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571,459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4,751,013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242,700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2,228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5,567,400</w:t>
            </w:r>
          </w:p>
        </w:tc>
        <w:tc>
          <w:tcPr>
            <w:tcW w:w="6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Whittemore (Whit) Tingley, M.D., Ph.D.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244,800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491,242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167,000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3,786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1,381,827</w:t>
            </w:r>
          </w:p>
        </w:tc>
        <w:tc>
          <w:tcPr>
            <w:tcW w:w="60" w:type="dxa"/>
            <w:tcBorders/>
            <w:vAlign w:val="bottom"/>
          </w:tcPr>
          <w:p>
            <w:pPr>
              <w:pStyle w:val="TableContents"/>
              <w:bidi w:val="0"/>
              <w:spacing w:before="0" w:after="283"/>
              <w:jc w:val="left"/>
              <w:rPr/>
            </w:pPr>
            <w:r>
              <w:rPr/>
              <w:t> </w:t>
            </w:r>
          </w:p>
        </w:tc>
      </w:tr>
      <w:tr>
        <w:trPr/>
        <w:tc>
          <w:tcPr>
            <w:tcW w:w="14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455,609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1,668,932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162,000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4,366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2,290,907</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Leone Patterson.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198,900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455,297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4,384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1,273,581</w:t>
            </w:r>
          </w:p>
        </w:tc>
        <w:tc>
          <w:tcPr>
            <w:tcW w:w="60" w:type="dxa"/>
            <w:tcBorders/>
            <w:shd w:fill="CCEEFF" w:val="clear"/>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445,609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781,202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133,500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4,930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1,365,241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this column represent the amount actually earned by each named executive officer for the indicated fiscal year.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option awards granted to the officer in the applicable fiscal year, computed in accordance with FASB ASC Topic 718. See Note 7 to our financial statements for the year ended December 31, 2023, included in our Annual Report on Form 10-K for the year ended December 31, 2023, filed with the SEC on March 18, 2024, for a discussion of the assumptions made by us in determining the grant date fair value of our equity awards. Our named executive officers will only realize compensation to the extent the trading price of our common stock is greater than the exercise price of such stock options.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represent the portion of the cash bonuses awarded under our Executive Incentive Compensation Plan that was based on the compensation committees assessment of the achievement of pre-determined corporate goals. </w:t>
            </w:r>
          </w:p>
        </w:tc>
      </w:tr>
    </w:tbl>
    <w:p>
      <w:pPr>
        <w:pStyle w:val="TextBody"/>
        <w:bidi w:val="0"/>
        <w:spacing w:before="360" w:after="0"/>
        <w:jc w:val="left"/>
        <w:rPr>
          <w:rFonts w:ascii="Times New Roman" w:hAnsi="Times New Roman"/>
          <w:b/>
          <w:sz w:val="20"/>
        </w:rPr>
      </w:pPr>
      <w:bookmarkStart w:id="36" w:name="toc656970_34"/>
      <w:bookmarkEnd w:id="36"/>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Each of our current executive officers has executed our standard form of confidential information, invention assignment and arbitration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employment offer letter agreement with each of our executive officers in connection with his or her employment with us. These offer letters provide for at will employment.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Faraz Ali, M.B.A.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confirmatory employment letter with Mr. Ali, our Chief Executive Officer. The confirmatory employment letter has no specific term and provides for at-will employment. Mr. Alis current annual base salary is $620,000 and his annual target bonus is 55% of his annual base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Leone D. Patterson, M.B.A.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letter with Ms. Patterson, our Chief Financial and Business Officer. The employment letter has no specific term and provides for at-will employment. Ms. Pattersons current annual base salary is $473,000 and her annual target bonus is 40% of her annual base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Timothy Hoey, Ph.D.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confirmatory employment letter with Dr. Hoey, our Chief Scientific Officer. The confirmatory employment letter has no specific term and provides for at-will employment. Dr. Hoeys current annual base salary is $455,000 and his annual target bonus is 40% of his annual base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Whittemore (Whit) Tingley, M.D., Ph.D.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confirmatory employment letter with Dr. Tingley, our Chief Medical Officer. The confirmatory employment letter has no specific term and provides for at-will employment. Dr. Tingleys current annual base salary is $492,000 and his annual target bonus is 40% of his annual base salary. </w:t>
      </w:r>
    </w:p>
    <w:p>
      <w:pPr>
        <w:pStyle w:val="TextBody"/>
        <w:bidi w:val="0"/>
        <w:spacing w:before="360" w:after="0"/>
        <w:jc w:val="left"/>
        <w:rPr>
          <w:rFonts w:ascii="Times New Roman" w:hAnsi="Times New Roman"/>
          <w:b/>
          <w:sz w:val="20"/>
        </w:rPr>
      </w:pPr>
      <w:bookmarkStart w:id="37" w:name="toc656970_35"/>
      <w:bookmarkEnd w:id="37"/>
      <w:r>
        <w:rPr>
          <w:rFonts w:ascii="Times New Roman" w:hAnsi="Times New Roman"/>
          <w:b/>
          <w:sz w:val="20"/>
        </w:rPr>
        <w:t xml:space="preserve">Executive Change in Control and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an Executive Change in Control and Severance Plan, or the Executive Severance Plan, pursuant to which our named executive officers and certain other key employees are eligible to receive severance benefits, as specified in and subject to the employee signing a participation agreement under our Executive Severance Plan. This Executive Severance Plan was initially developed with input from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committees then-current independent compensation consultant regarding severance practices at comparable companies, and was most recently amended in June 2023 with input from Pearl Meyer (the June 2023 amendment). It is designed to attract, retain and reward senior level employees. The Executive Severance Plan will be in lieu of any other severance payments and benefits to which such key employee was entitled prior to signing the participation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our named executive officers has signed a participation agreement under our Executive Severance Plan that was amended in connection with the June 2023 amendment providing for the rights to the applicable payments and benefits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nine months of the named executive officers annual base salary as in effect immediately prior to his or her qualifying termination of employment, or 12 months in the case of Mr. Ali;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health coverage under COBRA or a lump sum payment equal to the premium cost of continued health coverage under the Consolidated Omnibus Reconciliation Act of 1985 as amended, or COBRA, for a period of nine months following his or her qualifying termination, or 12 months in the case of Mr. Ali. Prior to the June 2023 amendment, this period was 12 months for all the named executive officers.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 termination of employment by the named executive officer for good reason or by us for a reason other than cause or the named executive officers death or disability, in each case, within the change in control period (as described below), then the named executive officer will be entitled to the following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12 months of the named executive officers annual base salary as in effect immediately prior to his or her qualifying termination of employment, or 18 months in the case of Mr. Ali (prior to the June 2023 amendment, this was 12 months for Mr. Ali);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health coverage under COBRA or a lump sum payment equal to the cost of continued health coverage under COBRA for a period of 12 months, or 18 months in the case of Mr. Ali (prior to the June 2023 amendment, this was 12 months for Mr. Ali);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accelerated vesting of all outstanding equity awards, and, with respect to equity awards with performance-based vesting, all performance goals or other vesting criteria will be deemed achieved at 100% of target levels for the relevant performance period(s);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100% of his or her target annual bonus for the year in which the qualifying termination occurs, or 150% in the case of Mr. Ali.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control period is the period beginning three months prior to and ending 12 months following a change in control (as defined in our Executive Severance Plan). Prior to the June 2023 amendment, the change in control period that applied to our named executive officers other than Mr. Ali was the period beginning on the date of a change in control and ending 12 months following a change in control, and the change in control period that applied to Mr. Ali was the period beginning on the date of a change in control and ending 18 months following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receipt of the payments and benefits provided for under the Executive Severance Plan described above is conditioned on the named executive officer signing and not revoking a separation and release of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such release becoming effective and irrevocable no later than the 60th day following the named executive officers involuntary termination of employment, as well as continued compliance with the invention assignment and confidentiality agreement applicable to the named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 </w:t>
      </w:r>
    </w:p>
    <w:p>
      <w:pPr>
        <w:pStyle w:val="TextBody"/>
        <w:bidi w:val="0"/>
        <w:spacing w:before="360" w:after="0"/>
        <w:jc w:val="left"/>
        <w:rPr>
          <w:rFonts w:ascii="Times New Roman" w:hAnsi="Times New Roman"/>
          <w:b/>
          <w:sz w:val="20"/>
        </w:rPr>
      </w:pPr>
      <w:bookmarkStart w:id="38" w:name="toc656970_36"/>
      <w:bookmarkEnd w:id="38"/>
      <w:r>
        <w:rPr>
          <w:rFonts w:ascii="Times New Roman" w:hAnsi="Times New Roman"/>
          <w:b/>
          <w:sz w:val="20"/>
        </w:rPr>
        <w:t xml:space="preserve">Equity Plans </w:t>
      </w:r>
    </w:p>
    <w:p>
      <w:pPr>
        <w:pStyle w:val="TextBody"/>
        <w:bidi w:val="0"/>
        <w:spacing w:before="120" w:after="0"/>
        <w:jc w:val="left"/>
        <w:rPr>
          <w:rFonts w:ascii="Times New Roman" w:hAnsi="Times New Roman"/>
          <w:sz w:val="20"/>
        </w:rPr>
      </w:pPr>
      <w:r>
        <w:rPr>
          <w:rFonts w:ascii="Times New Roman" w:hAnsi="Times New Roman"/>
          <w:sz w:val="20"/>
        </w:rPr>
        <w:t xml:space="preserve">Our 2016 Equity Incentive Plan and our 2021 Equity Incentive Plan each provide that in the event of a merger or change in control, as defined thereunder,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 </w:t>
      </w:r>
    </w:p>
    <w:p>
      <w:pPr>
        <w:pStyle w:val="TextBody"/>
        <w:bidi w:val="0"/>
        <w:spacing w:before="360" w:after="0"/>
        <w:jc w:val="left"/>
        <w:rPr>
          <w:rFonts w:ascii="Times New Roman" w:hAnsi="Times New Roman"/>
          <w:b/>
          <w:sz w:val="20"/>
        </w:rPr>
      </w:pPr>
      <w:bookmarkStart w:id="39" w:name="toc656970_37"/>
      <w:bookmarkEnd w:id="39"/>
      <w:r>
        <w:rPr>
          <w:rFonts w:ascii="Times New Roman" w:hAnsi="Times New Roman"/>
          <w:b/>
          <w:sz w:val="20"/>
        </w:rPr>
        <w:t xml:space="preserve">Executive Incentive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the Executive Incentive Compensation Plan, or the Incentive Compensation Plan, and bonuses to our named executive officers for 2023 were subject to the terms and conditions of, and were paid under this plan. Our Incentive Compensation Plan allows our compensation committee to grant incentive awards, generally payable in cash, to employees selected by our compensation committee, including our executive officers, based upon performance goals established by our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Under our Incentive Compensation Plan, our compensation committee will determine the performance goals, if any,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our board of directors administers our Incentive Compensation Plan and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 </w:t>
      </w:r>
    </w:p>
    <w:p>
      <w:pPr>
        <w:pStyle w:val="TextBody"/>
        <w:bidi w:val="0"/>
        <w:spacing w:before="240" w:after="0"/>
        <w:jc w:val="left"/>
        <w:rPr>
          <w:rFonts w:ascii="Times New Roman" w:hAnsi="Times New Roman"/>
          <w:sz w:val="20"/>
        </w:rPr>
      </w:pPr>
      <w:r>
        <w:rPr>
          <w:rFonts w:ascii="Times New Roman" w:hAnsi="Times New Roman"/>
          <w:sz w:val="20"/>
        </w:rPr>
        <w:t xml:space="preserve">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and our compensation committee have the authority to amend, suspend or terminate our Incentive Compensation Plan, provided such action does not impair the existing rights of any participant with respect to any earned awards. </w:t>
      </w:r>
    </w:p>
    <w:p>
      <w:pPr>
        <w:pStyle w:val="TextBody"/>
        <w:bidi w:val="0"/>
        <w:spacing w:before="360" w:after="0"/>
        <w:jc w:val="left"/>
        <w:rPr>
          <w:rFonts w:ascii="Times New Roman" w:hAnsi="Times New Roman"/>
          <w:b/>
          <w:sz w:val="20"/>
        </w:rPr>
      </w:pPr>
      <w:bookmarkStart w:id="40" w:name="toc656970_38"/>
      <w:bookmarkEnd w:id="40"/>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our compensation committee adopted a compensation recovery policy (the Clawback Policy), in compliance with SEC rules and applicable Nasdaq Listing Rules. Consistent with these requirements, the Clawback Policy provides that, subject to the limited exemptions permitted under these requirements, if we are required to prepare an accounting restatement due to our material noncompliance with financial reporting requirements under applicable securities laws, we must clawback from covered executive officers any incentive-based compensation received by them while he/she was an executive officer, during the applicable recoupment period (which generally includes the three completed fiscal years prior to the date we conclude, or reasonably should have concluded, that we are required to prepare, or the date on which a court, regulator or other legally authorized body directs us to prepare, a financial restatement) that was in excess of what they would have received had their incentive compensation been determined based on the restated amounts. </w:t>
      </w:r>
    </w:p>
    <w:p>
      <w:pPr>
        <w:pStyle w:val="TextBody"/>
        <w:bidi w:val="0"/>
        <w:spacing w:before="360" w:after="0"/>
        <w:jc w:val="left"/>
        <w:rPr>
          <w:rFonts w:ascii="Times New Roman" w:hAnsi="Times New Roman"/>
          <w:b/>
          <w:sz w:val="20"/>
        </w:rPr>
      </w:pPr>
      <w:bookmarkStart w:id="41" w:name="toc656970_39"/>
      <w:bookmarkEnd w:id="41"/>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For 2023, we matched pre-tax contributions dollar-for-dollar up to $1,000.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2" w:name="toc656970_40"/>
      <w:bookmarkEnd w:id="42"/>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equity awards held by our named executive officers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4"/>
        <w:gridCol w:w="60"/>
        <w:gridCol w:w="60"/>
        <w:gridCol w:w="1101"/>
        <w:gridCol w:w="60"/>
        <w:gridCol w:w="60"/>
        <w:gridCol w:w="88"/>
        <w:gridCol w:w="1178"/>
        <w:gridCol w:w="60"/>
        <w:gridCol w:w="60"/>
        <w:gridCol w:w="100"/>
        <w:gridCol w:w="1346"/>
        <w:gridCol w:w="350"/>
        <w:gridCol w:w="60"/>
        <w:gridCol w:w="83"/>
        <w:gridCol w:w="791"/>
        <w:gridCol w:w="60"/>
        <w:gridCol w:w="60"/>
        <w:gridCol w:w="64"/>
        <w:gridCol w:w="1051"/>
        <w:gridCol w:w="60"/>
        <w:gridCol w:w="60"/>
        <w:gridCol w:w="61"/>
        <w:gridCol w:w="815"/>
        <w:gridCol w:w="350"/>
        <w:gridCol w:w="60"/>
        <w:gridCol w:w="72"/>
        <w:gridCol w:w="968"/>
        <w:gridCol w:w="73"/>
      </w:tblGrid>
      <w:tr>
        <w:trPr/>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9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73" w:type="dxa"/>
            <w:tcBorders/>
            <w:vAlign w:val="bottom"/>
          </w:tcPr>
          <w:p>
            <w:pPr>
              <w:pStyle w:val="TableContents"/>
              <w:bidi w:val="0"/>
              <w:spacing w:before="0" w:after="283"/>
              <w:jc w:val="left"/>
              <w:rPr/>
            </w:pPr>
            <w:r>
              <w:rPr/>
              <w:t> </w:t>
            </w:r>
          </w:p>
        </w:tc>
      </w:tr>
      <w:tr>
        <w:trPr/>
        <w:tc>
          <w:tcPr>
            <w:tcW w:w="9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w:t>
              <w:b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or Units</w:t>
              <w:br/>
              <w:t>of Stock</w:t>
              <w:br/>
              <w:t>That</w:t>
              <w:br/>
              <w:t>Have Not</w:t>
              <w:br/>
              <w:t>Vested</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w:t>
              <w:br/>
              <w:t>That</w:t>
              <w:br/>
              <w:t>Have Not</w:t>
              <w:br/>
              <w:t>Vested ($)</w:t>
            </w:r>
          </w:p>
        </w:tc>
        <w:tc>
          <w:tcPr>
            <w:tcW w:w="73" w:type="dxa"/>
            <w:tcBorders/>
            <w:vAlign w:val="bottom"/>
          </w:tcPr>
          <w:p>
            <w:pPr>
              <w:pStyle w:val="TableContents"/>
              <w:bidi w:val="0"/>
              <w:spacing w:before="0" w:after="283"/>
              <w:jc w:val="left"/>
              <w:rPr/>
            </w:pPr>
            <w:r>
              <w:rPr/>
              <w:t> </w:t>
            </w:r>
          </w:p>
        </w:tc>
      </w:tr>
      <w:tr>
        <w:trPr/>
        <w:tc>
          <w:tcPr>
            <w:tcW w:w="9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Faraz Ali, M.B.A.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09/06/2018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425,000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0.66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9/05/2028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03/10/2020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39,061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2,605</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3/09/2030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02/27/2021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303,818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112,848</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2/26/2031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06/17/2021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104,166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62,500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9.36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6/16/2031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02/15/2022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183,970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217,420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2/14/2032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140,625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534,375</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2/14/2033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109,375</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354,375</w:t>
            </w:r>
          </w:p>
        </w:tc>
        <w:tc>
          <w:tcPr>
            <w:tcW w:w="73" w:type="dxa"/>
            <w:tcBorders/>
            <w:shd w:fill="CCEEFF" w:val="clear"/>
            <w:vAlign w:val="bottom"/>
          </w:tcPr>
          <w:p>
            <w:pPr>
              <w:pStyle w:val="TableContents"/>
              <w:bidi w:val="0"/>
              <w:spacing w:before="0" w:after="283"/>
              <w:jc w:val="left"/>
              <w:rPr/>
            </w:pPr>
            <w:r>
              <w:rPr/>
              <w:t> </w:t>
            </w:r>
          </w:p>
        </w:tc>
      </w:tr>
      <w:tr>
        <w:trPr/>
        <w:tc>
          <w:tcPr>
            <w:tcW w:w="994" w:type="dxa"/>
            <w:tcBorders/>
          </w:tcPr>
          <w:p>
            <w:pPr>
              <w:pStyle w:val="TableContents"/>
              <w:bidi w:val="0"/>
              <w:spacing w:before="0" w:after="0"/>
              <w:jc w:val="left"/>
              <w:rPr>
                <w:rFonts w:ascii="Times New Roman" w:hAnsi="Times New Roman"/>
                <w:sz w:val="20"/>
              </w:rPr>
            </w:pPr>
            <w:r>
              <w:rPr>
                <w:rFonts w:ascii="Times New Roman" w:hAnsi="Times New Roman"/>
                <w:sz w:val="20"/>
              </w:rPr>
              <w:t>Whittemore (Whit) Tingley, M.D., Ph.D.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12/10/2018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12/9/2028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r>
      <w:tr>
        <w:trPr/>
        <w:tc>
          <w:tcPr>
            <w:tcW w:w="9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1/19/2021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18,229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6,771</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1/18/2031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r>
      <w:tr>
        <w:trPr/>
        <w:tc>
          <w:tcPr>
            <w:tcW w:w="9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6/17/2021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67,708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40,625</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6/16/2031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r>
      <w:tr>
        <w:trPr/>
        <w:tc>
          <w:tcPr>
            <w:tcW w:w="9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64,625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76,375</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2/14/2032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r>
      <w:tr>
        <w:trPr/>
        <w:tc>
          <w:tcPr>
            <w:tcW w:w="9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2/15/2023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42,708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162,292</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2/14/2033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r>
      <w:tr>
        <w:trPr/>
        <w:tc>
          <w:tcPr>
            <w:tcW w:w="9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2/15/2023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30,625</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99,225</w:t>
            </w:r>
          </w:p>
        </w:tc>
        <w:tc>
          <w:tcPr>
            <w:tcW w:w="73" w:type="dxa"/>
            <w:tcBorders/>
            <w:vAlign w:val="bottom"/>
          </w:tcPr>
          <w:p>
            <w:pPr>
              <w:pStyle w:val="TableContents"/>
              <w:bidi w:val="0"/>
              <w:spacing w:before="0" w:after="283"/>
              <w:jc w:val="left"/>
              <w:rPr/>
            </w:pPr>
            <w:r>
              <w:rPr/>
              <w:t> </w:t>
            </w:r>
          </w:p>
        </w:tc>
      </w:tr>
      <w:tr>
        <w:trPr/>
        <w:tc>
          <w:tcPr>
            <w:tcW w:w="9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2/15/2023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33,750</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109,350</w:t>
            </w:r>
          </w:p>
        </w:tc>
        <w:tc>
          <w:tcPr>
            <w:tcW w:w="73" w:type="dxa"/>
            <w:tcBorders/>
            <w:vAlign w:val="bottom"/>
          </w:tcPr>
          <w:p>
            <w:pPr>
              <w:pStyle w:val="TableContents"/>
              <w:bidi w:val="0"/>
              <w:spacing w:before="0" w:after="283"/>
              <w:jc w:val="left"/>
              <w:rPr/>
            </w:pPr>
            <w:r>
              <w:rPr/>
              <w:t> </w:t>
            </w:r>
          </w:p>
        </w:tc>
      </w:tr>
      <w:tr>
        <w:trPr/>
        <w:tc>
          <w:tcPr>
            <w:tcW w:w="9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Leone Patterson, M.B.A.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7/6/2021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221,354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132,812</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7/5/2031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2/15/2022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30,250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35,750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2/14/2032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39,583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150,417</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2/14/2033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26,250</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85,050</w:t>
            </w:r>
          </w:p>
        </w:tc>
        <w:tc>
          <w:tcPr>
            <w:tcW w:w="73" w:type="dxa"/>
            <w:tcBorders/>
            <w:shd w:fill="CCEEFF" w:val="clear"/>
            <w:vAlign w:val="bottom"/>
          </w:tcPr>
          <w:p>
            <w:pPr>
              <w:pStyle w:val="TableContents"/>
              <w:bidi w:val="0"/>
              <w:spacing w:before="0" w:after="283"/>
              <w:jc w:val="left"/>
              <w:rPr/>
            </w:pPr>
            <w:r>
              <w:rPr/>
              <w:t> </w:t>
            </w:r>
          </w:p>
        </w:tc>
      </w:tr>
      <w:tr>
        <w:trPr/>
        <w:tc>
          <w:tcPr>
            <w:tcW w:w="9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26,250</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85,050</w:t>
            </w:r>
          </w:p>
        </w:tc>
        <w:tc>
          <w:tcPr>
            <w:tcW w:w="7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Vesting of all options issued to our named executive officers are subject to acceleration as described under the caption Executive Change in Control and Severance Plan.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 vests as to 1/48th of the total number of shares subject to the option on the one-month anniversary of the grant date and 1/48th of the total number of shares subject to the option on each monthly anniversary thereafter until fully vested.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 award vests as to 1/8th of the total number of shares subject to the RSU award on the six-month anniversary of the grant date, and 1/8th of the total number of shares subject to the RSU award every six months thereafter until fully vested.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 award vests as to 1/4th of the total number of shares subject to the RSU award on each of August 15, 2023, February 15, 2024, August 15, 2024, and February 15, 2025.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 vests as to 1/4th of the total number of shares subject to the option on June 25, 2022, and 1/48th of the total number of shares subject to the option on each monthly anniversary thereafter until fully vested.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3" w:name="toc656970_41"/>
      <w:bookmarkEnd w:id="43"/>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equity compensation plan information as of December 31, 2023. Information is included for equity compensation plans approved by our stockholders. We do not have any equity compensation plans not approved by our stockholders.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70"/>
        <w:gridCol w:w="258"/>
        <w:gridCol w:w="127"/>
        <w:gridCol w:w="2105"/>
        <w:gridCol w:w="60"/>
        <w:gridCol w:w="258"/>
        <w:gridCol w:w="511"/>
        <w:gridCol w:w="1630"/>
        <w:gridCol w:w="353"/>
        <w:gridCol w:w="188"/>
        <w:gridCol w:w="129"/>
        <w:gridCol w:w="2133"/>
        <w:gridCol w:w="66"/>
      </w:tblGrid>
      <w:tr>
        <w:trPr/>
        <w:tc>
          <w:tcPr>
            <w:tcW w:w="157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5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258" w:type="dxa"/>
            <w:tcBorders/>
            <w:vAlign w:val="bottom"/>
          </w:tcPr>
          <w:p>
            <w:pPr>
              <w:pStyle w:val="TableContents"/>
              <w:bidi w:val="0"/>
              <w:spacing w:before="0" w:after="283"/>
              <w:jc w:val="left"/>
              <w:rPr/>
            </w:pPr>
            <w:r>
              <w:rPr/>
              <w:t>  </w:t>
            </w:r>
          </w:p>
        </w:tc>
        <w:tc>
          <w:tcPr>
            <w:tcW w:w="2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 Number of</w:t>
              <w:br/>
              <w:t>Securities to be</w:t>
              <w:br/>
              <w:t>Issued Upon Exercise</w:t>
              <w:br/>
              <w:t>of Outstanding</w:t>
              <w:br/>
              <w:t>Options, Warrants</w:t>
              <w:br/>
              <w:t>and Rights</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Weighted-</w:t>
              <w:br/>
              <w:t>Average Exercise</w:t>
              <w:br/>
              <w:t>Price of Outstanding</w:t>
              <w:br/>
              <w:t>Options, Warrants</w:t>
              <w:br/>
              <w:t>and Rights</w:t>
            </w:r>
          </w:p>
        </w:tc>
        <w:tc>
          <w:tcPr>
            <w:tcW w:w="35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 Number of</w:t>
              <w:br/>
              <w:t>Securities Remaining</w:t>
              <w:br/>
              <w:t>Available for Future</w:t>
              <w:br/>
              <w:t>Issuance Under</w:t>
              <w:br/>
              <w:t>Equity Compensation</w:t>
              <w:br/>
              <w:t>Plans (Excluding</w:t>
              <w:br/>
              <w:t>Securities Reflected</w:t>
              <w:br/>
              <w:t>in Column (a))</w:t>
            </w:r>
          </w:p>
        </w:tc>
        <w:tc>
          <w:tcPr>
            <w:tcW w:w="66" w:type="dxa"/>
            <w:tcBorders/>
            <w:vAlign w:val="bottom"/>
          </w:tcPr>
          <w:p>
            <w:pPr>
              <w:pStyle w:val="TableContents"/>
              <w:bidi w:val="0"/>
              <w:spacing w:before="0" w:after="283"/>
              <w:jc w:val="left"/>
              <w:rPr/>
            </w:pPr>
            <w:r>
              <w:rPr/>
              <w:t> </w:t>
            </w:r>
          </w:p>
        </w:tc>
      </w:tr>
      <w:tr>
        <w:trPr/>
        <w:tc>
          <w:tcPr>
            <w:tcW w:w="1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258"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21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2021 Equity Incentive Plan(1)</w:t>
            </w:r>
          </w:p>
        </w:tc>
        <w:tc>
          <w:tcPr>
            <w:tcW w:w="258"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7,171,086</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w:t>
            </w:r>
          </w:p>
        </w:tc>
        <w:tc>
          <w:tcPr>
            <w:tcW w:w="1630" w:type="dxa"/>
            <w:tcBorders/>
            <w:vAlign w:val="bottom"/>
          </w:tcPr>
          <w:p>
            <w:pPr>
              <w:pStyle w:val="TableContents"/>
              <w:bidi w:val="0"/>
              <w:spacing w:before="0" w:after="283"/>
              <w:jc w:val="right"/>
              <w:rPr/>
            </w:pPr>
            <w:r>
              <w:rPr/>
              <w:t>6.92</w:t>
            </w:r>
          </w:p>
        </w:tc>
        <w:tc>
          <w:tcPr>
            <w:tcW w:w="353" w:type="dxa"/>
            <w:tcBorders/>
            <w:vAlign w:val="bottom"/>
          </w:tcPr>
          <w:p>
            <w:pPr>
              <w:pStyle w:val="TableContents"/>
              <w:bidi w:val="0"/>
              <w:spacing w:before="0" w:after="283"/>
              <w:jc w:val="left"/>
              <w:rPr/>
            </w:pPr>
            <w:r>
              <w:rPr/>
              <w:t>(2) </w:t>
            </w:r>
          </w:p>
        </w:tc>
        <w:tc>
          <w:tcPr>
            <w:tcW w:w="18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right"/>
              <w:rPr/>
            </w:pPr>
            <w:r>
              <w:rPr/>
              <w:t>965,665</w:t>
            </w:r>
          </w:p>
        </w:tc>
        <w:tc>
          <w:tcPr>
            <w:tcW w:w="66" w:type="dxa"/>
            <w:tcBorders/>
            <w:vAlign w:val="bottom"/>
          </w:tcPr>
          <w:p>
            <w:pPr>
              <w:pStyle w:val="TableContents"/>
              <w:bidi w:val="0"/>
              <w:spacing w:before="0" w:after="283"/>
              <w:jc w:val="left"/>
              <w:rPr/>
            </w:pPr>
            <w:r>
              <w:rPr/>
              <w:t> </w:t>
            </w:r>
          </w:p>
        </w:tc>
      </w:tr>
      <w:tr>
        <w:trPr/>
        <w:tc>
          <w:tcPr>
            <w:tcW w:w="1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Employee Stock Purchase Plan(3)</w:t>
            </w:r>
          </w:p>
        </w:tc>
        <w:tc>
          <w:tcPr>
            <w:tcW w:w="258"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33" w:type="dxa"/>
            <w:tcBorders/>
            <w:shd w:fill="CCEEFF" w:val="clear"/>
            <w:vAlign w:val="bottom"/>
          </w:tcPr>
          <w:p>
            <w:pPr>
              <w:pStyle w:val="TableContents"/>
              <w:bidi w:val="0"/>
              <w:spacing w:before="0" w:after="283"/>
              <w:jc w:val="right"/>
              <w:rPr/>
            </w:pPr>
            <w:r>
              <w:rPr/>
              <w:t>1,405,394</w:t>
            </w:r>
          </w:p>
        </w:tc>
        <w:tc>
          <w:tcPr>
            <w:tcW w:w="66" w:type="dxa"/>
            <w:tcBorders/>
            <w:shd w:fill="CCEEFF" w:val="clear"/>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2016 Equity Incentive Plan(4)</w:t>
            </w:r>
          </w:p>
        </w:tc>
        <w:tc>
          <w:tcPr>
            <w:tcW w:w="258"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2,260,624</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w:t>
            </w:r>
          </w:p>
        </w:tc>
        <w:tc>
          <w:tcPr>
            <w:tcW w:w="1630" w:type="dxa"/>
            <w:tcBorders/>
            <w:vAlign w:val="bottom"/>
          </w:tcPr>
          <w:p>
            <w:pPr>
              <w:pStyle w:val="TableContents"/>
              <w:bidi w:val="0"/>
              <w:spacing w:before="0" w:after="283"/>
              <w:jc w:val="right"/>
              <w:rPr/>
            </w:pPr>
            <w:r>
              <w:rPr/>
              <w:t>5.63</w:t>
            </w:r>
          </w:p>
        </w:tc>
        <w:tc>
          <w:tcPr>
            <w:tcW w:w="35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13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8"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9,431,710</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w:t>
            </w:r>
          </w:p>
        </w:tc>
        <w:tc>
          <w:tcPr>
            <w:tcW w:w="1630" w:type="dxa"/>
            <w:tcBorders/>
            <w:shd w:fill="CCEEFF" w:val="clear"/>
            <w:vAlign w:val="bottom"/>
          </w:tcPr>
          <w:p>
            <w:pPr>
              <w:pStyle w:val="TableContents"/>
              <w:bidi w:val="0"/>
              <w:spacing w:before="0" w:after="283"/>
              <w:jc w:val="right"/>
              <w:rPr/>
            </w:pPr>
            <w:r>
              <w:rPr/>
              <w:t>6.61</w:t>
            </w:r>
          </w:p>
        </w:tc>
        <w:tc>
          <w:tcPr>
            <w:tcW w:w="35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33" w:type="dxa"/>
            <w:tcBorders/>
            <w:shd w:fill="CCEEFF" w:val="clear"/>
            <w:vAlign w:val="bottom"/>
          </w:tcPr>
          <w:p>
            <w:pPr>
              <w:pStyle w:val="TableContents"/>
              <w:bidi w:val="0"/>
              <w:spacing w:before="0" w:after="283"/>
              <w:jc w:val="right"/>
              <w:rPr/>
            </w:pPr>
            <w:r>
              <w:rPr/>
              <w:t>2,371,059</w:t>
            </w:r>
          </w:p>
        </w:tc>
        <w:tc>
          <w:tcPr>
            <w:tcW w:w="66"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available for issuance under our 2021 Equity Incentive Plan (2021 Plan) will automatically increase on the first day of each fiscal year, in an amount equal to the lesser of: 4,000,000 shares; 4% of our outstanding shares of common stock as of the last day of the immediately preceding year; or such other amount as our board of directors may determine.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weighted-average exercise price takes into account the shares subject to outstanding RSU awards, which have no exercise price. The weighted-average exercise price, excluding such outstanding RSU awards, is $8.16.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available for issuance under our 2021 Employee Stock Purchase Plan (2021 ESPP) will automatically increase on the first day of each fiscal year in an amount equal to the lesser of: 800,000 shares; 1% of the outstanding shares of the Companys common stock as of the last day of the immediately preceding year; or such other amount as the board of directors may determine.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 longer grant awards under the 2016 Equity Incentive Plan (2016 Plan); however, all outstanding options issued pursuant to the 2016 Plan continue to be governed by their existing terms. To the extent that any such awards are forfeited or lapse unexercised, are tendered to or withheld by the Company for payment of an exercise price or for tax withholding obligations, or are repurchased due to the failure to vest, the shares of common stock subject to such awards will become available for issuance under the 2021 Plan up to a maximum of 2,430,000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4" w:name="toc656970_42"/>
      <w:bookmarkEnd w:id="4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March 31, 2024,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nominees for director;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calculation of the percentage of beneficial ownership on 78,517,534 shares of our common stock outstanding as of March 31, 2024. We have deemed shares of our common stock subject to stock options that are currently exercisable or exercisable within 60 days of March 31, 2024, to be outstanding and to be beneficially owned by the person holding the stock option for the purpose of computing the percentage ownership of that person. We did not deem these shares outstanding, however,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person or entity listed in the table is c/o Tenaya Therapeutics, Inc., 171 Oyster Point Boulevard, Suite 500, South San Francisco, CA 94080.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90"/>
        <w:gridCol w:w="352"/>
        <w:gridCol w:w="60"/>
        <w:gridCol w:w="1224"/>
        <w:gridCol w:w="60"/>
        <w:gridCol w:w="352"/>
        <w:gridCol w:w="110"/>
        <w:gridCol w:w="1044"/>
        <w:gridCol w:w="63"/>
      </w:tblGrid>
      <w:tr>
        <w:trPr/>
        <w:tc>
          <w:tcPr>
            <w:tcW w:w="449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63" w:type="dxa"/>
            <w:tcBorders/>
            <w:vAlign w:val="bottom"/>
          </w:tcPr>
          <w:p>
            <w:pPr>
              <w:pStyle w:val="TableContents"/>
              <w:bidi w:val="0"/>
              <w:spacing w:before="0" w:after="283"/>
              <w:jc w:val="left"/>
              <w:rPr/>
            </w:pPr>
            <w:r>
              <w:rPr/>
              <w:t> </w:t>
            </w:r>
          </w:p>
        </w:tc>
      </w:tr>
      <w:tr>
        <w:trPr/>
        <w:tc>
          <w:tcPr>
            <w:tcW w:w="4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52"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The Column Group(1)</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23,039,292</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29.33</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Management(2)</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8,103,230</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9.99</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Casdin Group(3)</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6,732,971</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8.58</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Inc.(4)</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4,675,713</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5.95</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T. Rowe Price Associates, Inc.(5)</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4,544,543</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5.79</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Management &amp; Research Company LLC(6)</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4,163,809</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5.30</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b/>
                <w:i/>
                <w:sz w:val="20"/>
              </w:rPr>
              <w:t>Named Executive Officers and Directors</w:t>
            </w:r>
            <w:r>
              <w:rPr>
                <w:rFonts w:ascii="Times New Roman" w:hAnsi="Times New Roman"/>
                <w:b/>
                <w:sz w:val="20"/>
              </w:rPr>
              <w:t>:</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Faraz Ali, M.B.A.(7)</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1,423,023</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1.78</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Leone Patterson, M.B.A.(8)</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388,313</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Whittemore (Whit) Tingley, M.D., Ph.D.(9)</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356,420</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Amy Burroughs, M.B.A.(10)</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18,888</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Jin-Long Chen, Ph.D.(11)</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69,727</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David Goeddel, Ph.D.(1)(12)</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23,039,292</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29.33</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Karah Parschauer, J.D.(13)</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35,704</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Catherine Stehman-Breen, M.D.(14)</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69,102</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Lee, M.D.(15)</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55,507</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Deepak Srivastava, M.D.(16)</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641,328</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T. Walsh, M.B.A.(17)</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79,727</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R. Sanders Williams, M.D.(18)</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69,726</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(13 persons)(19)</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26,619,865</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32.76</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taken from the Form 4 filed on February 14, 2024, consists of 13,599,275 shares held directly by The Column Group Opportunity III, LP (TCG Opportunity III LP), 4,414,720 shares held directly by The Column Group III, LP (TCG III LP) and 4,985,570 shares held directly by The Column Group III-A, LP (TCG III-A LP). The Column Group Opportunity III, GP, LP (TCG Opportunity III GP LP) is the general partner of TCG Opportunity III LP and may be deemed to have voting, investment and dispositive power with respect to the shares held by TCG Opportunity III LP. The Column Group III GP, LP (TCG III GP) is the general partner of both TCG III LP and TCG III-A LP and may be deemed to have voting, investment and dispositive power with respect to the shares held by TCG III LP and TCG III-A LP. The managing partners of TCG Opportunity III GP LP and TCG III GP are David V. Goeddel, Peter Svennilson and Tim Kutzkey who may be deemed to share voting and investment power with respect to the shares, and each of whom disclaim beneficial ownership of the shares held by TCG Opportunity III LP, TCG III LP and TCG III-A LP except to the extent of their pecuniary interests therein, if any. Dr. Goeddel is a member of our board of directors. The address of TCG Opportunity III LP, TCG III LP and TCG III-A LP is 1 Letterman Drive, Building D, Suite M-900, San Francisco, California 94129.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taken from the Schedule 13G/A filed on February 14, 2024, on behalf of RA Capital Management, L.P., Peter Kolchinsky, Rajeev Shah, and RA Capital Healthcare Fund, L.P. (the Fund) (collectively, RA Capital) and includes 2,595,883 shares subject to outstanding pre-funded warrants exercisable within 60 days of March 31, 2024. The Fund directly holds 5,383,802 shares and pre-funded warrants to purchase 7,104,853 shares, and RA Capital Nexus Fund II, L.P. (the Nexus Fund II) directly holds 123,545 shares. RA Capital Healthcare Fund GP, LLC is the general partner of the Fund and RA Capital Nexus Fund II GP, LLC is the general partner of the Nexus Fund II. The general partner of RA Capital is RA Capital Management GP, LLC, of which Peter Kolchinsky and Rajeev Shah are the controlling persons. RA Capital serves as investment adviser for the Fund and the Nexus Fund II and may be deemed to be the beneficial owner of these shares and exercise shared voting and investment control over these shares. The 13G/A states that the pre-funded warrants can only be exercised to such an extent that the exercise of the warrants would not cause RA Capital and its affiliates to own more than 9.99% of our outstanding common stock (the Beneficial Ownership Blocker). The total shares outstanding used to calculate beneficial ownership in the 13G/A was based on total shares outstanding as disclosed in our Form 10-Q filed with the SEC on November 8, 2023, and does not include shares or pre-funded warrants issued in connection with our underwritten offering in February 2024 (the February 2024 Offering). We have adjusted the figures accordingly to represent the number of shares beneficially owned by RA Capital as a result of the Beneficial Ownership Blocker using our shares outstanding as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provided to the Company by Casdin Capital, LLC (Casdin Capital), these 6,732,971 shares are held by various entities affiliated with Casdin Capital. Casdin Capital may be deemed to be the beneficial owner of these shares and exercises shared voting and investment control over these shares. Eli Casdin is the managing member of Casdin Capital and may be deemed to have voting and investment power with respect to the shares and disclaims beneficial ownership of the shares except to the extent of his pecuniary interests therein, if any. The address of Casdin Capital and Eli Casdin is 1350 Avenue of the Americas, Suite 2600, New York, NY 10019.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taken from the Schedule 13G filed on January 31, 2024. BlackRock, Inc. reported that it has sole voting power over 3,709,289 of such shares and sole dispositive power over 3,786,824 of the shares and shared voting and dispositive power with respect to no shares of the Companys common stock held by BlackRock and eight of its subsidiaries that are listed as reporting persons on the Schedule 13G. On February 14, 2024, Blackrock, Inc. acquired 888,889 shares of our common stock in the February Offering. The address of Blackrock, Inc.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taken from the Schedule 13G/A filed on February 14, 2024. T. Rowe Price Associates, Inc. reported it has sole voting power over 807,740 shares and sole dispositive power over 4,544,543 shares. The address of this entity is 100 East Pratt Street, Baltimore, Maryland, 21202.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taken from Schedule 13G/A filed on February 9, 2023, FMR LLC reported that it has sole voting and dispositive power with respect to 2,830,476 of these shares. On February 14, 2024,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affiliated with Fidelity Management &amp; Research Company LLC acquired 1,333,333 shares of our common stock in the February Offering. The address of this entity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1,403,694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367,558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331,636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18,888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44,727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39,727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35,704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60,977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55,507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372,435 shares of common stock held by The J. David Gladstone Institute for which Dr. Srivastava serves as President and 77,227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79,727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39,727 shares subject to outstanding options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2,732,861 shares subject to outstanding options exercisable within 60 days of March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5" w:name="toc656970_43"/>
      <w:bookmarkEnd w:id="45"/>
      <w:r>
        <w:rPr>
          <w:rFonts w:ascii="Times New Roman" w:hAnsi="Times New Roman"/>
          <w:b/>
          <w:sz w:val="20"/>
        </w:rPr>
        <w:t xml:space="preserve">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each transaction since the beginning of our last fiscal year,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exceeded or exceeds $120,000;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investors rights agreement, as amended and restated, with certain holders of our capital stock, including entities affiliated with The Column Group III, LP, The Column Group III-A, LP, Casdin Partners Master Fund, L.P., and Casdin Private Growth Equity Fund, L.P. Under our investors rights agreement, among other things, certain holders of our capital stock have the right to demand that we file a registration statement or request that their shares of our capital stock be covered by a registration statement that we are otherwise filing. </w:t>
      </w:r>
    </w:p>
    <w:p>
      <w:pPr>
        <w:pStyle w:val="TextBody"/>
        <w:bidi w:val="0"/>
        <w:spacing w:before="360" w:after="0"/>
        <w:jc w:val="left"/>
        <w:rPr>
          <w:rFonts w:ascii="Times New Roman" w:hAnsi="Times New Roman"/>
          <w:b/>
          <w:sz w:val="20"/>
        </w:rPr>
      </w:pPr>
      <w:r>
        <w:rPr>
          <w:rFonts w:ascii="Times New Roman" w:hAnsi="Times New Roman"/>
          <w:b/>
          <w:sz w:val="20"/>
        </w:rPr>
        <w:t xml:space="preserve">Stock and Pre-funded Warrant Issuances </w:t>
      </w:r>
    </w:p>
    <w:p>
      <w:pPr>
        <w:pStyle w:val="TextBody"/>
        <w:bidi w:val="0"/>
        <w:spacing w:before="120" w:after="0"/>
        <w:jc w:val="left"/>
        <w:rPr>
          <w:rFonts w:ascii="Times New Roman" w:hAnsi="Times New Roman"/>
          <w:sz w:val="20"/>
        </w:rPr>
      </w:pPr>
      <w:r>
        <w:rPr>
          <w:rFonts w:ascii="Times New Roman" w:hAnsi="Times New Roman"/>
          <w:sz w:val="20"/>
        </w:rPr>
        <w:t xml:space="preserve">In the February Offering, we issued and sold an aggregate of 8,888,890 shares of our common stock at a purchase price of $4.50 per share and, to certain investors in lieu of common stock, pre-funded warrants to purchase 2,222,271 shares of our common stock at a price of $4.499 per pre-funded warrant. We received total net proceeds of $46.5 million after deducting underwriting discounts and commissions of $3.0 million and offering expenses of $0.5 million.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our stock and pre-funded warrants include venture capital funds that beneficially own more than 5% of our outstanding capital stock and/or are or were represented on our board of directors. The following table presents the number of shares and preferred stock warrants and total purchase price paid by these entities.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17"/>
        <w:gridCol w:w="128"/>
        <w:gridCol w:w="92"/>
        <w:gridCol w:w="1605"/>
        <w:gridCol w:w="60"/>
        <w:gridCol w:w="128"/>
        <w:gridCol w:w="67"/>
        <w:gridCol w:w="1168"/>
        <w:gridCol w:w="60"/>
        <w:gridCol w:w="128"/>
        <w:gridCol w:w="195"/>
        <w:gridCol w:w="1458"/>
        <w:gridCol w:w="66"/>
      </w:tblGrid>
      <w:tr>
        <w:trPr/>
        <w:tc>
          <w:tcPr>
            <w:tcW w:w="341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Investor</w:t>
            </w:r>
          </w:p>
        </w:tc>
        <w:tc>
          <w:tcPr>
            <w:tcW w:w="128"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6" w:type="dxa"/>
            <w:tcBorders/>
            <w:vAlign w:val="bottom"/>
          </w:tcPr>
          <w:p>
            <w:pPr>
              <w:pStyle w:val="TableContents"/>
              <w:bidi w:val="0"/>
              <w:spacing w:before="0" w:after="283"/>
              <w:jc w:val="left"/>
              <w:rPr/>
            </w:pPr>
            <w:r>
              <w:rPr/>
              <w:t> </w:t>
            </w:r>
          </w:p>
        </w:tc>
      </w:tr>
      <w:tr>
        <w:trPr/>
        <w:tc>
          <w:tcPr>
            <w:tcW w:w="3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Affiliated with The Column Group(1)</w:t>
            </w:r>
          </w:p>
        </w:tc>
        <w:tc>
          <w:tcPr>
            <w:tcW w:w="1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2,222,222</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9,999,999</w:t>
            </w:r>
          </w:p>
        </w:tc>
        <w:tc>
          <w:tcPr>
            <w:tcW w:w="66" w:type="dxa"/>
            <w:tcBorders/>
            <w:shd w:fill="CCEEFF" w:val="clear"/>
            <w:vAlign w:val="bottom"/>
          </w:tcPr>
          <w:p>
            <w:pPr>
              <w:pStyle w:val="TableContents"/>
              <w:bidi w:val="0"/>
              <w:spacing w:before="0" w:after="283"/>
              <w:jc w:val="left"/>
              <w:rPr/>
            </w:pPr>
            <w:r>
              <w:rPr/>
              <w:t> </w:t>
            </w:r>
          </w:p>
        </w:tc>
      </w:tr>
      <w:tr>
        <w:trPr/>
        <w:tc>
          <w:tcPr>
            <w:tcW w:w="3417" w:type="dxa"/>
            <w:tcBorders/>
          </w:tcPr>
          <w:p>
            <w:pPr>
              <w:pStyle w:val="TableContents"/>
              <w:bidi w:val="0"/>
              <w:spacing w:before="0" w:after="0"/>
              <w:jc w:val="left"/>
              <w:rPr>
                <w:rFonts w:ascii="Times New Roman" w:hAnsi="Times New Roman"/>
                <w:sz w:val="20"/>
              </w:rPr>
            </w:pPr>
            <w:r>
              <w:rPr>
                <w:rFonts w:ascii="Times New Roman" w:hAnsi="Times New Roman"/>
                <w:sz w:val="20"/>
              </w:rPr>
              <w:t>Funds Affiliated with RA Capital Management(2)</w:t>
            </w:r>
          </w:p>
        </w:tc>
        <w:tc>
          <w:tcPr>
            <w:tcW w:w="1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2,222,271</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458" w:type="dxa"/>
            <w:tcBorders/>
            <w:vAlign w:val="bottom"/>
          </w:tcPr>
          <w:p>
            <w:pPr>
              <w:pStyle w:val="TableContents"/>
              <w:bidi w:val="0"/>
              <w:spacing w:before="0" w:after="283"/>
              <w:jc w:val="right"/>
              <w:rPr/>
            </w:pPr>
            <w:r>
              <w:rPr/>
              <w:t>9,999,997</w:t>
            </w:r>
          </w:p>
        </w:tc>
        <w:tc>
          <w:tcPr>
            <w:tcW w:w="66" w:type="dxa"/>
            <w:tcBorders/>
            <w:vAlign w:val="bottom"/>
          </w:tcPr>
          <w:p>
            <w:pPr>
              <w:pStyle w:val="TableContents"/>
              <w:bidi w:val="0"/>
              <w:spacing w:before="0" w:after="283"/>
              <w:jc w:val="left"/>
              <w:rPr/>
            </w:pPr>
            <w:r>
              <w:rPr/>
              <w:t> </w:t>
            </w:r>
          </w:p>
        </w:tc>
      </w:tr>
      <w:tr>
        <w:trPr/>
        <w:tc>
          <w:tcPr>
            <w:tcW w:w="3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 Rowe Price Associates, Inc.</w:t>
            </w:r>
          </w:p>
        </w:tc>
        <w:tc>
          <w:tcPr>
            <w:tcW w:w="1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222,222</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999,999</w:t>
            </w:r>
          </w:p>
        </w:tc>
        <w:tc>
          <w:tcPr>
            <w:tcW w:w="66"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The Column Group holding our securities are aggregated for reporting ownership information and include The Column Group Opportunity III, LP, The Column Group III, LP and The Column Group III-A, LP. David Goeddel, a member of our board of directors is the Managing Partner of The Column Group.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RA Capital Management holding our securities are aggregated for reporting ownership information and include RA Capital Management, L.P. and RA Capital Nexus Fund II, L.P.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subject to certain exceptions. Our Amended and Restated Certificate of Incorporation and Bylaws also provide our board of directors with discretion to indemnify our employees and other agents when it determines to be appropriate. In addition,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entered into an indemnification agreement with each of our executive officers and the members of our board of directors requiring us to indemnify them. </w:t>
      </w:r>
    </w:p>
    <w:p>
      <w:pPr>
        <w:pStyle w:val="TextBody"/>
        <w:bidi w:val="0"/>
        <w:spacing w:before="360" w:after="0"/>
        <w:jc w:val="left"/>
        <w:rPr>
          <w:rFonts w:ascii="Times New Roman" w:hAnsi="Times New Roman"/>
          <w:b/>
          <w:sz w:val="20"/>
        </w:rPr>
      </w:pPr>
      <w:bookmarkStart w:id="46" w:name="toc656970_44"/>
      <w:bookmarkEnd w:id="46"/>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adopted a formal written policy governing our entry into any transaction that exceeds $120,000 and in which any related person has a direct or indirect material interest. The policy provides that management shall present related party transactions to the audit committee for approval. The policy does not prevent management from entering into any related party transaction without prior approval of the audit committee, so long as such related party transaction is thereafter presented to the audit committee for ratification.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7" w:name="toc656970_45"/>
      <w:bookmarkEnd w:id="47"/>
      <w:r>
        <w:rPr>
          <w:rFonts w:ascii="Times New Roman" w:hAnsi="Times New Roman"/>
          <w:b/>
          <w:sz w:val="20"/>
        </w:rPr>
        <w:t xml:space="preserve">OTHER MATTERS </w:t>
      </w:r>
    </w:p>
    <w:p>
      <w:pPr>
        <w:pStyle w:val="TextBody"/>
        <w:bidi w:val="0"/>
        <w:spacing w:before="360" w:after="0"/>
        <w:jc w:val="left"/>
        <w:rPr>
          <w:rFonts w:ascii="Times New Roman" w:hAnsi="Times New Roman"/>
          <w:b/>
          <w:sz w:val="20"/>
        </w:rPr>
      </w:pPr>
      <w:bookmarkStart w:id="48" w:name="toc656970_46"/>
      <w:bookmarkEnd w:id="48"/>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2023, all directors, executive officers and greater than 10% stockholders complied with all Section  16(a) filing requirements applicable to them. </w:t>
      </w:r>
    </w:p>
    <w:p>
      <w:pPr>
        <w:pStyle w:val="TextBody"/>
        <w:bidi w:val="0"/>
        <w:spacing w:before="360" w:after="0"/>
        <w:jc w:val="left"/>
        <w:rPr>
          <w:rFonts w:ascii="Times New Roman" w:hAnsi="Times New Roman"/>
          <w:b/>
          <w:sz w:val="20"/>
        </w:rPr>
      </w:pPr>
      <w:bookmarkStart w:id="49" w:name="toc656970_47"/>
      <w:bookmarkEnd w:id="49"/>
      <w:r>
        <w:rPr>
          <w:rFonts w:ascii="Times New Roman" w:hAnsi="Times New Roman"/>
          <w:b/>
          <w:sz w:val="20"/>
        </w:rPr>
        <w:t xml:space="preserve">2023 Annual Report and SEC Filings </w:t>
      </w:r>
    </w:p>
    <w:p>
      <w:pPr>
        <w:pStyle w:val="TextBody"/>
        <w:bidi w:val="0"/>
        <w:spacing w:before="120" w:after="0"/>
        <w:jc w:val="left"/>
        <w:rPr>
          <w:rFonts w:ascii="Times New Roman" w:hAnsi="Times New Roman"/>
          <w:sz w:val="20"/>
        </w:rPr>
      </w:pPr>
      <w:r>
        <w:rPr>
          <w:rFonts w:ascii="Times New Roman" w:hAnsi="Times New Roman"/>
          <w:sz w:val="20"/>
        </w:rPr>
        <w:t xml:space="preserve">Our financial statements for our fiscal year ended December 31, 2023, are included in our annual report, which we will make available to stockholders at the same time as this proxy statement. Our proxy materials and our annual report are posted on our website at www.tenayatherapeutics.com and are available from the SEC at its website at </w:t>
      </w:r>
      <w:r>
        <w:rPr>
          <w:rFonts w:ascii="Times New Roman" w:hAnsi="Times New Roman"/>
          <w:i/>
          <w:sz w:val="20"/>
        </w:rPr>
        <w:t>www.sec.gov</w:t>
      </w:r>
      <w:r>
        <w:rPr>
          <w:rFonts w:ascii="Times New Roman" w:hAnsi="Times New Roman"/>
          <w:sz w:val="20"/>
        </w:rPr>
        <w:t xml:space="preserve">. </w:t>
      </w:r>
      <w:r>
        <w:rPr>
          <w:rFonts w:ascii="Times New Roman" w:hAnsi="Times New Roman"/>
          <w:b/>
          <w:sz w:val="20"/>
        </w:rPr>
        <w:t xml:space="preserve">You may also obtain a copy of our annual report, free of charge, by sending a written request to: </w:t>
      </w:r>
    </w:p>
    <w:p>
      <w:pPr>
        <w:pStyle w:val="TextBody"/>
        <w:bidi w:val="0"/>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that your shares be represented at the annual meeting, regardless of the number of shares that you hold. You are, therefore, urged to vote as promptly as possible to ensure your vote is recorded.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South 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17,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477000" cy="838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P.O. BOX 8016, CARY, NC 27512-9903 matters! Have your ballot ready and please use one of the methods below for easy voting: Your control number Have the 12 digit control number located in the box above available when you access the website and follow the instructions. Scan QR for digital voting Tenaya Therapeutics, Inc. Internet: www.proxypush.com/TNYA Cast your vote online Annual Meeting of Stockholders Have your Proxy Card ready Follow the simple instructions to record your vote For Stockholders of record as of April 1, 2024 Phone: Thursday, May 30, 2024 8:00 AM, Pacific Time 1-866-475-3780 Annual Meeting to be held live via the Internetplease visit Use any touch-tone telephone Have your Proxy Card ready www.proxydocs.com/TNYA for more details Follow the simple recorded instructions Mail: Mark, sign and date your Proxy Card Fold and return your Proxy Card in the postage-paid YOUR VOTE IS IMPORTANT! envelope provided PLEASE VOTE BY: 11:59 PM, Eastern Time, May 29, 2024. Virtual: You must register to attend the meeting online and/or participate at www.proxydocs.com/TNYA This proxy is being solicited on behalf of the Board of Directors The undersigned hereby appoints Faraz Ali, Leone D. Patterson and Jennifer Drimmer Rokovich (the Named Proxies), and each or either of them, as proxies for the undersigned, with full power of substitution and revocation, and authorizes them, and each of them, to vote all the shares of capital stock of Tenaya Therapeutics, Inc. which the undersigned is entitled to vote at the Annual Meeting of Stockholders to be held at 8:00 AM Pacific Time on May 30, 2024, and any adjournment or postponement thereof upon the matters specified and upon such other matters as may be properly brought before the meeting properly or come any before adjournment the meeting thereof, and conferring revoking authority any proxy upon heretofore such true given and . lawful attorneys to vote in their discretion on such other matters as may THE SHARES REPRESENTED BY THIS PROXY WILL BE VOTED AS DIRECTED OR, IF NO DIRECTION IS GIVEN, SHARES WILL BE FOR ALL NOMINEES FOR DIRECTORS IN PROPOSAL 1, AND FOR PROPOSAL 2. This proxy, when properly executed, will be voted in the manner directed herein adjournment . In their or discretion, postponement the Named thereof Proxies . are authorized to vote upon such other matters that may properly come before the meeting or any You are encouraged to specify your choice by marking the appropriate box (SEE REVERSE SIDE) but you need not mark any box if you wish to vote in accordance this card. with the Board of Directors recommendation. The Named Proxies cannot vote your shares unless you sign (on the reverse side) and return PLEASE BE SURE TO SIGN AND DATE THIS PROXY CARD AND MARK ON THE REVERSE SIDE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477000" cy="838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Tenaya Therapeutics, Inc. Annual Meeting of Stockholders Please make your marks like this: The Board of Directors recommends a vote FOR each Nominee listed below in Proposal 1 and FOR Proposal 2. BOARD OF DIRECTORS PROPOSAL YOUR VOTE RECOMMENDS 1. To elect three Class III directors to hold office until our 2027 annual meeting of stockholders and until their respective successors are elected and qualified. FOR WITHHOLD 1.01 Faraz Ali, M.B.A. FOR #P2# #P2# 1.02 June Lee, M.D. FOR #P3# #P3# 1.03 Deepak Srivastava, M.D. FOR #P4# #P4# FOR AGAINST ABSTAIN 2. To ratify the appointment of Deloitte &amp; Touche LLP as our independent registered public FOR accounting firm for our fiscal year ending December 31, 2024. #P5# #P5# #P5# NOTE: In their discretion, the Named Proxies are authorized to vote upon such other business as may properly come before the Annual Meeting or any adjustment or postponements thereof. You must register to attend the meeting online and/or participate at www.proxydocs.com/TNYA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23186</Words>
  <Characters>123241</Characters>
  <CharactersWithSpaces>147180</CharactersWithSpaces>
  <Paragraphs>2795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