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86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86525"/>
                    </a:xfrm>
                    <a:prstGeom prst="rect">
                      <a:avLst/>
                    </a:prstGeom>
                    <a:noFill/>
                  </pic:spPr>
                </pic:pic>
              </a:graphicData>
            </a:graphic>
          </wp:anchor>
        </w:drawing>
      </w:r>
    </w:p>
    <w:p>
      <w:pPr>
        <w:sectPr>
          <w:pgSz w:w="11900" w:h="16899"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GOEDDEL DAVID V</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60" w:type="dxa"/>
            <w:vAlign w:val="bottom"/>
            <w:tcBorders>
              <w:top w:val="single" w:sz="8" w:color="0000EE"/>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99"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99"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636"/>
              <w:spacing w:after="0"/>
              <w:rPr>
                <w:sz w:val="20"/>
                <w:szCs w:val="20"/>
                <w:color w:val="auto"/>
              </w:rPr>
            </w:pPr>
            <w:r>
              <w:rPr>
                <w:rFonts w:ascii="Arial" w:cs="Arial" w:eastAsia="Arial" w:hAnsi="Arial"/>
                <w:sz w:val="20"/>
                <w:szCs w:val="20"/>
                <w:color w:val="0000FF"/>
              </w:rPr>
              <w:t>25,438</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636"/>
              <w:spacing w:after="0"/>
              <w:rPr>
                <w:sz w:val="20"/>
                <w:szCs w:val="20"/>
                <w:color w:val="auto"/>
              </w:rPr>
            </w:pPr>
            <w:r>
              <w:rPr>
                <w:rFonts w:ascii="Arial" w:cs="Arial" w:eastAsia="Arial" w:hAnsi="Arial"/>
                <w:sz w:val="20"/>
                <w:szCs w:val="20"/>
                <w:color w:val="0000FF"/>
              </w:rPr>
              <w:t>28,728</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30"/>
              <w:spacing w:after="0"/>
              <w:rPr>
                <w:sz w:val="20"/>
                <w:szCs w:val="20"/>
                <w:color w:val="auto"/>
              </w:rPr>
            </w:pPr>
            <w:r>
              <w:rPr>
                <w:rFonts w:ascii="Arial" w:cs="Arial" w:eastAsia="Arial" w:hAnsi="Arial"/>
                <w:sz w:val="20"/>
                <w:szCs w:val="20"/>
                <w:color w:val="0000FF"/>
                <w:w w:val="87"/>
              </w:rPr>
              <w:t>3,727,742</w:t>
            </w:r>
          </w:p>
        </w:tc>
        <w:tc>
          <w:tcPr>
            <w:tcW w:w="100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30"/>
              <w:spacing w:after="0"/>
              <w:rPr>
                <w:sz w:val="20"/>
                <w:szCs w:val="20"/>
                <w:color w:val="auto"/>
              </w:rPr>
            </w:pPr>
            <w:r>
              <w:rPr>
                <w:rFonts w:ascii="Arial" w:cs="Arial" w:eastAsia="Arial" w:hAnsi="Arial"/>
                <w:sz w:val="20"/>
                <w:szCs w:val="20"/>
                <w:color w:val="0000FF"/>
                <w:w w:val="87"/>
              </w:rPr>
              <w:t>4,209,755</w:t>
            </w:r>
          </w:p>
        </w:tc>
        <w:tc>
          <w:tcPr>
            <w:tcW w:w="100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10"/>
              <w:spacing w:after="0"/>
              <w:rPr>
                <w:sz w:val="20"/>
                <w:szCs w:val="20"/>
                <w:color w:val="auto"/>
              </w:rPr>
            </w:pPr>
            <w:r>
              <w:rPr>
                <w:rFonts w:ascii="Arial" w:cs="Arial" w:eastAsia="Arial" w:hAnsi="Arial"/>
                <w:sz w:val="20"/>
                <w:szCs w:val="20"/>
                <w:color w:val="0000FF"/>
                <w:w w:val="88"/>
              </w:rPr>
              <w:t>472,659</w:t>
            </w:r>
          </w:p>
        </w:tc>
        <w:tc>
          <w:tcPr>
            <w:tcW w:w="100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10"/>
              <w:spacing w:after="0"/>
              <w:rPr>
                <w:sz w:val="20"/>
                <w:szCs w:val="20"/>
                <w:color w:val="auto"/>
              </w:rPr>
            </w:pPr>
            <w:r>
              <w:rPr>
                <w:rFonts w:ascii="Arial" w:cs="Arial" w:eastAsia="Arial" w:hAnsi="Arial"/>
                <w:sz w:val="20"/>
                <w:szCs w:val="20"/>
                <w:color w:val="0000FF"/>
                <w:w w:val="88"/>
              </w:rPr>
              <w:t>533,781</w:t>
            </w:r>
          </w:p>
        </w:tc>
        <w:tc>
          <w:tcPr>
            <w:tcW w:w="100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C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10"/>
              <w:spacing w:after="0"/>
              <w:rPr>
                <w:sz w:val="20"/>
                <w:szCs w:val="20"/>
                <w:color w:val="auto"/>
              </w:rPr>
            </w:pPr>
            <w:r>
              <w:rPr>
                <w:rFonts w:ascii="Arial" w:cs="Arial" w:eastAsia="Arial" w:hAnsi="Arial"/>
                <w:sz w:val="20"/>
                <w:szCs w:val="20"/>
                <w:color w:val="0000FF"/>
                <w:w w:val="88"/>
              </w:rPr>
              <w:t>188,881</w:t>
            </w:r>
          </w:p>
        </w:tc>
        <w:tc>
          <w:tcPr>
            <w:tcW w:w="100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6"/>
              </w:rPr>
              <w:t>See Footnote</w:t>
            </w:r>
            <w:r>
              <w:rPr>
                <w:rFonts w:ascii="Arial" w:cs="Arial" w:eastAsia="Arial" w:hAnsi="Arial"/>
                <w:sz w:val="25"/>
                <w:szCs w:val="25"/>
                <w:color w:val="008000"/>
                <w:w w:val="96"/>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C Preferred Stock</w:t>
            </w:r>
          </w:p>
        </w:tc>
        <w:tc>
          <w:tcPr>
            <w:tcW w:w="980" w:type="dxa"/>
            <w:vAlign w:val="bottom"/>
            <w:tcBorders>
              <w:bottom w:val="single" w:sz="8" w:color="2C2C2C"/>
            </w:tcBorders>
          </w:tcPr>
          <w:p>
            <w:pPr>
              <w:jc w:val="right"/>
              <w:ind w:right="352"/>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(3)</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jc w:val="center"/>
              <w:ind w:left="10"/>
              <w:spacing w:after="0"/>
              <w:rPr>
                <w:sz w:val="20"/>
                <w:szCs w:val="20"/>
                <w:color w:val="auto"/>
              </w:rPr>
            </w:pPr>
            <w:r>
              <w:rPr>
                <w:rFonts w:ascii="Arial" w:cs="Arial" w:eastAsia="Arial" w:hAnsi="Arial"/>
                <w:sz w:val="20"/>
                <w:szCs w:val="20"/>
                <w:color w:val="0000FF"/>
                <w:w w:val="88"/>
              </w:rPr>
              <w:t>213,306</w:t>
            </w:r>
          </w:p>
        </w:tc>
        <w:tc>
          <w:tcPr>
            <w:tcW w:w="100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8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40" w:firstLine="5"/>
        <w:spacing w:after="0" w:line="236"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Reporting Person, a member of the Issuer's board of directors, Peter Svennilson and Tim Kutzkey (collectively, the "Managing Partners"). The Managing Partners may be deemed to share voting and investment power with respect to such shares. TCG III GP and each of the Managing Partners disclaim beneficial ownership of these shares, except to the extent of their respective pecuniary interest in such shares.</w:t>
      </w:r>
    </w:p>
    <w:p>
      <w:pPr>
        <w:spacing w:after="0" w:line="37" w:lineRule="exact"/>
        <w:rPr>
          <w:rFonts w:ascii="Arial" w:cs="Arial" w:eastAsia="Arial" w:hAnsi="Arial"/>
          <w:sz w:val="15"/>
          <w:szCs w:val="15"/>
          <w:color w:val="008000"/>
        </w:rPr>
      </w:pPr>
    </w:p>
    <w:p>
      <w:pPr>
        <w:ind w:left="40" w:right="4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and investment power with respect to such shares. TCG III GP and each of the Managing Partners disclaim beneficial ownership of these shares, except to the extent of their respective pecuniary interest in such shares.</w:t>
      </w:r>
    </w:p>
    <w:p>
      <w:pPr>
        <w:spacing w:after="0" w:line="36" w:lineRule="exact"/>
        <w:rPr>
          <w:rFonts w:ascii="Arial" w:cs="Arial" w:eastAsia="Arial" w:hAnsi="Arial"/>
          <w:sz w:val="15"/>
          <w:szCs w:val="15"/>
          <w:color w:val="008000"/>
        </w:rPr>
      </w:pPr>
    </w:p>
    <w:p>
      <w:pPr>
        <w:ind w:left="40" w:right="2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A Preferred Stock, Series B Preferred Stock and Series C Preferred Stock will automatically convert into one share of common stock immediately prior to the completion of the Issuer's initial public offering, and has no expiration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Leone Patterson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493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4932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David 07/29/2021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V. Goeddel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549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4990" cy="9525"/>
                    </a:xfrm>
                    <a:prstGeom prst="rect">
                      <a:avLst/>
                    </a:prstGeom>
                    <a:noFill/>
                  </pic:spPr>
                </pic:pic>
              </a:graphicData>
            </a:graphic>
          </wp:anchor>
        </w:drawing>
      </w:r>
    </w:p>
    <w:p>
      <w:pPr>
        <w:sectPr>
          <w:pgSz w:w="11900" w:h="16899" w:orient="portrait"/>
          <w:cols w:equalWidth="0" w:num="1">
            <w:col w:w="10940"/>
          </w:cols>
          <w:pgMar w:left="480" w:top="236" w:right="479" w:bottom="0" w:gutter="0" w:footer="0" w:header="0"/>
          <w:type w:val="continuous"/>
        </w:sectPr>
      </w:pPr>
    </w:p>
    <w:p>
      <w:pPr>
        <w:spacing w:after="0" w:line="71" w:lineRule="exact"/>
        <w:rPr>
          <w:sz w:val="24"/>
          <w:szCs w:val="24"/>
          <w:color w:val="auto"/>
        </w:rPr>
      </w:pPr>
    </w:p>
    <w:p>
      <w:pPr>
        <w:ind w:left="6580"/>
        <w:spacing w:after="0"/>
        <w:tabs>
          <w:tab w:leader="none" w:pos="8740" w:val="left"/>
        </w:tabs>
        <w:rPr>
          <w:sz w:val="20"/>
          <w:szCs w:val="20"/>
          <w:color w:val="auto"/>
        </w:rPr>
      </w:pPr>
      <w:r>
        <w:rPr>
          <w:rFonts w:ascii="Arial" w:cs="Arial" w:eastAsia="Arial" w:hAnsi="Arial"/>
          <w:sz w:val="15"/>
          <w:szCs w:val="15"/>
          <w:color w:val="auto"/>
        </w:rPr>
        <w:t>** Signature of Reporting</w:t>
      </w:r>
      <w:r>
        <w:rPr>
          <w:sz w:val="20"/>
          <w:szCs w:val="20"/>
          <w:color w:val="auto"/>
        </w:rPr>
        <w:tab/>
      </w:r>
      <w:r>
        <w:rPr>
          <w:rFonts w:ascii="Arial" w:cs="Arial" w:eastAsia="Arial" w:hAnsi="Arial"/>
          <w:sz w:val="15"/>
          <w:szCs w:val="15"/>
          <w:color w:val="auto"/>
        </w:rPr>
        <w:t>Date</w:t>
      </w:r>
    </w:p>
    <w:p>
      <w:pPr>
        <w:sectPr>
          <w:pgSz w:w="11900" w:h="16899" w:orient="portrait"/>
          <w:cols w:equalWidth="0" w:num="1">
            <w:col w:w="10940"/>
          </w:cols>
          <w:pgMar w:left="480" w:top="236" w:right="47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5"/>
          <w:szCs w:val="15"/>
          <w:color w:val="auto"/>
        </w:rPr>
        <w:t>Person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0"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Signature:/s/David Goeddel</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David Goeddel</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182464"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2021-07-29T18:34:27Z</dcterms:created>
  <dcterms:modified xsi:type="dcterms:W3CDTF">2021-07-29T18:34:27Z</dcterms:modified>
</cp:coreProperties>
</file>