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195580</wp:posOffset>
            </wp:positionH>
            <wp:positionV relativeFrom="page">
              <wp:posOffset>367665</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SCHEDULE 13G</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(Rule 13d-102)</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INFORMATION TO BE INCLUDED</w:t>
      </w:r>
    </w:p>
    <w:p>
      <w:pPr>
        <w:jc w:val="center"/>
        <w:ind w:right="-59"/>
        <w:spacing w:after="0" w:line="238" w:lineRule="auto"/>
        <w:rPr>
          <w:sz w:val="20"/>
          <w:szCs w:val="20"/>
          <w:color w:val="auto"/>
        </w:rPr>
      </w:pPr>
      <w:r>
        <w:rPr>
          <w:rFonts w:ascii="Arial" w:cs="Arial" w:eastAsia="Arial" w:hAnsi="Arial"/>
          <w:sz w:val="22"/>
          <w:szCs w:val="22"/>
          <w:color w:val="auto"/>
        </w:rPr>
        <w:t>IN STATEMENTS FILED PURSUANT</w:t>
      </w:r>
    </w:p>
    <w:p>
      <w:pPr>
        <w:jc w:val="center"/>
        <w:ind w:right="-59"/>
        <w:spacing w:after="0" w:line="230" w:lineRule="auto"/>
        <w:rPr>
          <w:sz w:val="20"/>
          <w:szCs w:val="20"/>
          <w:color w:val="auto"/>
        </w:rPr>
      </w:pPr>
      <w:r>
        <w:rPr>
          <w:rFonts w:ascii="Arial" w:cs="Arial" w:eastAsia="Arial" w:hAnsi="Arial"/>
          <w:sz w:val="22"/>
          <w:szCs w:val="22"/>
          <w:color w:val="auto"/>
        </w:rPr>
        <w:t>TO RULES 13d-1(b), (c), AND</w:t>
      </w:r>
    </w:p>
    <w:p>
      <w:pPr>
        <w:spacing w:after="0" w:line="1" w:lineRule="exact"/>
        <w:rPr>
          <w:sz w:val="24"/>
          <w:szCs w:val="24"/>
          <w:color w:val="auto"/>
        </w:rPr>
      </w:pPr>
    </w:p>
    <w:p>
      <w:pPr>
        <w:jc w:val="both"/>
        <w:ind w:left="3960" w:right="3860" w:hanging="29"/>
        <w:spacing w:after="0" w:line="266" w:lineRule="auto"/>
        <w:tabs>
          <w:tab w:leader="none" w:pos="4233" w:val="left"/>
        </w:tabs>
        <w:numPr>
          <w:ilvl w:val="0"/>
          <w:numId w:val="1"/>
        </w:numPr>
        <w:rPr>
          <w:rFonts w:ascii="Arial" w:cs="Arial" w:eastAsia="Arial" w:hAnsi="Arial"/>
          <w:sz w:val="19"/>
          <w:szCs w:val="19"/>
          <w:color w:val="auto"/>
        </w:rPr>
      </w:pPr>
      <w:r>
        <w:rPr>
          <w:rFonts w:ascii="Arial" w:cs="Arial" w:eastAsia="Arial" w:hAnsi="Arial"/>
          <w:sz w:val="19"/>
          <w:szCs w:val="19"/>
          <w:color w:val="auto"/>
        </w:rPr>
        <w:t>AND AMENDMENTS THERETO FILED PURSUANT TO RULE 13d-2</w:t>
      </w:r>
    </w:p>
    <w:p>
      <w:pPr>
        <w:spacing w:after="0" w:line="1" w:lineRule="exact"/>
        <w:rPr>
          <w:rFonts w:ascii="Arial" w:cs="Arial" w:eastAsia="Arial" w:hAnsi="Arial"/>
          <w:sz w:val="19"/>
          <w:szCs w:val="19"/>
          <w:color w:val="auto"/>
        </w:rPr>
      </w:pPr>
    </w:p>
    <w:p>
      <w:pPr>
        <w:ind w:left="4620"/>
        <w:spacing w:after="0"/>
        <w:rPr>
          <w:rFonts w:ascii="Arial" w:cs="Arial" w:eastAsia="Arial" w:hAnsi="Arial"/>
          <w:sz w:val="19"/>
          <w:szCs w:val="19"/>
          <w:color w:val="auto"/>
        </w:rPr>
      </w:pPr>
      <w:r>
        <w:rPr>
          <w:rFonts w:ascii="Arial" w:cs="Arial" w:eastAsia="Arial" w:hAnsi="Arial"/>
          <w:sz w:val="22"/>
          <w:szCs w:val="22"/>
          <w:color w:val="auto"/>
        </w:rPr>
        <w:t>(AMENDMENT NO. )</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43"/>
          <w:szCs w:val="43"/>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jc w:val="both"/>
        <w:ind w:right="9720" w:firstLine="8"/>
        <w:spacing w:after="0" w:line="284" w:lineRule="auto"/>
        <w:tabs>
          <w:tab w:leader="none" w:pos="243"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13d-1(b) X Rule 13d-1(c)</w:t>
      </w: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15"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2"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87990A106</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60"/>
              <w:spacing w:after="0"/>
              <w:rPr>
                <w:sz w:val="20"/>
                <w:szCs w:val="20"/>
                <w:color w:val="auto"/>
              </w:rPr>
            </w:pPr>
            <w:r>
              <w:rPr>
                <w:rFonts w:ascii="Arial" w:cs="Arial" w:eastAsia="Arial" w:hAnsi="Arial"/>
                <w:sz w:val="18"/>
                <w:szCs w:val="18"/>
                <w:color w:val="auto"/>
                <w:w w:val="83"/>
              </w:rPr>
              <w:t>Page 2 of 6 pages</w:t>
            </w:r>
          </w:p>
        </w:tc>
        <w:tc>
          <w:tcPr>
            <w:tcW w:w="0" w:type="dxa"/>
            <w:vAlign w:val="bottom"/>
          </w:tcPr>
          <w:p>
            <w:pPr>
              <w:spacing w:after="0"/>
              <w:rPr>
                <w:sz w:val="1"/>
                <w:szCs w:val="1"/>
                <w:color w:val="auto"/>
              </w:rPr>
            </w:pPr>
          </w:p>
        </w:tc>
      </w:tr>
      <w:tr>
        <w:trPr>
          <w:trHeight w:val="702"/>
        </w:trPr>
        <w:tc>
          <w:tcPr>
            <w:tcW w:w="14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6"/>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vMerge w:val="restart"/>
          </w:tcPr>
          <w:p>
            <w:pPr>
              <w:ind w:left="40"/>
              <w:spacing w:after="0"/>
              <w:rPr>
                <w:sz w:val="20"/>
                <w:szCs w:val="20"/>
                <w:color w:val="auto"/>
              </w:rPr>
            </w:pPr>
            <w:r>
              <w:rPr>
                <w:rFonts w:ascii="Arial" w:cs="Arial" w:eastAsia="Arial" w:hAnsi="Arial"/>
                <w:sz w:val="18"/>
                <w:szCs w:val="18"/>
                <w:color w:val="auto"/>
              </w:rPr>
              <w:t>Chidozie Ugwumba</w:t>
            </w: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tcPr>
          <w:p>
            <w:pPr>
              <w:spacing w:after="0"/>
              <w:rPr>
                <w:sz w:val="6"/>
                <w:szCs w:val="6"/>
                <w:color w:val="auto"/>
              </w:rPr>
            </w:pPr>
          </w:p>
        </w:tc>
        <w:tc>
          <w:tcPr>
            <w:tcW w:w="9840" w:type="dxa"/>
            <w:vAlign w:val="bottom"/>
            <w:tcBorders>
              <w:right w:val="single" w:sz="8" w:color="auto"/>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9840" w:type="dxa"/>
            <w:vAlign w:val="bottom"/>
            <w:tcBorders>
              <w:bottom w:val="single" w:sz="8" w:color="auto"/>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jc w:val="right"/>
              <w:ind w:right="280"/>
              <w:spacing w:after="0"/>
              <w:rPr>
                <w:sz w:val="20"/>
                <w:szCs w:val="20"/>
                <w:color w:val="auto"/>
              </w:rPr>
            </w:pPr>
            <w:r>
              <w:rPr>
                <w:rFonts w:ascii="Arial" w:cs="Arial" w:eastAsia="Arial" w:hAnsi="Arial"/>
                <w:sz w:val="18"/>
                <w:szCs w:val="18"/>
                <w:color w:val="auto"/>
                <w:w w:val="94"/>
              </w:rPr>
              <w:t>United States</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6"/>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2,642,285</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52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2,642,285</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right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52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6"/>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color w:val="auto"/>
                <w:w w:val="94"/>
              </w:rPr>
              <w:t>2,642,285</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spacing w:after="0"/>
              <w:rPr>
                <w:sz w:val="15"/>
                <w:szCs w:val="15"/>
                <w:color w:val="auto"/>
              </w:rPr>
            </w:pPr>
          </w:p>
        </w:tc>
        <w:tc>
          <w:tcPr>
            <w:tcW w:w="854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tabs>
          <w:tab w:leader="none" w:pos="9960" w:val="left"/>
        </w:tabs>
        <w:rPr>
          <w:sz w:val="20"/>
          <w:szCs w:val="20"/>
          <w:color w:val="auto"/>
        </w:rPr>
      </w:pPr>
      <w:r>
        <w:rPr>
          <w:rFonts w:ascii="Arial" w:cs="Arial" w:eastAsia="Arial" w:hAnsi="Arial"/>
          <w:sz w:val="18"/>
          <w:szCs w:val="18"/>
          <w:color w:val="auto"/>
        </w:rPr>
        <w:t>CUSIP No. 87990A106</w:t>
      </w:r>
      <w:r>
        <w:rPr>
          <w:sz w:val="20"/>
          <w:szCs w:val="20"/>
          <w:color w:val="auto"/>
        </w:rPr>
        <w:tab/>
      </w:r>
      <w:r>
        <w:rPr>
          <w:rFonts w:ascii="Arial" w:cs="Arial" w:eastAsia="Arial" w:hAnsi="Arial"/>
          <w:sz w:val="15"/>
          <w:szCs w:val="15"/>
          <w:color w:val="auto"/>
        </w:rPr>
        <w:t>Page 3 of 6 pages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Tenaya Therapeutics, Inc.</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171 Oyster Point Blvd., Fifth Floor, South San Francisco, CA 94080</w:t>
      </w:r>
    </w:p>
    <w:p>
      <w:pPr>
        <w:spacing w:after="0" w:line="3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Chidozie Ugwumba</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 SymBiosis Capital Management, LLC, 609 SW 8th St., Suite 365, Bentonville, AR 72712</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United States</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Common Stock</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tabs>
          <w:tab w:leader="none" w:pos="9960" w:val="left"/>
        </w:tabs>
        <w:rPr>
          <w:sz w:val="20"/>
          <w:szCs w:val="20"/>
          <w:color w:val="auto"/>
        </w:rPr>
      </w:pPr>
      <w:r>
        <w:rPr>
          <w:rFonts w:ascii="Arial" w:cs="Arial" w:eastAsia="Arial" w:hAnsi="Arial"/>
          <w:sz w:val="18"/>
          <w:szCs w:val="18"/>
          <w:color w:val="auto"/>
        </w:rPr>
        <w:t>CUSIP No. 87990A106</w:t>
      </w:r>
      <w:r>
        <w:rPr>
          <w:sz w:val="20"/>
          <w:szCs w:val="20"/>
          <w:color w:val="auto"/>
        </w:rPr>
        <w:tab/>
      </w:r>
      <w:r>
        <w:rPr>
          <w:rFonts w:ascii="Arial" w:cs="Arial" w:eastAsia="Arial" w:hAnsi="Arial"/>
          <w:sz w:val="15"/>
          <w:szCs w:val="15"/>
          <w:color w:val="auto"/>
        </w:rPr>
        <w:t>Page 4 of 6 pages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7" w:lineRule="exact"/>
        <w:rPr>
          <w:sz w:val="20"/>
          <w:szCs w:val="20"/>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Section 240.13d-1(b)(1)(ii)(E);</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Section 240.13d-1(b)(1)(ii)(F);</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Section 240.13d-1(b)(1)(ii)(G);</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1300" w:right="100" w:hanging="320"/>
        <w:spacing w:after="0" w:line="239"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252" w:lineRule="exact"/>
        <w:rPr>
          <w:rFonts w:ascii="Arial" w:cs="Arial" w:eastAsia="Arial" w:hAnsi="Arial"/>
          <w:sz w:val="18"/>
          <w:szCs w:val="18"/>
          <w:color w:val="auto"/>
        </w:rPr>
      </w:pPr>
    </w:p>
    <w:p>
      <w:pPr>
        <w:ind w:left="1300" w:hanging="320"/>
        <w:spacing w:after="0" w:line="184" w:lineRule="exact"/>
        <w:tabs>
          <w:tab w:leader="none" w:pos="130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Group, in accordance with Section 240.13d-1(b)(1)(ii)(K). If filing as a non-U.S. institution in accordance with Section 240.13d-1(b)</w:t>
      </w:r>
    </w:p>
    <w:p>
      <w:pPr>
        <w:spacing w:after="0" w:line="80"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(1)(ii)(J), please specify the type of institution: ____________________________ .</w:t>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300" w:right="7880" w:hanging="320"/>
        <w:spacing w:after="0" w:line="52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2,642,285</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6.4%</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60" w:hanging="316"/>
        <w:spacing w:after="0" w:line="52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2,642,285</w:t>
      </w:r>
    </w:p>
    <w:p>
      <w:pPr>
        <w:spacing w:after="0" w:line="130" w:lineRule="exact"/>
        <w:rPr>
          <w:rFonts w:ascii="Arial" w:cs="Arial" w:eastAsia="Arial" w:hAnsi="Arial"/>
          <w:sz w:val="18"/>
          <w:szCs w:val="18"/>
          <w:color w:val="auto"/>
        </w:rPr>
      </w:pPr>
    </w:p>
    <w:p>
      <w:pPr>
        <w:ind w:left="1620" w:right="6580" w:hanging="316"/>
        <w:spacing w:after="0" w:line="516"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ind w:left="1620" w:right="5840" w:hanging="316"/>
        <w:spacing w:after="0" w:line="52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2,642,285</w:t>
      </w:r>
    </w:p>
    <w:p>
      <w:pPr>
        <w:spacing w:after="0" w:line="130" w:lineRule="exact"/>
        <w:rPr>
          <w:rFonts w:ascii="Arial" w:cs="Arial" w:eastAsia="Arial" w:hAnsi="Arial"/>
          <w:sz w:val="18"/>
          <w:szCs w:val="18"/>
          <w:color w:val="auto"/>
        </w:rPr>
      </w:pPr>
    </w:p>
    <w:p>
      <w:pPr>
        <w:ind w:left="1620" w:right="5660" w:hanging="316"/>
        <w:spacing w:after="0" w:line="52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The shares are directly held by SymBiosis II, LLC. Previously, the beneficial owner of these shares was Thomas Layton Walton, by virtue of his sole voting power and dispositive power through SymBiosis II, LLC. Although SymBiosis II, LLC continues to hold these shares directly and Thomas Layton Walton continues to hold his pecuniary interest in these shares, the reporting person now exercises sole voting power and dispositive power through SymBiosis II, LLC through a transition of that power to the reporting person (and not through a sale or other transfer of these shares). As previously reported, these shares beneficially owned by the reporting person include 650,000 shares of which were purchased by SymBiosis II, LLC in the initial public offering by Tenaya Therapeutics, Inc. (which closed on August 3, 2021), with the remainder being shares received pursuant to the conversion of preferred stock beneficially owned by SymBiosis II, LLC immediately prior to such initial public offering.</w:t>
      </w:r>
    </w:p>
    <w:p>
      <w:pPr>
        <w:sectPr>
          <w:pgSz w:w="11900" w:h="16838" w:orient="portrait"/>
          <w:cols w:equalWidth="0" w:num="1">
            <w:col w:w="11240"/>
          </w:cols>
          <w:pgMar w:left="320" w:top="125" w:right="339" w:bottom="0" w:gutter="0" w:footer="0" w:header="0"/>
        </w:sectPr>
      </w:pPr>
    </w:p>
    <w:bookmarkStart w:id="4" w:name="page5"/>
    <w:bookmarkEnd w:id="4"/>
    <w:p>
      <w:pPr>
        <w:spacing w:after="0" w:line="27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9960" w:val="left"/>
        </w:tabs>
        <w:rPr>
          <w:sz w:val="20"/>
          <w:szCs w:val="20"/>
          <w:color w:val="auto"/>
        </w:rPr>
      </w:pPr>
      <w:r>
        <w:rPr>
          <w:rFonts w:ascii="Arial" w:cs="Arial" w:eastAsia="Arial" w:hAnsi="Arial"/>
          <w:sz w:val="18"/>
          <w:szCs w:val="18"/>
          <w:color w:val="auto"/>
        </w:rPr>
        <w:t>CUSIP No. 87990A106</w:t>
      </w:r>
      <w:r>
        <w:rPr>
          <w:sz w:val="20"/>
          <w:szCs w:val="20"/>
          <w:color w:val="auto"/>
        </w:rPr>
        <w:tab/>
      </w:r>
      <w:r>
        <w:rPr>
          <w:rFonts w:ascii="Arial" w:cs="Arial" w:eastAsia="Arial" w:hAnsi="Arial"/>
          <w:sz w:val="15"/>
          <w:szCs w:val="15"/>
          <w:color w:val="auto"/>
        </w:rPr>
        <w:t>Page 5 of 6 pages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right="460"/>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60" w:firstLine="972"/>
        <w:spacing w:after="0" w:line="252"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tabs>
          <w:tab w:leader="none" w:pos="9960" w:val="left"/>
        </w:tabs>
        <w:rPr>
          <w:sz w:val="20"/>
          <w:szCs w:val="20"/>
          <w:color w:val="auto"/>
        </w:rPr>
      </w:pPr>
      <w:r>
        <w:rPr>
          <w:rFonts w:ascii="Arial" w:cs="Arial" w:eastAsia="Arial" w:hAnsi="Arial"/>
          <w:sz w:val="18"/>
          <w:szCs w:val="18"/>
          <w:color w:val="auto"/>
        </w:rPr>
        <w:t>CUSIP No. 87990A106</w:t>
      </w:r>
      <w:r>
        <w:rPr>
          <w:sz w:val="20"/>
          <w:szCs w:val="20"/>
          <w:color w:val="auto"/>
        </w:rPr>
        <w:tab/>
      </w:r>
      <w:r>
        <w:rPr>
          <w:rFonts w:ascii="Arial" w:cs="Arial" w:eastAsia="Arial" w:hAnsi="Arial"/>
          <w:sz w:val="15"/>
          <w:szCs w:val="15"/>
          <w:color w:val="auto"/>
        </w:rPr>
        <w:t>Page 6 of 6 pages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440" w:firstLine="972"/>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Chidozie Ugwumba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Chidozie Ugwumba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1361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2022-02-14T14:50:03Z</dcterms:created>
  <dcterms:modified xsi:type="dcterms:W3CDTF">2022-02-14T14:50:03Z</dcterms:modified>
</cp:coreProperties>
</file>