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Srivastava Deepak</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Tenaya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TNYA</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5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560" w:type="dxa"/>
            <w:vAlign w:val="bottom"/>
            <w:gridSpan w:val="5"/>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6"/>
                <w:szCs w:val="16"/>
                <w:color w:val="auto"/>
              </w:rPr>
            </w:pPr>
          </w:p>
        </w:tc>
        <w:tc>
          <w:tcPr>
            <w:tcW w:w="780" w:type="dxa"/>
            <w:vAlign w:val="bottom"/>
            <w:gridSpan w:val="2"/>
          </w:tcPr>
          <w:p>
            <w:pPr>
              <w:ind w:left="30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TENAYA THERAPEUTICS, INC.</w:t>
            </w: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11/21/2022</w:t>
            </w: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171 OYSTER POINT BLVD., 5TH FLR.</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60" w:type="dxa"/>
            <w:vAlign w:val="bottom"/>
            <w:gridSpan w:val="8"/>
            <w:vMerge w:val="restart"/>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60" w:type="dxa"/>
            <w:vAlign w:val="bottom"/>
            <w:gridSpan w:val="8"/>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420" w:type="dxa"/>
            <w:vAlign w:val="bottom"/>
            <w:tcBorders>
              <w:bottom w:val="single" w:sz="8" w:color="9A9A9A"/>
            </w:tcBorders>
            <w:gridSpan w:val="2"/>
          </w:tcPr>
          <w:p>
            <w:pPr>
              <w:spacing w:after="0"/>
              <w:rPr>
                <w:sz w:val="2"/>
                <w:szCs w:val="2"/>
                <w:color w:val="auto"/>
              </w:rPr>
            </w:pPr>
          </w:p>
        </w:tc>
        <w:tc>
          <w:tcPr>
            <w:tcW w:w="7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7"/>
          </w:tcPr>
          <w:p>
            <w:pPr>
              <w:ind w:left="4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780" w:type="dxa"/>
            <w:vAlign w:val="bottom"/>
            <w:gridSpan w:val="5"/>
            <w:vMerge w:val="restart"/>
          </w:tcPr>
          <w:p>
            <w:pPr>
              <w:ind w:left="820"/>
              <w:spacing w:after="0"/>
              <w:rPr>
                <w:sz w:val="20"/>
                <w:szCs w:val="20"/>
                <w:color w:val="auto"/>
              </w:rPr>
            </w:pPr>
            <w:r>
              <w:rPr>
                <w:rFonts w:ascii="Times New Roman" w:cs="Times New Roman" w:eastAsia="Times New Roman" w:hAnsi="Times New Roman"/>
                <w:sz w:val="17"/>
                <w:szCs w:val="17"/>
                <w:color w:val="0000FF"/>
              </w:rPr>
              <w:t>11/21/2022</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8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230,769</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7"/>
                <w:szCs w:val="17"/>
                <w:color w:val="0000FF"/>
              </w:rPr>
              <w:t>372,435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620" w:type="dxa"/>
            <w:vAlign w:val="bottom"/>
            <w:gridSpan w:val="3"/>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134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80" w:type="dxa"/>
            <w:vAlign w:val="bottom"/>
            <w:tcBorders>
              <w:top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191,666</w:t>
            </w:r>
          </w:p>
        </w:tc>
        <w:tc>
          <w:tcPr>
            <w:tcW w:w="30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940" w:type="dxa"/>
            <w:vAlign w:val="bottom"/>
            <w:tcBorders>
              <w:bottom w:val="single" w:sz="8" w:color="2C2C2C"/>
            </w:tcBorders>
            <w:gridSpan w:val="8"/>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directly by The J. David Gladstone Institutes for which the Reporting Person serves as President. The Reporting Person may be deemed to have voting and investment control over the shares. The Reporting Person disclaims beneficial ownership of these shares. This report shall not be deemed an admission that the Reporting Person is the beneficial owner of any of the shares held by The J. David Gladstone Institutes for Section 16 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12/09/2022</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8501"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2022-12-09T19:02:38Z</dcterms:created>
  <dcterms:modified xsi:type="dcterms:W3CDTF">2022-12-09T19:02:38Z</dcterms:modified>
</cp:coreProperties>
</file>