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333-286005</w:t>
      </w:r>
    </w:p>
    <w:p>
      <w:pPr>
        <w:spacing w:after="0" w:line="214" w:lineRule="exact"/>
        <w:rPr>
          <w:sz w:val="24"/>
          <w:szCs w:val="24"/>
          <w:color w:val="auto"/>
        </w:rPr>
      </w:pPr>
    </w:p>
    <w:tbl>
      <w:tblPr>
        <w:tblLayout w:type="fixed"/>
        <w:tblInd w:w="120" w:type="dxa"/>
        <w:tblCellMar>
          <w:top w:w="0" w:type="dxa"/>
          <w:left w:w="0" w:type="dxa"/>
          <w:bottom w:w="0" w:type="dxa"/>
          <w:right w:w="0" w:type="dxa"/>
        </w:tblCellMar>
      </w:tblPr>
      <w:tr>
        <w:trPr>
          <w:trHeight w:val="289"/>
        </w:trPr>
        <w:tc>
          <w:tcPr>
            <w:tcW w:w="180" w:type="dxa"/>
            <w:vAlign w:val="bottom"/>
            <w:vMerge w:val="restart"/>
            <w:textDirection w:val="btLr"/>
          </w:tcPr>
          <w:p>
            <w:pPr>
              <w:ind w:left="169"/>
              <w:spacing w:after="0"/>
              <w:rPr>
                <w:sz w:val="20"/>
                <w:szCs w:val="20"/>
                <w:color w:val="auto"/>
              </w:rPr>
            </w:pPr>
            <w:r>
              <w:rPr>
                <w:rFonts w:ascii="Times New Roman" w:cs="Times New Roman" w:eastAsia="Times New Roman" w:hAnsi="Times New Roman"/>
                <w:sz w:val="1"/>
                <w:szCs w:val="1"/>
                <w:b w:val="1"/>
                <w:bCs w:val="1"/>
                <w:color w:val="FF4338"/>
                <w:w w:val="93"/>
              </w:rPr>
              <w:t>Theinformationinthispreliminaryprospectussupplementisnotcompleteandmaybechanged.Aregistrationstatementrelatingtothesesecuritieshas</w:t>
            </w:r>
          </w:p>
        </w:tc>
        <w:tc>
          <w:tcPr>
            <w:tcW w:w="220" w:type="dxa"/>
            <w:vAlign w:val="bottom"/>
            <w:vMerge w:val="restart"/>
            <w:textDirection w:val="btLr"/>
          </w:tcPr>
          <w:p>
            <w:pPr>
              <w:ind w:left="209"/>
              <w:spacing w:after="0"/>
              <w:rPr>
                <w:sz w:val="20"/>
                <w:szCs w:val="20"/>
                <w:color w:val="auto"/>
              </w:rPr>
            </w:pPr>
            <w:r>
              <w:rPr>
                <w:rFonts w:ascii="Times New Roman" w:cs="Times New Roman" w:eastAsia="Times New Roman" w:hAnsi="Times New Roman"/>
                <w:sz w:val="1"/>
                <w:szCs w:val="1"/>
                <w:b w:val="1"/>
                <w:bCs w:val="1"/>
                <w:color w:val="FF4338"/>
                <w:w w:val="93"/>
              </w:rPr>
              <w:t>beenfiledwiththeSecuritiesandExchangeCommissionandiseffective.Thispreliminaryprospectussupplementandtheaccompanyingprospectusare</w:t>
            </w:r>
          </w:p>
        </w:tc>
        <w:tc>
          <w:tcPr>
            <w:tcW w:w="220" w:type="dxa"/>
            <w:vAlign w:val="bottom"/>
            <w:vMerge w:val="restart"/>
            <w:textDirection w:val="btLr"/>
          </w:tcPr>
          <w:p>
            <w:pPr>
              <w:ind w:left="209"/>
              <w:spacing w:after="0"/>
              <w:rPr>
                <w:sz w:val="20"/>
                <w:szCs w:val="20"/>
                <w:color w:val="auto"/>
              </w:rPr>
            </w:pPr>
            <w:r>
              <w:rPr>
                <w:rFonts w:ascii="Times New Roman" w:cs="Times New Roman" w:eastAsia="Times New Roman" w:hAnsi="Times New Roman"/>
                <w:sz w:val="1"/>
                <w:szCs w:val="1"/>
                <w:b w:val="1"/>
                <w:bCs w:val="1"/>
                <w:color w:val="FF4338"/>
                <w:w w:val="99"/>
              </w:rPr>
              <w:t>notanoffertosellthesesecuritiesandtheyarenotsolicitinganoffertobuythesesecuritiesinanystateorotherjurisdictionwheretheofferorsaleis</w:t>
            </w:r>
          </w:p>
        </w:tc>
        <w:tc>
          <w:tcPr>
            <w:tcW w:w="240" w:type="dxa"/>
            <w:vAlign w:val="bottom"/>
            <w:vMerge w:val="restart"/>
            <w:textDirection w:val="btLr"/>
          </w:tcPr>
          <w:p>
            <w:pPr>
              <w:ind w:left="91"/>
              <w:spacing w:after="0"/>
              <w:rPr>
                <w:sz w:val="20"/>
                <w:szCs w:val="20"/>
                <w:color w:val="auto"/>
              </w:rPr>
            </w:pPr>
            <w:r>
              <w:rPr>
                <w:rFonts w:ascii="Times New Roman" w:cs="Times New Roman" w:eastAsia="Times New Roman" w:hAnsi="Times New Roman"/>
                <w:sz w:val="13"/>
                <w:szCs w:val="13"/>
                <w:b w:val="1"/>
                <w:bCs w:val="1"/>
                <w:color w:val="FF4338"/>
                <w:w w:val="73"/>
              </w:rPr>
              <w:t>notpermitted.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40" w:type="dxa"/>
            <w:vAlign w:val="bottom"/>
            <w:gridSpan w:val="9"/>
          </w:tcPr>
          <w:p>
            <w:pPr>
              <w:jc w:val="center"/>
              <w:ind w:left="239"/>
              <w:spacing w:after="0"/>
              <w:rPr>
                <w:sz w:val="20"/>
                <w:szCs w:val="20"/>
                <w:color w:val="auto"/>
              </w:rPr>
            </w:pPr>
            <w:r>
              <w:rPr>
                <w:rFonts w:ascii="Times New Roman" w:cs="Times New Roman" w:eastAsia="Times New Roman" w:hAnsi="Times New Roman"/>
                <w:sz w:val="16"/>
                <w:szCs w:val="16"/>
                <w:b w:val="1"/>
                <w:bCs w:val="1"/>
                <w:color w:val="FF4338"/>
              </w:rPr>
              <w:t>SUBJECT TO COMPLETION, DATED DECEMBER 11, 2025</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504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40" w:type="dxa"/>
            <w:vAlign w:val="bottom"/>
            <w:gridSpan w:val="6"/>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(To prospectus dated March 31, 2025)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29"/>
                <w:szCs w:val="29"/>
                <w:b w:val="1"/>
                <w:bCs w:val="1"/>
                <w:color w:val="auto"/>
              </w:rPr>
              <w:t>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40" w:type="dxa"/>
            <w:vAlign w:val="bottom"/>
            <w:gridSpan w:val="9"/>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UNITS CONSISTING OF ONE SHARE OF COMMON STOCK AND</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gridSpan w:val="6"/>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ONE WARRANT TO PURCHASE COMMON STOCK</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20" w:type="dxa"/>
            <w:vAlign w:val="bottom"/>
            <w:gridSpan w:val="14"/>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PRE-FUNDED UNITS CONSISTING OF ONE PRE-FUNDED WARRANT TO PURCHASE ONE SHARE OF</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140" w:type="dxa"/>
            <w:vAlign w:val="bottom"/>
            <w:gridSpan w:val="9"/>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COMMON STOCK AND ONE WARRANT TO PURCHASE COMMON STOCK</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 COMMON STOCK ISSUABLE UPON THE EXERCISE OF THE PRE-FUNDED WARRANTS AND WARRANTS</w:t>
            </w:r>
          </w:p>
        </w:tc>
        <w:tc>
          <w:tcPr>
            <w:tcW w:w="0" w:type="dxa"/>
            <w:vAlign w:val="bottom"/>
          </w:tcPr>
          <w:p>
            <w:pPr>
              <w:spacing w:after="0"/>
              <w:rPr>
                <w:sz w:val="1"/>
                <w:szCs w:val="1"/>
                <w:color w:val="auto"/>
              </w:rPr>
            </w:pPr>
          </w:p>
        </w:tc>
      </w:tr>
      <w:tr>
        <w:trPr>
          <w:trHeight w:val="1099"/>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4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6"/>
                <w:szCs w:val="16"/>
                <w:color w:val="auto"/>
              </w:rPr>
              <w:t>We are offering          units (collectively, the units) in a firm commitment underwritten public offering. Each unit consists of (i) one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 xml:space="preserve">share of our common stock and (ii) a warrant to purchase          shares of our common stock (which equates to     </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 warrant coverage)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at an exercise price of $          per share, which will be immediately exercisable and will expire five years from the date of issuance (a</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Warrant).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6"/>
                <w:szCs w:val="16"/>
                <w:color w:val="auto"/>
              </w:rPr>
              <w:t>We are also offering to certain investors the opportunity to purchase, in lieu of the units, pre-funded units (collectively, the pre-funded</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units), consisting of (i) one pre-funded warrant to purchase one share of common stock and (ii) one Warrant. The purchase price of each</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pre-funded unit will equal the price per unit being sold to the public in this offering, minus $0.001, and the exercise price of each pre-funded</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warrant will equal $0.001 per share of common stock.</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6"/>
                <w:szCs w:val="16"/>
                <w:color w:val="auto"/>
              </w:rPr>
              <w:t>The shares of common stock (or pre-funded warrants sold in lieu thereof) and the accompanying warrants can only be purchased together</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 this offering but will be issued separately and will be immediately separable upon issuance.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6"/>
                <w:szCs w:val="16"/>
                <w:color w:val="auto"/>
              </w:rPr>
              <w:t>This prospectus supplement also relates to the offering of the shares of our common stock issuable upon the exercise of such pre-funded</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warrants and Warrants.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6"/>
                <w:szCs w:val="16"/>
                <w:color w:val="auto"/>
              </w:rPr>
              <w:t>Our common stock is listed on the Nasdaq Global Select Market under the symbol “TNYA.” On December 10, 2025, the last reported</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sale price of our common stock was $1.40 per share. There is no established public trading market for the pre-funded warrants or the Warrants,</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and we do not expect a market to develop. We do not intend to list the pre-funded warrants or the Warrants on the Nasdaq Global Select</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Market, any other national securities exchange or any other recognized trading system.</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6"/>
                <w:szCs w:val="16"/>
                <w:color w:val="auto"/>
              </w:rPr>
              <w:t>We are an “emerging growth company” and a “smaller reporting company” as defined under U.S. federal securities laws and as such, we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have elected to comply with certain reduced public company reporting requirements for this prospectus supplement and may elect to do so for</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future filings. See “Prospectus Supplement Summary—Implications of Being an Emerging Growth Company and a Smaller Reporting</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Company.”</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80" w:type="dxa"/>
            <w:vAlign w:val="bottom"/>
          </w:tcPr>
          <w:p>
            <w:pPr>
              <w:spacing w:after="0"/>
              <w:rPr>
                <w:sz w:val="21"/>
                <w:szCs w:val="21"/>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260" w:type="dxa"/>
            <w:vAlign w:val="bottom"/>
          </w:tcPr>
          <w:p>
            <w:pPr>
              <w:spacing w:after="0"/>
              <w:rPr>
                <w:sz w:val="12"/>
                <w:szCs w:val="12"/>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Unit</w:t>
            </w:r>
          </w:p>
        </w:tc>
        <w:tc>
          <w:tcPr>
            <w:tcW w:w="8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Unit</w:t>
            </w:r>
          </w:p>
        </w:tc>
        <w:tc>
          <w:tcPr>
            <w:tcW w:w="2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Underwriting discounts and commissions (1)</w:t>
            </w:r>
          </w:p>
        </w:tc>
        <w:tc>
          <w:tcPr>
            <w:tcW w:w="136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to Tenaya Therapeutics, Inc., before expenses</w:t>
            </w:r>
          </w:p>
        </w:tc>
        <w:tc>
          <w:tcPr>
            <w:tcW w:w="136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5240" w:type="dxa"/>
            <w:vAlign w:val="bottom"/>
            <w:gridSpan w:val="6"/>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(1)   See “Underwriting” for a description of the compensation payable to the underwriters.</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4"/>
                <w:szCs w:val="24"/>
                <w:color w:val="auto"/>
              </w:rPr>
            </w:pPr>
          </w:p>
        </w:tc>
        <w:tc>
          <w:tcPr>
            <w:tcW w:w="2260" w:type="dxa"/>
            <w:vAlign w:val="bottom"/>
          </w:tcPr>
          <w:p>
            <w:pPr>
              <w:spacing w:after="0"/>
              <w:rPr>
                <w:sz w:val="24"/>
                <w:szCs w:val="24"/>
                <w:color w:val="auto"/>
              </w:rPr>
            </w:pPr>
          </w:p>
        </w:tc>
        <w:tc>
          <w:tcPr>
            <w:tcW w:w="1940" w:type="dxa"/>
            <w:vAlign w:val="bottom"/>
            <w:tcBorders>
              <w:bottom w:val="single" w:sz="8" w:color="auto"/>
            </w:tcBorders>
            <w:gridSpan w:val="2"/>
          </w:tcPr>
          <w:p>
            <w:pPr>
              <w:spacing w:after="0"/>
              <w:rPr>
                <w:sz w:val="24"/>
                <w:szCs w:val="24"/>
                <w:color w:val="auto"/>
              </w:rPr>
            </w:pPr>
          </w:p>
        </w:tc>
        <w:tc>
          <w:tcPr>
            <w:tcW w:w="36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INVESTING IN OUR SECURITIES INVOLVES SIGNIFICANT RISKS. YOU SHOULD REVIEW CAREFULLY</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color w:val="0000EE"/>
              </w:rPr>
              <w:t>RISK FACTORS</w:t>
            </w:r>
            <w:r>
              <w:rPr>
                <w:rFonts w:ascii="Times New Roman" w:cs="Times New Roman" w:eastAsia="Times New Roman" w:hAnsi="Times New Roman"/>
                <w:sz w:val="18"/>
                <w:szCs w:val="18"/>
                <w:b w:val="1"/>
                <w:bCs w:val="1"/>
                <w:color w:val="auto"/>
              </w:rPr>
              <w:t>” ON PAGE S-16 OF THIS PROSPECTUS SUPPLEMENT, AND IN THE DOCUMENTS</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78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 IN THIS PROSPECTUS SUPPLEMENT AND ACCOMPANYING</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PROSPECTUS, BEFORE INVESTING IN OUR SECURITIES.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6"/>
                <w:szCs w:val="16"/>
                <w:b w:val="1"/>
                <w:bCs w:val="1"/>
                <w:color w:val="auto"/>
              </w:rPr>
              <w:t>securities or passed upon the adequacy or accuracy of this prospectus supplement or the accompanying prospectus. Any</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representation to the contrary is a criminal offense.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6"/>
                <w:szCs w:val="16"/>
                <w:color w:val="auto"/>
              </w:rPr>
              <w:t>The underwriters expect to deliver the shares of common stock, pre-funded warrants and Warrants to purchasers on or about            ,</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15"/>
          </w:tcPr>
          <w:p>
            <w:pPr>
              <w:ind w:left="280"/>
              <w:spacing w:after="0"/>
              <w:rPr>
                <w:sz w:val="20"/>
                <w:szCs w:val="20"/>
                <w:color w:val="auto"/>
              </w:rPr>
            </w:pPr>
            <w:r>
              <w:rPr>
                <w:rFonts w:ascii="Times New Roman" w:cs="Times New Roman" w:eastAsia="Times New Roman" w:hAnsi="Times New Roman"/>
                <w:sz w:val="16"/>
                <w:szCs w:val="16"/>
                <w:color w:val="auto"/>
              </w:rPr>
              <w:t>The shares of common stock included in the units will be delivered through the facilities of The Depository Trust Company (DTC). The</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pre-funded warrants and Warrants included in the units (or pre-funded units, as applicable) will be delivered to purchasers in certificated form.</w:t>
            </w:r>
          </w:p>
        </w:tc>
        <w:tc>
          <w:tcPr>
            <w:tcW w:w="0" w:type="dxa"/>
            <w:vAlign w:val="bottom"/>
          </w:tcPr>
          <w:p>
            <w:pPr>
              <w:spacing w:after="0"/>
              <w:rPr>
                <w:sz w:val="1"/>
                <w:szCs w:val="1"/>
                <w:color w:val="auto"/>
              </w:rPr>
            </w:pPr>
          </w:p>
        </w:tc>
      </w:tr>
      <w:tr>
        <w:trPr>
          <w:trHeight w:val="580"/>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29"/>
                <w:szCs w:val="29"/>
                <w:b w:val="1"/>
                <w:bCs w:val="1"/>
                <w:color w:val="auto"/>
              </w:rPr>
              <w:t>Leerink Partners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29"/>
                <w:szCs w:val="29"/>
                <w:b w:val="1"/>
                <w:bCs w:val="1"/>
                <w:color w:val="auto"/>
                <w:w w:val="97"/>
              </w:rPr>
              <w:t>Piper Sandler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149860</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-6896100</wp:posOffset>
            </wp:positionV>
            <wp:extent cx="126873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8730" cy="462915"/>
                    </a:xfrm>
                    <a:prstGeom prst="rect">
                      <a:avLst/>
                    </a:prstGeom>
                    <a:noFill/>
                  </pic:spPr>
                </pic:pic>
              </a:graphicData>
            </a:graphic>
          </wp:anchor>
        </w:drawing>
      </w:r>
    </w:p>
    <w:p>
      <w:pPr>
        <w:sectPr>
          <w:pgSz w:w="11900" w:h="16838" w:orient="portrait"/>
          <w:cols w:equalWidth="0" w:num="1">
            <w:col w:w="11140"/>
          </w:cols>
          <w:pgMar w:left="320" w:top="225" w:right="439" w:bottom="777" w:gutter="0" w:footer="0" w:header="0"/>
        </w:sectPr>
      </w:pPr>
    </w:p>
    <w:p>
      <w:pPr>
        <w:spacing w:after="0" w:line="3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 2025</w:t>
      </w:r>
    </w:p>
    <w:p>
      <w:pPr>
        <w:sectPr>
          <w:pgSz w:w="11900" w:h="16838" w:orient="portrait"/>
          <w:cols w:equalWidth="0" w:num="1">
            <w:col w:w="11140"/>
          </w:cols>
          <w:pgMar w:left="320" w:top="225" w:right="439" w:bottom="777"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60" w:type="dxa"/>
            <w:vAlign w:val="bottom"/>
            <w:gridSpan w:val="7"/>
            <w:vMerge w:val="restart"/>
          </w:tcPr>
          <w:p>
            <w:pPr>
              <w:spacing w:after="0"/>
              <w:rPr>
                <w:sz w:val="15"/>
                <w:szCs w:val="15"/>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
        </w:trPr>
        <w:tc>
          <w:tcPr>
            <w:tcW w:w="3440" w:type="dxa"/>
            <w:vAlign w:val="bottom"/>
            <w:gridSpan w:val="17"/>
            <w:vMerge w:val="continue"/>
          </w:tcPr>
          <w:p>
            <w:pPr>
              <w:spacing w:after="0" w:line="20" w:lineRule="exact"/>
              <w:rPr>
                <w:sz w:val="1"/>
                <w:szCs w:val="1"/>
                <w:color w:val="auto"/>
              </w:rPr>
            </w:pPr>
          </w:p>
        </w:tc>
        <w:tc>
          <w:tcPr>
            <w:tcW w:w="7160" w:type="dxa"/>
            <w:vAlign w:val="bottom"/>
            <w:gridSpan w:val="7"/>
            <w:vMerge w:val="continue"/>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40" w:type="dxa"/>
            <w:vAlign w:val="bottom"/>
            <w:tcBorders>
              <w:bottom w:val="single" w:sz="8" w:color="0000EE"/>
            </w:tcBorders>
            <w:gridSpan w:val="17"/>
            <w:vMerge w:val="continue"/>
          </w:tcPr>
          <w:p>
            <w:pPr>
              <w:spacing w:after="0"/>
              <w:rPr>
                <w:sz w:val="14"/>
                <w:szCs w:val="14"/>
                <w:color w:val="auto"/>
              </w:rPr>
            </w:pPr>
          </w:p>
        </w:tc>
        <w:tc>
          <w:tcPr>
            <w:tcW w:w="7160" w:type="dxa"/>
            <w:vAlign w:val="bottom"/>
            <w:gridSpan w:val="7"/>
            <w:vMerge w:val="continue"/>
          </w:tcPr>
          <w:p>
            <w:pPr>
              <w:spacing w:after="0"/>
              <w:rPr>
                <w:sz w:val="14"/>
                <w:szCs w:val="14"/>
                <w:color w:val="auto"/>
              </w:rPr>
            </w:pPr>
          </w:p>
        </w:tc>
        <w:tc>
          <w:tcPr>
            <w:tcW w:w="38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28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320" w:type="dxa"/>
            <w:vAlign w:val="bottom"/>
            <w:gridSpan w:val="9"/>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20" w:type="dxa"/>
            <w:vAlign w:val="bottom"/>
            <w:gridSpan w:val="18"/>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40" w:type="dxa"/>
            <w:vAlign w:val="bottom"/>
            <w:gridSpan w:val="22"/>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9020" w:type="dxa"/>
            <w:vAlign w:val="bottom"/>
            <w:gridSpan w:val="18"/>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S-23</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S-27</w:t>
            </w:r>
          </w:p>
        </w:tc>
        <w:tc>
          <w:tcPr>
            <w:tcW w:w="0" w:type="dxa"/>
            <w:vAlign w:val="bottom"/>
          </w:tcPr>
          <w:p>
            <w:pPr>
              <w:spacing w:after="0"/>
              <w:rPr>
                <w:sz w:val="1"/>
                <w:szCs w:val="1"/>
                <w:color w:val="auto"/>
              </w:rPr>
            </w:pPr>
          </w:p>
        </w:tc>
      </w:tr>
      <w:tr>
        <w:trPr>
          <w:trHeight w:val="196"/>
        </w:trPr>
        <w:tc>
          <w:tcPr>
            <w:tcW w:w="47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860" w:type="dxa"/>
            <w:vAlign w:val="bottom"/>
            <w:gridSpan w:val="3"/>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40" w:type="dxa"/>
            <w:vAlign w:val="bottom"/>
            <w:gridSpan w:val="19"/>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S-45</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S-45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S-45</w:t>
            </w:r>
          </w:p>
        </w:tc>
        <w:tc>
          <w:tcPr>
            <w:tcW w:w="0" w:type="dxa"/>
            <w:vAlign w:val="bottom"/>
          </w:tcPr>
          <w:p>
            <w:pPr>
              <w:spacing w:after="0"/>
              <w:rPr>
                <w:sz w:val="1"/>
                <w:szCs w:val="1"/>
                <w:color w:val="auto"/>
              </w:rPr>
            </w:pP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420" w:type="dxa"/>
            <w:vAlign w:val="bottom"/>
            <w:gridSpan w:val="2"/>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S-46</w:t>
            </w:r>
          </w:p>
        </w:tc>
        <w:tc>
          <w:tcPr>
            <w:tcW w:w="0" w:type="dxa"/>
            <w:vAlign w:val="bottom"/>
          </w:tcPr>
          <w:p>
            <w:pPr>
              <w:spacing w:after="0"/>
              <w:rPr>
                <w:sz w:val="1"/>
                <w:szCs w:val="1"/>
                <w:color w:val="auto"/>
              </w:rPr>
            </w:pPr>
          </w:p>
        </w:tc>
      </w:tr>
      <w:tr>
        <w:trPr>
          <w:trHeight w:val="453"/>
        </w:trPr>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60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00" w:type="dxa"/>
            <w:vAlign w:val="bottom"/>
            <w:gridSpan w:val="24"/>
            <w:vMerge w:val="continue"/>
          </w:tcPr>
          <w:p>
            <w:pPr>
              <w:spacing w:after="0"/>
              <w:rPr>
                <w:sz w:val="14"/>
                <w:szCs w:val="14"/>
                <w:color w:val="auto"/>
              </w:rPr>
            </w:pPr>
          </w:p>
        </w:tc>
        <w:tc>
          <w:tcPr>
            <w:tcW w:w="36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380" w:type="dxa"/>
            <w:vAlign w:val="bottom"/>
            <w:gridSpan w:val="14"/>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20" w:type="dxa"/>
            <w:vAlign w:val="bottom"/>
            <w:gridSpan w:val="15"/>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7"/>
          </w:tcPr>
          <w:p>
            <w:pPr>
              <w:spacing w:after="0"/>
              <w:rPr>
                <w:sz w:val="17"/>
                <w:szCs w:val="17"/>
                <w:color w:val="auto"/>
              </w:rPr>
            </w:pPr>
          </w:p>
        </w:tc>
        <w:tc>
          <w:tcPr>
            <w:tcW w:w="7680" w:type="dxa"/>
            <w:vAlign w:val="bottom"/>
            <w:gridSpan w:val="11"/>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80" w:type="dxa"/>
            <w:vAlign w:val="bottom"/>
            <w:gridSpan w:val="10"/>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280" w:type="dxa"/>
            <w:vAlign w:val="bottom"/>
            <w:gridSpan w:val="8"/>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00" w:type="dxa"/>
            <w:vAlign w:val="bottom"/>
            <w:gridSpan w:val="13"/>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12"/>
          </w:tcPr>
          <w:p>
            <w:pPr>
              <w:spacing w:after="0"/>
              <w:rPr>
                <w:sz w:val="17"/>
                <w:szCs w:val="17"/>
                <w:color w:val="auto"/>
              </w:rPr>
            </w:pPr>
          </w:p>
        </w:tc>
        <w:tc>
          <w:tcPr>
            <w:tcW w:w="7060" w:type="dxa"/>
            <w:vAlign w:val="bottom"/>
            <w:gridSpan w:val="5"/>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60" w:type="dxa"/>
            <w:vAlign w:val="bottom"/>
            <w:gridSpan w:val="16"/>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740" w:type="dxa"/>
            <w:vAlign w:val="bottom"/>
            <w:gridSpan w:val="1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940" w:type="dxa"/>
            <w:vAlign w:val="bottom"/>
            <w:tcBorders>
              <w:top w:val="single" w:sz="8" w:color="0000EE"/>
            </w:tcBorders>
            <w:gridSpan w:val="8"/>
          </w:tcPr>
          <w:p>
            <w:pPr>
              <w:spacing w:after="0"/>
              <w:rPr>
                <w:sz w:val="17"/>
                <w:szCs w:val="17"/>
                <w:color w:val="auto"/>
              </w:rPr>
            </w:pPr>
          </w:p>
        </w:tc>
        <w:tc>
          <w:tcPr>
            <w:tcW w:w="6800" w:type="dxa"/>
            <w:vAlign w:val="bottom"/>
            <w:gridSpan w:val="4"/>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(the SEC), using a “shelf” registration process.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providing information to you about this offering of our securities in two parts. The first part is this prospectus supplement, which provides you with specific information regarding the terms of this offering of our securities,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securities. Generally, when we refer to this prospectus, we are referring to both parts of this document combined.</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securities that we are offering, we urge you to carefully read this prospectus supplement, the accompanying prospectus and all of the information incorporated by reference herein and therein,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and the documents herein or therein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any information or to make any representation, other than those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herein and therein or any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and may not be used in connection with, an offer to sell, or a solicitation of an offer to buy, any securities offered by this prospectus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supplement and the accompanying prospectus by any person in any jurisdiction in which it is unlawful for such person to make such an offer or solicitation.</w:t>
      </w:r>
    </w:p>
    <w:p>
      <w:pPr>
        <w:spacing w:after="0" w:line="162"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 xml:space="preserve">Unless the context otherwise indicates, references in this prospectus supplement, the accompanying prospectus and the information incorporated by reference herein and therein to “Tenaya Therapeutics,” “Tenaya,” “we,” “our” and “us” refer, collectively, to Tenaya Therapeutics, Inc. We have proprietary rights to the trademarks that are used in this prospectus supplement and the documents incorporated by reference herein, which are important to our business and many of which are registered under applicable intellectual property laws. Solely for convenience, the trademarks, service marks, logos and trade names referred to in this prospectus supplement and the documents incorporated by reference herein may be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 but such references are not intended to indicate, in any way, that we will not assert, to the fullest extent under applicable law, our rights to these trademarks, service marks and trade names. This prospectus supplement and the documents incorporated by reference herein contain additional trademarks, service marks and trade names of others, which are the property of their respective owners. All trademarks, service marks and trade names appearing in this prospectus supplement and the documents incorporated by reference herein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Section 27A of the Securities Act of 1933, as amended (the Securities Act), and Section 21E of the Securities Exchange Act of 1934, as amended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w:t>
      </w:r>
    </w:p>
    <w:p>
      <w:pPr>
        <w:spacing w:after="0" w:line="100" w:lineRule="exact"/>
        <w:rPr>
          <w:sz w:val="20"/>
          <w:szCs w:val="20"/>
          <w:color w:val="auto"/>
        </w:rPr>
      </w:pPr>
    </w:p>
    <w:p>
      <w:pPr>
        <w:ind w:left="1080" w:right="5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ongoing preclinical studies and ongoing or planned clinical trials to demonstrate safety and efficacy of our product candidates and other positive results;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ongoing or planned clinical trials for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timing to resume dosing for MyPEAK-1;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timing to report additional data from MyPEAK-1 and RIDGE-1;</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drugs, clinical trial applications, Food and Drug Administration (the FDA) approvals and final regulatory approval of our current product candidates and any other future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product candidates and programs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and regulatory decisions by the FDA and other regulatory agencies on our business, including the development of our product candidates;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including our estimates of the number of patients who suffer from the diseases we are targeting;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and targets we may pursue and whether we out-license or partner with third parties to develop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laws and regulations and regulatory developments in the United States, Europe and other jurisdictions;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our current product candidates,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preclinical studies and clinical trials of our product candidates and for the development and manufacture of our product candidates for preclinical studies and clinical trials;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partnership, licensing or other arrangements that may be necessary or desirable to develop, manufacture or commercialize our product candidates, as well as our ability to realize the potential benefits of any such agreements;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 including any increase in demand as a result of the availability of reimbursement from the government and third-party payors;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operating losses,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investments in marketable securities will be sufficient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critical accounting policies on investor’s ability to understand 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remain an emerging growth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unduly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herein and therein by reference, and any free writing prospectus that we may have authorized for use in connection with this offering, contain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You are cautioned not to give undue weight to any such information, projections and estimates.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6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supplement, the accompanying prospectus and in the documents we incorporate by reference. This summary is not complete and does not contain all of the information you should consider before making an investment decision. You should carefully read this entire prospectus supplement and the accompanying prospectus, including the information incorporated by reference herein and therein, especially the risks of investing in our common stock discussed under “Risk Factors” beginning on page S-16 of this prospectus supplement, the “Risk Factors” section of our most recent Quarterly Report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176" w:lineRule="exact"/>
        <w:rPr>
          <w:sz w:val="20"/>
          <w:szCs w:val="20"/>
          <w:color w:val="auto"/>
        </w:rPr>
      </w:pPr>
    </w:p>
    <w:p>
      <w:pPr>
        <w:jc w:val="both"/>
        <w:ind w:left="300" w:right="60"/>
        <w:spacing w:after="0" w:line="266" w:lineRule="auto"/>
        <w:rPr>
          <w:sz w:val="20"/>
          <w:szCs w:val="20"/>
          <w:color w:val="auto"/>
        </w:rPr>
      </w:pPr>
      <w:r>
        <w:rPr>
          <w:rFonts w:ascii="Times New Roman" w:cs="Times New Roman" w:eastAsia="Times New Roman" w:hAnsi="Times New Roman"/>
          <w:sz w:val="18"/>
          <w:szCs w:val="18"/>
          <w:color w:val="auto"/>
        </w:rPr>
        <w:t>We are advancing a deep and diverse modality agnostic pipeline of targeted therapies for heart conditions discovered internally using our extensive target identification and validation and genetic medicine design and manufacturing capabilities. All of our programs are currently in the clinical or preclinical stage; we do not have any products approved for sale and have not generated any revenue to date.</w:t>
      </w:r>
    </w:p>
    <w:p>
      <w:pPr>
        <w:spacing w:after="0" w:line="174"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 xml:space="preserve">We are primarily focused on development of our lead investigational product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Each candidate is currently in the clinical testing stage to establish the safety profile of two different doses in adults with disease due to pathogenic/likely pathogenic mutations. We anticipate that data generated in the next year will inform late-stage development by characterizing each candidate’s safety and tolerability profile, ability to transduce target heart cells and produce the lacking protein underlying disease to slow - or even halt - disease progression. Where our discovery efforts lead to product candidates intended for relatively prevalent indications, such as TN-301, our small molecule histone deacetylase-6 (HDAC6) inhibitor for heart failure with preserved ejection fraction (HFpEF), our strategy is to out-license or partner with third parties.</w:t>
      </w:r>
    </w:p>
    <w:p>
      <w:pPr>
        <w:spacing w:after="0" w:line="185"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 xml:space="preserve">TN-201 is our investigational gene therapy for individuals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myosin binding protein C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MyBP-C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185" w:lineRule="exact"/>
        <w:rPr>
          <w:sz w:val="20"/>
          <w:szCs w:val="20"/>
          <w:color w:val="auto"/>
        </w:rPr>
      </w:pPr>
    </w:p>
    <w:p>
      <w:pPr>
        <w:ind w:left="300" w:right="280"/>
        <w:spacing w:after="0" w:line="230" w:lineRule="auto"/>
        <w:rPr>
          <w:sz w:val="20"/>
          <w:szCs w:val="20"/>
          <w:color w:val="auto"/>
        </w:rPr>
      </w:pPr>
      <w:r>
        <w:rPr>
          <w:rFonts w:ascii="Times New Roman" w:cs="Times New Roman" w:eastAsia="Times New Roman" w:hAnsi="Times New Roman"/>
          <w:sz w:val="18"/>
          <w:szCs w:val="18"/>
          <w:color w:val="auto"/>
        </w:rPr>
        <w:t>MyPEAK</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-1 is our Phase 1b/2a multi-center, open-label clinical trial, designed to assess the safety, tolerability and efficacy of a one-time intravenous infusion of TN-201. Enrollment and dosing in both the 3E13 vg/kg dose (Cohort 1) and 6E13 vg/kg dose (Cohort 2) cohorts are complete. In summer 2025, the independent data safety monitoring board (DSMB) for the MyPEAK-1 trial reviewed all available data from the first six patients dosed with TN-201. The DSMB determined that TN-201 had an acceptable safety profile and endorsed proceeding into</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760"/>
        <w:spacing w:after="0" w:line="282" w:lineRule="auto"/>
        <w:rPr>
          <w:sz w:val="20"/>
          <w:szCs w:val="20"/>
          <w:color w:val="auto"/>
        </w:rPr>
      </w:pPr>
      <w:r>
        <w:rPr>
          <w:rFonts w:ascii="Times New Roman" w:cs="Times New Roman" w:eastAsia="Times New Roman" w:hAnsi="Times New Roman"/>
          <w:sz w:val="18"/>
          <w:szCs w:val="18"/>
          <w:color w:val="auto"/>
        </w:rPr>
        <w:t>expansion cohorts at either dose level, per protocol. We have since dosed one additional patient at the 6E13 vg/kg dose level with no new meaningful safety events associated with TN-201.</w:t>
      </w:r>
    </w:p>
    <w:p>
      <w:pPr>
        <w:spacing w:after="0" w:line="162"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In November 2025, we presented interim data from MyPEAK-1 during the Late-Breaking Science: Main Event session at the American Heart Association’s (AHA) Scientific Sessions 2025. Interim data presented at AHA included safety, biopsy and efficacy results for the three patients enrolled in Cohort 1 with follow-up ranging from Week 52-78, and safety and available assessments for the patients in Cohort 2 who have post-dose assessments ranging from Week 12-26 as of the July 2025 data cut off. Patient 5 was lost to further follow-up after week 12. TN-201 was generally well tolerated across both dose cohorts and no dose-limiting toxicities were observed. Reversible, asymptomatic liver enzyme elevations (Grade 1-3) were the most common treatment-related adverse events (AEs) reported. There were two treatment-related AEs classified as serious either due to inpatient administration of steroids or extended monitoring; a Grade 2 transaminase elevation that responded to steroids and a Grade 1 elevation of complement factors that resolved without additional intervention. Adjustments to monitoring and immunosuppression during Cohort 1 resulted in faster tapers and lower cumulative corticosteroid doses in Cohort 2, despite the higher TN-201 dose.</w:t>
      </w:r>
    </w:p>
    <w:p>
      <w:pPr>
        <w:spacing w:after="0" w:line="188" w:lineRule="exact"/>
        <w:rPr>
          <w:sz w:val="20"/>
          <w:szCs w:val="20"/>
          <w:color w:val="auto"/>
        </w:rPr>
      </w:pPr>
    </w:p>
    <w:p>
      <w:pPr>
        <w:ind w:left="300" w:right="180"/>
        <w:spacing w:after="0" w:line="256" w:lineRule="auto"/>
        <w:rPr>
          <w:sz w:val="20"/>
          <w:szCs w:val="20"/>
          <w:color w:val="auto"/>
        </w:rPr>
      </w:pPr>
      <w:r>
        <w:rPr>
          <w:rFonts w:ascii="Times New Roman" w:cs="Times New Roman" w:eastAsia="Times New Roman" w:hAnsi="Times New Roman"/>
          <w:sz w:val="18"/>
          <w:szCs w:val="18"/>
          <w:color w:val="auto"/>
        </w:rPr>
        <w:t>Biopsy data demonstrated that TN-201 transduction and mRNA expression were robust. DNA and RNA analyses of all three patients in Cohort 1 show evidence of sustained presence of TN-201 DNA in the heart and increasing mRNA expression over time. MyBP-C protein levels also increased over time across all patients in both cohorts for whom serial biopsies were available. In Cohort 1 patient protein levels increased by an average of 4% from the first biopsy taken to Week 52. The first evaluable patient in Cohort 2 (Patient 6) demonstrated a clear dose response, and early MyBP-C expression increased by 14% after only 12 weeks post-dose. Of note, Patient 6 had a greater than 2-fold increase in cardiac transduction and expression at Week 12 relative to the averages for these measures observed across Cohort 1.</w:t>
      </w:r>
    </w:p>
    <w:p>
      <w:pPr>
        <w:spacing w:after="0" w:line="187"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 xml:space="preserve">All patients with greater than 26 weeks of follow-up demonstrated improvement in at least one parameter of disease, across biomarkers, hypertrophy and heart failure symptoms. Cardiac Troponin I, a predictive risk factor of cardiac AEs such as ventricular arrhythmias, sudden cardiac death, and progression to end-stage heart failure, declined by as much as 74% from baseline, to normal or near-normal levels in all Cohort 1 patients. NT-proBNP, a biomarker of cardiac muscle strain, improved or remained stable in two of three Cohort 1 patients. Cardiac Troponin I remained within the normal range and NT-proBNP remained stable for Patient 4 from Cohort 2 at their Week 26 assessment. All three patients in Cohort 1 now have evidence of significant improvement in one or more measures of hypertrophy at Week 52, with notable reductions in left ventricular posterior wall thickness (LVPWT) of between 21% and 39%. LVPWT for Patient 4 in Cohort 2 was stable at Week 26. Greater LVPWT is an independent risk factor for reduced long-term survival after septal myectomy. Two out of three Cohort 1 patients saw reductions from baseline in left ventricular mass index (LVMI) of between 12% and 22% at Week 52. LVMI for Patient 4 in Cohort 2 was stable at Week 26. New York Heart Association (NYHA) classification, a measure of the impact of heart failure symptoms on activities of daily living, improved in all patients by at least one class by Week 26, and all Cohort 1 patients are now NYHA Class I (asymptomatic). Longer-term follow-up for all patients is required to further inform our understanding of TN-201’s potential as a treatment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w:t>
      </w:r>
    </w:p>
    <w:p>
      <w:pPr>
        <w:spacing w:after="0" w:line="190" w:lineRule="exact"/>
        <w:rPr>
          <w:sz w:val="20"/>
          <w:szCs w:val="20"/>
          <w:color w:val="auto"/>
        </w:rPr>
      </w:pPr>
    </w:p>
    <w:p>
      <w:pPr>
        <w:ind w:left="300" w:right="100"/>
        <w:spacing w:after="0" w:line="256" w:lineRule="auto"/>
        <w:rPr>
          <w:sz w:val="20"/>
          <w:szCs w:val="20"/>
          <w:color w:val="auto"/>
        </w:rPr>
      </w:pPr>
      <w:r>
        <w:rPr>
          <w:rFonts w:ascii="Times New Roman" w:cs="Times New Roman" w:eastAsia="Times New Roman" w:hAnsi="Times New Roman"/>
          <w:sz w:val="18"/>
          <w:szCs w:val="18"/>
          <w:color w:val="auto"/>
        </w:rPr>
        <w:t>Following proactive correspondence with the FDA relating to future development plans for TN-201, on November 7, 2025, we announced that the FDA placed MyPEAK-1 on clinical hold requesting an amendment to the protocol primarily to standardize activities related to patient monitoring and management of the immunosuppression regimen across trial sites. We worked swiftly and collaboratively with the FDA to resolve the clinical hold and have received official notification from the FDA that the clinical hold has been removed. We intend to resume dosing once the protocol changes have been implemented at trial sites and expect to present two-year Cohort 1 and one-year Cohort 2 data in the first half of 2026. We do not expect this action to impact data milestones or development timelines for TN-201.</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Initial data from the seroprevalence study indicated that antibodies to AAV9 in most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Initial data from MyClimb indicated that 93% of participants had the nonobstructive HCM phenotype, for which there are currently no approved treatment options and that genotypic status was a significant predictor of risk. The data also revealed that left ventricular mass index may serve as a surrogate marker for poor long-term outcomes and as an appropriate marker to evaluate the early effectiveness of TN-201’s potential in a future pivotal trial.</w:t>
      </w:r>
    </w:p>
    <w:p>
      <w:pPr>
        <w:spacing w:after="0" w:line="192"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The FDA has granted TN-201 Fast Track, Orphan Drug and Rare Pediatric Drug Designations. TN-201 has also received orphan medicinal product designation from the European Commission (EC).</w:t>
      </w:r>
    </w:p>
    <w:p>
      <w:pPr>
        <w:spacing w:after="0" w:line="160"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 xml:space="preserve">TN-401 is our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187" w:lineRule="exact"/>
        <w:rPr>
          <w:sz w:val="20"/>
          <w:szCs w:val="20"/>
          <w:color w:val="auto"/>
        </w:rPr>
      </w:pPr>
    </w:p>
    <w:p>
      <w:pPr>
        <w:ind w:left="300" w:right="80"/>
        <w:spacing w:after="0" w:line="233" w:lineRule="auto"/>
        <w:rPr>
          <w:sz w:val="20"/>
          <w:szCs w:val="20"/>
          <w:color w:val="auto"/>
        </w:rPr>
      </w:pPr>
      <w:r>
        <w:rPr>
          <w:rFonts w:ascii="Times New Roman" w:cs="Times New Roman" w:eastAsia="Times New Roman" w:hAnsi="Times New Roman"/>
          <w:sz w:val="18"/>
          <w:szCs w:val="18"/>
          <w:color w:val="auto"/>
        </w:rPr>
        <w:t>RIDGE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-1 is our Phase 1b multi-center, open-label clinical trial, designed to assess the safety, tolerability and efficacy of a one-time intravenous infusion of TN-401. In July 2025, safety data from the first three RIDGE-1 patients dosed at the 3E13 vg/kg dose (Cohort 1) were reviewed by an independent DSMB which endorsed both dose escalation to the 6E13 vg/kg dose (Cohort 2) and expanding enrollment in Cohort 1. Enrollment in Cohort 2 is now complete, and we may enroll additional patients in Cohort 1. Additional enrollment in Cohort 2 will be considered following a review of all available safety data by the DSMB.</w:t>
      </w:r>
    </w:p>
    <w:p>
      <w:pPr>
        <w:spacing w:after="0" w:line="202" w:lineRule="exact"/>
        <w:rPr>
          <w:sz w:val="20"/>
          <w:szCs w:val="20"/>
          <w:color w:val="auto"/>
        </w:rPr>
      </w:pPr>
    </w:p>
    <w:p>
      <w:pPr>
        <w:ind w:left="300" w:right="60"/>
        <w:spacing w:after="0" w:line="273" w:lineRule="auto"/>
        <w:rPr>
          <w:sz w:val="20"/>
          <w:szCs w:val="20"/>
          <w:color w:val="auto"/>
        </w:rPr>
      </w:pPr>
      <w:r>
        <w:rPr>
          <w:rFonts w:ascii="Times New Roman" w:cs="Times New Roman" w:eastAsia="Times New Roman" w:hAnsi="Times New Roman"/>
          <w:sz w:val="17"/>
          <w:szCs w:val="17"/>
          <w:color w:val="auto"/>
        </w:rPr>
        <w:t>In December 2025, we presented interim data from RIDGE-1, including safety, biopsy and arrhythmia results as of the October 2025 data cut off for three patients enrolled in Cohort 1, with follow-up ranging from Week 20 to Week 40. TN-401 was generally well tolerated and no dose-limiting toxicities were observed. AEs were generally mild, asymptomatic and manageable and a majority of the AEs were deemed unrelated to TN-401. Among the AEs related to TN-401, there was a Grade 1 incidence of elevated troponin levels categorized as a serious AE due to inpatient monitoring. There were no incidents of thrombotic microangiopathy or cardiotoxicities observed and no arrhythmias associated with TN-401 occurred. To date, none of the Cohort 1 patients have experienced an implantable cardioverter defibrillator (ICD) shock post treatment. All Cohort 1 patients have tapered off prophylactic immunosuppressive medicines. No new serious AEs related to TN-401 have been reported in Cohort 2.</w:t>
      </w:r>
    </w:p>
    <w:p>
      <w:pPr>
        <w:spacing w:after="0" w:line="171"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Serial biopsies taken at baseline and Week 8 post dose for Patients 1 and 2 provided consistent evidence that TN-401 transduced to the heart, with vector copy number (VCN) per genome of 3.4 and 5, respectively. VCN data for Patient 3 was not available as of the data cut off. At Week 8, TN-401 mRNA expression ranged from</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38" w:lineRule="auto"/>
        <w:rPr>
          <w:sz w:val="20"/>
          <w:szCs w:val="20"/>
          <w:color w:val="auto"/>
        </w:rPr>
      </w:pPr>
      <w:r>
        <w:rPr>
          <w:rFonts w:ascii="Times New Roman" w:cs="Times New Roman" w:eastAsia="Times New Roman" w:hAnsi="Times New Roman"/>
          <w:sz w:val="18"/>
          <w:szCs w:val="18"/>
          <w:color w:val="auto"/>
        </w:rPr>
        <w:t>1.4x10</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- 2.9x10</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copies per microgram of RNA for the three patients in Cohort 1, serving as confirmation of early and robust expression across all three patients. Post-treatment protein levels of PKP2 increased significantly in Patients 1 and 2 by a mean of 10% from baseline to Week 8 based on rigorous methods to measure protein increases using liquid chromatography–mass spectrometry normalized to myosin heavy chain, a motor protein in the sarcomere found exclusively in cardiomyocytes. Change from baseline in PKP2 protein levels for Patient 3 appeared slightly lower than baseline despite having the highest levels of TN-401 mRNA expression across Cohort 1. This confounding result falls within the standard deviation of these methods and may be due to the inherent variability in sampling biopsies. A second post-dose biopsy will be collected and analyzed from Week 52 per protocol.</w:t>
      </w:r>
    </w:p>
    <w:p>
      <w:pPr>
        <w:spacing w:after="0" w:line="200"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Two of three patients experienced significant and clinically meaningful improvements in electrical instability, as measured by seven-day ambulatory monitoring of premature ventricular contractions (PVCs). Patient 1 experienced a decrease in PVCs by 46% as of their most recent (Week 40) visit, while Patient 2 experienced a decrease in PVCs of 89% as of their most recent (Week 32) visit. Non-sustained ventricular tachycardias (NSVTs) burden was eliminated or stable after treatment with TN-401 after six months post-dose. Patient 1 had a low NSVT count at baseline, which remained low at their most recent visit (Week 40). Patient 2 also had a substantial NSVT burden of 78 counts per 24 hour period at baseline that dropped all the way to zero and remained stable by Week 32. Meaningful changes in PVCs or NSVTs were not expected nor observed for Patient 3 as of the data cut off, which was less than six months following treatment with TN-401. Other measures of clinical response including QRS duration, T wave inversions, heart function and NYHA class were in the normal range or remained stable for all three Cohort 1 patients during the post-dose follow-up period. We expect to present one-year Cohort 1 data and early Cohort 2 data in the first half of 2026.</w:t>
      </w:r>
    </w:p>
    <w:p>
      <w:pPr>
        <w:spacing w:after="0" w:line="188"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In February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 RIDGE-1 is being conducted at multiple clinical trial sites with ARVC expertise at leading cardiology centers in the U.S. and United Kingdom.</w:t>
      </w:r>
    </w:p>
    <w:p>
      <w:pPr>
        <w:spacing w:after="0" w:line="180"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 xml:space="preserve">In support of our development efforts for TN-401, we initiated RIDGE, a global noninterventional study to collect natural history and seroprevalence to AAV9 antibodies data among ARVC patients who carry pathogenic or likely pathogenic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Interim data from RIDGE, believed to be the largest natural history study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ARVC was presented at Heart Rhythm Society’s annual meeting in April 2025.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ARVC experience a high burden of arrhythmias despite treatments with anti-arrhythmic medications, beta blockers and the anti-arrhythmic flecainide, as well as surgical interventions such as ablation and ICD placement. Further, current treatments appeared to do little to halt or prevent progressive structural changes to the heart that occur as a result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 large majority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would be eligible to participate in our ongoing Phase 1b RIDGE-1 clinical trial of TN-401 gene therapy based on low levels of antibodies to AAV9.</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TN-401 has received Orphan Drug and Fast Track designation from the FDA and orphan medicinal product designation from the EC.</w:t>
      </w:r>
    </w:p>
    <w:p>
      <w:pPr>
        <w:spacing w:after="0" w:line="225" w:lineRule="exact"/>
        <w:rPr>
          <w:sz w:val="20"/>
          <w:szCs w:val="20"/>
          <w:color w:val="auto"/>
        </w:rPr>
      </w:pPr>
    </w:p>
    <w:p>
      <w:pPr>
        <w:ind w:left="300" w:right="280"/>
        <w:spacing w:after="0" w:line="261" w:lineRule="auto"/>
        <w:rPr>
          <w:sz w:val="20"/>
          <w:szCs w:val="20"/>
          <w:color w:val="auto"/>
        </w:rPr>
      </w:pPr>
      <w:r>
        <w:rPr>
          <w:rFonts w:ascii="Times New Roman" w:cs="Times New Roman" w:eastAsia="Times New Roman" w:hAnsi="Times New Roman"/>
          <w:sz w:val="18"/>
          <w:szCs w:val="18"/>
          <w:color w:val="auto"/>
        </w:rPr>
        <w:t xml:space="preserve">TN-301 is our small molecule HDAC6 inhibitor initially discovered and validated as having cardioprotective qualities in preclinical studies of a rapidly worsening mouse model of </w:t>
      </w:r>
      <w:r>
        <w:rPr>
          <w:rFonts w:ascii="Times New Roman" w:cs="Times New Roman" w:eastAsia="Times New Roman" w:hAnsi="Times New Roman"/>
          <w:sz w:val="18"/>
          <w:szCs w:val="18"/>
          <w:i w:val="1"/>
          <w:iCs w:val="1"/>
          <w:color w:val="auto"/>
        </w:rPr>
        <w:t>BAG3</w:t>
      </w:r>
      <w:r>
        <w:rPr>
          <w:rFonts w:ascii="Times New Roman" w:cs="Times New Roman" w:eastAsia="Times New Roman" w:hAnsi="Times New Roman"/>
          <w:sz w:val="18"/>
          <w:szCs w:val="18"/>
          <w:color w:val="auto"/>
        </w:rPr>
        <w:t xml:space="preserve"> mutant dilated cardiomyopathy (DCM). HDAC6 is a cytoplasmic enzyme known to regulate diverse cellular processes. Based on TN-301’s multi-modal mechanism of action, TN-301 may have future potential in a number of cardiometabolic conditions.</w:t>
      </w:r>
    </w:p>
    <w:p>
      <w:pPr>
        <w:spacing w:after="0" w:line="178" w:lineRule="exact"/>
        <w:rPr>
          <w:sz w:val="20"/>
          <w:szCs w:val="20"/>
          <w:color w:val="auto"/>
        </w:rPr>
      </w:pPr>
    </w:p>
    <w:p>
      <w:pPr>
        <w:ind w:left="300" w:right="40"/>
        <w:spacing w:after="0" w:line="284" w:lineRule="auto"/>
        <w:rPr>
          <w:sz w:val="20"/>
          <w:szCs w:val="20"/>
          <w:color w:val="auto"/>
        </w:rPr>
      </w:pPr>
      <w:r>
        <w:rPr>
          <w:rFonts w:ascii="Times New Roman" w:cs="Times New Roman" w:eastAsia="Times New Roman" w:hAnsi="Times New Roman"/>
          <w:sz w:val="18"/>
          <w:szCs w:val="18"/>
          <w:color w:val="auto"/>
        </w:rPr>
        <w:t xml:space="preserve">Extensive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have shown that TN-301 addresses diverse pathological processes with direct and systemic benefits in models of HFpEF. In comparative studies, selective HDAC6 inhibition as a single</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380"/>
        <w:spacing w:after="0" w:line="266" w:lineRule="auto"/>
        <w:rPr>
          <w:sz w:val="20"/>
          <w:szCs w:val="20"/>
          <w:color w:val="auto"/>
        </w:rPr>
      </w:pPr>
      <w:r>
        <w:rPr>
          <w:rFonts w:ascii="Times New Roman" w:cs="Times New Roman" w:eastAsia="Times New Roman" w:hAnsi="Times New Roman"/>
          <w:sz w:val="18"/>
          <w:szCs w:val="18"/>
          <w:color w:val="auto"/>
        </w:rPr>
        <w:t>agent has been shown to have similar efficacy to empagliflozin, a sodium-glucose cotransporter-2 (SGLT2) inhibitor which is approved for the treatment of HFpEF and co-administration of our HDAC6 inhibition with a SGLT2 inhibitor in a HFpEF mouse model demonstrated additive benefit.</w:t>
      </w:r>
    </w:p>
    <w:p>
      <w:pPr>
        <w:spacing w:after="0" w:line="176"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Taken together, these data support continued development of TN-301 as a potential treatment for patients with HFpEF and other severe diseases - including those outside of cardiology- in which inflammation, fibrosis and metabolic dysregulation may be implicated. We believe late-stage clinical development of TN-301 for more prevalent indications is best suited for development by or with a well-resourced partner.</w:t>
      </w:r>
    </w:p>
    <w:p>
      <w:pPr>
        <w:spacing w:after="0" w:line="192"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In addition to our clinical-stage candidates, we have multiple early-stage programs using various therapeutic approaches, including gene addition, gene editing, gene silencing, and cellular regeneration to address other forms of rare and/or prevalent heart disease.</w:t>
      </w:r>
    </w:p>
    <w:p>
      <w:pPr>
        <w:spacing w:after="0" w:line="162"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Early on in our company history, we invested in differentiated capabilities to enable modality-agnostic target identification and validation, anchored in human genetics and the use of human disease models. That proprietary expertise has directly informed the design, optimization and production of our pipeline. To support our initial focus on gene therapy candidates, we internalized expertise in capsid engineering, novel promoter constructs and manufacturing anchored on the use of AAVs as the method of delivery to the heart with the aim of increasing the safety and efficacy of our product candidates and accelerating early-stage discovery and preclinical optimization across modalities.</w:t>
      </w:r>
    </w:p>
    <w:p>
      <w:pPr>
        <w:spacing w:after="0" w:line="183"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For the production of our lead gene therapy candidates, we maintained complete ownership of process development, analytical development, and quality control and have already produced all necessary clinical trial material needed for our current clinical trials at our Good Manufacturing Practice (cGMP)-certified Genetic Medicines Manufacturing Center in Union City, California.</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The below summary of risk factors provides an overview of many of the risks we are exposed to in the normal course of our business activities and risks related to this offering.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prospectus supplement. Additional risks, beyond those summarized below or discussed elsewhere in this prospectus supplement and the documents incorporated herein by reference,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94" w:lineRule="exact"/>
        <w:rPr>
          <w:sz w:val="20"/>
          <w:szCs w:val="20"/>
          <w:color w:val="auto"/>
        </w:rPr>
      </w:pPr>
    </w:p>
    <w:p>
      <w:pPr>
        <w:ind w:left="1240" w:right="1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product revenue to date, have incurred significant net losses since our inception and expect to continue to incur significant net losses for the foreseeable future.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07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85"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agreement with Silicon Valley Bank, a division of First-Citizens Bank &amp; Trust Company, requires us to comply with specified operating covenants and places restrictions on our operating and financial flexibility.</w:t>
      </w:r>
    </w:p>
    <w:p>
      <w:pPr>
        <w:spacing w:after="0" w:line="67" w:lineRule="exact"/>
        <w:rPr>
          <w:rFonts w:ascii="Times New Roman" w:cs="Times New Roman" w:eastAsia="Times New Roman" w:hAnsi="Times New Roman"/>
          <w:sz w:val="18"/>
          <w:szCs w:val="18"/>
          <w:color w:val="auto"/>
        </w:rPr>
      </w:pPr>
    </w:p>
    <w:p>
      <w:pPr>
        <w:ind w:left="1240" w:right="4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1"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mechanisms of action of our product candidates are unproven, and we do not know whether we will be able to develop any drug of commercial value.</w:t>
      </w:r>
    </w:p>
    <w:p>
      <w:pPr>
        <w:spacing w:after="0" w:line="67" w:lineRule="exact"/>
        <w:rPr>
          <w:rFonts w:ascii="Times New Roman" w:cs="Times New Roman" w:eastAsia="Times New Roman" w:hAnsi="Times New Roman"/>
          <w:sz w:val="18"/>
          <w:szCs w:val="18"/>
          <w:color w:val="auto"/>
        </w:rPr>
      </w:pPr>
    </w:p>
    <w:p>
      <w:pPr>
        <w:ind w:left="1240" w:right="120" w:hanging="415"/>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8"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88"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5"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limited manufacturing experience, there can be no assurance that we will be able to successfully manufacture product candidates to support our clinical development and commercialization plans.</w:t>
      </w:r>
    </w:p>
    <w:p>
      <w:pPr>
        <w:spacing w:after="0" w:line="67" w:lineRule="exact"/>
        <w:rPr>
          <w:rFonts w:ascii="Times New Roman" w:cs="Times New Roman" w:eastAsia="Times New Roman" w:hAnsi="Times New Roman"/>
          <w:sz w:val="18"/>
          <w:szCs w:val="18"/>
          <w:color w:val="auto"/>
        </w:rPr>
      </w:pPr>
    </w:p>
    <w:p>
      <w:pPr>
        <w:jc w:val="both"/>
        <w:ind w:left="1240" w:right="2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significantly on our ability to operate without infringing, misappropriating or otherwise violating the patents and other intellectual property and proprietary rights of third parties.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could cause our stock price to fall. There is no public market for the pre-funded warrants or Warrants being offered in this offering.</w:t>
      </w:r>
    </w:p>
    <w:p>
      <w:pPr>
        <w:spacing w:after="0" w:line="67"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pre-funded warrants and Warrants will have no rights as common stockholders until such holders exercise their pre-funded warrants and Warrants and acquire our common stock.</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holders or beneficial owners of our common stock may not be permitted to exercise the pre-funded warrants and Warrants that they hold.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Suite 500, South San Francisco, CA 94080. Our telephone number is (650) 825-6990. Our website address is www.tenayatherapeutics.com. Information contained on, or accessible through, our website is not incorporated by reference into this prospectus supplement and should not be considered to be part of this prospectus supplement. The inclusion of our website address in this prospectus supplement is an inactive textual reference only.</w:t>
      </w:r>
    </w:p>
    <w:p>
      <w:pPr>
        <w:spacing w:after="0" w:line="180"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which will be December 31, 2026. As a result of this status, we have taken advantage of reduced reporting requirements in this prospectus and may elect to take advantage of other reduced reporting requirements in our future filings with the SEC. In particular, in this prospectus supplement, we have incorporated only two years of audited financial statements and have not included all of the executive compensation related information that would be required if</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430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ind w:left="300" w:right="8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04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3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Units Offered by Us</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units, consisting of one share of our common stock and one Warrant.</w:t>
            </w:r>
          </w:p>
        </w:tc>
      </w:tr>
      <w:tr>
        <w:trPr>
          <w:trHeight w:val="454"/>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Pre-Funded Units Offered by Us</w:t>
            </w: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We are also offering to certain investors, in lieu of units, the opportunity to purchase pre-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funded units, consisting of one pre-funded warrant to purchase one share of common stock</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and one Warrant. The purchase price of each pre-funded unit will equal the price per unit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minus $0.001. Each pre-funded warrant will be exercisable from the date of issuance until</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the date the warrant is exercised in full, subject to an ownership limitation. See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“Description of Securities.” This prospectus supplement also relates to the offering of the</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shares of common stock issuable upon the exercise of such pre-funded warrants.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 Offered by Us</w:t>
            </w: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We are offering Warrants to purchase an aggregate of shares of our common stock. Each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unit and pre-funded unit includes one Warrant. Each Warrant will be exercisable for</w:t>
            </w:r>
          </w:p>
        </w:tc>
      </w:tr>
      <w:tr>
        <w:trPr>
          <w:trHeight w:val="216"/>
        </w:trPr>
        <w:tc>
          <w:tcPr>
            <w:tcW w:w="4040" w:type="dxa"/>
            <w:vAlign w:val="bottom"/>
            <w:tcBorders>
              <w:lef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 of our common stock, will have an exercise price of $         per share, will</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be immediately exercisable and will expire five years from the date of issuance. See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“Description of Securities—Warrants.” This offering also relates to the shares of common</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stock issuable upon exercise of the Warrants.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 After this Offering</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of common stock, excluding any shares issuable upon exercise of the</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Warrants (and assuming the exercise of all pre-funded warrants sold in this offering).</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equivalents and marketable securities, to fund the ongoing and planned development of our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clinical and early-stage product candidates, particularly TN-201 and TN-401, and for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working capital and other general corporate purposes. See “Use of Proceeds” on page S-20</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of this prospectus supplement.</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Investing in our securities involves significant risks. You should read the “Risk Factors”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section on page S-16 of this prospectus supplement and in the documents incorporated by</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reference in this prospectus supplement and accompanying prospectus for a discussion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factors to consider carefully before deciding to purchase shares of our common stock,</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pre-funded warrants or Warrants.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Nasdaq Global Select Market Symbol</w:t>
            </w: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“TNYA.”</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Listing of Warrants</w:t>
            </w: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There is no established trading market for the pre-funded warrants or Warrants, and we do</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not expect a market to develop. We do not intend to list the pre-funded warrants or</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Warrants on the Nasdaq</w:t>
            </w:r>
          </w:p>
        </w:tc>
      </w:tr>
      <w:tr>
        <w:trPr>
          <w:trHeight w:val="172"/>
        </w:trPr>
        <w:tc>
          <w:tcPr>
            <w:tcW w:w="404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320" w:type="dxa"/>
            <w:vAlign w:val="bottom"/>
            <w:tcBorders>
              <w:bottom w:val="single" w:sz="8" w:color="auto"/>
              <w:right w:val="single" w:sz="8" w:color="auto"/>
            </w:tcBorders>
          </w:tcPr>
          <w:p>
            <w:pPr>
              <w:spacing w:after="0"/>
              <w:rPr>
                <w:sz w:val="14"/>
                <w:szCs w:val="14"/>
                <w:color w:val="auto"/>
              </w:rPr>
            </w:pPr>
          </w:p>
        </w:tc>
      </w:tr>
      <w:tr>
        <w:trPr>
          <w:trHeight w:val="361"/>
        </w:trPr>
        <w:tc>
          <w:tcPr>
            <w:tcW w:w="4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S-13</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36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80"/>
        <w:spacing w:after="0" w:line="266" w:lineRule="auto"/>
        <w:rPr>
          <w:sz w:val="20"/>
          <w:szCs w:val="20"/>
          <w:color w:val="auto"/>
        </w:rPr>
      </w:pPr>
      <w:r>
        <w:rPr>
          <w:rFonts w:ascii="Times New Roman" w:cs="Times New Roman" w:eastAsia="Times New Roman" w:hAnsi="Times New Roman"/>
          <w:sz w:val="18"/>
          <w:szCs w:val="18"/>
          <w:color w:val="auto"/>
        </w:rPr>
        <w:t>Global Select Market or any other national securities exchange or nationally recognized trading system. Without an active trading market, the liquidity of the pre-funded warrants and Warrants will be limited. See “Description of Pre-Funded Warrants.”</w:t>
      </w:r>
    </w:p>
    <w:p>
      <w:pPr>
        <w:spacing w:after="0" w:line="21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Delivery of Common Stock, Warrants and Pre-</w:t>
      </w:r>
      <w:r>
        <w:rPr>
          <w:sz w:val="20"/>
          <w:szCs w:val="20"/>
          <w:color w:val="auto"/>
        </w:rPr>
        <w:tab/>
      </w:r>
      <w:r>
        <w:rPr>
          <w:rFonts w:ascii="Times New Roman" w:cs="Times New Roman" w:eastAsia="Times New Roman" w:hAnsi="Times New Roman"/>
          <w:sz w:val="18"/>
          <w:szCs w:val="18"/>
          <w:color w:val="auto"/>
        </w:rPr>
        <w:t>The shares of common stock included in the units will be delivered thorough the facilities</w:t>
      </w:r>
    </w:p>
    <w:p>
      <w:pPr>
        <w:spacing w:after="0" w:line="31" w:lineRule="exact"/>
        <w:rPr>
          <w:sz w:val="20"/>
          <w:szCs w:val="20"/>
          <w:color w:val="auto"/>
        </w:rPr>
      </w:pPr>
    </w:p>
    <w:p>
      <w:pPr>
        <w:ind w:left="4340" w:right="60" w:hanging="3955"/>
        <w:spacing w:after="0" w:line="260" w:lineRule="auto"/>
        <w:tabs>
          <w:tab w:leader="none" w:pos="4320" w:val="left"/>
        </w:tabs>
        <w:rPr>
          <w:sz w:val="20"/>
          <w:szCs w:val="20"/>
          <w:color w:val="auto"/>
        </w:rPr>
      </w:pPr>
      <w:r>
        <w:rPr>
          <w:rFonts w:ascii="Times New Roman" w:cs="Times New Roman" w:eastAsia="Times New Roman" w:hAnsi="Times New Roman"/>
          <w:sz w:val="18"/>
          <w:szCs w:val="18"/>
          <w:b w:val="1"/>
          <w:bCs w:val="1"/>
          <w:color w:val="auto"/>
        </w:rPr>
        <w:t>Funded Warrants</w:t>
      </w:r>
      <w:r>
        <w:rPr>
          <w:sz w:val="20"/>
          <w:szCs w:val="20"/>
          <w:color w:val="auto"/>
        </w:rPr>
        <w:tab/>
      </w:r>
      <w:r>
        <w:rPr>
          <w:rFonts w:ascii="Times New Roman" w:cs="Times New Roman" w:eastAsia="Times New Roman" w:hAnsi="Times New Roman"/>
          <w:sz w:val="18"/>
          <w:szCs w:val="18"/>
          <w:color w:val="auto"/>
        </w:rPr>
        <w:t>of DTC. The pre-funded warrants and Warrants included in the units (or pre-funded units, as applicable) will be delivered to purchasers in certificated form.</w:t>
      </w:r>
    </w:p>
    <w:p>
      <w:pPr>
        <w:spacing w:after="0" w:line="181"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outstanding after this offering is based on 163,744,535 shares of our common stock outstanding as of September 30, 2025, and excludes:</w:t>
      </w:r>
    </w:p>
    <w:p>
      <w:pPr>
        <w:spacing w:after="0" w:line="67" w:lineRule="exact"/>
        <w:rPr>
          <w:sz w:val="20"/>
          <w:szCs w:val="20"/>
          <w:color w:val="auto"/>
        </w:rPr>
      </w:pPr>
    </w:p>
    <w:p>
      <w:pPr>
        <w:ind w:left="1240" w:right="3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12,248,914 shares of common stock issuable upon exercise of stock options outstanding as of September 30, 2025, at a weighted average exercise price of $1.93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1,737,267 shares of common stock issuable upon vesting of restricted stock units outstanding as of September 30, 2025;</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74,995,000 shares of common stock issuable upon exercise of our Series A Warrants as of September 30, 2025, at an exercise price of $0.80 per share;</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36,997,500 shares of common stock issuable upon exercise of our Series B Warrants as of September 30, 2025, at an exercise price of $0.70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shares of common stock issued upon the exercise of Series A Warrants after September 30, 2025;</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2,753,750 shares of common stock issued upon the exercise of Series B Warrants after September 30, 2025;</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122,749 shares of common stock issuable upon exercise of a warrant outstanding as of September 30, 2025, at an exercise price of $2.55 per share;</w:t>
      </w:r>
    </w:p>
    <w:p>
      <w:pPr>
        <w:spacing w:after="0" w:line="67" w:lineRule="exact"/>
        <w:rPr>
          <w:rFonts w:ascii="Times New Roman" w:cs="Times New Roman" w:eastAsia="Times New Roman" w:hAnsi="Times New Roman"/>
          <w:sz w:val="18"/>
          <w:szCs w:val="18"/>
          <w:color w:val="auto"/>
        </w:rPr>
      </w:pPr>
    </w:p>
    <w:p>
      <w:pPr>
        <w:ind w:left="1240" w:right="18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1,785,929 shares of common stock reserved for issuance under our 2021 Equity Incentive Plan (the 2021 Plan) as of September 30, 2025, as well as shares that become available pursuant to provisions in our 2021 Plan that automatically increase the share reserve thereunder each year;</w:t>
      </w:r>
    </w:p>
    <w:p>
      <w:pPr>
        <w:spacing w:after="0" w:line="81"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525,000 shares of common stock reserved for issuance under our 2024 Inducement Equity Incentive Plan (the 2024 Plan) as of September 30, 2025;</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2,345,079 shares of common stock reserved for issuance under our 2021 Employee Stock Purchase Plan (the 2021 ESPP) as of September 30, 2025, as well as shares that become available pursuant to provisions in our 2021 ESPP that automatically increase the share reserve thereunder each year;</w:t>
      </w:r>
    </w:p>
    <w:p>
      <w:pPr>
        <w:sectPr>
          <w:pgSz w:w="11900" w:h="16838" w:orient="portrait"/>
          <w:cols w:equalWidth="0" w:num="1">
            <w:col w:w="10860"/>
          </w:cols>
          <w:pgMar w:left="320" w:top="455" w:right="719" w:bottom="1440" w:gutter="0" w:footer="0" w:header="0"/>
        </w:sectPr>
      </w:pPr>
    </w:p>
    <w:p>
      <w:pPr>
        <w:spacing w:after="0" w:line="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 issuable upon exercise of pre-funded warrants sold in this offering; and</w:t>
      </w:r>
    </w:p>
    <w:p>
      <w:pPr>
        <w:spacing w:after="0" w:line="142" w:lineRule="exact"/>
        <w:rPr>
          <w:sz w:val="20"/>
          <w:szCs w:val="20"/>
          <w:color w:val="auto"/>
        </w:rPr>
      </w:pPr>
    </w:p>
    <w:p>
      <w:pPr>
        <w:sectPr>
          <w:pgSz w:w="11900" w:h="16838" w:orient="portrait"/>
          <w:cols w:equalWidth="0" w:num="4">
            <w:col w:w="880" w:space="360"/>
            <w:col w:w="40" w:space="140"/>
            <w:col w:w="220" w:space="180"/>
            <w:col w:w="9040"/>
          </w:cols>
          <w:pgMar w:left="320" w:top="455" w:right="71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shares of common stock issuable upon exercise of Warrants sold in this offering.</w:t>
      </w:r>
    </w:p>
    <w:p>
      <w:pPr>
        <w:spacing w:after="0" w:line="211" w:lineRule="exact"/>
        <w:rPr>
          <w:sz w:val="20"/>
          <w:szCs w:val="20"/>
          <w:color w:val="auto"/>
        </w:rPr>
      </w:pPr>
    </w:p>
    <w:p>
      <w:pPr>
        <w:sectPr>
          <w:pgSz w:w="11900" w:h="16838" w:orient="portrait"/>
          <w:cols w:equalWidth="0" w:num="4">
            <w:col w:w="880" w:space="360"/>
            <w:col w:w="40" w:space="140"/>
            <w:col w:w="220" w:space="180"/>
            <w:col w:w="9040"/>
          </w:cols>
          <w:pgMar w:left="320" w:top="455" w:right="719" w:bottom="1440" w:gutter="0" w:footer="0" w:header="0"/>
          <w:type w:val="continuous"/>
        </w:sectPr>
      </w:pPr>
    </w:p>
    <w:p>
      <w:pPr>
        <w:spacing w:after="0" w:line="25" w:lineRule="exact"/>
        <w:rPr>
          <w:sz w:val="20"/>
          <w:szCs w:val="20"/>
          <w:color w:val="auto"/>
        </w:rPr>
      </w:pPr>
    </w:p>
    <w:p>
      <w:pPr>
        <w:ind w:left="300" w:right="480" w:firstLine="426"/>
        <w:spacing w:after="0" w:line="261" w:lineRule="auto"/>
        <w:rPr>
          <w:sz w:val="20"/>
          <w:szCs w:val="20"/>
          <w:color w:val="auto"/>
        </w:rPr>
      </w:pPr>
      <w:r>
        <w:rPr>
          <w:rFonts w:ascii="Times New Roman" w:cs="Times New Roman" w:eastAsia="Times New Roman" w:hAnsi="Times New Roman"/>
          <w:sz w:val="18"/>
          <w:szCs w:val="18"/>
          <w:color w:val="auto"/>
        </w:rPr>
        <w:t>On August 10, 2022, we entered into a sales agreement with Leerink Partners LLC with respect to an “at-the-market” (ATM) program pursuant to which we may sell up to $75.0 million of shares of our common stock (the ATM Program). As of the date of this prospectus supplement, we have sold an aggregate of 1,358,333 shares of our common stock under the ATM Program for aggregate gross proceeds of $5.2 million, resulting in $69.8 million of shares of our common stock remaining for future sale under the ATM Program.</w:t>
      </w:r>
    </w:p>
    <w:p>
      <w:pPr>
        <w:spacing w:after="0" w:line="180"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or settlement of the outstanding options or warrants or vesting of outstanding restricted stock units or other equity awards</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860"/>
          </w:cols>
          <w:pgMar w:left="320" w:top="455" w:right="7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9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09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described above, no grant of additional awards under our 2021 Plan and 2024 Plan, no issuance of shares under the 2021 ESPP, no issuance of shares under the ATM Program, no exercise of any Warrants and no purchase of pre-funded units, in each case, after September 30, 2025.</w:t>
      </w:r>
    </w:p>
    <w:p>
      <w:pPr>
        <w:spacing w:after="0" w:line="28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0540"/>
          </w:cols>
          <w:pgMar w:left="320" w:top="455" w:right="10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Before making a decision to invest in our securities, in addition to carefully considering the other information contained in this prospectus supplement, in the accompanying prospectus and in the documents incorporated by reference herein or therein, you should carefully consider the risks described below, as well as the risks discussed under the caption “Risk Factors” contained in our most recent Quarterly Report on Form 10-Q, as well as any amendments thereto, which are incorporated by reference into this prospectus supplement in their entirety.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prospects could be harmed. This could cause the trading price of our common stock to decline, resulting in a loss of all or part of your investment. See “Where You Can Find More Information” and “Incorporation of Certain Information by Reference.”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vesting of outstanding restricted stock units and the exercise of our outstanding options and warrants will dilute stockholders and could decrease our stock price.</w:t>
      </w:r>
    </w:p>
    <w:p>
      <w:pPr>
        <w:spacing w:after="0" w:line="15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vesting of outstanding restricted stock units and the exercise of our outstanding options and warrants may adversely affect our stock price due to sales of a large number of shares or the perception that such sales could occur. These factors also could make it more difficult to raise funds through future offerings of our securities and could adversely impact the terms under which we could obtain additional equity capital. Exercise of outstanding options and warrants or any future issuance of additional shares of common stock or other securities, including, but not limited to preferred stock, options, warrants, restricted stock units or other derivative securities convertible into our common stock, may result in significant dilution to our stockholders and may decrease our stock price.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2025, we had 163,744,535 shares of our common stock outstanding. If our stockholders sell, or the market perceives that our stockholders intend to sell, a substantial amount of our common stock in the public market, the market price of our common stock could decline significantly. Sales of a substantial number of shares of our common stock in the public market could occur at any time, including by us pursuant to our existing ATM Program, under which, as of December 10, 2025, we may issue and sell up to approximately $69.8 million in additional shares of our common stock.</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or the vesting of restricted stock units outstanding under our equity incentive plans or pursuant to future awards granted under those plans will become available for sale in the public market to the extent permitted by the provisions of applicable vesting schedules and by Rule 144 and by Rule 701 under the Securities Act.</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159"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dilution in the book value per share of the securities you purchase in this offering.</w:t>
      </w:r>
    </w:p>
    <w:p>
      <w:pPr>
        <w:spacing w:after="0" w:line="229" w:lineRule="exact"/>
        <w:rPr>
          <w:sz w:val="20"/>
          <w:szCs w:val="20"/>
          <w:color w:val="auto"/>
        </w:rPr>
      </w:pPr>
    </w:p>
    <w:p>
      <w:pPr>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Because the price per unit is substantially higher than the net tangible book value per share of our common stock, you will suffer substantial dilution in the net tangible book value of the securities you purchase in this offering. Our net tangible book value as of September 30, 2025, was approximately $82.9 million, or $0.51 per share of our common stock. Therefore, if you purchase units in this offering, you will suffer immediate and</w:t>
      </w:r>
    </w:p>
    <w:p>
      <w:pPr>
        <w:spacing w:after="0" w:line="2"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substantial dilution of $      per share with respect to the net tangible book value of our common stock, based on the sale of       units in total at an assumed offering price of $      per unit (assuming no pre-funded warrants are sold in this offering and no exercise of any Warrants sold in this</w:t>
      </w:r>
    </w:p>
    <w:p>
      <w:pPr>
        <w:spacing w:after="0" w:line="1"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offering). See the section titled “Dilution” in this prospectus supplement for a detailed discussion of the dilution you will incur if you participate in this offering.</w:t>
      </w:r>
    </w:p>
    <w:p>
      <w:pPr>
        <w:spacing w:after="0" w:line="17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our securities in this offering, restrict our operations or require us to relinquish substantial rights.</w:t>
      </w:r>
    </w:p>
    <w:p>
      <w:pPr>
        <w:spacing w:after="0" w:line="15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preclinical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90"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fluctuations. Our net loss and other operating results will be affected by numerous factors, including:</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preclinical studies and clinical trials or funding support by us or potential future collaborators;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and changes in the competitive landscape of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our operating results or announcements related to our product candidates fall below the expectations of investors or securities analysts, the price of our common stock could decline substantially. Furthermore, any fluctuations in our operating results or announcements related to our product candidates may, in turn, cause the price of our stock to fluctuate substantially. We believe that comparisons of our financial results are not necessarily meaningful and should not be relied upon as an indication of our future performance.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or Warrants being offered in this offering.</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There is no public trading market for the pre-funded warrants or Warrants being offered in this offering, and we do not expect a market to develop. In addition, we do not intend to list the pre-funded warrants or Warrants on the Nasdaq Global Select Market or any other national securities exchange or nationally recognized trading system, and we do not intend to make any of the pre-funded warrants or Warrants eligible to be traded through the facilities of DTC or any other clearinghouse. Without an active trading market, the liquidity of the pre-funded warrants and Warrants will be limited.</w:t>
      </w:r>
    </w:p>
    <w:p>
      <w:pPr>
        <w:spacing w:after="0" w:line="160"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and Warrants will have no rights as common stockholders until such holders exercise their pre-funded warrants or Warrants and acquire our common stock.</w:t>
      </w:r>
    </w:p>
    <w:p>
      <w:pPr>
        <w:spacing w:after="0" w:line="159"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Until holders of the pre-funded warrants or Warrants exercise their pre-funded warrants or Warrants respectively, and acquire shares of our common stock, such holders will have no rights with respect to the shares of our common stock underlying such pre-funded warrants or Warrants.</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common stock may not be permitted to exercise the pre-funded warrants or Warrants that they</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holder of the pre-funded warrants or Warrants will not be entitled to exercise any portion of any pre-funded warrant that, upon giving effect to such exercise, would cause (i) the aggregate number of shares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common stock beneficially owned by such holder (together with its affiliates) to exceed 4.99% or, at the election of the holder prior to the issuance of such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such warrant, 9.99% of the combined voting power of all of our securities outstanding immediately after giving effect to the exercise, as such percentage ownership is determined in accordance with the terms of the pre-funded warrants or Warrants and subject to such holder’s rights under the pre-funded warrants or Warrants, as applicable, to increase or decrease such percentage to any other percentage not in excess of 19.99% (or at the election of the holder prior to the issuance of the such warrant, 9.99%) upon at least 61 days’ prior notice from the holder to us. As a result, you may not be able to exercise your pre-funded warrants or Warrants for shares of our common stock at a time when it would be financially beneficial for you to do so. In such a circumstance, you could seek to sell your pre-funded warrants or Warrants to realize value, but you may be unable to do so in the absence of an established trading market.</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the issuance and sale of units and pre-funded units in this offering will be approximately $      million after deducting underwriting discounts and commissions and estimated offering expenses payable by us and excluding the proceeds, if any, from the exercise of the pre-funded warrants and Warrants issued in this offering.</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the ongoing and planned development of our clinical and early-stage product candidates, particularly TN-201 and TN-401, and for working capital and other general corporate purposes.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net proceeds from this offering, together with our existing cash, cash equivalents and marketable securities, will not be sufficient for us to fund our clinical programs into late-stage development, and we will need to raise additional capital to achieve our business objectives.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immediately to the extent of the difference between the offering price of our common stock and the as adjusted net tangible book value per share of our common stock immediately after this offering.</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as of September 30, 2025, was approximately $82.9 million, or approximately $0.51 per share of common stock based upon 163,744,535 shares outstanding as of September 30, 2025. Historical net tangible book value per share represents the amount of our total tangible assets less total liabilities, divided by the number of shares of our common stock outstanding as of September 30, 2025.</w:t>
      </w: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After giving effect to the sale by us of        units in this offering (which assumes no pre-funded units are sold in this offering and no exercise of the Warrants sold in this offering) based on the offering price of $      per unit, and after deducting underwriting discounts and commissions and estimated offering expenses payable by us, our as adjusted net tangible book value as of September 30, 2025 would have been $      million, or</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per share of common stock. This represents an immediate increase in net tangible book value of $      per share to our existing stockholders and an immediate dilution of $      in net tangible book value per share to new investors participating in this offering. Dilution per share to new investors is determined by subtracting as adjusted net tangible book value per share after this offering from the offering price per unit paid by new investors.</w:t>
      </w:r>
    </w:p>
    <w:p>
      <w:pPr>
        <w:spacing w:after="0" w:line="200" w:lineRule="exact"/>
        <w:rPr>
          <w:sz w:val="20"/>
          <w:szCs w:val="20"/>
          <w:color w:val="auto"/>
        </w:rPr>
      </w:pP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unit</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88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2025</w:t>
            </w:r>
          </w:p>
        </w:tc>
        <w:tc>
          <w:tcPr>
            <w:tcW w:w="14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$0.51</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6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to this offering</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in this offering</w:t>
            </w:r>
          </w:p>
        </w:tc>
        <w:tc>
          <w:tcPr>
            <w:tcW w:w="2180" w:type="dxa"/>
            <w:vAlign w:val="bottom"/>
            <w:gridSpan w:val="4"/>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 are based on 163,744,535 shares of our common stock outstanding as of September 30, 2025 and excludes:</w:t>
      </w:r>
    </w:p>
    <w:p>
      <w:pPr>
        <w:spacing w:after="0" w:line="131" w:lineRule="exact"/>
        <w:rPr>
          <w:sz w:val="20"/>
          <w:szCs w:val="20"/>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12,248,914 shares of common stock issuable upon exercise of stock options outstanding as of September 30, 2025, at a weighted average exercise price of $1.93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1,737,267 shares of common stock issuable upon vesting of restricted stock units outstanding as of September 30, 2025;</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74,995,000 shares of common stock issuable upon exercise of our Series A Warrants as of September 30, 2025, at an exercise price of $0.80 per share;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36,997,500 shares of common stock issuable upon exercise of our Series B Warrants as of September 30, 2025, at an exercise price of $0.70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shares of common stock issued upon the exercise of Series A Warrants after September 30,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2,753,750 shares of common stock issued upon the exercise of Series B Warrants after September 30, 2025;</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122,749 shares of common stock issuable upon exercise of a warrant outstanding as of September 30, 2025, at an exercise price of $2.55 per share;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00"/>
          </w:cols>
          <w:pgMar w:left="320" w:top="455" w:right="5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1,785,929 shares of common stock reserved for issuance under our 2021 Equity Incentive Plan (the 2021 Plan) as of September 30, 2025, as well as shares that become available pursuant to provisions in our 2021 Plan that automatically increase the share reserve thereunder each year;</w:t>
      </w:r>
    </w:p>
    <w:p>
      <w:pPr>
        <w:spacing w:after="0" w:line="81"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525,000 shares of common stock reserved for issuance under our 2024 Inducement Equity Incentive Plan (the 2024 Plan) as of September 30, 2025;</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2,345,079 shares of common stock reserved for issuance under our 2021 Employee Stock Purchase Plan (the 2021 ESPP) as of September 30, 2025, as well as shares that become available pursuant to provisions in our 2021 ESPP that automatically increase the share reserve thereunder each year;</w:t>
      </w:r>
    </w:p>
    <w:p>
      <w:pPr>
        <w:sectPr>
          <w:pgSz w:w="11900" w:h="16838" w:orient="portrait"/>
          <w:cols w:equalWidth="0" w:num="1">
            <w:col w:w="11100"/>
          </w:cols>
          <w:pgMar w:left="320" w:top="455" w:right="479" w:bottom="1440" w:gutter="0" w:footer="0" w:header="0"/>
        </w:sectPr>
      </w:pP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issuable upon exercise of pre-funded warrants sold in this offering; and</w:t>
      </w:r>
    </w:p>
    <w:p>
      <w:pPr>
        <w:spacing w:after="0" w:line="131" w:lineRule="exact"/>
        <w:rPr>
          <w:sz w:val="20"/>
          <w:szCs w:val="20"/>
          <w:color w:val="auto"/>
        </w:rPr>
      </w:pPr>
    </w:p>
    <w:p>
      <w:pPr>
        <w:sectPr>
          <w:pgSz w:w="11900" w:h="16838" w:orient="portrait"/>
          <w:cols w:equalWidth="0" w:num="5">
            <w:col w:w="720" w:space="360"/>
            <w:col w:w="60" w:space="120"/>
            <w:col w:w="60" w:space="120"/>
            <w:col w:w="60" w:space="120"/>
            <w:col w:w="9480"/>
          </w:cols>
          <w:pgMar w:left="320" w:top="455" w:right="4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shares of common stock issuable upon exercise of Warrants sold in this offering.</w:t>
      </w:r>
    </w:p>
    <w:p>
      <w:pPr>
        <w:spacing w:after="0" w:line="200" w:lineRule="exact"/>
        <w:rPr>
          <w:sz w:val="20"/>
          <w:szCs w:val="20"/>
          <w:color w:val="auto"/>
        </w:rPr>
      </w:pPr>
    </w:p>
    <w:p>
      <w:pPr>
        <w:sectPr>
          <w:pgSz w:w="11900" w:h="16838" w:orient="portrait"/>
          <w:cols w:equalWidth="0" w:num="5">
            <w:col w:w="720" w:space="360"/>
            <w:col w:w="60" w:space="120"/>
            <w:col w:w="60" w:space="120"/>
            <w:col w:w="60" w:space="120"/>
            <w:col w:w="9480"/>
          </w:cols>
          <w:pgMar w:left="320" w:top="455" w:right="479" w:bottom="1440" w:gutter="0" w:footer="0" w:header="0"/>
          <w:type w:val="continuous"/>
        </w:sectPr>
      </w:pPr>
    </w:p>
    <w:p>
      <w:pPr>
        <w:spacing w:after="0" w:line="3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or restricted stock awards or warrants outstanding as of September 30, 2025 have been or may be exercised or other shares issued, including pursuant to our 2021 ESPP or our 2024 Plan, investors purchasing our securities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or other equity-linked securities, the issuance of these securities could result in further dilution to our stockholders.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and Warrants being offered by this prospectus supplement. The following description is subject in all respects to the provisions contained in the pre-funded warrants and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You should review the form of pre-funded warrant, which will be filed as an exhibit to a Current Report on Form 8-K that we expect to file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pre-funded warrants will expire on the date the warrant is exercised in full.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on or after their original issuance.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the warrant,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(or, at the election of the holder prior to the issuance of the warrant, 9.99%) upon at least 61 days’ prior notice from the holder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Warrants being offered by this prospectus supplement. The following description is subject in all respects to the provisions contained in the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Warrants will be issued as individual warrant agreements to the investors. The form of Warrant will also be filed as an exhibit to a Current Report on Form 8-K that we expect to file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Warrants will expire five years from the date of original issuance.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Warrants are exercisable at any time on or after their original issuance. The Warrants will be exercisable, at the option of each holder, in whole or in part by delivering to us a duly executed exercise notice and by payment in full in immediately available funds for the number of shares of common stock purchased upon such exercise. No fractional shares of common stock will be issued in connection with the exercise of a Warrant. In lieu of fractional shares, the number of shares shall be rounded down to the next whole number and we will pay the holder an amount in cash equal to the fair market value of the common stock on the exercise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not effect the exercise of any Warrant, and a holder will not be entitled to exercise any portion of any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the warrant, 9.99% of the combined voting power of all of our securities outstanding immediately after giving effect to the exercise, as such percentage ownership is determined in accordance with the terms of the Warrants. However, any holder of a Warrant may increase or decrease such percentage to any other percentage not in excess of 19.99% (or at the election of the holder prior to the issuance of the Warrant, 9.99%) upon at least 61 days’ prior notice from the holder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Warrants is $      per share of common stock. The exercise price of the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at the time a holder exercises its Warrants, a registration statement registering the issuance of the shares of common stock underlying the Warrants under the Securities Act is not then effective or available, then in lieu</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00"/>
          </w:cols>
          <w:pgMar w:left="320" w:top="455" w:right="5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applicable laws, the Warrants may be offered for sale, sold, transferred or assigned without our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Delivery of Warrant Shares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Upon exercise of the Warrants, upon the request of the holder, we will credit such aggregate number of shares of common stock to which the holder is entitled pursuant to such exercise to the holder’s or its designee’s balance account with DTC.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Warrants may be amended only with the written consent of the holder.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pre-funded warrants or Warrants, and we do not expect a market to develop. We do not plan on applying to list the pre-funded warrants or Warrants on the Nasdaq Global Select Market, any other national securities exchange or any other nationally recognized trading 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In the event of a fundamental transaction, as described in the pre-funded warrants and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and Warrants will be entitled to receive upon exercise of the pre-funded warrants and Warrants the kind and amount of securities, cash or other property that the holders would have received had they exercised the pre-funded warrants and Warrants immediately prior to such fundamental transaction. In the event a holder does not exercise its pre-funded warrants or Warrants in connection with a fundamental transaction, such holder’s pre-funded warrants or Warrants will be deemed exercised in full pursuant to the “cashless exercise” mechanism described above upon the consummation of such transaction.</w:t>
      </w:r>
    </w:p>
    <w:p>
      <w:pPr>
        <w:spacing w:after="0" w:line="1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event a holder does not exercise its Warrants in connection with a fundamental transaction, we or our successor or acquiring corporation shall, at such holder’s option, exercisable at any time concurrently with, or within thirty days after, the consummation of the fundamental transaction (or, if later, the date of the public announcement of the applicable fundamental transaction), purchase the Warrant from the holder by paying to the holder an amount of cash equal to the Black Scholes value of the remaining unexercised portion of the Warrants on the date of the consummation of such fundamental transaction, subject to certain limitations and conditions as set forth in the Warrant.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as a Stockholder</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or Warrant does not have the rights or privileges of a holder of our common stock, including any voting rights, until the holder exercises the pre-funded warrant or Warrant.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ownership and disposition of our common stock and pre-funded warrants and Warrants acquired in this offering, but does not purport to be a complete analysis of all the potential tax considerations relating thereto. Because the components of a unit or pre-funded unit are generally separable at the option of the holder, you will be treated for U.S. federal income tax purposes as the owner of the applicable underlying common stock, pre-funded warrants and/or Warrants. As a result, the discussion below with respect to beneficial owners of common stock, pre-funded warrants or Warrants will also apply to beneficial owners of units or pre-funded units, as applicable.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9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under U.S. federal gift and estate tax rules nor does it address any aspects of the alternative minimum tax, the special tax accounting rules under Section 451(b) of the Code, or the Medicare tax on net investment income. In addition, this discussion does not address tax considerations applicable to an investor’s particular circumstances or to investors that may be subject to special tax rules, including, without limitation:</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foreign 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five percent of our capital stock, pre-funded warrants and/or Warrants (except to the extent specifically set forth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pre-funded warrants or Warrants as a position in a hedging transaction, “straddle,” “conversion transaction” or other risk reduction transaction;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pre-funded warrants or Warrants as a capital asset within the meaning of Section 1221 of the Code (generally, property held for investment);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pre-funded warrants or Warrants under the constructive sale provisions of the Code.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if a partnership, entity or arrangement classified as a partnership or flow-through entity for U.S. federal income tax purposes holds our common stock, pre-funded warrants or Warrants, the tax treatment of a partner (or an owner) in such partnership or other entity generally will depend on the status of the partner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upon the activities of the partnership or other entity. A partner (or an owner) in a partnership or other such entity that will hold our common stock, pre-funded warrants or Warrants should consult his, her or its own tax advisor regarding the tax consequences of the ownership and disposition of our common stock, pre-funded warrants or Warrants through a partnership or other such entity, as applicable.</w:t>
      </w:r>
    </w:p>
    <w:p>
      <w:pPr>
        <w:spacing w:after="0" w:line="172"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pre-funded warrants or Warrants, arising under the U.S. federal gift or estate tax rules or under the laws of any state, local, non-U.S. or other taxing jurisdiction or under any applicable tax treaty.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 Holder and Non-U.S. Holder Defined</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you are a “U.S. holder” if you are a beneficial owner (other than a partnership or other entity or arrangement classified as a partnership for U.S. federal income tax purposes) of our common stock, pre-funded warrants or Warrants that, for U.S. federal income tax purposes, is:</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that has one or more U.S. persons (within the meaning of the Code) who have the authority to control all substantial decisions of the trust or (2) that has made a valid election under applicable Treasury regulations to be treated as a U.S. person.</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pre-funded warrants or Warrants that is not a U.S. holder or a partnership (or other entity or arrangement classified as a partnership for U.S. federal income tax purposes).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General Treatment of Pre-Funded Warrants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the law in this area is not completely settled, the pre-funded warrants are generally expected to be treated as outstanding stock for U.S. federal income tax purposes. Accordingly, upon exercise, no income, gain or loss should be recognized upon the exercise of a pre-funded warrant except to the extent of cash received in exchange for a fractional share, which will be treated as a sale subject to the rules described below under “Tax Consequences Applicable to U.S. Holders—Gain on Disposition of Common Stock, Pre-Funded Warrants or Warrants” and “Tax Consequences Applicable to Non-U.S. Holders—Gain on Disposition of Common Stock, Pre-Funded Warrants or Warrants,” and the holding period of a pre-funded warrant should carry over to the share of common stock received. The tax basis of the pre-funded warrant should carry over to the share of common stock received upon exercise of the pre-funded warrant increased by the exercise price. If you are contemplating the acquisition of pre-funded warrants, you should discuss with your personal tax advisor the consequences of the purchase, ownership and disposition of the pre-funded warrants, as well as the exercise of, certain adjustments to, and any payments in respect of the pre-funded warrants (including potential alternative characterizations).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unit or pre-funded unit, or instruments similar to them, for federal income tax purposes, and therefore, that treatment is not entirely clear. Under general U.S. federal income tax principles, the acquisition of a unit or pre-funded unit should be treated as the acquisition of, respectively, (i) one share of common stock and one Warrant to acquire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share of our common stock or (ii) one pre-funded warrant and one Warrant to acquire       share of our common stock. The purchase price for each investment unit must be allocated by you between these two components in proportion to their relative fair market values at the time you purchase the unit or pre-funded units. Under U.S. federal income tax law, each investor must make his or her own determination of these values based on all the facts and circumstances. Therefore, you should consult your tax advisor regarding the determination of value for these purposes. This allocation of the purchase price for each unit or pre-funded unit will establish your initial tax basis for U.S. federal income tax purposes in the share of common stock or pre-funded warrant and the Warrant included in each unit or pre-funded unit, as applicable.</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disposition of a unit or pre-funded unit will be treated for U.S. federal income tax purposes as a disposition of the share of common stock or pre-funded warrant and the Warrant, as applicable, and the amount realized on the disposition must be allocated by you between the components according to their respective relative fair market values (as determined by you based on all the relevant facts and circumstances) at the time of disposition. The separation of the share of common stock or pre-funded warrant and the Warrant included in each unit or pre-funded unit, as applicable, should not be a taxable event for U.S. federal income tax purposes. You should consult your own tax advisor regarding the allocation of the purchase price for a unit or pre-funded unit.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foregoing treatment of the units, pre-funded units, common stock, pre-funded warrants and Warrants, and your purchase price allocation, are not binding on the IRS or the courts. Because there are no authorities that directly address instruments that are similar to the units or pre-funded units, no assurance can be given that the IRS or a court will agree with the characterization described above or the discussion below. The remainder of this discussion assumes that the characterization of the units and pre-funded units described above is respected for U.S. federal income tax purposes.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“Tax Consequences Applicable to U.S. Holders— Gain on Disposition of Common Stock, Pre-Funded Warrants or Warrants.” If you are a non-corporate U.S. holder, and certain requirements are met, a preferential U.S. federal income tax rate will apply to any dividends paid to you if you meet certain holding period requirements.</w:t>
      </w:r>
    </w:p>
    <w:p>
      <w:pPr>
        <w:spacing w:after="0" w:line="17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you are a corporate shareholder, distributions constituting dividends for U.S. federal income tax purposes will generally be eligible for the dividends received deduction, or DRD. No assurance can be given that we will have sufficient earnings and profits (as determined under U.S. federal income tax principles) to cause any distributions to be eligible for a DRD. In addition, a DRD is available only if certain holding periods and other taxable income requirements are satisfied.</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pre-funded warrant or Warrant is unclear. It is possible such a distribution would be treated as a distribution as described in this section, although other treatments may also be possible. You should consult your tax advisors regarding the proper treatment of any payments in respect of the pre-funded warrants or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Pre-Funded Warrants or Warrants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that will be issued on the exercise of the pre-funded warrants or Warrants, or an adjustment to the exercise price of the pre-funded warrants or Warrants, may be treated as a constructive distribution to you of the pre-funded warrants or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subject to withholding, to the extent described above under “Tax Consequences Applicable to U.S. Holders—Distributions.” You should consult your tax advisor regarding the proper tax treatment of any such adjustment.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Pre-Funded Warrants or Warrants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a sale or other taxable disposition of common stock, pre-funded warrants or Warrants, you generally will recognize capital gain or loss in an amount equal to the difference between the amount realized and your adjusted tax basis in the common stock, pre-funded warrant or Warrant. Your adjusted tax basis will generally equal your acquisition cost, and will be determined as discussed above under “—Allocation of Purchase Price”, and if the common stock, pre-funded warrants or Warrants were sold as part of units or pre-funded units, the portion of amount realized allocable to each component will be determined as discussed under that section. Capital gain or loss will constitute long-term capital gain or loss if your holding period for the common stock, pre-funded warrant or Warrants exceeds one year. The deductibility of capital losses is subject to certain limitations. U.S. holders who recognize losses with respect to a disposition of our common stock, pre-funded warrants or Warrants should consult their own tax advisors regarding the tax treatment of such losses.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Exercise of Pre-Funded Warrants and Warrants and Expiration of Warrants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general, you will not recognize gain or loss for U.S. federal income tax purposes upon exercise of a pre-funded warrant or Warrant. You will take a tax basis in the common stock acquired on the exercise of a pre-funded warrant or Warrant equal to the exercise price of the pre-funded warrant or Warrant, increased by your adjusted tax basis (determined as discussed above under “—Allocation of Purchase Price”) in the pre-funded warrant or Warrant exercised. It is unclear whether your holding period for the common stock acquired on the exercise of pre-funded warrants or Warrants will begin on the date following the date of exercise or on the date of exercise of the pre-funded warrants or Warrants; in either case, the holding period will not include the period during which you held the pre-funded warrants or Warrants.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limited circumstances, you may be permitted to undertake a cashless exercise of pre-funded warrants or Warrants into our common stock. The U.S. federal income tax treatment of a cashless exercise of pre-funded warrants or Warrants into our common stock is unclear, and the tax consequences of a cashless exercise could differ from the consequences upon the exercise of a pre-funded warrant or Warrant described in the preceding paragraph. You should consult their own tax advisors regarding the U.S. federal income tax consequences of a cashless exercise of pre-funded warrants or Warrants.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lapse or expiration of a Warrant will be treated as if you sold or exchanged the Warrant and recognized a capital loss equal to your tax basis in the Warrant. The deductibility of capital losses is subject to limitations.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(including constructive dividends) on the common stock, pre-funded warrants or Warrants and to the proceeds of a sale or other disposition of common stock, pre-funded warrants or Warrants paid to you unless you are an exempt recipient, such as certain corporations. Backup withholding at a current rate of 24% will apply to those payments if you fail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to provide your taxpayer identification number (generally in the form of a properly completed and executed IRS Form W-9), or certification of exempt status, or if you otherwise fail to comply with applicable requirements to establish an exemption.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generally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treated as described below in “Tax Consequences Applicable to Non-U.S. Holders—Gain on Disposition of Common Stock, Pre-Funded Warrants or Warrants.”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and the provisions of the Code referred to as the Foreign Account Tax Compliance Act, or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pre-funded warrants or Warrants eligible for a reduced rate of U.S. federal withholding tax pursuant to an income tax treaty may obtain a refund of any excess amounts withheld by timely filing an appropriate claim for refund with the IRS. If the non-U.S. holder holds our common stock, pre-funded warrants or Warrants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pre-funded warrants or Warrants, including any applicable tax treaties that may provide for different rules.</w:t>
      </w:r>
    </w:p>
    <w:p>
      <w:pPr>
        <w:spacing w:after="0" w:line="19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pre-funded warrant or Warrant is unclear. It is possible such a distribution would be treated as a distribution as described in this section, although other treatments may also be possible. You should consult your own tax advisors regarding the proper treatment of any payments in respect of the pre-funded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Pre-Funded Warrants or Warrants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that will be issued on the exercise of the pre-funded warrants or Warrants, or an adjustment to the exercise price of the pre-funded warrants or Warrants, may be treated as a constructive distribution to you of the pre-funded warrants or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subject to withholding, to the extent described above under “Tax Consequences Applicable to Non-U.S. Holders—Distributions.” You should consult your tax advisor regarding the proper tax treatment of any such adjustment.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Pre-Funded Warrants or Warrants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you generally will not be required to pay U.S. federal income tax on any gain realized upon the sale or other disposition of our common stock, pre-funded warrants or Warrants unless:</w:t>
      </w:r>
    </w:p>
    <w:p>
      <w:pPr>
        <w:spacing w:after="0" w:line="67" w:lineRule="exact"/>
        <w:rPr>
          <w:sz w:val="20"/>
          <w:szCs w:val="20"/>
          <w:color w:val="auto"/>
        </w:rPr>
      </w:pPr>
    </w:p>
    <w:p>
      <w:pPr>
        <w:ind w:left="1080" w:right="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a U.S. real property interest only if you actually (directly or indirectly) or constructively hold more than five percent of such regularly traded common stock at any time during the shorter of the five-year period preceding your disposition of, or your holding period for, our common stock. However, no assurance can be provided that our common stock will be considered to be regularly traded on an established securities market for purposes of the rules described above. Special rules may apply to non-U.S. holders of pre-funded warrants and Warrants, who should consult their tax advisors.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Exercise of Pre-Funded warrants and Warrants and Expiration of Warrants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general, you will not recognize gain or loss for U.S. federal income tax purposes upon the exercise of pre-funded warrants or Warrants into shares of common stock. The U.S. federal income tax treatment of a cashless exercise of pre-funded warrants or Warrants into our common stock is unclear. A Non-U.S. Holder should consult his, her, or its own tax advisor regarding the U.S. federal income tax consequences of a cashless exercise of pre-funded warrants or Warrants. The expiration of a Warrant will be treated as if you sold or exchanged the Warrant and recognized a capital loss equal to your tax basis in the warrant. However, you will not be able to utilize a loss recognized upon expiration of a Warrant against your U.S. federal income tax liability unless the loss is effectively connected with your conduct of a trade or business within the United States (and, if an income tax treaty applies, is attributable to a permanent establishment or fixed base in the United States) or is treated as a U.S.-source loss and you are present in the United States for 183 days or more in the taxable year of disposition and certain other conditions are met.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Generally, we or the applicable paying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Payments of dividends (including constructive dividends) on or of proceeds from the disposition of our common stock, pre-funded warrants or Warrants made to you will generally be subject to information reporting and backup withholding at a current rate of 24% unless you establish an exemption, for example, by properly certifying your non-U.S. status on a properly completed IRS Form W-8BEN or W-8BEN-E, or W-8ECI or another appropriate version of IRS Form W-8 or you otherwise meet the documentary evidence requirements for establishing that you are not a U.S. person or otherwise establish an exemption. Notwithstanding the foregoing, backup withholding and information reporting may apply if the applicable withholding agent has actual knowledge, or reason to know, that you are a U.S. person.</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Provisions of the Code commonly referred to as FATCA, Treasury regulations issued thereunder and official IRS guidance generally impose a U.S. federal withholding tax of 30% on dividends on, and, subject to the discussion of certain proposed Treasury regulations below, the gross proceeds from a sale or other disposition of our common stock, pre-funded warrants or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from FATCA withholding. FATCA also generally imposes a U.S. federal withholding tax of 30% on dividends on, and, subject to the discussion of certain proposed Treasury regulations below, the gross proceeds from, a sale or other disposition of our common stock, pre-funded warrants or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withholding obligations under FATCA generally apply to dividends on our common stock, pre-funded warrants or Warrants and subject to the proposed Treasury regulations described in the next sentence, will apply to the payment of gross proceeds of a sale or other disposition of our common stock, pre-funded warrants or Warrants. The Treasury Department has released proposed Treasury regulations (the preamble to which specifies that taxpayers are permitted to rely on them pending finalization) that, if finalized in their present form, would eliminate the federal withholding tax of 30% applicable to the gross proceeds of a disposition of our common stock, pre-funded warrants or Warrants. The withholding tax on dividends will apply regardless of whether the payment otherwise would be exempt from U.S. non-resident and backup withholding tax, including under the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 pre-funded warrants or Warrants.</w:t>
      </w:r>
    </w:p>
    <w:p>
      <w:pPr>
        <w:spacing w:after="0" w:line="19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pre-funded warrants or Warrants, including the consequences of any proposed change in applicable laws.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Leerink Partners LLC and Piper Sandler &amp; Co. are acting as representatives (the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units and pre-funded units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13"/>
                <w:szCs w:val="13"/>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Pre-Funded</w:t>
            </w:r>
          </w:p>
        </w:tc>
        <w:tc>
          <w:tcPr>
            <w:tcW w:w="0" w:type="dxa"/>
            <w:vAlign w:val="bottom"/>
          </w:tcPr>
          <w:p>
            <w:pPr>
              <w:spacing w:after="0"/>
              <w:rPr>
                <w:sz w:val="1"/>
                <w:szCs w:val="1"/>
                <w:color w:val="auto"/>
              </w:rPr>
            </w:pPr>
          </w:p>
        </w:tc>
      </w:tr>
      <w:tr>
        <w:trPr>
          <w:trHeight w:val="173"/>
        </w:trPr>
        <w:tc>
          <w:tcPr>
            <w:tcW w:w="5320" w:type="dxa"/>
            <w:vAlign w:val="bottom"/>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80" w:type="dxa"/>
            <w:vAlign w:val="bottom"/>
          </w:tcPr>
          <w:p>
            <w:pPr>
              <w:spacing w:after="0"/>
              <w:rPr>
                <w:sz w:val="15"/>
                <w:szCs w:val="15"/>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7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units and pre-funded units sold under the underwriting agreement if any of the units or pre-funded units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units and pre-funded units, subject to prior sale, when, as and if issued to and accepted by them, subject to approval of legal matters by their counsel, including the validity of the units and pre-funded units,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units and pre-funded units to the public at the initial public offering price set forth on the cover page of this prospectus supplement and to dealers at that price less a concession not in excess of $        per unit or $      per pre-funded unit. After the initial offering of the units and pre-funded units, the public offering price, concession or any other term of this offering may be changed by the Representatives.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300" w:type="dxa"/>
            <w:vAlign w:val="bottom"/>
            <w:vMerge w:val="restart"/>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rPr>
              <w:t>Per</w:t>
            </w:r>
          </w:p>
        </w:tc>
        <w:tc>
          <w:tcPr>
            <w:tcW w:w="146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Per</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1460" w:type="dxa"/>
            <w:vAlign w:val="bottom"/>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2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300" w:type="dxa"/>
            <w:vAlign w:val="bottom"/>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46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3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xml:space="preserve">$          </w:t>
            </w:r>
          </w:p>
        </w:tc>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1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3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3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$595,000. We have agreed to reimburse the underwriters for certain expenses in an amount up to $15,000.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(i) offer, pledge, sell, contract to sell, sell any option or contract to purchase, purchase any option or contract to sell, grant any option, right or warrant to purchase, lend, or otherwise transfer or dispose of, directly or indirectly, any lock up securities or (ii) enter into any swap or other arrangement that transfers to another, in whole or in part, any of the economic consequences of ownership of our common stock, whether any such transaction described in clause (ii) or (ii) is to be settled by delivery of lock up securities, in cash or otherwise or (iii) file any registration statement with the Commission relating to the offering of any lock up securities, in each case without the prior written consent of the Representatives on behalf of the underwriters for a period of 60 days after the date of this prospectus supplement (the Restricted Period).</w:t>
      </w:r>
    </w:p>
    <w:p>
      <w:pPr>
        <w:spacing w:after="0" w:line="18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subject in certain cases to various conditions, to (A) the securities to be sold in the offering, including, for the avoidance of doubt, the issuance of the shares issuable upon the exercise of the pre-funded warrants and the Warrants, (B) the issuance of shares of common stock upon the exercise of an option or warrant, vesting or settlement of restricted stock or restricted stock units or the exercise or conversion of a security outstanding on the date of the underwriting agreement, (C) the establishment of a trading plan on behalf of any of our shareholders, officers or directors pursuant to Rule 10b5-1 under the Exchange Act for the transfer of shares of common stock, provided that (1) such plan does not provide for the transfer of shares of common stock during the Restricted Period and (2) to the extent a public announcement or filing under the Exchange Act, if any, is required of or voluntarily made by us regarding the establishment of such plan, such announcement or filing shall include a statement to the effect that no transfer of shares of common stock may be made under such plan during the Restricted Period, (D) the issuance of shares of, or options to purchase shares of, common stock or securities convertible into or exercisable for common stock (whether upon the exercise of stock options or otherwise) to our employees, officers, directors, advisors, or consultants pursuant to the terms of an equity compensation plan in effect on the date of the underwriting agreement and described in this prospectus supplement, provided that, prior to the issuance of any such shares or the grant of any such options to a director or executive officer, we shall cause each recipient of such grant or issuance to execute and deliver a lock up agreement (as defined below), (E) the filing of any registration statement on Form S-8 with respect to the employee benefit plans described in this prospectus supplement, (F) the sale or issuance of or entry into an agreement to sell or issue shares of common stock in connection with our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that the we may sell or issue or agree to sell or issue, or that may be issuable upon conversion or exercise of all other securities that we may sell or issue or agree to sell or issue, pursuant to this clause (F) shall not exceed 10% of the total number of shares of common stock issued and outstanding immediately following the completion of the transactions contemplated herein (giving effect to the issuance of the shares of common stock issuable upon exercise of the pre-funded warrants and Warrants), and provided further, that we shall cause each recipient of such shares to execute and deliver to the underwriters, on or prior to such issuance, a lock-up agreement (as defined below), and (G) the amendment of, or filing of any prospectus supplement or amendment relating to, the ATM Program, or the issuance of shares of common stock pursuant to a placement made under the ATM Program.</w:t>
      </w:r>
    </w:p>
    <w:p>
      <w:pPr>
        <w:spacing w:after="0" w:line="2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Our directors, executive officers and certain shareholders (such persons, the lock-up parties) have entered into agreements with the underwriters (the lock up agreements) prior to the commencement of this offering pursuant to which each lock-up party, with limited exceptions, will not, and will not publicly disclose an intention to, without the prior written consent of the Representatives on behalf of the Underwriters, during the Restricted Period</w:t>
      </w:r>
    </w:p>
    <w:p>
      <w:pPr>
        <w:spacing w:after="0" w:line="1" w:lineRule="exact"/>
        <w:rPr>
          <w:sz w:val="20"/>
          <w:szCs w:val="20"/>
          <w:color w:val="auto"/>
        </w:rPr>
      </w:pPr>
    </w:p>
    <w:p>
      <w:pPr>
        <w:ind w:left="120" w:hanging="4"/>
        <w:spacing w:after="0" w:line="255"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lock-up party, any other securities so owned convertible into or exercisable or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exchangeable for common stock (collectively, the lock-up securities) or (2) enter into any swap or other arrangement that transfers to another, in whole or in part, any of the economic consequences of ownership of the common stock, whether any such transaction described in clause (1) or (2) above is to be settled by delivery of shares of common stock or such other lock-up securities, in cash or otherwise. Each lock-up party has further acknowledged and agreed that the foregoing precludes such party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such lock-up party.</w:t>
      </w:r>
    </w:p>
    <w:p>
      <w:pPr>
        <w:spacing w:after="0" w:line="18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w:t>
      </w:r>
    </w:p>
    <w:p>
      <w:pPr>
        <w:spacing w:after="0" w:line="162" w:lineRule="exact"/>
        <w:rPr>
          <w:sz w:val="20"/>
          <w:szCs w:val="20"/>
          <w:color w:val="auto"/>
        </w:rPr>
      </w:pPr>
    </w:p>
    <w:p>
      <w:pPr>
        <w:ind w:left="120" w:right="40" w:firstLine="436"/>
        <w:spacing w:after="0" w:line="261" w:lineRule="auto"/>
        <w:tabs>
          <w:tab w:leader="none" w:pos="8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lock-up securities acquired in this public offering or in open market transactions after the completion of this public offering, provided that no public announcement or filing under Section 16(a) of the Exchange Act, or any other public filing or disclosure, reporting a reduction in beneficial ownership of shares, shall be required or shall be voluntarily made in connection with subsequent sales of common stock or other securities acquired in this public offering or in such open market transactions;</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common stock or any lock-up security (1) as a bona fide gift or charitable contribution in a transaction exempt under Section 16(b) of the Exchange Act, (2) upon death, by will or intestate succession, including to the transferee’s nominee or custodian, or (3) to any trust for the direct or indirect benefit of the lock-up party or any immediate family member;</w:t>
      </w:r>
    </w:p>
    <w:p>
      <w:pPr>
        <w:spacing w:after="0" w:line="175"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of shares of common stock or any other lock-up securities by a stockholder that is a trust to a trustor or beneficiary of the trust or to the estate of a beneficiary of such trust;</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partnership, limited liability company, trust or other business entity, (1) distributions of shares of common stock or other lock-up securities to limited partners, members, stockholders or similar equity interests in the lock-up party (or in each case its nominee or custodian) or (2) transfers of shares of common stock or other lock-up securities to another corporation, partnership, limited liability company, trust or other business entity (or in each case its nominee or custodian) that is an affiliate of the lock-up party, or to any investment fund or other entity controlled or managed by the lock-up party or affiliates of the lock-up party;</w:t>
      </w:r>
    </w:p>
    <w:p>
      <w:pPr>
        <w:spacing w:after="0" w:line="183" w:lineRule="exact"/>
        <w:rPr>
          <w:rFonts w:ascii="Times New Roman" w:cs="Times New Roman" w:eastAsia="Times New Roman" w:hAnsi="Times New Roman"/>
          <w:sz w:val="18"/>
          <w:szCs w:val="18"/>
          <w:color w:val="auto"/>
        </w:rPr>
      </w:pPr>
    </w:p>
    <w:p>
      <w:pPr>
        <w:ind w:left="120" w:right="220" w:firstLine="436"/>
        <w:spacing w:after="0" w:line="261" w:lineRule="auto"/>
        <w:tabs>
          <w:tab w:leader="none" w:pos="8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other lock-up securities by operation of law pursuant to a qualified domestic order or in connection with a divorce settlement; provided that any filing required by Section 16 of the Exchange Act shall clearly indicate in the footnotes thereto that such transfer is being made pursuant to the circumstances described in this clause (e); provided further that no other public announcement or filing shall be voluntarily made;</w:t>
      </w:r>
    </w:p>
    <w:p>
      <w:pPr>
        <w:spacing w:after="0" w:line="179" w:lineRule="exact"/>
        <w:rPr>
          <w:rFonts w:ascii="Times New Roman" w:cs="Times New Roman" w:eastAsia="Times New Roman" w:hAnsi="Times New Roman"/>
          <w:sz w:val="18"/>
          <w:szCs w:val="18"/>
          <w:color w:val="auto"/>
        </w:rPr>
      </w:pPr>
    </w:p>
    <w:p>
      <w:pPr>
        <w:ind w:left="120" w:firstLine="436"/>
        <w:spacing w:after="0" w:line="254"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receipt by the lock-up party from us of shares of common stock upon the exercise, vesting or settlement of options, restricted stock units or other equity awards granted under a stock incentive plan or other equity award plan, (2) the transfer or disposition of shares of common stock or any lock-up securities upon a vesting or settlement event of our restricted stock units or other securities or upon the exercise of any warrant or options to purchase the our securities on a “cashless” or “net exercise” basis to the extent permitted by the instruments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withholding tax and remittance obligations in connection with the vesting, settlement or exercise of the restricted stock unit, option or other equity award, or (3) the transfer or disposition of shares of common stock or any lock-up securities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provided (i) that the shares received upon vesting, settlement or exercise of the restricted stock unit, option or other equity award are subject to the lock-up agreement, and (ii) that no public announcement or filing shall be voluntarily made during the Restricted Period, and any filing under Section 16 of the Exchange Act reporting a reduction in beneficial ownership of common stock that is required to be made during the Restricted Period shall include a statement to the effect that such transaction reflects the circumstances described in (1), (2) or (3), as the case may be;</w:t>
      </w:r>
    </w:p>
    <w:p>
      <w:pPr>
        <w:spacing w:after="0" w:line="192" w:lineRule="exact"/>
        <w:rPr>
          <w:sz w:val="20"/>
          <w:szCs w:val="20"/>
          <w:color w:val="auto"/>
        </w:rPr>
      </w:pPr>
    </w:p>
    <w:p>
      <w:pPr>
        <w:ind w:left="120" w:right="20" w:firstLine="436"/>
        <w:spacing w:after="0" w:line="256" w:lineRule="auto"/>
        <w:tabs>
          <w:tab w:leader="none" w:pos="81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lock-up security to us pursuant to any contractual arrangement in effect on the date of this agreement and disclosed to the underwriters in writing that provides for repurchase by us of the lock-up party’s common stock or other lock-up securities pursuant to a repurchase right arising in connection with the termination of the lock-up party’s employment with or service to us; provided that any filing under Section 16 of the Exchange Act reporting a reduction in beneficial ownership of common stock shall indicate by footnote disclosure or otherwise the nature of the transfer or disposition pursuant to circumstances described in this clause; provided further that no other public announcement or filing shall be required or shall be voluntarily made during the Restricted Period;</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61" w:lineRule="auto"/>
        <w:tabs>
          <w:tab w:leader="none" w:pos="81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other lock-up securities pursuant to a bona fide third-party tender offer, merger, consolidation or other similar transaction involving a change of control of us which occurs after the consummation of this public offering, is open to all holders of our common stock and that is approved by our board of directors; provided that in the event that such tender offer, merger, consolidation or other such transaction is not completed, the lock-up securities held by the lock-up party shall remain subject to the provisions of the lock-up agreement;</w:t>
      </w:r>
    </w:p>
    <w:p>
      <w:pPr>
        <w:spacing w:after="0" w:line="179" w:lineRule="exact"/>
        <w:rPr>
          <w:rFonts w:ascii="Times New Roman" w:cs="Times New Roman" w:eastAsia="Times New Roman" w:hAnsi="Times New Roman"/>
          <w:sz w:val="18"/>
          <w:szCs w:val="18"/>
          <w:color w:val="auto"/>
        </w:rPr>
      </w:pPr>
    </w:p>
    <w:p>
      <w:pPr>
        <w:ind w:left="120" w:right="400" w:firstLine="436"/>
        <w:spacing w:after="0" w:line="276" w:lineRule="auto"/>
        <w:tabs>
          <w:tab w:leader="none" w:pos="77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facilitating the establishment of a trading plan pursuant to Rule 10b5-1 under the Exchange Act for the transfer of shares of common stock (a 10b5-1 Trading Plan), provided that (1) such plan does not provide for the transfer of common stock during the Restricted Period,</w:t>
      </w:r>
    </w:p>
    <w:p>
      <w:pPr>
        <w:jc w:val="both"/>
        <w:ind w:left="120" w:hanging="4"/>
        <w:spacing w:after="0" w:line="253"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public announcement, report, or filing under the Exchange Act, or any public filing, report or announcement, shall be voluntarily made regarding the establishment or amendment of such plan during the Restricted Period and (3) to the extent a public announcement or filing under the Exchange Act, if any, is required of the undersigned or the Company regarding the establishment of such plan during the Restricted Period, such announcement or filing shall include a statement to the effect that no transfer of common stock may be made under such plan during the Restricted Period;</w:t>
      </w:r>
    </w:p>
    <w:p>
      <w:pPr>
        <w:spacing w:after="0" w:line="188" w:lineRule="exact"/>
        <w:rPr>
          <w:rFonts w:ascii="Times New Roman" w:cs="Times New Roman" w:eastAsia="Times New Roman" w:hAnsi="Times New Roman"/>
          <w:sz w:val="18"/>
          <w:szCs w:val="18"/>
          <w:color w:val="auto"/>
        </w:rPr>
      </w:pPr>
    </w:p>
    <w:p>
      <w:pPr>
        <w:jc w:val="both"/>
        <w:ind w:left="120" w:right="280" w:firstLine="436"/>
        <w:spacing w:after="0" w:line="261" w:lineRule="auto"/>
        <w:tabs>
          <w:tab w:leader="none" w:pos="77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common stock pursuant to a 10b5-1 Trading Plan, provided that such plan was established prior to the execution of the lock-up agreement by the lock-up party, provided further that any filing under Section 16(a) of the Exchange Act that is made in connection with any such sales during the Restricted Period shall state that such sales have been executed under a 10b5-1 Trading Plan and shall also state the date such 10b5-1 Trading Plan was adopted;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of the exceptions described above are subject to a requirement that the donee, trustee, transferee or distributee enter into</w:t>
      </w:r>
    </w:p>
    <w:p>
      <w:pPr>
        <w:spacing w:after="0" w:line="27"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a lock-up agreement with the underwriters containing similar restrictions. Certain of the exceptions described above are subject to a requirement that the transfer or distribution does not involve a disposition for value.</w:t>
      </w:r>
    </w:p>
    <w:p>
      <w:pPr>
        <w:spacing w:after="0" w:line="18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lock-up provisions apply to common stock and to securities convertible into or exchangeable or exercisable for common stock. Such provisions also apply to common stock owned at the date of the lock-up agreement or acquired later by the lock-up party or for which such party later acquires the power of disposition.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Syndicate covering transactions involve purchases of common stock in the open market after the distribution has been completed in order to cover syndicate short positions. If the underwriters sell more shares in excess of the number of shares the underwriters are obligated to purchase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 Stabilizing transactions consist of various bids for or purchases of shares of common stock made by the underwriters in the open market prior to the closing of this offering.</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Leerink Partners LLC is the sales agent for us under our ATM Program. Under our ATM Program, we may offer and sell, from time to time, shares of our common stock through Leerink Partners LLC through an “at-the-market offering,” as defined in Rule 415(a)(4) promulgated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or any documents incorporated by reference herein, be distributed or published in any jurisdiction, except under circumstances that will result in compliance with the applicable rules and regulations of that jurisdiction. Persons into whose possession this prospectus supplement or the accompanying prospectus comes are advised to inform themselves about and to observe any restrictions relating to the offering and the distribution of this prospectus supplement and the accompanying prospectus. This prospectus supplement and the accompanying prospectus, including any documents incorporated by reference herein, do not constitute an offer to sell or a solicitation of an offer to buy any securities offered by this prospectus supplement and the accompanying prospectus in any jurisdiction in which such an offer or a solicitation is unlawful.</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provided that no such offer of securities shall require us or any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underwriter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view to their offer or resale to, persons in circumstances which may give rise to an offer of any securities to the public other than their offer or resale in a Relevant State to qualified investors as so defined or in circumstances in which the prior consent of the underwriter has been obtained to each such proposed offer or resale.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relation to the United Kingdom, no securities have been offered or will be offered pursuant to the offering to the public in the United Kingdom prior to the publication of a prospectus in relation to the securities that either have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securities may be offered to the public in the United Kingdom at any time:</w:t>
      </w:r>
    </w:p>
    <w:p>
      <w:pPr>
        <w:spacing w:after="0" w:line="164" w:lineRule="exact"/>
        <w:rPr>
          <w:sz w:val="20"/>
          <w:szCs w:val="20"/>
          <w:color w:val="auto"/>
        </w:rPr>
      </w:pPr>
    </w:p>
    <w:p>
      <w:pPr>
        <w:ind w:left="800" w:hanging="244"/>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5" w:lineRule="exact"/>
        <w:rPr>
          <w:sz w:val="20"/>
          <w:szCs w:val="20"/>
          <w:color w:val="auto"/>
        </w:rPr>
      </w:pPr>
    </w:p>
    <w:p>
      <w:pPr>
        <w:jc w:val="both"/>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any underwriter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FSMA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22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the public or a solicitation to purchase or invest in any securities. No securities have been offered or will be offered to the public in Switzerland, except that offers of securities may be made to the public in Switzerland at any time under the following exemptions under the Swiss Financial Services Act (FinSA):</w:t>
      </w:r>
    </w:p>
    <w:p>
      <w:pPr>
        <w:spacing w:after="0" w:line="176" w:lineRule="exact"/>
        <w:rPr>
          <w:sz w:val="20"/>
          <w:szCs w:val="20"/>
          <w:color w:val="auto"/>
        </w:rPr>
      </w:pPr>
    </w:p>
    <w:p>
      <w:pPr>
        <w:ind w:left="800" w:hanging="24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225"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the underwriter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provided that no such offer of securities shall require the Company or any investment bank to publish a prospectus pursuant to Article 35 FinSA.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securities have not been and will not be listed or admitted to trading on a trading venue in Switzerland.</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sale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9"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securities have not been and will not be registered pursuant to Article 4, Paragraph 1 of the Financial Instruments and Exchange Act. Accordingly, none of the securities nor any interest therein may be offered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securities have not been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of 2005 of Singapore (Regulation 32).</w:t>
      </w:r>
    </w:p>
    <w:p>
      <w:pPr>
        <w:spacing w:after="0" w:line="16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Singapore SFA </w:t>
      </w:r>
      <w:r>
        <w:rPr>
          <w:rFonts w:ascii="Times New Roman" w:cs="Times New Roman" w:eastAsia="Times New Roman" w:hAnsi="Times New Roman"/>
          <w:sz w:val="18"/>
          <w:szCs w:val="18"/>
          <w:i w:val="1"/>
          <w:iCs w:val="1"/>
          <w:color w:val="auto"/>
        </w:rPr>
        <w:t>product classification</w:t>
      </w:r>
      <w:r>
        <w:rPr>
          <w:rFonts w:ascii="Times New Roman" w:cs="Times New Roman" w:eastAsia="Times New Roman" w:hAnsi="Times New Roman"/>
          <w:sz w:val="18"/>
          <w:szCs w:val="18"/>
          <w:color w:val="auto"/>
        </w:rPr>
        <w:t>. In connection with Section 309B of the SFA and the CMP Regulations 2018, unless otherwise specified before an offer of securities, we have determined, and hereby notify all relevant persons (as defined in 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in this prospectus supplement will be passed upon for us by Wilson Sonsini Goodrich &amp; Rosati, Professional Corporation, Palo Alto, California. Davis Polk &amp; Wardwell LLP, Redwood City, California, is acting as counsel for the underwriters.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Tenaya Therapeutics, Inc. as of December 31, 2024 and 2023, and for each of the two years in the period ended December 31, 2024,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4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and do not contain all of the information in the registration statement. The full registration statement may be obtained from the SEC or us, as provided below. You may inspect a copy of the registration statement through the SEC’s website, as provided above.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040"/>
          </w:cols>
          <w:pgMar w:left="320" w:top="455" w:right="5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spacing w:after="0" w:line="82"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10, 2025;</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68">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and </w:t>
      </w:r>
      <w:hyperlink r:id="rId70">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auto"/>
        </w:rPr>
        <w:t>, filed with the SEC on May 7, 2025, August 6, 2025 and November 10, 2025, respectively;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71">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(other than information furnished rather than filed) that are incorporated by reference into our Annual Report on Form 10-K, filed with the SEC on April 17, 2025;</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3"/>
        </w:numPr>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January 28,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30, 2025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3">
        <w:r>
          <w:rPr>
            <w:rFonts w:ascii="Times New Roman" w:cs="Times New Roman" w:eastAsia="Times New Roman" w:hAnsi="Times New Roman"/>
            <w:sz w:val="18"/>
            <w:szCs w:val="18"/>
            <w:u w:val="single" w:color="auto"/>
            <w:color w:val="0000EE"/>
          </w:rPr>
          <w:t>November 7, 2025</w:t>
        </w:r>
      </w:hyperlink>
      <w:hyperlink r:id="rId7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74">
        <w:r>
          <w:rPr>
            <w:rFonts w:ascii="Times New Roman" w:cs="Times New Roman" w:eastAsia="Times New Roman" w:hAnsi="Times New Roman"/>
            <w:sz w:val="18"/>
            <w:szCs w:val="18"/>
            <w:u w:val="single" w:color="auto"/>
            <w:color w:val="0000EE"/>
          </w:rPr>
          <w:t>December 11, 2025</w:t>
        </w:r>
      </w:hyperlink>
      <w:hyperlink r:id="rId72">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6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7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to whom this prospectus supplement is delivered, upon written or oral request, a copy of any or all of the documents incorporated by reference, including exhibits to these documents. You can request a copy of these filings by writing or telephoning us at the following address or telephone number:</w:t>
      </w:r>
    </w:p>
    <w:p>
      <w:pPr>
        <w:spacing w:after="0" w:line="176"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(650) 825-6990</w:t>
      </w:r>
    </w:p>
    <w:p>
      <w:pPr>
        <w:spacing w:after="0" w:line="207" w:lineRule="exact"/>
        <w:rPr>
          <w:rFonts w:ascii="Times New Roman" w:cs="Times New Roman" w:eastAsia="Times New Roman" w:hAnsi="Times New Roman"/>
          <w:sz w:val="18"/>
          <w:szCs w:val="18"/>
          <w:color w:val="0000EE"/>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information accessible through any website referred to in this prospectus supplement or any document incorporated therein is not, and should not be deemed to be, a part of this prospectus supplement.</w:t>
      </w:r>
    </w:p>
    <w:p>
      <w:pPr>
        <w:spacing w:after="0" w:line="94"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97155</wp:posOffset>
            </wp:positionV>
            <wp:extent cx="1268730" cy="462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2687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 Each prospectus supplement will indicate whether the securities offered thereby will be listed on any securities exchange.</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both"/>
        <w:ind w:left="120" w:right="10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Please carefully read the information under the headings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6 of this prospectus and “Item 1A – Risk Factors” of our most recent report on Form 10-K or 10-Q that is incorporated by reference in this prospectus before you invest in our securities.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31, 2025.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60" w:type="dxa"/>
            <w:vAlign w:val="bottom"/>
            <w:gridSpan w:val="2"/>
          </w:tcPr>
          <w:p>
            <w:pPr>
              <w:jc w:val="right"/>
              <w:ind w:right="4419"/>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1"/>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9"/>
          </w:tcPr>
          <w:p>
            <w:pPr>
              <w:spacing w:after="0"/>
              <w:rPr>
                <w:sz w:val="22"/>
                <w:szCs w:val="22"/>
                <w:color w:val="auto"/>
              </w:rPr>
            </w:pPr>
          </w:p>
        </w:tc>
        <w:tc>
          <w:tcPr>
            <w:tcW w:w="69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10"/>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6"/>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5"/>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1320" w:type="dxa"/>
            <w:vAlign w:val="bottom"/>
            <w:gridSpan w:val="4"/>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1200" w:type="dxa"/>
            <w:vAlign w:val="bottom"/>
            <w:gridSpan w:val="2"/>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240" w:type="dxa"/>
            <w:vAlign w:val="bottom"/>
            <w:gridSpan w:val="3"/>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11"/>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12"/>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14"/>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176"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w:t>
      </w:r>
    </w:p>
    <w:p>
      <w:pPr>
        <w:spacing w:after="0" w:line="178" w:lineRule="exact"/>
        <w:rPr>
          <w:sz w:val="20"/>
          <w:szCs w:val="20"/>
          <w:color w:val="auto"/>
        </w:rPr>
      </w:pPr>
    </w:p>
    <w:p>
      <w:pPr>
        <w:ind w:left="300" w:right="120"/>
        <w:spacing w:after="0" w:line="257" w:lineRule="auto"/>
        <w:rPr>
          <w:sz w:val="20"/>
          <w:szCs w:val="20"/>
          <w:color w:val="auto"/>
        </w:rPr>
      </w:pPr>
      <w:r>
        <w:rPr>
          <w:rFonts w:ascii="Times New Roman" w:cs="Times New Roman" w:eastAsia="Times New Roman" w:hAnsi="Times New Roman"/>
          <w:sz w:val="18"/>
          <w:szCs w:val="18"/>
          <w:color w:val="auto"/>
        </w:rPr>
        <w:t xml:space="preserve">We are primarily focused on advancing our lead investigational product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Each candidate is currently in clinical testing to establish the safety profile of two different doses in adults with disease due to pathogenic/likely pathogenic mutations. We anticipate that data generated in the next year will inform late-stage development by characterizing each product candidates’ safety and tolerability profile, ability to transduce target heart cells, and produce the lacking protein underlying disease to slow – or even halt – disease progression.</w:t>
      </w:r>
    </w:p>
    <w:p>
      <w:pPr>
        <w:spacing w:after="0" w:line="182" w:lineRule="exact"/>
        <w:rPr>
          <w:sz w:val="20"/>
          <w:szCs w:val="20"/>
          <w:color w:val="auto"/>
        </w:rPr>
      </w:pPr>
    </w:p>
    <w:p>
      <w:pPr>
        <w:ind w:left="300" w:right="220"/>
        <w:spacing w:after="0" w:line="256" w:lineRule="auto"/>
        <w:rPr>
          <w:sz w:val="20"/>
          <w:szCs w:val="20"/>
          <w:color w:val="auto"/>
        </w:rPr>
      </w:pPr>
      <w:r>
        <w:rPr>
          <w:rFonts w:ascii="Times New Roman" w:cs="Times New Roman" w:eastAsia="Times New Roman" w:hAnsi="Times New Roman"/>
          <w:sz w:val="18"/>
          <w:szCs w:val="18"/>
          <w:color w:val="auto"/>
        </w:rPr>
        <w:t xml:space="preserve">TN-201 is our potential first-in-class and best-in-class gene therapy for adults and children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myosin binding protein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cardiac myosin binding protein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185" w:lineRule="exact"/>
        <w:rPr>
          <w:sz w:val="20"/>
          <w:szCs w:val="20"/>
          <w:color w:val="auto"/>
        </w:rPr>
      </w:pPr>
    </w:p>
    <w:p>
      <w:pPr>
        <w:ind w:left="300" w:right="100"/>
        <w:spacing w:after="0" w:line="236" w:lineRule="auto"/>
        <w:rPr>
          <w:sz w:val="20"/>
          <w:szCs w:val="20"/>
          <w:color w:val="auto"/>
        </w:rPr>
      </w:pPr>
      <w:r>
        <w:rPr>
          <w:rFonts w:ascii="Times New Roman" w:cs="Times New Roman" w:eastAsia="Times New Roman" w:hAnsi="Times New Roman"/>
          <w:sz w:val="18"/>
          <w:szCs w:val="18"/>
          <w:color w:val="auto"/>
        </w:rPr>
        <w:t>MyPEAK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-1 is our Phase 1b/2 multi-center, open-label clinical trial, designed to assess the safety, tolerability and efficacy of a one-time intravenous infusion of TN-201. We have completed Cohort 1 dosing at the 3×1013 vg/kg dose in the MyPEAK-1 trial with no unexpected events or toxicities associated with TN-201 observed. Following review of safety data from the first three MyPEAK-1 patients by an independent Data and Safety Monitoring Board (DSMB), the DSMB recommended that we proceed with the planned escalation to the 6×1013 vg/kg dose, per protocol. MyPEAK-1 is now actively enrolling patients in this higher dose cohort at several U.S. clinical sites, and we anticipate completing enrollment of Cohort 2 in the first half of 2025.</w:t>
      </w:r>
    </w:p>
    <w:p>
      <w:pPr>
        <w:spacing w:after="0" w:line="200"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In December 2024, we announced initial safety and biopsy data from Cohort 1 of MyPEAK-1. TN-201 administered at the starting dose of 3×1013 vg/kg was generally well-tolerated among the first three patients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enrolled in the clinical trial. Among the first two patients for whom Week 8 biopsy results were available, TN-201 achieved readily detectable vector DNA in the heart and evidence of transgene RNA expression. Serial biopsies at Week 8 and Week 52 for Patient 1 demonstrated increasing TN-201 mRNA and MyBP-C protein levels over time. Circulating biomarkers of cardiac muscle strain and injury remained largely stable, and certain clinical markers of disease showed stability or directional improvement in the first two individuals dosed, while other measures were not yet available, interpretable or were mixed. We plan to present additional follow-up data from Cohort 1 during the first half of 2025 and initial Cohort 2 data, along with an update on Cohort 1 patients, in the second half of 2025.</w:t>
      </w:r>
    </w:p>
    <w:p>
      <w:pPr>
        <w:spacing w:after="0" w:line="187" w:lineRule="exact"/>
        <w:rPr>
          <w:sz w:val="20"/>
          <w:szCs w:val="20"/>
          <w:color w:val="auto"/>
        </w:rPr>
      </w:pPr>
    </w:p>
    <w:p>
      <w:pPr>
        <w:ind w:left="300" w:right="120"/>
        <w:spacing w:after="0" w:line="253"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Initial data indicated that antibodies to AAV9 in the majority of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We plan to present data from MyClimb in the second half of 2025. In July 2024, we received rare pediatric disease designation from the FDA for TN-201 in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TN-201 has also been granted orphan drug designation from the FDA, orphan medicinal product designation from the European Commission (EC) and Fast Track Designation from the FDA.</w:t>
      </w:r>
    </w:p>
    <w:p>
      <w:pPr>
        <w:spacing w:after="0" w:line="192"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 xml:space="preserve">TN-401 is our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187" w:lineRule="exact"/>
        <w:rPr>
          <w:sz w:val="20"/>
          <w:szCs w:val="20"/>
          <w:color w:val="auto"/>
        </w:rPr>
      </w:pPr>
    </w:p>
    <w:p>
      <w:pPr>
        <w:ind w:left="300" w:right="140"/>
        <w:spacing w:after="0" w:line="241" w:lineRule="auto"/>
        <w:rPr>
          <w:sz w:val="20"/>
          <w:szCs w:val="20"/>
          <w:color w:val="auto"/>
        </w:rPr>
      </w:pPr>
      <w:r>
        <w:rPr>
          <w:rFonts w:ascii="Times New Roman" w:cs="Times New Roman" w:eastAsia="Times New Roman" w:hAnsi="Times New Roman"/>
          <w:sz w:val="18"/>
          <w:szCs w:val="18"/>
          <w:color w:val="auto"/>
        </w:rPr>
        <w:t>In November 2024, we dosed the first patient in RIDGE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-1, our Phase 1b multi-center, open-label clinical trial, designed to assess the safety, tolerability and efficacy of a one-time intravenous infusion of TN-401. We have activated multiple clinical trial sites at leading cardiology centers in the U.S. with ARVC expertise and intend to expand enrollment of RIDGE-1 to the United Kingdom. We expect to complete enrollment of the first cohort of patients at the 3×1013vg/kg in the first half of 2025. An independent DSMB will review all available safety data for the first three patients dosed and then inform plans for dose escalation to 6×1013vg/kg, as needed, and/or enrollment of additional patients in the first cohort. Initial clinical data from the first cohort of patients to receive TN-401 is expected in the second half of 2025. In January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w:t>
      </w:r>
    </w:p>
    <w:p>
      <w:pPr>
        <w:spacing w:after="0" w:line="197"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 xml:space="preserve">In support of our development efforts for TN-401, we initiated RIDGE, a global noninterventional study to collect natural history and seroprevalence to AAV9 antibodies data among ARVC patients who carry pathogenic or likely pathogenic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Initial data from RIDGE indicated that antibodies to AAV9 in a majority of participants were below the eligibility threshold that would allow for participation in RIDGE-1. We</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60"/>
        <w:spacing w:after="0" w:line="282" w:lineRule="auto"/>
        <w:rPr>
          <w:sz w:val="20"/>
          <w:szCs w:val="20"/>
          <w:color w:val="auto"/>
        </w:rPr>
      </w:pPr>
      <w:r>
        <w:rPr>
          <w:rFonts w:ascii="Times New Roman" w:cs="Times New Roman" w:eastAsia="Times New Roman" w:hAnsi="Times New Roman"/>
          <w:sz w:val="18"/>
          <w:szCs w:val="18"/>
          <w:color w:val="auto"/>
        </w:rPr>
        <w:t>plan to present additional data from RIDGE in the first half of 2025. TN-401 has received orphan drug designation from the FDA and orphan medicinal product designation from the EC, as well as Fast Track Designation from the FDA.</w:t>
      </w:r>
    </w:p>
    <w:p>
      <w:pPr>
        <w:spacing w:after="0" w:line="162" w:lineRule="exact"/>
        <w:rPr>
          <w:sz w:val="20"/>
          <w:szCs w:val="20"/>
          <w:color w:val="auto"/>
        </w:rPr>
      </w:pPr>
    </w:p>
    <w:p>
      <w:pPr>
        <w:ind w:left="300" w:right="180"/>
        <w:spacing w:after="0" w:line="255" w:lineRule="auto"/>
        <w:rPr>
          <w:sz w:val="20"/>
          <w:szCs w:val="20"/>
          <w:color w:val="auto"/>
        </w:rPr>
      </w:pPr>
      <w:r>
        <w:rPr>
          <w:rFonts w:ascii="Times New Roman" w:cs="Times New Roman" w:eastAsia="Times New Roman" w:hAnsi="Times New Roman"/>
          <w:sz w:val="18"/>
          <w:szCs w:val="18"/>
          <w:color w:val="auto"/>
        </w:rPr>
        <w:t xml:space="preserve">We previously completed a Phase 1 clinical trial of TN-301, a highly selective small molecule inhibitor of histone deacetylase-6 (HDAC6). HDAC6 is a cytoplasmic enzyme known to regulate diverse cellular processes. TN-301’s multi-modal mechanism addresses diverse pathological processes and has shown direct and systemic benefits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of HFpEF. HFpEF is characterized by a stiffening of the heart muscle resulting in an inability for the left ventricle to relax and fill with oxygenated blood sufficient to meet the body’s needs. The pathophysiology of HFpEF is complex and is driven by metabolic dysfunction or oxidative stress and inflammation, with diverse conditions serving as risk factors for disease, including obesity, diabetes, aging, kidney disease and hypertension. Although HFpEF accounts for approximately half of all heart failures, there are few proven treatment options.</w:t>
      </w:r>
    </w:p>
    <w:p>
      <w:pPr>
        <w:spacing w:after="0" w:line="18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comparative preclinical studies, selective HDAC6 inhibition as a single agent has been shown to have similar efficacy to empagliflozin, a sodium-glucose cotransporter-2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and other severe diseases – including those outside of cardiology – in which inflammation, fibrosis and metabolic dysregulation may be implicated. We believe late-stage clinical development of TN-301 is best suited for development by or with a well-resourced partner.</w:t>
      </w:r>
    </w:p>
    <w:p>
      <w:pPr>
        <w:spacing w:after="0" w:line="194" w:lineRule="exact"/>
        <w:rPr>
          <w:sz w:val="20"/>
          <w:szCs w:val="20"/>
          <w:color w:val="auto"/>
        </w:rPr>
      </w:pPr>
    </w:p>
    <w:p>
      <w:pPr>
        <w:ind w:left="300" w:right="220"/>
        <w:spacing w:after="0" w:line="282" w:lineRule="auto"/>
        <w:rPr>
          <w:sz w:val="20"/>
          <w:szCs w:val="20"/>
          <w:color w:val="auto"/>
        </w:rPr>
      </w:pPr>
      <w:r>
        <w:rPr>
          <w:rFonts w:ascii="Times New Roman" w:cs="Times New Roman" w:eastAsia="Times New Roman" w:hAnsi="Times New Roman"/>
          <w:sz w:val="18"/>
          <w:szCs w:val="18"/>
          <w:color w:val="auto"/>
        </w:rPr>
        <w:t>In addition to our lead product candidates, we have multiple early-stage programs using various therapeutic approaches, including gene addition, gene editing, gene silencing, and cellular regeneration to address other forms of rare and/or prevalent heart disease.</w:t>
      </w:r>
    </w:p>
    <w:p>
      <w:pPr>
        <w:spacing w:after="0" w:line="162"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Early on in our company history, we invested in differentiated capabilities to enable modality agnostic target identification and validation, anchored in human genetics and the use of human disease models. That proprietary expertise has directly informed the design, optimization and production of our pipeline. To support our initial focus on gene therapy candidates, we internalized expertise in capsid engineering, novel promoter constructs and manufacturing anchored on the use of AAVs as the method of delivery to the heart with the aim of increasing the safety and efficacy of our product candidates and accelerating early-stage discovery and preclinical optimization across modalities.</w:t>
      </w:r>
    </w:p>
    <w:p>
      <w:pPr>
        <w:spacing w:after="0" w:line="183" w:lineRule="exact"/>
        <w:rPr>
          <w:sz w:val="20"/>
          <w:szCs w:val="20"/>
          <w:color w:val="auto"/>
        </w:rPr>
      </w:pPr>
    </w:p>
    <w:p>
      <w:pPr>
        <w:ind w:left="300" w:right="80"/>
        <w:spacing w:after="0" w:line="289" w:lineRule="auto"/>
        <w:rPr>
          <w:sz w:val="20"/>
          <w:szCs w:val="20"/>
          <w:color w:val="auto"/>
        </w:rPr>
      </w:pPr>
      <w:r>
        <w:rPr>
          <w:rFonts w:ascii="Times New Roman" w:cs="Times New Roman" w:eastAsia="Times New Roman" w:hAnsi="Times New Roman"/>
          <w:sz w:val="17"/>
          <w:szCs w:val="17"/>
          <w:color w:val="auto"/>
        </w:rPr>
        <w:t>For the production of our lead gene therapy candidates, TN-201 and TN-401, we maintained complete ownership of process development, analytical development, and quality control and have already produced all necessary clinical trial material needed for our ongoing MyPEAK-1 and RIDGE-1 clinical trials at our Good Manufacturing Practice (cGMP)-certified Genetic Medicines Manufacturing Center in Union City, California.</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Suite 500,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20" w:firstLine="426"/>
        <w:spacing w:after="0" w:line="281" w:lineRule="auto"/>
        <w:rPr>
          <w:sz w:val="20"/>
          <w:szCs w:val="20"/>
          <w:color w:val="auto"/>
        </w:rPr>
      </w:pPr>
      <w:r>
        <w:rPr>
          <w:rFonts w:ascii="Times New Roman" w:cs="Times New Roman" w:eastAsia="Times New Roman" w:hAnsi="Times New Roman"/>
          <w:sz w:val="17"/>
          <w:szCs w:val="17"/>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Depositary Shares</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93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w:t>
      </w:r>
    </w:p>
    <w:p>
      <w:pPr>
        <w:spacing w:after="0" w:line="187"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debt securities or depositary shares.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and Section 21E of the Securities Exchange Act of 1934, as amended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455" w:right="5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4.3 to our Annual Report on Form 10-K for the fiscal year ended December 31, 2024, filed with the SEC on March 10, 2025.</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40"/>
          </w:cols>
          <w:pgMar w:left="320" w:top="455" w:right="9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 which may be sold at a discount below their stated principal amount;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defer payment of interest and the maximum length of any such deferral period;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1" w:lineRule="auto"/>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9"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and whether the debt securities will be issued in the form of certificated debt securities or global debt securities;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more than one trustee or a different trustee, the identity of the trustee and, if not the trustee, the identity of each security registrar, paying agent or authenticating agent with respect to such debt securities;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below), shall have occurred and be continuing.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080" w:right="2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58" w:lineRule="auto"/>
        <w:rPr>
          <w:sz w:val="20"/>
          <w:szCs w:val="20"/>
          <w:color w:val="auto"/>
        </w:rPr>
      </w:pPr>
      <w:r>
        <w:rPr>
          <w:rFonts w:ascii="Times New Roman" w:cs="Times New Roman" w:eastAsia="Times New Roman" w:hAnsi="Times New Roman"/>
          <w:sz w:val="18"/>
          <w:szCs w:val="18"/>
          <w:color w:val="auto"/>
        </w:rPr>
        <w:t>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6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85"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offer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55" w:right="5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Tenaya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www.tenayatherapeutics.com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w:t>
      </w:r>
    </w:p>
    <w:p>
      <w:pPr>
        <w:spacing w:after="0" w:line="9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10,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16">
        <w:r>
          <w:rPr>
            <w:rFonts w:ascii="Times New Roman" w:cs="Times New Roman" w:eastAsia="Times New Roman" w:hAnsi="Times New Roman"/>
            <w:sz w:val="18"/>
            <w:szCs w:val="18"/>
            <w:u w:val="single" w:color="auto"/>
            <w:color w:val="0000EE"/>
          </w:rPr>
          <w:t>January 28, 2025</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EE"/>
          </w:rPr>
          <w:t>February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8">
        <w:r>
          <w:rPr>
            <w:rFonts w:ascii="Times New Roman" w:cs="Times New Roman" w:eastAsia="Times New Roman" w:hAnsi="Times New Roman"/>
            <w:sz w:val="18"/>
            <w:szCs w:val="18"/>
            <w:u w:val="single" w:color="auto"/>
            <w:color w:val="0000EE"/>
          </w:rPr>
          <w:t>March 4,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auto"/>
          </w:rPr>
          <w:t xml:space="preserve">the description of our common stock contained in the Registration Statement on Form 8-A relating thereto, filed with the SEC on </w:t>
        </w:r>
        <w:r>
          <w:rPr>
            <w:rFonts w:ascii="Times New Roman" w:cs="Times New Roman" w:eastAsia="Times New Roman" w:hAnsi="Times New Roman"/>
            <w:sz w:val="18"/>
            <w:szCs w:val="18"/>
            <w:u w:val="single" w:color="auto"/>
            <w:color w:val="0000EE"/>
          </w:rPr>
          <w:t>July 23,</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 including any amendment or report filed for the purpose of updating such description.</w:t>
        </w:r>
      </w:hyperlink>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and telephone number:</w:t>
      </w:r>
    </w:p>
    <w:p>
      <w:pPr>
        <w:spacing w:after="0" w:line="225"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825-6990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320" w:top="455" w:right="5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645795</wp:posOffset>
            </wp:positionV>
            <wp:extent cx="1920240" cy="6940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192024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UNITS CONSISTING OF ONE SHARE OF COMMON STOCK AND</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ONE WARRANT TO PURCHASE COMMON STOCK</w:t>
      </w:r>
    </w:p>
    <w:p>
      <w:pPr>
        <w:spacing w:after="0" w:line="178" w:lineRule="exact"/>
        <w:rPr>
          <w:sz w:val="20"/>
          <w:szCs w:val="20"/>
          <w:color w:val="auto"/>
        </w:rPr>
      </w:pPr>
    </w:p>
    <w:p>
      <w:pPr>
        <w:jc w:val="center"/>
        <w:ind w:left="420" w:right="360"/>
        <w:spacing w:after="0" w:line="262" w:lineRule="auto"/>
        <w:rPr>
          <w:sz w:val="20"/>
          <w:szCs w:val="20"/>
          <w:color w:val="auto"/>
        </w:rPr>
      </w:pPr>
      <w:r>
        <w:rPr>
          <w:rFonts w:ascii="Times New Roman" w:cs="Times New Roman" w:eastAsia="Times New Roman" w:hAnsi="Times New Roman"/>
          <w:sz w:val="22"/>
          <w:szCs w:val="22"/>
          <w:b w:val="1"/>
          <w:bCs w:val="1"/>
          <w:color w:val="auto"/>
        </w:rPr>
        <w:t>PRE-FUNDED UNITS CONSISTING OF ONE PRE-FUNDED WARRANT TO PURCHASE ONE SHARE OF COMMON STOCK AND ONE WARRANT TO PURCHASE COMMON STOCK</w:t>
      </w:r>
    </w:p>
    <w:p>
      <w:pPr>
        <w:spacing w:after="0" w:line="150" w:lineRule="exact"/>
        <w:rPr>
          <w:sz w:val="20"/>
          <w:szCs w:val="20"/>
          <w:color w:val="auto"/>
        </w:rPr>
      </w:pPr>
    </w:p>
    <w:p>
      <w:pPr>
        <w:jc w:val="center"/>
        <w:ind w:left="420" w:right="160"/>
        <w:spacing w:after="0" w:line="262" w:lineRule="auto"/>
        <w:rPr>
          <w:sz w:val="20"/>
          <w:szCs w:val="20"/>
          <w:color w:val="auto"/>
        </w:rPr>
      </w:pPr>
      <w:r>
        <w:rPr>
          <w:rFonts w:ascii="Times New Roman" w:cs="Times New Roman" w:eastAsia="Times New Roman" w:hAnsi="Times New Roman"/>
          <w:sz w:val="22"/>
          <w:szCs w:val="22"/>
          <w:b w:val="1"/>
          <w:bCs w:val="1"/>
          <w:color w:val="auto"/>
        </w:rPr>
        <w:t>SHARES OF COMMON STOCK ISSUABLE UPON THE EXERCISE OF THE PRE-FUNDED WARRANTS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826770</wp:posOffset>
            </wp:positionV>
            <wp:extent cx="1474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tabs>
          <w:tab w:leader="none" w:pos="9420" w:val="left"/>
        </w:tabs>
        <w:rPr>
          <w:sz w:val="20"/>
          <w:szCs w:val="20"/>
          <w:color w:val="auto"/>
        </w:rPr>
      </w:pPr>
      <w:r>
        <w:rPr>
          <w:rFonts w:ascii="Times New Roman" w:cs="Times New Roman" w:eastAsia="Times New Roman" w:hAnsi="Times New Roman"/>
          <w:sz w:val="29"/>
          <w:szCs w:val="29"/>
          <w:b w:val="1"/>
          <w:bCs w:val="1"/>
          <w:color w:val="auto"/>
        </w:rPr>
        <w:t>Leerink Partners</w:t>
      </w:r>
      <w:r>
        <w:rPr>
          <w:sz w:val="20"/>
          <w:szCs w:val="20"/>
          <w:color w:val="auto"/>
        </w:rPr>
        <w:tab/>
      </w:r>
      <w:r>
        <w:rPr>
          <w:rFonts w:ascii="Times New Roman" w:cs="Times New Roman" w:eastAsia="Times New Roman" w:hAnsi="Times New Roman"/>
          <w:sz w:val="28"/>
          <w:szCs w:val="28"/>
          <w:b w:val="1"/>
          <w:bCs w:val="1"/>
          <w:color w:val="auto"/>
        </w:rPr>
        <w:t>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decimal"/>
      <w:start w:val="1"/>
    </w:lvl>
    <w:lvl w:ilvl="1">
      <w:lvlJc w:val="left"/>
      <w:lvlText w:val="(%2)"/>
      <w:numFmt w:val="lowerLetter"/>
      <w:start w:val="7"/>
    </w:lvl>
  </w:abstractNum>
  <w:abstractNum w:abstractNumId="15">
    <w:nsid w:val="1E7FF521"/>
    <w:multiLevelType w:val="hybridMultilevel"/>
    <w:lvl w:ilvl="0">
      <w:lvlJc w:val="left"/>
      <w:lvlText w:val="(%1)"/>
      <w:numFmt w:val="decimal"/>
      <w:start w:val="2"/>
    </w:lvl>
    <w:lvl w:ilvl="1">
      <w:lvlJc w:val="left"/>
      <w:lvlText w:val="(%2)"/>
      <w:numFmt w:val="lowerLetter"/>
      <w:start w:val="10"/>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jpe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jpe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67" Type="http://schemas.openxmlformats.org/officeDocument/2006/relationships/hyperlink" Target="http://www.sec.gov/ix?doc=/Archives/edgar/data/0001858848/000095017025036329/tnya-20241231.htm" TargetMode="External"/><Relationship Id="rId68" Type="http://schemas.openxmlformats.org/officeDocument/2006/relationships/hyperlink" Target="http://www.sec.gov/ix?doc=/Archives/edgar/data/0001858848/000095017025065741/tnya-20250331.htm" TargetMode="External"/><Relationship Id="rId69" Type="http://schemas.openxmlformats.org/officeDocument/2006/relationships/hyperlink" Target="http://www.sec.gov/ix?doc=/Archives/edgar/data/0001858848/000095017025104182/tnya-20250630.htm" TargetMode="External"/><Relationship Id="rId70" Type="http://schemas.openxmlformats.org/officeDocument/2006/relationships/hyperlink" Target="http://www.sec.gov/ix?doc=/Archives/edgar/data/0001858848/000119312525273239/tnya-20250930.htm" TargetMode="External"/><Relationship Id="rId71" Type="http://schemas.openxmlformats.org/officeDocument/2006/relationships/hyperlink" Target="http://www.sec.gov/Archives/edgar/data/1858848/000119312525084313/d884353ddef14a.htm" TargetMode="External"/><Relationship Id="rId72" Type="http://schemas.openxmlformats.org/officeDocument/2006/relationships/hyperlink" Target="http://www.sec.gov/ix?doc=/Archives/edgar/data/0001858848/000095017025079773/tnya-20250528.htm" TargetMode="External"/><Relationship Id="rId73" Type="http://schemas.openxmlformats.org/officeDocument/2006/relationships/hyperlink" Target="http://www.sec.gov/ix?doc=/Archives/edgar/data/0001858848/000119312525272423/tnya-20251107.htm" TargetMode="External"/><Relationship Id="rId74" Type="http://schemas.openxmlformats.org/officeDocument/2006/relationships/hyperlink" Target="http://www.sec.gov/ix?doc=/Archives/edgar/data/1858848/000119312525315951/d68368d8k.htm" TargetMode="External"/><Relationship Id="rId75" Type="http://schemas.openxmlformats.org/officeDocument/2006/relationships/hyperlink" Target="http://www.sec.gov/Archives/edgar/data/1858848/000119312521223152/d170858d8a12b.htm" TargetMode="External"/><Relationship Id="rId116" Type="http://schemas.openxmlformats.org/officeDocument/2006/relationships/hyperlink" Target="http://www.sec.gov/ix?doc=/Archives/edgar/data/0001858848/000095017025009946/tnya-20250124.htm" TargetMode="External"/><Relationship Id="rId117" Type="http://schemas.openxmlformats.org/officeDocument/2006/relationships/hyperlink" Target="http://www.sec.gov/ix?doc=/Archives/edgar/data/0001858848/000095017025016378/tnya-20250206.htm" TargetMode="External"/><Relationship Id="rId118" Type="http://schemas.openxmlformats.org/officeDocument/2006/relationships/hyperlink" Target="http://www.sec.gov/ix?doc=/Archives/edgar/data/0001858848/000119312525045628/d87826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2025-12-11T15:50:00Z</dcterms:created>
  <dcterms:modified xsi:type="dcterms:W3CDTF">2025-12-11T15:50:00Z</dcterms:modified>
</cp:coreProperties>
</file>