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TENAYA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87990A106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02/28/2025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87990A106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JPMORGAN CHASE &amp; CO.</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1,901,559.00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2,283,914.00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2,283,914.00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TENAYA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171 Oyster Point Boulevard Suite 500 South San Francisco CA 94080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JPMORGAN CHASE &amp;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383 Madison Avenue,,New York, NY 10179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87990A106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7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780" w:type="dxa"/>
            <w:vAlign w:val="bottom"/>
          </w:tcPr>
          <w:p>
            <w:pPr>
              <w:spacing w:after="0"/>
              <w:rPr>
                <w:sz w:val="23"/>
                <w:szCs w:val="23"/>
                <w:color w:val="auto"/>
              </w:rPr>
            </w:pPr>
          </w:p>
        </w:tc>
        <w:tc>
          <w:tcPr>
            <w:tcW w:w="103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please specify the type of institution:</w:t>
            </w:r>
          </w:p>
        </w:tc>
        <w:tc>
          <w:tcPr>
            <w:tcW w:w="0" w:type="dxa"/>
            <w:vAlign w:val="bottom"/>
          </w:tcPr>
          <w:p>
            <w:pPr>
              <w:spacing w:after="0"/>
              <w:rPr>
                <w:sz w:val="1"/>
                <w:szCs w:val="1"/>
                <w:color w:val="auto"/>
              </w:rPr>
            </w:pPr>
          </w:p>
        </w:tc>
      </w:tr>
      <w:tr>
        <w:trPr>
          <w:trHeight w:val="296"/>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(k)</w:t>
            </w:r>
          </w:p>
        </w:tc>
        <w:tc>
          <w:tcPr>
            <w:tcW w:w="103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Group, in accordance with Rule 240.13d-1(b)(1)(ii)(K).</w:t>
            </w:r>
          </w:p>
        </w:tc>
        <w:tc>
          <w:tcPr>
            <w:tcW w:w="0" w:type="dxa"/>
            <w:vAlign w:val="bottom"/>
          </w:tcPr>
          <w:p>
            <w:pPr>
              <w:spacing w:after="0"/>
              <w:rPr>
                <w:sz w:val="1"/>
                <w:szCs w:val="1"/>
                <w:color w:val="auto"/>
              </w:rPr>
            </w:pPr>
          </w:p>
        </w:tc>
      </w:tr>
      <w:tr>
        <w:trPr>
          <w:trHeight w:val="594"/>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4.</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Ownership</w:t>
            </w:r>
          </w:p>
        </w:tc>
        <w:tc>
          <w:tcPr>
            <w:tcW w:w="0" w:type="dxa"/>
            <w:vAlign w:val="bottom"/>
          </w:tcPr>
          <w:p>
            <w:pPr>
              <w:spacing w:after="0"/>
              <w:rPr>
                <w:sz w:val="1"/>
                <w:szCs w:val="1"/>
                <w:color w:val="auto"/>
              </w:rPr>
            </w:pPr>
          </w:p>
        </w:tc>
      </w:tr>
      <w:tr>
        <w:trPr>
          <w:trHeight w:val="297"/>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Amount beneficially owned:</w:t>
            </w:r>
          </w:p>
        </w:tc>
        <w:tc>
          <w:tcPr>
            <w:tcW w:w="0" w:type="dxa"/>
            <w:vAlign w:val="bottom"/>
          </w:tcPr>
          <w:p>
            <w:pPr>
              <w:spacing w:after="0"/>
              <w:rPr>
                <w:sz w:val="1"/>
                <w:szCs w:val="1"/>
                <w:color w:val="auto"/>
              </w:rPr>
            </w:pPr>
          </w:p>
        </w:tc>
      </w:tr>
      <w:tr>
        <w:trPr>
          <w:trHeight w:val="243"/>
        </w:trPr>
        <w:tc>
          <w:tcPr>
            <w:tcW w:w="780" w:type="dxa"/>
            <w:vAlign w:val="bottom"/>
            <w:vMerge w:val="continue"/>
          </w:tcPr>
          <w:p>
            <w:pPr>
              <w:spacing w:after="0"/>
              <w:rPr>
                <w:sz w:val="21"/>
                <w:szCs w:val="21"/>
                <w:color w:val="auto"/>
              </w:rPr>
            </w:pPr>
          </w:p>
        </w:tc>
        <w:tc>
          <w:tcPr>
            <w:tcW w:w="103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2283914</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(b)</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Percent of class:</w:t>
            </w:r>
          </w:p>
        </w:tc>
        <w:tc>
          <w:tcPr>
            <w:tcW w:w="0" w:type="dxa"/>
            <w:vAlign w:val="bottom"/>
          </w:tcPr>
          <w:p>
            <w:pPr>
              <w:spacing w:after="0"/>
              <w:rPr>
                <w:sz w:val="1"/>
                <w:szCs w:val="1"/>
                <w:color w:val="auto"/>
              </w:rPr>
            </w:pPr>
          </w:p>
        </w:tc>
      </w:tr>
      <w:tr>
        <w:trPr>
          <w:trHeight w:val="243"/>
        </w:trPr>
        <w:tc>
          <w:tcPr>
            <w:tcW w:w="780" w:type="dxa"/>
            <w:vAlign w:val="bottom"/>
            <w:vMerge w:val="continue"/>
          </w:tcPr>
          <w:p>
            <w:pPr>
              <w:spacing w:after="0"/>
              <w:rPr>
                <w:sz w:val="21"/>
                <w:szCs w:val="21"/>
                <w:color w:val="auto"/>
              </w:rPr>
            </w:pPr>
          </w:p>
        </w:tc>
        <w:tc>
          <w:tcPr>
            <w:tcW w:w="103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2.8 %</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(c)</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Number of shares as to which the person has:</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 Sole power to vote or to direct the vote:</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1901559</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2283914</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5.</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Ownership of 5 Percent or Less of a Class.</w:t>
            </w:r>
          </w:p>
        </w:tc>
        <w:tc>
          <w:tcPr>
            <w:tcW w:w="0" w:type="dxa"/>
            <w:vAlign w:val="bottom"/>
          </w:tcPr>
          <w:p>
            <w:pPr>
              <w:spacing w:after="0"/>
              <w:rPr>
                <w:sz w:val="1"/>
                <w:szCs w:val="1"/>
                <w:color w:val="auto"/>
              </w:rPr>
            </w:pPr>
          </w:p>
        </w:tc>
      </w:tr>
      <w:tr>
        <w:trPr>
          <w:trHeight w:val="310"/>
        </w:trPr>
        <w:tc>
          <w:tcPr>
            <w:tcW w:w="780" w:type="dxa"/>
            <w:vAlign w:val="bottom"/>
          </w:tcPr>
          <w:p>
            <w:pPr>
              <w:spacing w:after="0"/>
              <w:rPr>
                <w:sz w:val="24"/>
                <w:szCs w:val="24"/>
                <w:color w:val="auto"/>
              </w:rPr>
            </w:pPr>
          </w:p>
        </w:tc>
        <w:tc>
          <w:tcPr>
            <w:tcW w:w="103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Ownership of 5 percent or less of a class</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6.</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8"/>
              </w:rPr>
              <w:t>proceeds from the sale of, such securities, a statement to that effect should be included in response to this item and, if</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8"/>
              </w:rPr>
              <w:t>such interest relates to more than 5 percent of the class, such person should be identified. A listing of the shareholders</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of an investment company registered under the Investment Company Act of 1940 or the beneficiaries of employee</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benefit plan, pension fund or endowment fund is not required.</w:t>
            </w:r>
          </w:p>
        </w:tc>
        <w:tc>
          <w:tcPr>
            <w:tcW w:w="0" w:type="dxa"/>
            <w:vAlign w:val="bottom"/>
          </w:tcPr>
          <w:p>
            <w:pPr>
              <w:spacing w:after="0"/>
              <w:rPr>
                <w:sz w:val="1"/>
                <w:szCs w:val="1"/>
                <w:color w:val="auto"/>
              </w:rPr>
            </w:pPr>
          </w:p>
        </w:tc>
      </w:tr>
      <w:tr>
        <w:trPr>
          <w:trHeight w:val="729"/>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58"/>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Item 7.</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w:t>
            </w:r>
          </w:p>
        </w:tc>
        <w:tc>
          <w:tcPr>
            <w:tcW w:w="0" w:type="dxa"/>
            <w:vAlign w:val="bottom"/>
          </w:tcPr>
          <w:p>
            <w:pPr>
              <w:spacing w:after="0"/>
              <w:rPr>
                <w:sz w:val="1"/>
                <w:szCs w:val="1"/>
                <w:color w:val="auto"/>
              </w:rPr>
            </w:pPr>
          </w:p>
        </w:tc>
      </w:tr>
      <w:tr>
        <w:trPr>
          <w:trHeight w:val="161"/>
        </w:trPr>
        <w:tc>
          <w:tcPr>
            <w:tcW w:w="780" w:type="dxa"/>
            <w:vAlign w:val="bottom"/>
            <w:vMerge w:val="continue"/>
          </w:tcPr>
          <w:p>
            <w:pPr>
              <w:spacing w:after="0"/>
              <w:rPr>
                <w:sz w:val="13"/>
                <w:szCs w:val="13"/>
                <w:color w:val="auto"/>
              </w:rPr>
            </w:pPr>
          </w:p>
        </w:tc>
        <w:tc>
          <w:tcPr>
            <w:tcW w:w="103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Holding Company or Control Person.</w:t>
            </w:r>
          </w:p>
        </w:tc>
        <w:tc>
          <w:tcPr>
            <w:tcW w:w="0" w:type="dxa"/>
            <w:vAlign w:val="bottom"/>
          </w:tcPr>
          <w:p>
            <w:pPr>
              <w:spacing w:after="0"/>
              <w:rPr>
                <w:sz w:val="1"/>
                <w:szCs w:val="1"/>
                <w:color w:val="auto"/>
              </w:rPr>
            </w:pPr>
          </w:p>
        </w:tc>
      </w:tr>
      <w:tr>
        <w:trPr>
          <w:trHeight w:val="122"/>
        </w:trPr>
        <w:tc>
          <w:tcPr>
            <w:tcW w:w="780" w:type="dxa"/>
            <w:vAlign w:val="bottom"/>
          </w:tcPr>
          <w:p>
            <w:pPr>
              <w:spacing w:after="0"/>
              <w:rPr>
                <w:sz w:val="10"/>
                <w:szCs w:val="10"/>
                <w:color w:val="auto"/>
              </w:rPr>
            </w:pPr>
          </w:p>
        </w:tc>
        <w:tc>
          <w:tcPr>
            <w:tcW w:w="10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If a parent holding company has filed this schedule, pursuant to Rule 13d-1(b)(ii)(G), so indicate under Item 3(g) and</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attach an exhibit stating the identity and the Item 3 classification of the relevant subsidiary. If a parent holding</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company has filed this schedule pursuant to Rule 13d-1(c) or Rule 13d-1(d), attach an exhibit stating the</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identification of the relevant subsidiary.</w:t>
            </w:r>
          </w:p>
        </w:tc>
        <w:tc>
          <w:tcPr>
            <w:tcW w:w="0" w:type="dxa"/>
            <w:vAlign w:val="bottom"/>
          </w:tcPr>
          <w:p>
            <w:pPr>
              <w:spacing w:after="0"/>
              <w:rPr>
                <w:sz w:val="1"/>
                <w:szCs w:val="1"/>
                <w:color w:val="auto"/>
              </w:rPr>
            </w:pPr>
          </w:p>
        </w:tc>
      </w:tr>
      <w:tr>
        <w:trPr>
          <w:trHeight w:val="729"/>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JPMorgan Chase Bank, National Association; J.P. Morgan Investment Management Inc.;</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8.</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If a group has filed this schedule pursuant to §240.13d-1(b)(1)(ii)(J), so indicate under Item 3(j) and attach an exhibit</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9"/>
              </w:rPr>
              <w:t>stating the identity and Item 3 classification of each member of the group. If a group has filed this schedule pursuant</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to §240.13d-1(c) or §240.13d-1(d), attach an exhibit stating the identity of each member of the group.</w:t>
            </w:r>
          </w:p>
        </w:tc>
        <w:tc>
          <w:tcPr>
            <w:tcW w:w="0" w:type="dxa"/>
            <w:vAlign w:val="bottom"/>
          </w:tcPr>
          <w:p>
            <w:pPr>
              <w:spacing w:after="0"/>
              <w:rPr>
                <w:sz w:val="1"/>
                <w:szCs w:val="1"/>
                <w:color w:val="auto"/>
              </w:rPr>
            </w:pPr>
          </w:p>
        </w:tc>
      </w:tr>
      <w:tr>
        <w:trPr>
          <w:trHeight w:val="729"/>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9.</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Notice of Dissolution of Group.</w:t>
            </w: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9"/>
              </w:rPr>
              <w:t>Notice of dissolution of a group may be furnished as an exhibit stating the date of the dissolution and that all further</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filings with respect to transactions in the security reported on will be filed, if required, by members of the group, in</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their individual capacity. See Item 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-9471025</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-4919345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916" w:orient="portrait"/>
          <w:cols w:equalWidth="0" w:num="1">
            <w:col w:w="11140"/>
          </w:cols>
          <w:pgMar w:left="360" w:top="126" w:right="399" w:bottom="0" w:gutter="0" w:footer="0" w:header="0"/>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JPMORGAN CHASE &amp; CO.</w:t>
      </w:r>
    </w:p>
    <w:p>
      <w:pPr>
        <w:spacing w:after="0" w:line="152"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Rachel Tsvaygoft</w:t>
      </w:r>
    </w:p>
    <w:p>
      <w:pPr>
        <w:spacing w:after="0" w:line="4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03/06/2025</w:t>
      </w:r>
    </w:p>
    <w:sectPr>
      <w:pgSz w:w="11900" w:h="16838" w:orient="portrait"/>
      <w:cols w:equalWidth="0" w:num="1">
        <w:col w:w="11140"/>
      </w:cols>
      <w:pgMar w:left="360" w:top="59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2025-03-06T09:59:33Z</dcterms:created>
  <dcterms:modified xsi:type="dcterms:W3CDTF">2025-03-06T09:59:33Z</dcterms:modified>
</cp:coreProperties>
</file>