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7"/>
          <w:szCs w:val="17"/>
          <w:b w:val="1"/>
          <w:bCs w:val="1"/>
          <w:color w:val="auto"/>
        </w:rPr>
        <w:t>As filed with the Securities and Exchange Commission on February 3, 2026</w:t>
      </w:r>
    </w:p>
    <w:p>
      <w:pPr>
        <w:spacing w:after="0" w:line="117"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-205105</wp:posOffset>
            </wp:positionV>
            <wp:extent cx="7138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pacing w:after="0" w:line="8"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jc w:val="center"/>
        <w:ind w:right="40"/>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54"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31"/>
          <w:szCs w:val="31"/>
          <w:b w:val="1"/>
          <w:bCs w:val="1"/>
          <w:color w:val="auto"/>
        </w:rPr>
        <w:t>FORM S-8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-205105</wp:posOffset>
            </wp:positionV>
            <wp:extent cx="7138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pacing w:after="0" w:line="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1"/>
          <w:szCs w:val="21"/>
          <w:b w:val="1"/>
          <w:bCs w:val="1"/>
          <w:color w:val="auto"/>
        </w:rPr>
        <w:t>REGISTRATION STATEMENT</w:t>
      </w:r>
    </w:p>
    <w:p>
      <w:pPr>
        <w:jc w:val="center"/>
        <w:ind w:right="40"/>
        <w:spacing w:after="0"/>
        <w:rPr>
          <w:sz w:val="20"/>
          <w:szCs w:val="20"/>
          <w:color w:val="auto"/>
        </w:rPr>
      </w:pPr>
      <w:r>
        <w:rPr>
          <w:rFonts w:ascii="Times New Roman" w:cs="Times New Roman" w:eastAsia="Times New Roman" w:hAnsi="Times New Roman"/>
          <w:sz w:val="21"/>
          <w:szCs w:val="21"/>
          <w:b w:val="1"/>
          <w:bCs w:val="1"/>
          <w:color w:val="auto"/>
        </w:rPr>
        <w:t>UNDER THE SECURITIES ACT OF 1933</w:t>
      </w:r>
    </w:p>
    <w:p>
      <w:pPr>
        <w:spacing w:after="0" w:line="79"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1"/>
          <w:szCs w:val="31"/>
          <w:b w:val="1"/>
          <w:bCs w:val="1"/>
          <w:color w:val="auto"/>
        </w:rPr>
        <w:t>TENAYA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-205105</wp:posOffset>
            </wp:positionV>
            <wp:extent cx="7138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pacing w:after="0" w:line="2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138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pacing w:after="0" w:line="200" w:lineRule="exact"/>
        <w:rPr>
          <w:sz w:val="24"/>
          <w:szCs w:val="24"/>
          <w:color w:val="auto"/>
        </w:rPr>
      </w:pPr>
    </w:p>
    <w:p>
      <w:pPr>
        <w:spacing w:after="0" w:line="275" w:lineRule="exact"/>
        <w:rPr>
          <w:sz w:val="24"/>
          <w:szCs w:val="24"/>
          <w:color w:val="auto"/>
        </w:rPr>
      </w:pPr>
    </w:p>
    <w:tbl>
      <w:tblPr>
        <w:tblLayout w:type="fixed"/>
        <w:tblInd w:w="2260" w:type="dxa"/>
        <w:tblCellMar>
          <w:top w:w="0" w:type="dxa"/>
          <w:left w:w="0" w:type="dxa"/>
          <w:bottom w:w="0" w:type="dxa"/>
          <w:right w:w="0" w:type="dxa"/>
        </w:tblCellMar>
      </w:tblPr>
      <w:tr>
        <w:trPr>
          <w:trHeight w:val="203"/>
        </w:trPr>
        <w:tc>
          <w:tcPr>
            <w:tcW w:w="3860" w:type="dxa"/>
            <w:vAlign w:val="bottom"/>
          </w:tcPr>
          <w:p>
            <w:pPr>
              <w:jc w:val="center"/>
              <w:ind w:right="2005"/>
              <w:spacing w:after="0"/>
              <w:rPr>
                <w:sz w:val="20"/>
                <w:szCs w:val="20"/>
                <w:color w:val="auto"/>
              </w:rPr>
            </w:pPr>
            <w:r>
              <w:rPr>
                <w:rFonts w:ascii="Times New Roman" w:cs="Times New Roman" w:eastAsia="Times New Roman" w:hAnsi="Times New Roman"/>
                <w:sz w:val="17"/>
                <w:szCs w:val="17"/>
                <w:b w:val="1"/>
                <w:bCs w:val="1"/>
                <w:color w:val="auto"/>
              </w:rPr>
              <w:t>Delaware</w:t>
            </w:r>
          </w:p>
        </w:tc>
        <w:tc>
          <w:tcPr>
            <w:tcW w:w="3420" w:type="dxa"/>
            <w:vAlign w:val="bottom"/>
          </w:tcPr>
          <w:p>
            <w:pPr>
              <w:jc w:val="center"/>
              <w:ind w:left="1985"/>
              <w:spacing w:after="0"/>
              <w:rPr>
                <w:sz w:val="20"/>
                <w:szCs w:val="20"/>
                <w:color w:val="auto"/>
              </w:rPr>
            </w:pPr>
            <w:r>
              <w:rPr>
                <w:rFonts w:ascii="Times New Roman" w:cs="Times New Roman" w:eastAsia="Times New Roman" w:hAnsi="Times New Roman"/>
                <w:sz w:val="17"/>
                <w:szCs w:val="17"/>
                <w:b w:val="1"/>
                <w:bCs w:val="1"/>
                <w:color w:val="auto"/>
              </w:rPr>
              <w:t>81-3789973</w:t>
            </w:r>
          </w:p>
        </w:tc>
      </w:tr>
      <w:tr>
        <w:trPr>
          <w:trHeight w:val="142"/>
        </w:trPr>
        <w:tc>
          <w:tcPr>
            <w:tcW w:w="3860" w:type="dxa"/>
            <w:vAlign w:val="bottom"/>
          </w:tcPr>
          <w:p>
            <w:pPr>
              <w:jc w:val="center"/>
              <w:ind w:right="1985"/>
              <w:spacing w:after="0" w:line="143" w:lineRule="exact"/>
              <w:rPr>
                <w:sz w:val="20"/>
                <w:szCs w:val="20"/>
                <w:color w:val="auto"/>
              </w:rPr>
            </w:pPr>
            <w:r>
              <w:rPr>
                <w:rFonts w:ascii="Times New Roman" w:cs="Times New Roman" w:eastAsia="Times New Roman" w:hAnsi="Times New Roman"/>
                <w:sz w:val="14"/>
                <w:szCs w:val="14"/>
                <w:b w:val="1"/>
                <w:bCs w:val="1"/>
                <w:color w:val="auto"/>
                <w:w w:val="98"/>
              </w:rPr>
              <w:t>(State or other jurisdiction of</w:t>
            </w:r>
          </w:p>
        </w:tc>
        <w:tc>
          <w:tcPr>
            <w:tcW w:w="3420" w:type="dxa"/>
            <w:vAlign w:val="bottom"/>
          </w:tcPr>
          <w:p>
            <w:pPr>
              <w:jc w:val="center"/>
              <w:ind w:left="1985"/>
              <w:spacing w:after="0" w:line="143" w:lineRule="exact"/>
              <w:rPr>
                <w:sz w:val="20"/>
                <w:szCs w:val="20"/>
                <w:color w:val="auto"/>
              </w:rPr>
            </w:pPr>
            <w:r>
              <w:rPr>
                <w:rFonts w:ascii="Times New Roman" w:cs="Times New Roman" w:eastAsia="Times New Roman" w:hAnsi="Times New Roman"/>
                <w:sz w:val="14"/>
                <w:szCs w:val="14"/>
                <w:b w:val="1"/>
                <w:bCs w:val="1"/>
                <w:color w:val="auto"/>
                <w:w w:val="98"/>
              </w:rPr>
              <w:t>(I.R.S. Employer</w:t>
            </w:r>
          </w:p>
        </w:tc>
      </w:tr>
      <w:tr>
        <w:trPr>
          <w:trHeight w:val="183"/>
        </w:trPr>
        <w:tc>
          <w:tcPr>
            <w:tcW w:w="3860" w:type="dxa"/>
            <w:vAlign w:val="bottom"/>
          </w:tcPr>
          <w:p>
            <w:pPr>
              <w:jc w:val="center"/>
              <w:ind w:right="1985"/>
              <w:spacing w:after="0"/>
              <w:rPr>
                <w:sz w:val="20"/>
                <w:szCs w:val="20"/>
                <w:color w:val="auto"/>
              </w:rPr>
            </w:pPr>
            <w:r>
              <w:rPr>
                <w:rFonts w:ascii="Times New Roman" w:cs="Times New Roman" w:eastAsia="Times New Roman" w:hAnsi="Times New Roman"/>
                <w:sz w:val="14"/>
                <w:szCs w:val="14"/>
                <w:b w:val="1"/>
                <w:bCs w:val="1"/>
                <w:color w:val="auto"/>
                <w:w w:val="98"/>
              </w:rPr>
              <w:t>incorporation or organization)</w:t>
            </w:r>
          </w:p>
        </w:tc>
        <w:tc>
          <w:tcPr>
            <w:tcW w:w="3420" w:type="dxa"/>
            <w:vAlign w:val="bottom"/>
          </w:tcPr>
          <w:p>
            <w:pPr>
              <w:jc w:val="center"/>
              <w:ind w:left="1985"/>
              <w:spacing w:after="0"/>
              <w:rPr>
                <w:sz w:val="20"/>
                <w:szCs w:val="20"/>
                <w:color w:val="auto"/>
              </w:rPr>
            </w:pPr>
            <w:r>
              <w:rPr>
                <w:rFonts w:ascii="Times New Roman" w:cs="Times New Roman" w:eastAsia="Times New Roman" w:hAnsi="Times New Roman"/>
                <w:sz w:val="14"/>
                <w:szCs w:val="14"/>
                <w:b w:val="1"/>
                <w:bCs w:val="1"/>
                <w:color w:val="auto"/>
                <w:w w:val="97"/>
              </w:rPr>
              <w:t>Identification Number)</w:t>
            </w:r>
          </w:p>
        </w:tc>
      </w:tr>
    </w:tbl>
    <w:p>
      <w:pPr>
        <w:spacing w:after="0" w:line="8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171 Oyster Point Boulevard, Suite 500</w:t>
      </w:r>
    </w:p>
    <w:p>
      <w:pPr>
        <w:spacing w:after="0" w:line="3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South San Francisco, CA 94080</w:t>
      </w:r>
    </w:p>
    <w:p>
      <w:pPr>
        <w:spacing w:after="0" w:line="1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(650) 825-6990</w:t>
      </w:r>
    </w:p>
    <w:p>
      <w:pPr>
        <w:spacing w:after="0" w:line="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84"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17"/>
          <w:szCs w:val="17"/>
          <w:b w:val="1"/>
          <w:bCs w:val="1"/>
          <w:color w:val="auto"/>
        </w:rPr>
        <w:t>2021 Equity Incentive Plan</w:t>
      </w:r>
    </w:p>
    <w:p>
      <w:pPr>
        <w:spacing w:after="0" w:line="32" w:lineRule="exact"/>
        <w:rPr>
          <w:sz w:val="24"/>
          <w:szCs w:val="24"/>
          <w:color w:val="auto"/>
        </w:rPr>
      </w:pPr>
    </w:p>
    <w:p>
      <w:pPr>
        <w:ind w:left="4280"/>
        <w:spacing w:after="0"/>
        <w:rPr>
          <w:sz w:val="20"/>
          <w:szCs w:val="20"/>
          <w:color w:val="auto"/>
        </w:rPr>
      </w:pPr>
      <w:r>
        <w:rPr>
          <w:rFonts w:ascii="Times New Roman" w:cs="Times New Roman" w:eastAsia="Times New Roman" w:hAnsi="Times New Roman"/>
          <w:sz w:val="17"/>
          <w:szCs w:val="17"/>
          <w:b w:val="1"/>
          <w:bCs w:val="1"/>
          <w:color w:val="auto"/>
        </w:rPr>
        <w:t>2021 Employee Stock Purchase Plan</w:t>
      </w:r>
    </w:p>
    <w:p>
      <w:pPr>
        <w:spacing w:after="0" w:line="12"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7"/>
          <w:szCs w:val="17"/>
          <w:b w:val="1"/>
          <w:bCs w:val="1"/>
          <w:color w:val="auto"/>
        </w:rPr>
        <w:t>2024 Inducement Equity Incentive Plan</w:t>
      </w:r>
    </w:p>
    <w:p>
      <w:pPr>
        <w:spacing w:after="0" w:line="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(Full title of the plan)</w:t>
      </w:r>
    </w:p>
    <w:p>
      <w:pPr>
        <w:spacing w:after="0" w:line="84"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17"/>
          <w:szCs w:val="17"/>
          <w:b w:val="1"/>
          <w:bCs w:val="1"/>
          <w:color w:val="auto"/>
        </w:rPr>
        <w:t>Faraz Ali, M.B.A.</w:t>
      </w:r>
    </w:p>
    <w:p>
      <w:pPr>
        <w:spacing w:after="0" w:line="32"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17"/>
          <w:szCs w:val="17"/>
          <w:b w:val="1"/>
          <w:bCs w:val="1"/>
          <w:color w:val="auto"/>
        </w:rPr>
        <w:t>Chief Executive Officer</w:t>
      </w:r>
    </w:p>
    <w:p>
      <w:pPr>
        <w:spacing w:after="0" w:line="12" w:lineRule="exact"/>
        <w:rPr>
          <w:sz w:val="24"/>
          <w:szCs w:val="24"/>
          <w:color w:val="auto"/>
        </w:rPr>
      </w:pPr>
    </w:p>
    <w:p>
      <w:pPr>
        <w:ind w:left="4640"/>
        <w:spacing w:after="0"/>
        <w:rPr>
          <w:sz w:val="20"/>
          <w:szCs w:val="20"/>
          <w:color w:val="auto"/>
        </w:rPr>
      </w:pPr>
      <w:r>
        <w:rPr>
          <w:rFonts w:ascii="Times New Roman" w:cs="Times New Roman" w:eastAsia="Times New Roman" w:hAnsi="Times New Roman"/>
          <w:sz w:val="17"/>
          <w:szCs w:val="17"/>
          <w:b w:val="1"/>
          <w:bCs w:val="1"/>
          <w:color w:val="auto"/>
        </w:rPr>
        <w:t>Tenaya Therapeutics, Inc.</w:t>
      </w:r>
    </w:p>
    <w:p>
      <w:pPr>
        <w:spacing w:after="0" w:line="12"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7"/>
          <w:szCs w:val="17"/>
          <w:b w:val="1"/>
          <w:bCs w:val="1"/>
          <w:color w:val="auto"/>
        </w:rPr>
        <w:t>171 Oyster Point Boulevard, Suite 500</w:t>
      </w:r>
    </w:p>
    <w:p>
      <w:pPr>
        <w:spacing w:after="0" w:line="12"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17"/>
          <w:szCs w:val="17"/>
          <w:b w:val="1"/>
          <w:bCs w:val="1"/>
          <w:color w:val="auto"/>
        </w:rPr>
        <w:t>South San Francisco, CA 94080</w:t>
      </w:r>
    </w:p>
    <w:p>
      <w:pPr>
        <w:spacing w:after="0" w:line="12" w:lineRule="exact"/>
        <w:rPr>
          <w:sz w:val="24"/>
          <w:szCs w:val="24"/>
          <w:color w:val="auto"/>
        </w:rPr>
      </w:pPr>
    </w:p>
    <w:p>
      <w:pPr>
        <w:ind w:left="5060"/>
        <w:spacing w:after="0"/>
        <w:rPr>
          <w:sz w:val="20"/>
          <w:szCs w:val="20"/>
          <w:color w:val="auto"/>
        </w:rPr>
      </w:pPr>
      <w:r>
        <w:rPr>
          <w:rFonts w:ascii="Times New Roman" w:cs="Times New Roman" w:eastAsia="Times New Roman" w:hAnsi="Times New Roman"/>
          <w:sz w:val="17"/>
          <w:szCs w:val="17"/>
          <w:b w:val="1"/>
          <w:bCs w:val="1"/>
          <w:color w:val="auto"/>
        </w:rPr>
        <w:t>(650) 825-6990</w:t>
      </w:r>
    </w:p>
    <w:p>
      <w:pPr>
        <w:spacing w:after="0" w:line="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196"/>
        </w:trPr>
        <w:tc>
          <w:tcPr>
            <w:tcW w:w="4540" w:type="dxa"/>
            <w:vAlign w:val="bottom"/>
            <w:tcBorders>
              <w:top w:val="single" w:sz="8" w:color="auto"/>
            </w:tcBorders>
          </w:tcPr>
          <w:p>
            <w:pPr>
              <w:spacing w:after="0"/>
              <w:rPr>
                <w:sz w:val="17"/>
                <w:szCs w:val="17"/>
                <w:color w:val="auto"/>
              </w:rPr>
            </w:pPr>
          </w:p>
        </w:tc>
        <w:tc>
          <w:tcPr>
            <w:tcW w:w="6700" w:type="dxa"/>
            <w:vAlign w:val="bottom"/>
            <w:tcBorders>
              <w:top w:val="single" w:sz="8" w:color="auto"/>
            </w:tcBorders>
          </w:tcPr>
          <w:p>
            <w:pPr>
              <w:ind w:left="720"/>
              <w:spacing w:after="0"/>
              <w:rPr>
                <w:sz w:val="20"/>
                <w:szCs w:val="20"/>
                <w:color w:val="auto"/>
              </w:rPr>
            </w:pPr>
            <w:r>
              <w:rPr>
                <w:rFonts w:ascii="Times New Roman" w:cs="Times New Roman" w:eastAsia="Times New Roman" w:hAnsi="Times New Roman"/>
                <w:sz w:val="17"/>
                <w:szCs w:val="17"/>
                <w:b w:val="1"/>
                <w:bCs w:val="1"/>
                <w:i w:val="1"/>
                <w:iCs w:val="1"/>
                <w:color w:val="auto"/>
              </w:rPr>
              <w:t>Copies to:</w:t>
            </w:r>
          </w:p>
        </w:tc>
      </w:tr>
      <w:tr>
        <w:trPr>
          <w:trHeight w:val="142"/>
        </w:trPr>
        <w:tc>
          <w:tcPr>
            <w:tcW w:w="4540" w:type="dxa"/>
            <w:vAlign w:val="bottom"/>
          </w:tcPr>
          <w:p>
            <w:pPr>
              <w:jc w:val="center"/>
              <w:ind w:left="1011"/>
              <w:spacing w:after="0" w:line="143" w:lineRule="exact"/>
              <w:rPr>
                <w:sz w:val="20"/>
                <w:szCs w:val="20"/>
                <w:color w:val="auto"/>
              </w:rPr>
            </w:pPr>
            <w:r>
              <w:rPr>
                <w:rFonts w:ascii="Times New Roman" w:cs="Times New Roman" w:eastAsia="Times New Roman" w:hAnsi="Times New Roman"/>
                <w:sz w:val="14"/>
                <w:szCs w:val="14"/>
                <w:b w:val="1"/>
                <w:bCs w:val="1"/>
                <w:color w:val="auto"/>
                <w:w w:val="99"/>
              </w:rPr>
              <w:t>Jennifer Knapp</w:t>
            </w:r>
          </w:p>
        </w:tc>
        <w:tc>
          <w:tcPr>
            <w:tcW w:w="6700" w:type="dxa"/>
            <w:vAlign w:val="bottom"/>
          </w:tcPr>
          <w:p>
            <w:pPr>
              <w:jc w:val="center"/>
              <w:ind w:left="1009"/>
              <w:spacing w:after="0" w:line="143" w:lineRule="exact"/>
              <w:rPr>
                <w:sz w:val="20"/>
                <w:szCs w:val="20"/>
                <w:color w:val="auto"/>
              </w:rPr>
            </w:pPr>
            <w:r>
              <w:rPr>
                <w:rFonts w:ascii="Times New Roman" w:cs="Times New Roman" w:eastAsia="Times New Roman" w:hAnsi="Times New Roman"/>
                <w:sz w:val="14"/>
                <w:szCs w:val="14"/>
                <w:b w:val="1"/>
                <w:bCs w:val="1"/>
                <w:color w:val="auto"/>
                <w:w w:val="97"/>
              </w:rPr>
              <w:t>Jennifer Drimmer Rokovich</w:t>
            </w:r>
          </w:p>
        </w:tc>
      </w:tr>
      <w:tr>
        <w:trPr>
          <w:trHeight w:val="142"/>
        </w:trPr>
        <w:tc>
          <w:tcPr>
            <w:tcW w:w="4540" w:type="dxa"/>
            <w:vAlign w:val="bottom"/>
          </w:tcPr>
          <w:p>
            <w:pPr>
              <w:jc w:val="center"/>
              <w:ind w:left="1011"/>
              <w:spacing w:after="0" w:line="143" w:lineRule="exact"/>
              <w:rPr>
                <w:sz w:val="20"/>
                <w:szCs w:val="20"/>
                <w:color w:val="auto"/>
              </w:rPr>
            </w:pPr>
            <w:r>
              <w:rPr>
                <w:rFonts w:ascii="Times New Roman" w:cs="Times New Roman" w:eastAsia="Times New Roman" w:hAnsi="Times New Roman"/>
                <w:sz w:val="14"/>
                <w:szCs w:val="14"/>
                <w:b w:val="1"/>
                <w:bCs w:val="1"/>
                <w:color w:val="auto"/>
                <w:w w:val="98"/>
              </w:rPr>
              <w:t>Emily A. Coskey</w:t>
            </w:r>
          </w:p>
        </w:tc>
        <w:tc>
          <w:tcPr>
            <w:tcW w:w="6700" w:type="dxa"/>
            <w:vAlign w:val="bottom"/>
          </w:tcPr>
          <w:p>
            <w:pPr>
              <w:jc w:val="center"/>
              <w:ind w:left="1009"/>
              <w:spacing w:after="0" w:line="143" w:lineRule="exact"/>
              <w:rPr>
                <w:sz w:val="20"/>
                <w:szCs w:val="20"/>
                <w:color w:val="auto"/>
              </w:rPr>
            </w:pPr>
            <w:r>
              <w:rPr>
                <w:rFonts w:ascii="Times New Roman" w:cs="Times New Roman" w:eastAsia="Times New Roman" w:hAnsi="Times New Roman"/>
                <w:sz w:val="14"/>
                <w:szCs w:val="14"/>
                <w:b w:val="1"/>
                <w:bCs w:val="1"/>
                <w:color w:val="auto"/>
                <w:w w:val="98"/>
              </w:rPr>
              <w:t>General Counsel</w:t>
            </w:r>
          </w:p>
        </w:tc>
      </w:tr>
      <w:tr>
        <w:trPr>
          <w:trHeight w:val="142"/>
        </w:trPr>
        <w:tc>
          <w:tcPr>
            <w:tcW w:w="4540" w:type="dxa"/>
            <w:vAlign w:val="bottom"/>
          </w:tcPr>
          <w:p>
            <w:pPr>
              <w:jc w:val="center"/>
              <w:ind w:left="991"/>
              <w:spacing w:after="0" w:line="143" w:lineRule="exact"/>
              <w:rPr>
                <w:sz w:val="20"/>
                <w:szCs w:val="20"/>
                <w:color w:val="auto"/>
              </w:rPr>
            </w:pPr>
            <w:r>
              <w:rPr>
                <w:rFonts w:ascii="Times New Roman" w:cs="Times New Roman" w:eastAsia="Times New Roman" w:hAnsi="Times New Roman"/>
                <w:sz w:val="14"/>
                <w:szCs w:val="14"/>
                <w:b w:val="1"/>
                <w:bCs w:val="1"/>
                <w:color w:val="auto"/>
                <w:w w:val="98"/>
              </w:rPr>
              <w:t>Wilson Sonsini Goodrich &amp; Rosati</w:t>
            </w:r>
          </w:p>
        </w:tc>
        <w:tc>
          <w:tcPr>
            <w:tcW w:w="6700" w:type="dxa"/>
            <w:vAlign w:val="bottom"/>
          </w:tcPr>
          <w:p>
            <w:pPr>
              <w:jc w:val="center"/>
              <w:ind w:left="1009"/>
              <w:spacing w:after="0" w:line="143" w:lineRule="exact"/>
              <w:rPr>
                <w:sz w:val="20"/>
                <w:szCs w:val="20"/>
                <w:color w:val="auto"/>
              </w:rPr>
            </w:pPr>
            <w:r>
              <w:rPr>
                <w:rFonts w:ascii="Times New Roman" w:cs="Times New Roman" w:eastAsia="Times New Roman" w:hAnsi="Times New Roman"/>
                <w:sz w:val="14"/>
                <w:szCs w:val="14"/>
                <w:b w:val="1"/>
                <w:bCs w:val="1"/>
                <w:color w:val="auto"/>
                <w:w w:val="98"/>
              </w:rPr>
              <w:t>Tenaya Therapeutics, Inc.</w:t>
            </w:r>
          </w:p>
        </w:tc>
      </w:tr>
      <w:tr>
        <w:trPr>
          <w:trHeight w:val="142"/>
        </w:trPr>
        <w:tc>
          <w:tcPr>
            <w:tcW w:w="4540" w:type="dxa"/>
            <w:vAlign w:val="bottom"/>
          </w:tcPr>
          <w:p>
            <w:pPr>
              <w:jc w:val="center"/>
              <w:ind w:left="991"/>
              <w:spacing w:after="0" w:line="143" w:lineRule="exact"/>
              <w:rPr>
                <w:sz w:val="20"/>
                <w:szCs w:val="20"/>
                <w:color w:val="auto"/>
              </w:rPr>
            </w:pPr>
            <w:r>
              <w:rPr>
                <w:rFonts w:ascii="Times New Roman" w:cs="Times New Roman" w:eastAsia="Times New Roman" w:hAnsi="Times New Roman"/>
                <w:sz w:val="14"/>
                <w:szCs w:val="14"/>
                <w:b w:val="1"/>
                <w:bCs w:val="1"/>
                <w:color w:val="auto"/>
                <w:w w:val="97"/>
              </w:rPr>
              <w:t>Professional Corporation</w:t>
            </w:r>
          </w:p>
        </w:tc>
        <w:tc>
          <w:tcPr>
            <w:tcW w:w="6700" w:type="dxa"/>
            <w:vAlign w:val="bottom"/>
          </w:tcPr>
          <w:p>
            <w:pPr>
              <w:jc w:val="center"/>
              <w:ind w:left="1029"/>
              <w:spacing w:after="0" w:line="143" w:lineRule="exact"/>
              <w:rPr>
                <w:sz w:val="20"/>
                <w:szCs w:val="20"/>
                <w:color w:val="auto"/>
              </w:rPr>
            </w:pPr>
            <w:r>
              <w:rPr>
                <w:rFonts w:ascii="Times New Roman" w:cs="Times New Roman" w:eastAsia="Times New Roman" w:hAnsi="Times New Roman"/>
                <w:sz w:val="14"/>
                <w:szCs w:val="14"/>
                <w:b w:val="1"/>
                <w:bCs w:val="1"/>
                <w:color w:val="auto"/>
                <w:w w:val="98"/>
              </w:rPr>
              <w:t>171 Oyster Point Boulevard, Suite 500</w:t>
            </w:r>
          </w:p>
        </w:tc>
      </w:tr>
      <w:tr>
        <w:trPr>
          <w:trHeight w:val="142"/>
        </w:trPr>
        <w:tc>
          <w:tcPr>
            <w:tcW w:w="4540" w:type="dxa"/>
            <w:vAlign w:val="bottom"/>
          </w:tcPr>
          <w:p>
            <w:pPr>
              <w:jc w:val="center"/>
              <w:ind w:left="991"/>
              <w:spacing w:after="0" w:line="143" w:lineRule="exact"/>
              <w:rPr>
                <w:sz w:val="20"/>
                <w:szCs w:val="20"/>
                <w:color w:val="auto"/>
              </w:rPr>
            </w:pPr>
            <w:r>
              <w:rPr>
                <w:rFonts w:ascii="Times New Roman" w:cs="Times New Roman" w:eastAsia="Times New Roman" w:hAnsi="Times New Roman"/>
                <w:sz w:val="14"/>
                <w:szCs w:val="14"/>
                <w:b w:val="1"/>
                <w:bCs w:val="1"/>
                <w:color w:val="auto"/>
                <w:w w:val="99"/>
              </w:rPr>
              <w:t>650 Page Mill Road</w:t>
            </w:r>
          </w:p>
        </w:tc>
        <w:tc>
          <w:tcPr>
            <w:tcW w:w="6700" w:type="dxa"/>
            <w:vAlign w:val="bottom"/>
          </w:tcPr>
          <w:p>
            <w:pPr>
              <w:jc w:val="center"/>
              <w:ind w:left="1009"/>
              <w:spacing w:after="0" w:line="143" w:lineRule="exact"/>
              <w:rPr>
                <w:sz w:val="20"/>
                <w:szCs w:val="20"/>
                <w:color w:val="auto"/>
              </w:rPr>
            </w:pPr>
            <w:r>
              <w:rPr>
                <w:rFonts w:ascii="Times New Roman" w:cs="Times New Roman" w:eastAsia="Times New Roman" w:hAnsi="Times New Roman"/>
                <w:sz w:val="14"/>
                <w:szCs w:val="14"/>
                <w:b w:val="1"/>
                <w:bCs w:val="1"/>
                <w:color w:val="auto"/>
                <w:w w:val="98"/>
              </w:rPr>
              <w:t>South San Francisco, California 94080</w:t>
            </w:r>
          </w:p>
        </w:tc>
      </w:tr>
      <w:tr>
        <w:trPr>
          <w:trHeight w:val="142"/>
        </w:trPr>
        <w:tc>
          <w:tcPr>
            <w:tcW w:w="4540" w:type="dxa"/>
            <w:vAlign w:val="bottom"/>
          </w:tcPr>
          <w:p>
            <w:pPr>
              <w:jc w:val="center"/>
              <w:ind w:left="991"/>
              <w:spacing w:after="0" w:line="143" w:lineRule="exact"/>
              <w:rPr>
                <w:sz w:val="20"/>
                <w:szCs w:val="20"/>
                <w:color w:val="auto"/>
              </w:rPr>
            </w:pPr>
            <w:r>
              <w:rPr>
                <w:rFonts w:ascii="Times New Roman" w:cs="Times New Roman" w:eastAsia="Times New Roman" w:hAnsi="Times New Roman"/>
                <w:sz w:val="14"/>
                <w:szCs w:val="14"/>
                <w:b w:val="1"/>
                <w:bCs w:val="1"/>
                <w:color w:val="auto"/>
                <w:w w:val="98"/>
              </w:rPr>
              <w:t>Palo Alto, CA 94304</w:t>
            </w:r>
          </w:p>
        </w:tc>
        <w:tc>
          <w:tcPr>
            <w:tcW w:w="6700" w:type="dxa"/>
            <w:vAlign w:val="bottom"/>
          </w:tcPr>
          <w:p>
            <w:pPr>
              <w:jc w:val="center"/>
              <w:ind w:left="1009"/>
              <w:spacing w:after="0" w:line="143" w:lineRule="exact"/>
              <w:rPr>
                <w:sz w:val="20"/>
                <w:szCs w:val="20"/>
                <w:color w:val="auto"/>
              </w:rPr>
            </w:pPr>
            <w:r>
              <w:rPr>
                <w:rFonts w:ascii="Times New Roman" w:cs="Times New Roman" w:eastAsia="Times New Roman" w:hAnsi="Times New Roman"/>
                <w:sz w:val="14"/>
                <w:szCs w:val="14"/>
                <w:b w:val="1"/>
                <w:bCs w:val="1"/>
                <w:color w:val="auto"/>
                <w:w w:val="98"/>
              </w:rPr>
              <w:t>(650) 825-6990</w:t>
            </w:r>
          </w:p>
        </w:tc>
      </w:tr>
      <w:tr>
        <w:trPr>
          <w:trHeight w:val="168"/>
        </w:trPr>
        <w:tc>
          <w:tcPr>
            <w:tcW w:w="4540" w:type="dxa"/>
            <w:vAlign w:val="bottom"/>
          </w:tcPr>
          <w:p>
            <w:pPr>
              <w:jc w:val="center"/>
              <w:ind w:left="971"/>
              <w:spacing w:after="0"/>
              <w:rPr>
                <w:sz w:val="20"/>
                <w:szCs w:val="20"/>
                <w:color w:val="auto"/>
              </w:rPr>
            </w:pPr>
            <w:r>
              <w:rPr>
                <w:rFonts w:ascii="Times New Roman" w:cs="Times New Roman" w:eastAsia="Times New Roman" w:hAnsi="Times New Roman"/>
                <w:sz w:val="14"/>
                <w:szCs w:val="14"/>
                <w:b w:val="1"/>
                <w:bCs w:val="1"/>
                <w:color w:val="auto"/>
                <w:w w:val="98"/>
              </w:rPr>
              <w:t>(650) 493-9300</w:t>
            </w:r>
          </w:p>
        </w:tc>
        <w:tc>
          <w:tcPr>
            <w:tcW w:w="6700" w:type="dxa"/>
            <w:vAlign w:val="bottom"/>
          </w:tcPr>
          <w:p>
            <w:pPr>
              <w:spacing w:after="0"/>
              <w:rPr>
                <w:sz w:val="14"/>
                <w:szCs w:val="14"/>
                <w:color w:val="auto"/>
              </w:rPr>
            </w:pPr>
          </w:p>
        </w:tc>
      </w:tr>
    </w:tbl>
    <w:p>
      <w:pPr>
        <w:jc w:val="both"/>
        <w:ind w:right="80"/>
        <w:spacing w:after="0" w:line="260"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52" w:lineRule="exact"/>
        <w:rPr>
          <w:sz w:val="24"/>
          <w:szCs w:val="24"/>
          <w:color w:val="auto"/>
        </w:rPr>
      </w:pPr>
    </w:p>
    <w:tbl>
      <w:tblPr>
        <w:tblLayout w:type="fixed"/>
        <w:tblInd w:w="0" w:type="dxa"/>
        <w:tblCellMar>
          <w:top w:w="0" w:type="dxa"/>
          <w:left w:w="0" w:type="dxa"/>
          <w:bottom w:w="0" w:type="dxa"/>
          <w:right w:w="0" w:type="dxa"/>
        </w:tblCellMar>
      </w:tblPr>
      <w:tr>
        <w:trPr>
          <w:trHeight w:val="290"/>
        </w:trPr>
        <w:tc>
          <w:tcPr>
            <w:tcW w:w="310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 filer</w:t>
            </w:r>
          </w:p>
        </w:tc>
        <w:tc>
          <w:tcPr>
            <w:tcW w:w="1920" w:type="dxa"/>
            <w:vAlign w:val="bottom"/>
          </w:tcPr>
          <w:p>
            <w:pPr>
              <w:ind w:left="1560"/>
              <w:spacing w:after="0" w:line="171" w:lineRule="exact"/>
              <w:rPr>
                <w:sz w:val="20"/>
                <w:szCs w:val="20"/>
                <w:color w:val="auto"/>
              </w:rPr>
            </w:pPr>
            <w:r>
              <w:rPr>
                <w:rFonts w:ascii="MS PGothic" w:cs="MS PGothic" w:eastAsia="MS PGothic" w:hAnsi="MS PGothic"/>
                <w:sz w:val="17"/>
                <w:szCs w:val="17"/>
                <w:color w:val="auto"/>
              </w:rPr>
              <w:t>☐</w:t>
            </w:r>
          </w:p>
        </w:tc>
        <w:tc>
          <w:tcPr>
            <w:tcW w:w="39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Accelerated filer</w:t>
            </w:r>
          </w:p>
        </w:tc>
        <w:tc>
          <w:tcPr>
            <w:tcW w:w="2020" w:type="dxa"/>
            <w:vAlign w:val="bottom"/>
          </w:tcPr>
          <w:p>
            <w:pPr>
              <w:ind w:left="186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11"/>
        </w:trPr>
        <w:tc>
          <w:tcPr>
            <w:tcW w:w="310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1920" w:type="dxa"/>
            <w:vAlign w:val="bottom"/>
          </w:tcPr>
          <w:p>
            <w:pPr>
              <w:ind w:left="1560"/>
              <w:spacing w:after="0" w:line="171" w:lineRule="exact"/>
              <w:rPr>
                <w:sz w:val="20"/>
                <w:szCs w:val="20"/>
                <w:color w:val="auto"/>
              </w:rPr>
            </w:pPr>
            <w:r>
              <w:rPr>
                <w:rFonts w:ascii="MS PGothic" w:cs="MS PGothic" w:eastAsia="MS PGothic" w:hAnsi="MS PGothic"/>
                <w:sz w:val="17"/>
                <w:szCs w:val="17"/>
                <w:color w:val="auto"/>
              </w:rPr>
              <w:t>☒</w:t>
            </w:r>
          </w:p>
        </w:tc>
        <w:tc>
          <w:tcPr>
            <w:tcW w:w="39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2020" w:type="dxa"/>
            <w:vAlign w:val="bottom"/>
          </w:tcPr>
          <w:p>
            <w:pPr>
              <w:ind w:left="186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86"/>
        </w:trPr>
        <w:tc>
          <w:tcPr>
            <w:tcW w:w="31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9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Emerging growth company</w:t>
            </w:r>
          </w:p>
        </w:tc>
        <w:tc>
          <w:tcPr>
            <w:tcW w:w="2020" w:type="dxa"/>
            <w:vAlign w:val="bottom"/>
          </w:tcPr>
          <w:p>
            <w:pPr>
              <w:ind w:left="1860"/>
              <w:spacing w:after="0" w:line="171" w:lineRule="exact"/>
              <w:rPr>
                <w:sz w:val="20"/>
                <w:szCs w:val="20"/>
                <w:color w:val="auto"/>
              </w:rPr>
            </w:pPr>
            <w:r>
              <w:rPr>
                <w:rFonts w:ascii="MS PGothic" w:cs="MS PGothic" w:eastAsia="MS PGothic" w:hAnsi="MS PGothic"/>
                <w:sz w:val="17"/>
                <w:szCs w:val="17"/>
                <w:color w:val="auto"/>
                <w:w w:val="82"/>
              </w:rPr>
              <w:t>☒</w:t>
            </w:r>
          </w:p>
        </w:tc>
      </w:tr>
    </w:tbl>
    <w:p>
      <w:pPr>
        <w:ind w:right="420"/>
        <w:spacing w:after="0" w:line="220"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875665</wp:posOffset>
            </wp:positionV>
            <wp:extent cx="716343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3435" cy="4191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263525</wp:posOffset>
            </wp:positionV>
            <wp:extent cx="7138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1090" w:right="339" w:bottom="1440" w:gutter="0" w:footer="0" w:header="0"/>
        </w:sectPr>
      </w:pPr>
    </w:p>
    <w:bookmarkStart w:id="1" w:name="page2"/>
    <w:bookmarkEnd w:id="1"/>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PART I</w:t>
      </w:r>
    </w:p>
    <w:p>
      <w:pPr>
        <w:spacing w:after="0" w:line="11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EXPLANATORY NOTE</w:t>
      </w:r>
    </w:p>
    <w:p>
      <w:pPr>
        <w:spacing w:after="0" w:line="11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7"/>
          <w:szCs w:val="17"/>
          <w:color w:val="auto"/>
        </w:rPr>
        <w:t>This Registration Statement on Form S-8 (Registration Statement) is filed by Tenaya Therapeutics, Inc. (Registrant) for the purpose of registering 4,000,000 shares of common stock of the Registrant reserved for issuance under the 2021 Equity Incentive Plan, 800,000 shares of common stock of the Registrant reserved for issuance under the 2021 Employee Stock Purchase Plan, and 2,161,000 additional shares of common stock of the Registrant reserved for issuance under the 2024 Inducement Equity Incentive Plan.</w:t>
      </w:r>
    </w:p>
    <w:p>
      <w:pPr>
        <w:spacing w:after="0" w:line="16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INFORMATION REQUIRED IN THE PROSPECTUS</w:t>
      </w:r>
    </w:p>
    <w:p>
      <w:pPr>
        <w:spacing w:after="0" w:line="117" w:lineRule="exact"/>
        <w:rPr>
          <w:sz w:val="20"/>
          <w:szCs w:val="20"/>
          <w:color w:val="auto"/>
        </w:rPr>
      </w:pPr>
    </w:p>
    <w:p>
      <w:pPr>
        <w:ind w:right="260"/>
        <w:spacing w:after="0" w:line="273" w:lineRule="auto"/>
        <w:rPr>
          <w:sz w:val="20"/>
          <w:szCs w:val="20"/>
          <w:color w:val="auto"/>
        </w:rPr>
      </w:pPr>
      <w:r>
        <w:rPr>
          <w:rFonts w:ascii="Times New Roman" w:cs="Times New Roman" w:eastAsia="Times New Roman" w:hAnsi="Times New Roman"/>
          <w:sz w:val="17"/>
          <w:szCs w:val="17"/>
          <w:color w:val="auto"/>
        </w:rPr>
        <w:t>The information specified in Item 1 and Item 2 of Part I of Form S-8 is omitted from this Registration Statement in accordance with the provisions of Rule 428 under the Securities Act and the introductory note to Part I of Form S-8. The documents containing the information specified in Part I of Form S-8 will be delivered to the participants in the equity benefit plans covered by this Registration Statement as specified by Rule 428(b)(1) under the Securities Act.</w:t>
      </w:r>
    </w:p>
    <w:p>
      <w:pPr>
        <w:spacing w:after="0" w:line="16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11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INFORMATION REQUIRED IN THE REGISTRATION STATEMENT</w:t>
      </w:r>
    </w:p>
    <w:p>
      <w:pPr>
        <w:spacing w:after="0" w:line="115" w:lineRule="exact"/>
        <w:rPr>
          <w:sz w:val="20"/>
          <w:szCs w:val="20"/>
          <w:color w:val="auto"/>
        </w:rPr>
      </w:pPr>
    </w:p>
    <w:p>
      <w:pPr>
        <w:spacing w:after="0"/>
        <w:tabs>
          <w:tab w:leader="none" w:pos="1580" w:val="left"/>
        </w:tabs>
        <w:rPr>
          <w:sz w:val="20"/>
          <w:szCs w:val="20"/>
          <w:color w:val="auto"/>
        </w:rPr>
      </w:pPr>
      <w:r>
        <w:rPr>
          <w:rFonts w:ascii="Times New Roman" w:cs="Times New Roman" w:eastAsia="Times New Roman" w:hAnsi="Times New Roman"/>
          <w:sz w:val="17"/>
          <w:szCs w:val="17"/>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Incorporation of Documents by Reference.</w:t>
      </w:r>
    </w:p>
    <w:p>
      <w:pPr>
        <w:spacing w:after="0" w:line="117" w:lineRule="exact"/>
        <w:rPr>
          <w:sz w:val="20"/>
          <w:szCs w:val="20"/>
          <w:color w:val="auto"/>
        </w:rPr>
      </w:pPr>
    </w:p>
    <w:p>
      <w:pPr>
        <w:ind w:right="440"/>
        <w:spacing w:after="0" w:line="291" w:lineRule="auto"/>
        <w:rPr>
          <w:sz w:val="20"/>
          <w:szCs w:val="20"/>
          <w:color w:val="auto"/>
        </w:rPr>
      </w:pPr>
      <w:r>
        <w:rPr>
          <w:rFonts w:ascii="Times New Roman" w:cs="Times New Roman" w:eastAsia="Times New Roman" w:hAnsi="Times New Roman"/>
          <w:sz w:val="17"/>
          <w:szCs w:val="17"/>
          <w:color w:val="auto"/>
        </w:rPr>
        <w:t>The Registrant hereby incorporates by reference into this Registration Statement the following documents previously filed with the Securities and Exchange Commission (Commission):</w:t>
      </w:r>
    </w:p>
    <w:p>
      <w:pPr>
        <w:spacing w:after="0" w:line="44" w:lineRule="exact"/>
        <w:rPr>
          <w:sz w:val="20"/>
          <w:szCs w:val="20"/>
          <w:color w:val="auto"/>
        </w:rPr>
      </w:pPr>
    </w:p>
    <w:p>
      <w:pPr>
        <w:ind w:firstLine="4"/>
        <w:spacing w:after="0" w:line="291" w:lineRule="auto"/>
        <w:tabs>
          <w:tab w:leader="none" w:pos="235"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Registrant’s Annual Report on </w:t>
      </w:r>
      <w:hyperlink r:id="rId14">
        <w:r>
          <w:rPr>
            <w:rFonts w:ascii="Times New Roman" w:cs="Times New Roman" w:eastAsia="Times New Roman" w:hAnsi="Times New Roman"/>
            <w:sz w:val="17"/>
            <w:szCs w:val="17"/>
            <w:u w:val="single" w:color="auto"/>
            <w:color w:val="0000FF"/>
          </w:rPr>
          <w:t>Form 10-K</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for the fiscal year ended December 31, 2024, filed with the Commission on March 10, 2025 pursuant to Section 13(a) of the Securities Exchange Act of 1934, as amended (Exchange Act); and</w:t>
      </w:r>
    </w:p>
    <w:p>
      <w:pPr>
        <w:spacing w:after="0" w:line="43" w:lineRule="exact"/>
        <w:rPr>
          <w:rFonts w:ascii="Times New Roman" w:cs="Times New Roman" w:eastAsia="Times New Roman" w:hAnsi="Times New Roman"/>
          <w:sz w:val="17"/>
          <w:szCs w:val="17"/>
          <w:color w:val="auto"/>
        </w:rPr>
      </w:pPr>
    </w:p>
    <w:p>
      <w:pPr>
        <w:ind w:right="860" w:firstLine="4"/>
        <w:spacing w:after="0" w:line="291" w:lineRule="auto"/>
        <w:tabs>
          <w:tab w:leader="none" w:pos="244"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other reports filed with the Commission pursuant to Sections 13(a) or 15(d) of the Exchange Act since the end of the fiscal year covered by the Registrant’s Annual Report referred to in (a) above; and</w:t>
      </w:r>
    </w:p>
    <w:p>
      <w:pPr>
        <w:spacing w:after="0" w:line="43" w:lineRule="exact"/>
        <w:rPr>
          <w:rFonts w:ascii="Times New Roman" w:cs="Times New Roman" w:eastAsia="Times New Roman" w:hAnsi="Times New Roman"/>
          <w:sz w:val="17"/>
          <w:szCs w:val="17"/>
          <w:color w:val="auto"/>
        </w:rPr>
      </w:pPr>
    </w:p>
    <w:p>
      <w:pPr>
        <w:ind w:right="120" w:firstLine="4"/>
        <w:spacing w:after="0" w:line="291" w:lineRule="auto"/>
        <w:tabs>
          <w:tab w:leader="none" w:pos="235"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description of the Registrant’s Common Stock contained in the Company’s Registration Statement on </w:t>
      </w:r>
      <w:hyperlink r:id="rId15">
        <w:r>
          <w:rPr>
            <w:rFonts w:ascii="Times New Roman" w:cs="Times New Roman" w:eastAsia="Times New Roman" w:hAnsi="Times New Roman"/>
            <w:sz w:val="17"/>
            <w:szCs w:val="17"/>
            <w:u w:val="single" w:color="auto"/>
            <w:color w:val="0000EE"/>
          </w:rPr>
          <w:t>Form 8-A</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(File No. 001-40656) filed with the Commission on July 23, 2021, pursuant to Section 12(b) of Exchange Act, including any amendment or report filed for the purpose of updating such description.</w:t>
      </w:r>
    </w:p>
    <w:p>
      <w:pPr>
        <w:spacing w:after="0" w:line="44" w:lineRule="exact"/>
        <w:rPr>
          <w:rFonts w:ascii="Times New Roman" w:cs="Times New Roman" w:eastAsia="Times New Roman" w:hAnsi="Times New Roman"/>
          <w:sz w:val="17"/>
          <w:szCs w:val="17"/>
          <w:color w:val="auto"/>
        </w:rPr>
      </w:pPr>
    </w:p>
    <w:p>
      <w:pPr>
        <w:ind w:right="20"/>
        <w:spacing w:after="0" w:line="259" w:lineRule="auto"/>
        <w:rPr>
          <w:sz w:val="20"/>
          <w:szCs w:val="20"/>
          <w:color w:val="auto"/>
        </w:rPr>
      </w:pPr>
      <w:r>
        <w:rPr>
          <w:rFonts w:ascii="Times New Roman" w:cs="Times New Roman" w:eastAsia="Times New Roman" w:hAnsi="Times New Roman"/>
          <w:sz w:val="17"/>
          <w:szCs w:val="17"/>
          <w:color w:val="auto"/>
        </w:rPr>
        <w:t>All documents filed by the Registrant pursuant to Sections 13(a), 13(c), 14 and 15(d) of the Exchange Act on or after the date of this Registration Statement and prior to the filing of a post-effective amendment to this Registration Statement that indicates that all securities offered have been sold or that deregisters all securities then remaining unsold shall be deemed to be incorporated by reference in this Registration Statement and to be part hereof from the date of filing of such documents; provided, however, that documents or information deemed to have been furnished and not filed in accordance with the rules of the Commission shall not be deemed incorporated by reference into this Registration Statement. Any statement contained in a document incorporated or deemed to be incorporated by reference herein shall be deemed to be modified or superseded for purposes of this Registration Statement to the extent that a statement contained herein or in any subsequently filed document which also is deemed to be incorporated by reference herein modifies or supersedes such statement. Any such statement so modified or superseded shall not be deemed, except as so modified or superseded, to constitute a part of this Registration Statement.</w:t>
      </w:r>
    </w:p>
    <w:p>
      <w:pPr>
        <w:spacing w:after="0" w:line="175" w:lineRule="exact"/>
        <w:rPr>
          <w:rFonts w:ascii="Times New Roman" w:cs="Times New Roman" w:eastAsia="Times New Roman" w:hAnsi="Times New Roman"/>
          <w:sz w:val="17"/>
          <w:szCs w:val="17"/>
          <w:color w:val="auto"/>
        </w:rPr>
      </w:pPr>
    </w:p>
    <w:p>
      <w:pPr>
        <w:spacing w:after="0"/>
        <w:tabs>
          <w:tab w:leader="none" w:pos="1680" w:val="left"/>
        </w:tabs>
        <w:rPr>
          <w:sz w:val="20"/>
          <w:szCs w:val="20"/>
          <w:color w:val="auto"/>
        </w:rPr>
      </w:pPr>
      <w:r>
        <w:rPr>
          <w:rFonts w:ascii="Times New Roman" w:cs="Times New Roman" w:eastAsia="Times New Roman" w:hAnsi="Times New Roman"/>
          <w:sz w:val="17"/>
          <w:szCs w:val="17"/>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Description of Securities.</w:t>
      </w:r>
    </w:p>
    <w:p>
      <w:pPr>
        <w:spacing w:after="0" w:line="117" w:lineRule="exact"/>
        <w:rPr>
          <w:rFonts w:ascii="Times New Roman" w:cs="Times New Roman" w:eastAsia="Times New Roman" w:hAnsi="Times New Roman"/>
          <w:sz w:val="17"/>
          <w:szCs w:val="17"/>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217" w:lineRule="exact"/>
        <w:rPr>
          <w:rFonts w:ascii="Times New Roman" w:cs="Times New Roman" w:eastAsia="Times New Roman" w:hAnsi="Times New Roman"/>
          <w:sz w:val="17"/>
          <w:szCs w:val="17"/>
          <w:color w:val="auto"/>
        </w:rPr>
      </w:pPr>
    </w:p>
    <w:p>
      <w:pPr>
        <w:spacing w:after="0"/>
        <w:tabs>
          <w:tab w:leader="none" w:pos="1640" w:val="left"/>
        </w:tabs>
        <w:rPr>
          <w:sz w:val="20"/>
          <w:szCs w:val="20"/>
          <w:color w:val="auto"/>
        </w:rPr>
      </w:pPr>
      <w:r>
        <w:rPr>
          <w:rFonts w:ascii="Times New Roman" w:cs="Times New Roman" w:eastAsia="Times New Roman" w:hAnsi="Times New Roman"/>
          <w:sz w:val="17"/>
          <w:szCs w:val="17"/>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Interests of Named Experts and Counsel.</w:t>
      </w:r>
    </w:p>
    <w:p>
      <w:pPr>
        <w:spacing w:after="0" w:line="117" w:lineRule="exact"/>
        <w:rPr>
          <w:rFonts w:ascii="Times New Roman" w:cs="Times New Roman" w:eastAsia="Times New Roman" w:hAnsi="Times New Roman"/>
          <w:sz w:val="17"/>
          <w:szCs w:val="17"/>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217" w:lineRule="exact"/>
        <w:rPr>
          <w:rFonts w:ascii="Times New Roman" w:cs="Times New Roman" w:eastAsia="Times New Roman" w:hAnsi="Times New Roman"/>
          <w:sz w:val="17"/>
          <w:szCs w:val="17"/>
          <w:color w:val="auto"/>
        </w:rPr>
      </w:pPr>
    </w:p>
    <w:p>
      <w:pPr>
        <w:spacing w:after="0"/>
        <w:tabs>
          <w:tab w:leader="none" w:pos="1600" w:val="left"/>
        </w:tabs>
        <w:rPr>
          <w:sz w:val="20"/>
          <w:szCs w:val="20"/>
          <w:color w:val="auto"/>
        </w:rPr>
      </w:pPr>
      <w:r>
        <w:rPr>
          <w:rFonts w:ascii="Times New Roman" w:cs="Times New Roman" w:eastAsia="Times New Roman" w:hAnsi="Times New Roman"/>
          <w:sz w:val="17"/>
          <w:szCs w:val="17"/>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Indemnification of Directors and Officers.</w:t>
      </w:r>
    </w:p>
    <w:p>
      <w:pPr>
        <w:spacing w:after="0" w:line="117" w:lineRule="exact"/>
        <w:rPr>
          <w:rFonts w:ascii="Times New Roman" w:cs="Times New Roman" w:eastAsia="Times New Roman" w:hAnsi="Times New Roman"/>
          <w:sz w:val="17"/>
          <w:szCs w:val="17"/>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Section 145 of the Delaware General Corporation Law generally empowers a corporation to indemnify its directors and officers, provided that the person acted in good faith and in a manner the person reasonably believed to be in our best interests, and, with respect to any criminal action, had no reasonable cause to believe the person’s actions were unlawful, and to purchase insurance with respect to liability arising out of their capacity or status as directors and officers. The Delaware General Corporation Law further provides that the indemnification permitted thereunder shall not be deemed exclusive of any other rights to which the directors and officers may be entitled under the corporation’s bylaws, any agreement, a vote of stockholders or otherwise. The amended and restated certificate of incorporation of the Registrant provides for the</w:t>
      </w:r>
    </w:p>
    <w:p>
      <w:pPr>
        <w:spacing w:after="0" w:line="20"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column">
              <wp:posOffset>-9525</wp:posOffset>
            </wp:positionH>
            <wp:positionV relativeFrom="paragraph">
              <wp:posOffset>594995</wp:posOffset>
            </wp:positionV>
            <wp:extent cx="716343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9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color w:val="auto"/>
        </w:rPr>
        <w:t>indemnification of the Registrant’s directors and officers to the fullest extent permitted under the Delaware General Corporation Law.</w:t>
      </w:r>
    </w:p>
    <w:p>
      <w:pPr>
        <w:spacing w:after="0" w:line="21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In addition, the amended and restated bylaws of the Registrant require, subject to certain limitations, the Registrant to fully indemnify any person who was or is a party or is threatened to be made a party to any threatened, pending or completed action, suit or proceeding (whether civil, criminal, administrative or investigative) by reason of the fact that such person is or was a director or officer of the Registrant, or is or was a director or officer of the Registrant serving at the Registrant’s request as a director, officer, employee or agent of another corporation, partnership, joint venture, trust or other enterprise, against expenses (including attorney’s fees), judgments, fines and amounts paid in settlement actually and reasonably incurred by such person in connection with such action, suit or proceeding, to the fullest extent permitted by applicable law.</w:t>
      </w:r>
    </w:p>
    <w:p>
      <w:pPr>
        <w:spacing w:after="0" w:line="175"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7"/>
          <w:szCs w:val="17"/>
          <w:color w:val="auto"/>
        </w:rPr>
        <w:t>Section 102(b)(7) of the Delaware General Corporation Law permits a corporation to provide in its certificate of incorporation that a director or an officer of the corporation shall not be personally liable to the corporation or its stockholders for monetary damages for breach of fiduciary duty as a director or officer, except</w:t>
      </w:r>
    </w:p>
    <w:p>
      <w:pPr>
        <w:spacing w:after="0" w:line="1" w:lineRule="exact"/>
        <w:rPr>
          <w:sz w:val="20"/>
          <w:szCs w:val="20"/>
          <w:color w:val="auto"/>
        </w:rPr>
      </w:pPr>
    </w:p>
    <w:p>
      <w:pPr>
        <w:ind w:right="20" w:firstLine="4"/>
        <w:spacing w:after="0" w:line="256" w:lineRule="auto"/>
        <w:tabs>
          <w:tab w:leader="none" w:pos="244"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any breach of the director’s or officer’s duty of loyalty to the corporation or its stockholders, (2) for acts or omissions not in good faith or which involve intentional misconduct or a knowing violation of law, (3) for payments of unlawful dividends or unlawful stock repurchases or redemptions, (4) for any transaction from which the director or officer derived an improper personal benefit, or (5) with respect to an officer, in any action by or in the right of the corporation. The Registrant’s amended and restated certificate of incorporation provides that the Registrant’s directors and officers shall not be personally liable to it or its stockholders for monetary damages for breach of fiduciary duty as a director or officer and that if the Delaware General Corporation Law is amended to authorize corporate action further eliminating or limiting the personal liability of directors or officers, then the liability of the Registrant’s directors and officers shall be eliminated or limited to the fullest extent permitted by the Delaware General Corporation Law, as so amended.</w:t>
      </w:r>
    </w:p>
    <w:p>
      <w:pPr>
        <w:spacing w:after="0" w:line="179"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7"/>
          <w:szCs w:val="17"/>
          <w:color w:val="auto"/>
        </w:rPr>
        <w:t>Section 174 of the Delaware General Corporation Law provides, among other things, that a director who willfully or negligently approves of an unlawful payment of dividends or an unlawful stock repurchase or redemption may be held liable to the full amount of the dividend unlawfully paid, or to the full amount unlawfully paid for the repurchase or redemption of the corporation’s stock, with interest from the time such liability accrued. A director who was either absent when the unlawful actions were approved, or dissented at the time, may avoid liability by causing his or her dissent to such actions to be entered in the books containing minutes of the proceedings of the board of directors at the time such action occurred or immediately after such absent director receives notice of the unlawful acts.</w:t>
      </w:r>
    </w:p>
    <w:p>
      <w:pPr>
        <w:spacing w:after="0" w:line="172"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As permitted by the Delaware General Corporation Law, the Registrant has entered into separate indemnification agreements with each of the Registrant’s directors and executive officers which would require the Registrant, among other things, to indemnify them against certain liabilities which may arise by reason of their status as directors or executive officers.</w:t>
      </w:r>
    </w:p>
    <w:p>
      <w:pPr>
        <w:spacing w:after="0" w:line="162"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The Registrant has obtained insurance policies under which its directors and officers are insured, within the limits and subject to the limitations of those policies, against certain expenses in connection with the defense of, and certain liabilities which might be imposed as a result of, actions, suits or proceedings to which they are parties by reason of being or having been directors or officers. The coverage provided by these policies may apply whether or not the Registrant would have the power to indemnify such person against such liability under the provisions of the Delaware General Corporation Law.</w:t>
      </w:r>
    </w:p>
    <w:p>
      <w:pPr>
        <w:ind w:right="140"/>
        <w:spacing w:after="0" w:line="268" w:lineRule="auto"/>
        <w:rPr>
          <w:sz w:val="20"/>
          <w:szCs w:val="20"/>
          <w:color w:val="auto"/>
        </w:rPr>
      </w:pPr>
      <w:r>
        <w:rPr>
          <w:rFonts w:ascii="Times New Roman" w:cs="Times New Roman" w:eastAsia="Times New Roman" w:hAnsi="Times New Roman"/>
          <w:sz w:val="17"/>
          <w:szCs w:val="17"/>
          <w:color w:val="auto"/>
        </w:rPr>
        <w:t>These indemnification provisions and the indemnification agreements entered into between the Registrant and the Registrant’s officers and directors may be sufficiently broad to permit indemnification of the Registrant’s officers and directors for liabilities (including reimbursement of expenses incurred) arising under</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Securities Act of 1933, as amended.</w:t>
      </w:r>
    </w:p>
    <w:p>
      <w:pPr>
        <w:spacing w:after="0" w:line="243" w:lineRule="exact"/>
        <w:rPr>
          <w:sz w:val="20"/>
          <w:szCs w:val="20"/>
          <w:color w:val="auto"/>
        </w:rPr>
      </w:pPr>
    </w:p>
    <w:p>
      <w:pPr>
        <w:spacing w:after="0"/>
        <w:tabs>
          <w:tab w:leader="none" w:pos="1700" w:val="left"/>
        </w:tabs>
        <w:rPr>
          <w:sz w:val="20"/>
          <w:szCs w:val="20"/>
          <w:color w:val="auto"/>
        </w:rPr>
      </w:pPr>
      <w:r>
        <w:rPr>
          <w:rFonts w:ascii="Times New Roman" w:cs="Times New Roman" w:eastAsia="Times New Roman" w:hAnsi="Times New Roman"/>
          <w:sz w:val="17"/>
          <w:szCs w:val="17"/>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Exemption from Registration Claimed.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622935</wp:posOffset>
            </wp:positionV>
            <wp:extent cx="716343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8"/>
        </w:trPr>
        <w:tc>
          <w:tcPr>
            <w:tcW w:w="9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Item 8.</w:t>
            </w:r>
          </w:p>
        </w:tc>
        <w:tc>
          <w:tcPr>
            <w:tcW w:w="740" w:type="dxa"/>
            <w:vAlign w:val="bottom"/>
          </w:tcPr>
          <w:p>
            <w:pPr>
              <w:spacing w:after="0"/>
              <w:rPr>
                <w:sz w:val="19"/>
                <w:szCs w:val="19"/>
                <w:color w:val="auto"/>
              </w:rPr>
            </w:pPr>
          </w:p>
        </w:tc>
        <w:tc>
          <w:tcPr>
            <w:tcW w:w="5480" w:type="dxa"/>
            <w:vAlign w:val="bottom"/>
            <w:gridSpan w:val="11"/>
          </w:tcPr>
          <w:p>
            <w:pPr>
              <w:ind w:left="40"/>
              <w:spacing w:after="0"/>
              <w:rPr>
                <w:sz w:val="20"/>
                <w:szCs w:val="20"/>
                <w:color w:val="auto"/>
              </w:rPr>
            </w:pPr>
            <w:r>
              <w:rPr>
                <w:rFonts w:ascii="Times New Roman" w:cs="Times New Roman" w:eastAsia="Times New Roman" w:hAnsi="Times New Roman"/>
                <w:sz w:val="17"/>
                <w:szCs w:val="17"/>
                <w:b w:val="1"/>
                <w:bCs w:val="1"/>
                <w:color w:val="auto"/>
              </w:rPr>
              <w:t>Exhibits.</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604"/>
        </w:trPr>
        <w:tc>
          <w:tcPr>
            <w:tcW w:w="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4"/>
          </w:tcPr>
          <w:p>
            <w:pPr>
              <w:ind w:left="42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120" w:type="dxa"/>
            <w:vAlign w:val="bottom"/>
            <w:tcBorders>
              <w:bottom w:val="single" w:sz="8" w:color="auto"/>
            </w:tcBorders>
          </w:tcPr>
          <w:p>
            <w:pPr>
              <w:spacing w:after="0"/>
              <w:rPr>
                <w:sz w:val="24"/>
                <w:szCs w:val="24"/>
                <w:color w:val="auto"/>
              </w:rPr>
            </w:pPr>
          </w:p>
        </w:tc>
      </w:tr>
      <w:tr>
        <w:trPr>
          <w:trHeight w:val="166"/>
        </w:trPr>
        <w:tc>
          <w:tcPr>
            <w:tcW w:w="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920" w:type="dxa"/>
            <w:vAlign w:val="bottom"/>
            <w:gridSpan w:val="9"/>
          </w:tcPr>
          <w:p>
            <w:pPr>
              <w:ind w:left="14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68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Form</w:t>
            </w:r>
          </w:p>
        </w:tc>
        <w:tc>
          <w:tcPr>
            <w:tcW w:w="100" w:type="dxa"/>
            <w:vAlign w:val="bottom"/>
          </w:tcPr>
          <w:p>
            <w:pPr>
              <w:spacing w:after="0"/>
              <w:rPr>
                <w:sz w:val="14"/>
                <w:szCs w:val="14"/>
                <w:color w:val="auto"/>
              </w:rPr>
            </w:pPr>
          </w:p>
        </w:tc>
        <w:tc>
          <w:tcPr>
            <w:tcW w:w="124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00" w:type="dxa"/>
            <w:vAlign w:val="bottom"/>
          </w:tcPr>
          <w:p>
            <w:pPr>
              <w:spacing w:after="0"/>
              <w:rPr>
                <w:sz w:val="14"/>
                <w:szCs w:val="14"/>
                <w:color w:val="auto"/>
              </w:rPr>
            </w:pPr>
          </w:p>
        </w:tc>
        <w:tc>
          <w:tcPr>
            <w:tcW w:w="6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Filing Date</w:t>
            </w:r>
          </w:p>
        </w:tc>
      </w:tr>
      <w:tr>
        <w:trPr>
          <w:trHeight w:val="265"/>
        </w:trPr>
        <w:tc>
          <w:tcPr>
            <w:tcW w:w="920" w:type="dxa"/>
            <w:vAlign w:val="bottom"/>
          </w:tcPr>
          <w:p>
            <w:pPr>
              <w:spacing w:after="0"/>
              <w:rPr>
                <w:sz w:val="20"/>
                <w:szCs w:val="20"/>
                <w:color w:val="auto"/>
              </w:rPr>
            </w:pPr>
            <w:r>
              <w:rPr>
                <w:rFonts w:ascii="Times New Roman" w:cs="Times New Roman" w:eastAsia="Times New Roman" w:hAnsi="Times New Roman"/>
                <w:sz w:val="17"/>
                <w:szCs w:val="17"/>
                <w:color w:val="auto"/>
              </w:rPr>
              <w:t>4.1</w:t>
            </w:r>
          </w:p>
        </w:tc>
        <w:tc>
          <w:tcPr>
            <w:tcW w:w="3700" w:type="dxa"/>
            <w:vAlign w:val="bottom"/>
            <w:tcBorders>
              <w:bottom w:val="single" w:sz="8" w:color="0000EE"/>
            </w:tcBorders>
            <w:gridSpan w:val="4"/>
          </w:tcPr>
          <w:p>
            <w:pPr>
              <w:spacing w:after="0"/>
              <w:rPr>
                <w:rFonts w:ascii="Times New Roman" w:cs="Times New Roman" w:eastAsia="Times New Roman" w:hAnsi="Times New Roman"/>
                <w:sz w:val="17"/>
                <w:szCs w:val="17"/>
                <w:color w:val="0000EE"/>
              </w:rPr>
            </w:pPr>
            <w:hyperlink r:id="rId18">
              <w:r>
                <w:rPr>
                  <w:rFonts w:ascii="Times New Roman" w:cs="Times New Roman" w:eastAsia="Times New Roman" w:hAnsi="Times New Roman"/>
                  <w:sz w:val="17"/>
                  <w:szCs w:val="17"/>
                  <w:color w:val="0000EE"/>
                </w:rPr>
                <w:t>Specimen common stock certificate of the Registrant</w:t>
              </w:r>
            </w:hyperlink>
          </w:p>
        </w:tc>
        <w:tc>
          <w:tcPr>
            <w:tcW w:w="2520" w:type="dxa"/>
            <w:vAlign w:val="bottom"/>
            <w:gridSpan w:val="8"/>
          </w:tcPr>
          <w:p>
            <w:pPr>
              <w:spacing w:after="0"/>
              <w:rPr>
                <w:sz w:val="23"/>
                <w:szCs w:val="23"/>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S-1/A</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333-257820</w:t>
            </w: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4.2</w:t>
            </w:r>
          </w:p>
        </w:tc>
        <w:tc>
          <w:tcPr>
            <w:tcW w:w="100" w:type="dxa"/>
            <w:vAlign w:val="bottom"/>
          </w:tcPr>
          <w:p>
            <w:pPr>
              <w:spacing w:after="0"/>
              <w:rPr>
                <w:sz w:val="23"/>
                <w:szCs w:val="23"/>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7/26/2021</w:t>
            </w:r>
          </w:p>
        </w:tc>
      </w:tr>
      <w:tr>
        <w:trPr>
          <w:trHeight w:val="291"/>
        </w:trPr>
        <w:tc>
          <w:tcPr>
            <w:tcW w:w="920" w:type="dxa"/>
            <w:vAlign w:val="bottom"/>
          </w:tcPr>
          <w:p>
            <w:pPr>
              <w:spacing w:after="0"/>
              <w:rPr>
                <w:sz w:val="20"/>
                <w:szCs w:val="20"/>
                <w:color w:val="auto"/>
              </w:rPr>
            </w:pPr>
            <w:r>
              <w:rPr>
                <w:rFonts w:ascii="Times New Roman" w:cs="Times New Roman" w:eastAsia="Times New Roman" w:hAnsi="Times New Roman"/>
                <w:sz w:val="17"/>
                <w:szCs w:val="17"/>
                <w:color w:val="auto"/>
              </w:rPr>
              <w:t>4.2</w:t>
            </w:r>
          </w:p>
        </w:tc>
        <w:tc>
          <w:tcPr>
            <w:tcW w:w="6220" w:type="dxa"/>
            <w:vAlign w:val="bottom"/>
            <w:gridSpan w:val="12"/>
          </w:tcPr>
          <w:p>
            <w:pPr>
              <w:spacing w:after="0"/>
              <w:rPr>
                <w:rFonts w:ascii="Times New Roman" w:cs="Times New Roman" w:eastAsia="Times New Roman" w:hAnsi="Times New Roman"/>
                <w:sz w:val="17"/>
                <w:szCs w:val="17"/>
                <w:color w:val="0000EE"/>
              </w:rPr>
            </w:pPr>
            <w:hyperlink r:id="rId19">
              <w:r>
                <w:rPr>
                  <w:rFonts w:ascii="Times New Roman" w:cs="Times New Roman" w:eastAsia="Times New Roman" w:hAnsi="Times New Roman"/>
                  <w:sz w:val="17"/>
                  <w:szCs w:val="17"/>
                  <w:color w:val="0000EE"/>
                </w:rPr>
                <w:t>2021 Equity Incentive Plan and forms of agreements thereunder</w:t>
              </w:r>
            </w:hyperlink>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10-K</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001-40656</w:t>
            </w:r>
          </w:p>
        </w:tc>
        <w:tc>
          <w:tcPr>
            <w:tcW w:w="10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10.2</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3/23/2022</w:t>
            </w:r>
          </w:p>
        </w:tc>
      </w:tr>
      <w:tr>
        <w:trPr>
          <w:trHeight w:val="20"/>
        </w:trPr>
        <w:tc>
          <w:tcPr>
            <w:tcW w:w="92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91"/>
        </w:trPr>
        <w:tc>
          <w:tcPr>
            <w:tcW w:w="920" w:type="dxa"/>
            <w:vAlign w:val="bottom"/>
          </w:tcPr>
          <w:p>
            <w:pPr>
              <w:spacing w:after="0"/>
              <w:rPr>
                <w:sz w:val="20"/>
                <w:szCs w:val="20"/>
                <w:color w:val="auto"/>
              </w:rPr>
            </w:pPr>
            <w:r>
              <w:rPr>
                <w:rFonts w:ascii="Times New Roman" w:cs="Times New Roman" w:eastAsia="Times New Roman" w:hAnsi="Times New Roman"/>
                <w:sz w:val="17"/>
                <w:szCs w:val="17"/>
                <w:color w:val="auto"/>
              </w:rPr>
              <w:t>4.3</w:t>
            </w:r>
          </w:p>
        </w:tc>
        <w:tc>
          <w:tcPr>
            <w:tcW w:w="5120" w:type="dxa"/>
            <w:vAlign w:val="bottom"/>
            <w:tcBorders>
              <w:bottom w:val="single" w:sz="8" w:color="0000EE"/>
            </w:tcBorders>
            <w:gridSpan w:val="8"/>
          </w:tcPr>
          <w:p>
            <w:pPr>
              <w:spacing w:after="0"/>
              <w:rPr>
                <w:rFonts w:ascii="Times New Roman" w:cs="Times New Roman" w:eastAsia="Times New Roman" w:hAnsi="Times New Roman"/>
                <w:sz w:val="17"/>
                <w:szCs w:val="17"/>
                <w:color w:val="0000EE"/>
              </w:rPr>
            </w:pPr>
            <w:hyperlink r:id="rId20">
              <w:r>
                <w:rPr>
                  <w:rFonts w:ascii="Times New Roman" w:cs="Times New Roman" w:eastAsia="Times New Roman" w:hAnsi="Times New Roman"/>
                  <w:sz w:val="17"/>
                  <w:szCs w:val="17"/>
                  <w:color w:val="0000EE"/>
                </w:rPr>
                <w:t>2021 Employee Stock Purchase Plan and forms of agreements thereunder</w:t>
              </w:r>
            </w:hyperlink>
          </w:p>
        </w:tc>
        <w:tc>
          <w:tcPr>
            <w:tcW w:w="1100" w:type="dxa"/>
            <w:vAlign w:val="bottom"/>
            <w:gridSpan w:val="4"/>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S-1/A</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333-257820</w:t>
            </w: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10.4</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7/26/2021</w:t>
            </w:r>
          </w:p>
        </w:tc>
      </w:tr>
      <w:tr>
        <w:trPr>
          <w:trHeight w:val="291"/>
        </w:trPr>
        <w:tc>
          <w:tcPr>
            <w:tcW w:w="920" w:type="dxa"/>
            <w:vAlign w:val="bottom"/>
          </w:tcPr>
          <w:p>
            <w:pPr>
              <w:spacing w:after="0"/>
              <w:rPr>
                <w:sz w:val="20"/>
                <w:szCs w:val="20"/>
                <w:color w:val="auto"/>
              </w:rPr>
            </w:pPr>
            <w:r>
              <w:rPr>
                <w:rFonts w:ascii="Times New Roman" w:cs="Times New Roman" w:eastAsia="Times New Roman" w:hAnsi="Times New Roman"/>
                <w:sz w:val="17"/>
                <w:szCs w:val="17"/>
                <w:color w:val="auto"/>
              </w:rPr>
              <w:t>4.4</w:t>
            </w:r>
          </w:p>
        </w:tc>
        <w:tc>
          <w:tcPr>
            <w:tcW w:w="5480" w:type="dxa"/>
            <w:vAlign w:val="bottom"/>
            <w:tcBorders>
              <w:bottom w:val="single" w:sz="8" w:color="0000FF"/>
            </w:tcBorders>
            <w:gridSpan w:val="9"/>
          </w:tcPr>
          <w:p>
            <w:pPr>
              <w:spacing w:after="0"/>
              <w:rPr>
                <w:rFonts w:ascii="Times New Roman" w:cs="Times New Roman" w:eastAsia="Times New Roman" w:hAnsi="Times New Roman"/>
                <w:sz w:val="17"/>
                <w:szCs w:val="17"/>
                <w:color w:val="0000FF"/>
              </w:rPr>
            </w:pPr>
            <w:hyperlink r:id="rId21">
              <w:r>
                <w:rPr>
                  <w:rFonts w:ascii="Times New Roman" w:cs="Times New Roman" w:eastAsia="Times New Roman" w:hAnsi="Times New Roman"/>
                  <w:sz w:val="17"/>
                  <w:szCs w:val="17"/>
                  <w:color w:val="0000FF"/>
                </w:rPr>
                <w:t>2024 Inducement Equity Incentive Plan, as amended, and forms of agreements</w:t>
              </w:r>
            </w:hyperlink>
          </w:p>
        </w:tc>
        <w:tc>
          <w:tcPr>
            <w:tcW w:w="740" w:type="dxa"/>
            <w:vAlign w:val="bottom"/>
            <w:gridSpan w:val="3"/>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87"/>
        </w:trPr>
        <w:tc>
          <w:tcPr>
            <w:tcW w:w="920" w:type="dxa"/>
            <w:vAlign w:val="bottom"/>
          </w:tcPr>
          <w:p>
            <w:pPr>
              <w:spacing w:after="0"/>
              <w:rPr>
                <w:sz w:val="16"/>
                <w:szCs w:val="16"/>
                <w:color w:val="auto"/>
              </w:rPr>
            </w:pPr>
          </w:p>
        </w:tc>
        <w:tc>
          <w:tcPr>
            <w:tcW w:w="6220" w:type="dxa"/>
            <w:vAlign w:val="bottom"/>
            <w:gridSpan w:val="12"/>
          </w:tcPr>
          <w:p>
            <w:pPr>
              <w:spacing w:after="0" w:line="187" w:lineRule="exact"/>
              <w:rPr>
                <w:rFonts w:ascii="Times New Roman" w:cs="Times New Roman" w:eastAsia="Times New Roman" w:hAnsi="Times New Roman"/>
                <w:sz w:val="17"/>
                <w:szCs w:val="17"/>
                <w:color w:val="0000FF"/>
              </w:rPr>
            </w:pPr>
            <w:hyperlink r:id="rId21">
              <w:r>
                <w:rPr>
                  <w:rFonts w:ascii="Times New Roman" w:cs="Times New Roman" w:eastAsia="Times New Roman" w:hAnsi="Times New Roman"/>
                  <w:sz w:val="17"/>
                  <w:szCs w:val="17"/>
                  <w:color w:val="0000FF"/>
                </w:rPr>
                <w:t>thereunder</w:t>
              </w:r>
            </w:hyperlink>
          </w:p>
        </w:tc>
        <w:tc>
          <w:tcPr>
            <w:tcW w:w="780" w:type="dxa"/>
            <w:vAlign w:val="bottom"/>
            <w:gridSpan w:val="2"/>
          </w:tcPr>
          <w:p>
            <w:pPr>
              <w:jc w:val="right"/>
              <w:ind w:right="100"/>
              <w:spacing w:after="0" w:line="187" w:lineRule="exact"/>
              <w:rPr>
                <w:sz w:val="20"/>
                <w:szCs w:val="20"/>
                <w:color w:val="auto"/>
              </w:rPr>
            </w:pPr>
            <w:r>
              <w:rPr>
                <w:rFonts w:ascii="Times New Roman" w:cs="Times New Roman" w:eastAsia="Times New Roman" w:hAnsi="Times New Roman"/>
                <w:sz w:val="17"/>
                <w:szCs w:val="17"/>
                <w:color w:val="auto"/>
              </w:rPr>
              <w:t>8-K</w:t>
            </w:r>
          </w:p>
        </w:tc>
        <w:tc>
          <w:tcPr>
            <w:tcW w:w="1240" w:type="dxa"/>
            <w:vAlign w:val="bottom"/>
          </w:tcPr>
          <w:p>
            <w:pPr>
              <w:jc w:val="right"/>
              <w:spacing w:after="0" w:line="187" w:lineRule="exact"/>
              <w:rPr>
                <w:sz w:val="20"/>
                <w:szCs w:val="20"/>
                <w:color w:val="auto"/>
              </w:rPr>
            </w:pPr>
            <w:r>
              <w:rPr>
                <w:rFonts w:ascii="Times New Roman" w:cs="Times New Roman" w:eastAsia="Times New Roman" w:hAnsi="Times New Roman"/>
                <w:sz w:val="17"/>
                <w:szCs w:val="17"/>
                <w:color w:val="auto"/>
              </w:rPr>
              <w:t>001-40656</w:t>
            </w:r>
          </w:p>
        </w:tc>
        <w:tc>
          <w:tcPr>
            <w:tcW w:w="100" w:type="dxa"/>
            <w:vAlign w:val="bottom"/>
          </w:tcPr>
          <w:p>
            <w:pPr>
              <w:spacing w:after="0"/>
              <w:rPr>
                <w:sz w:val="16"/>
                <w:szCs w:val="16"/>
                <w:color w:val="auto"/>
              </w:rPr>
            </w:pPr>
          </w:p>
        </w:tc>
        <w:tc>
          <w:tcPr>
            <w:tcW w:w="660" w:type="dxa"/>
            <w:vAlign w:val="bottom"/>
          </w:tcPr>
          <w:p>
            <w:pPr>
              <w:jc w:val="center"/>
              <w:spacing w:after="0" w:line="187" w:lineRule="exact"/>
              <w:rPr>
                <w:sz w:val="20"/>
                <w:szCs w:val="20"/>
                <w:color w:val="auto"/>
              </w:rPr>
            </w:pPr>
            <w:r>
              <w:rPr>
                <w:rFonts w:ascii="Times New Roman" w:cs="Times New Roman" w:eastAsia="Times New Roman" w:hAnsi="Times New Roman"/>
                <w:sz w:val="17"/>
                <w:szCs w:val="17"/>
                <w:color w:val="auto"/>
              </w:rPr>
              <w:t>10.1</w:t>
            </w:r>
          </w:p>
        </w:tc>
        <w:tc>
          <w:tcPr>
            <w:tcW w:w="100" w:type="dxa"/>
            <w:vAlign w:val="bottom"/>
          </w:tcPr>
          <w:p>
            <w:pPr>
              <w:spacing w:after="0"/>
              <w:rPr>
                <w:sz w:val="16"/>
                <w:szCs w:val="16"/>
                <w:color w:val="auto"/>
              </w:rPr>
            </w:pPr>
          </w:p>
        </w:tc>
        <w:tc>
          <w:tcPr>
            <w:tcW w:w="1120" w:type="dxa"/>
            <w:vAlign w:val="bottom"/>
          </w:tcPr>
          <w:p>
            <w:pPr>
              <w:jc w:val="center"/>
              <w:spacing w:after="0" w:line="187" w:lineRule="exact"/>
              <w:rPr>
                <w:sz w:val="20"/>
                <w:szCs w:val="20"/>
                <w:color w:val="auto"/>
              </w:rPr>
            </w:pPr>
            <w:r>
              <w:rPr>
                <w:rFonts w:ascii="Times New Roman" w:cs="Times New Roman" w:eastAsia="Times New Roman" w:hAnsi="Times New Roman"/>
                <w:sz w:val="17"/>
                <w:szCs w:val="17"/>
                <w:color w:val="auto"/>
              </w:rPr>
              <w:t>1/30/2026</w:t>
            </w:r>
          </w:p>
        </w:tc>
      </w:tr>
      <w:tr>
        <w:trPr>
          <w:trHeight w:val="20"/>
        </w:trPr>
        <w:tc>
          <w:tcPr>
            <w:tcW w:w="9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65"/>
        </w:trPr>
        <w:tc>
          <w:tcPr>
            <w:tcW w:w="920" w:type="dxa"/>
            <w:vAlign w:val="bottom"/>
          </w:tcPr>
          <w:p>
            <w:pPr>
              <w:spacing w:after="0"/>
              <w:rPr>
                <w:sz w:val="20"/>
                <w:szCs w:val="20"/>
                <w:color w:val="auto"/>
              </w:rPr>
            </w:pPr>
            <w:r>
              <w:rPr>
                <w:rFonts w:ascii="Times New Roman" w:cs="Times New Roman" w:eastAsia="Times New Roman" w:hAnsi="Times New Roman"/>
                <w:sz w:val="17"/>
                <w:szCs w:val="17"/>
                <w:color w:val="auto"/>
              </w:rPr>
              <w:t>5.1*</w:t>
            </w:r>
          </w:p>
        </w:tc>
        <w:tc>
          <w:tcPr>
            <w:tcW w:w="50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7"/>
                <w:szCs w:val="17"/>
                <w:color w:val="0000FF"/>
              </w:rPr>
              <w:t>Opinion of Wilson Sonsini Goodrich &amp; Rosati, Professional Corporation</w:t>
            </w:r>
          </w:p>
        </w:tc>
        <w:tc>
          <w:tcPr>
            <w:tcW w:w="1140" w:type="dxa"/>
            <w:vAlign w:val="bottom"/>
            <w:gridSpan w:val="5"/>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91"/>
        </w:trPr>
        <w:tc>
          <w:tcPr>
            <w:tcW w:w="920" w:type="dxa"/>
            <w:vAlign w:val="bottom"/>
          </w:tcPr>
          <w:p>
            <w:pPr>
              <w:spacing w:after="0"/>
              <w:rPr>
                <w:sz w:val="20"/>
                <w:szCs w:val="20"/>
                <w:color w:val="auto"/>
              </w:rPr>
            </w:pPr>
            <w:r>
              <w:rPr>
                <w:rFonts w:ascii="Times New Roman" w:cs="Times New Roman" w:eastAsia="Times New Roman" w:hAnsi="Times New Roman"/>
                <w:sz w:val="17"/>
                <w:szCs w:val="17"/>
                <w:color w:val="auto"/>
              </w:rPr>
              <w:t>23.1*</w:t>
            </w:r>
          </w:p>
        </w:tc>
        <w:tc>
          <w:tcPr>
            <w:tcW w:w="604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7"/>
                <w:szCs w:val="17"/>
                <w:color w:val="0000FF"/>
              </w:rPr>
              <w:t>Consent of Deloitte and Touche LLP, Independent Registered Public Accounting Firm</w:t>
            </w: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91"/>
        </w:trPr>
        <w:tc>
          <w:tcPr>
            <w:tcW w:w="920" w:type="dxa"/>
            <w:vAlign w:val="bottom"/>
          </w:tcPr>
          <w:p>
            <w:pPr>
              <w:spacing w:after="0"/>
              <w:rPr>
                <w:sz w:val="20"/>
                <w:szCs w:val="20"/>
                <w:color w:val="auto"/>
              </w:rPr>
            </w:pPr>
            <w:r>
              <w:rPr>
                <w:rFonts w:ascii="Times New Roman" w:cs="Times New Roman" w:eastAsia="Times New Roman" w:hAnsi="Times New Roman"/>
                <w:sz w:val="17"/>
                <w:szCs w:val="17"/>
                <w:color w:val="auto"/>
              </w:rPr>
              <w:t>23.2*</w:t>
            </w:r>
          </w:p>
        </w:tc>
        <w:tc>
          <w:tcPr>
            <w:tcW w:w="602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7"/>
                <w:szCs w:val="17"/>
                <w:color w:val="0000FF"/>
              </w:rPr>
              <w:t>Consent of Wilson Sonsini Goodrich &amp; Rosati, Professional Corporation (contained in</w:t>
            </w:r>
          </w:p>
        </w:tc>
        <w:tc>
          <w:tcPr>
            <w:tcW w:w="200" w:type="dxa"/>
            <w:vAlign w:val="bottom"/>
            <w:gridSpan w:val="2"/>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87"/>
        </w:trPr>
        <w:tc>
          <w:tcPr>
            <w:tcW w:w="920" w:type="dxa"/>
            <w:vAlign w:val="bottom"/>
          </w:tcPr>
          <w:p>
            <w:pPr>
              <w:spacing w:after="0"/>
              <w:rPr>
                <w:sz w:val="16"/>
                <w:szCs w:val="16"/>
                <w:color w:val="auto"/>
              </w:rPr>
            </w:pPr>
          </w:p>
        </w:tc>
        <w:tc>
          <w:tcPr>
            <w:tcW w:w="6220" w:type="dxa"/>
            <w:vAlign w:val="bottom"/>
            <w:gridSpan w:val="12"/>
          </w:tcPr>
          <w:p>
            <w:pPr>
              <w:spacing w:after="0" w:line="187" w:lineRule="exact"/>
              <w:rPr>
                <w:sz w:val="20"/>
                <w:szCs w:val="20"/>
                <w:color w:val="auto"/>
              </w:rPr>
            </w:pPr>
            <w:r>
              <w:rPr>
                <w:rFonts w:ascii="Times New Roman" w:cs="Times New Roman" w:eastAsia="Times New Roman" w:hAnsi="Times New Roman"/>
                <w:sz w:val="17"/>
                <w:szCs w:val="17"/>
                <w:color w:val="0000FF"/>
              </w:rPr>
              <w:t>Exhibit 5.1 hereto)</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0"/>
        </w:trPr>
        <w:tc>
          <w:tcPr>
            <w:tcW w:w="920" w:type="dxa"/>
            <w:vAlign w:val="bottom"/>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2320" w:type="dxa"/>
            <w:vAlign w:val="bottom"/>
            <w:gridSpan w:val="7"/>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91"/>
        </w:trPr>
        <w:tc>
          <w:tcPr>
            <w:tcW w:w="920" w:type="dxa"/>
            <w:vAlign w:val="bottom"/>
          </w:tcPr>
          <w:p>
            <w:pPr>
              <w:spacing w:after="0"/>
              <w:rPr>
                <w:sz w:val="20"/>
                <w:szCs w:val="20"/>
                <w:color w:val="auto"/>
              </w:rPr>
            </w:pPr>
            <w:r>
              <w:rPr>
                <w:rFonts w:ascii="Times New Roman" w:cs="Times New Roman" w:eastAsia="Times New Roman" w:hAnsi="Times New Roman"/>
                <w:sz w:val="17"/>
                <w:szCs w:val="17"/>
                <w:color w:val="auto"/>
              </w:rPr>
              <w:t>24.1*</w:t>
            </w:r>
          </w:p>
        </w:tc>
        <w:tc>
          <w:tcPr>
            <w:tcW w:w="39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7"/>
                <w:szCs w:val="17"/>
                <w:color w:val="0000FF"/>
              </w:rPr>
              <w:t>Power of Attorney (contained on signature page hereto)</w:t>
            </w:r>
          </w:p>
        </w:tc>
        <w:tc>
          <w:tcPr>
            <w:tcW w:w="2320" w:type="dxa"/>
            <w:vAlign w:val="bottom"/>
            <w:gridSpan w:val="7"/>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91"/>
        </w:trPr>
        <w:tc>
          <w:tcPr>
            <w:tcW w:w="920" w:type="dxa"/>
            <w:vAlign w:val="bottom"/>
          </w:tcPr>
          <w:p>
            <w:pPr>
              <w:spacing w:after="0"/>
              <w:rPr>
                <w:sz w:val="20"/>
                <w:szCs w:val="20"/>
                <w:color w:val="auto"/>
              </w:rPr>
            </w:pPr>
            <w:r>
              <w:rPr>
                <w:rFonts w:ascii="Times New Roman" w:cs="Times New Roman" w:eastAsia="Times New Roman" w:hAnsi="Times New Roman"/>
                <w:sz w:val="17"/>
                <w:szCs w:val="17"/>
                <w:color w:val="auto"/>
              </w:rPr>
              <w:t>107*</w:t>
            </w:r>
          </w:p>
        </w:tc>
        <w:tc>
          <w:tcPr>
            <w:tcW w:w="6220" w:type="dxa"/>
            <w:vAlign w:val="bottom"/>
            <w:gridSpan w:val="12"/>
          </w:tcPr>
          <w:p>
            <w:pPr>
              <w:spacing w:after="0"/>
              <w:rPr>
                <w:sz w:val="20"/>
                <w:szCs w:val="20"/>
                <w:color w:val="auto"/>
              </w:rPr>
            </w:pPr>
            <w:r>
              <w:rPr>
                <w:rFonts w:ascii="Times New Roman" w:cs="Times New Roman" w:eastAsia="Times New Roman" w:hAnsi="Times New Roman"/>
                <w:sz w:val="17"/>
                <w:szCs w:val="17"/>
                <w:color w:val="0000FF"/>
              </w:rPr>
              <w:t>Filing Fee Table</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241" w:lineRule="exact"/>
        <w:rPr>
          <w:sz w:val="20"/>
          <w:szCs w:val="20"/>
          <w:color w:val="auto"/>
        </w:rPr>
      </w:pPr>
    </w:p>
    <w:p>
      <w:pPr>
        <w:ind w:left="880" w:hanging="876"/>
        <w:spacing w:after="0"/>
        <w:tabs>
          <w:tab w:leader="none" w:pos="8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Filed herewith.</w:t>
      </w:r>
    </w:p>
    <w:p>
      <w:pPr>
        <w:spacing w:after="0" w:line="200" w:lineRule="exact"/>
        <w:rPr>
          <w:sz w:val="20"/>
          <w:szCs w:val="20"/>
          <w:color w:val="auto"/>
        </w:rPr>
      </w:pPr>
    </w:p>
    <w:p>
      <w:pPr>
        <w:spacing w:after="0" w:line="367"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7"/>
          <w:szCs w:val="17"/>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Undertakings.</w:t>
      </w:r>
    </w:p>
    <w:p>
      <w:pPr>
        <w:spacing w:after="0" w:line="130" w:lineRule="exact"/>
        <w:rPr>
          <w:sz w:val="20"/>
          <w:szCs w:val="20"/>
          <w:color w:val="auto"/>
        </w:rPr>
      </w:pPr>
    </w:p>
    <w:p>
      <w:pPr>
        <w:ind w:left="580" w:hanging="576"/>
        <w:spacing w:after="0"/>
        <w:tabs>
          <w:tab w:leader="none" w:pos="5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undersigned Registrant hereby undertakes that:</w:t>
      </w:r>
    </w:p>
    <w:p>
      <w:pPr>
        <w:spacing w:after="0" w:line="128" w:lineRule="exact"/>
        <w:rPr>
          <w:rFonts w:ascii="Times New Roman" w:cs="Times New Roman" w:eastAsia="Times New Roman" w:hAnsi="Times New Roman"/>
          <w:sz w:val="17"/>
          <w:szCs w:val="17"/>
          <w:color w:val="auto"/>
        </w:rPr>
      </w:pPr>
    </w:p>
    <w:p>
      <w:pPr>
        <w:ind w:left="580" w:hanging="460"/>
        <w:spacing w:after="0"/>
        <w:tabs>
          <w:tab w:leader="none" w:pos="580" w:val="left"/>
        </w:tabs>
        <w:numPr>
          <w:ilvl w:val="1"/>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will file, during any period in which offers or sales are being made, a post-effective amendment to this Registration Statement:</w:t>
      </w:r>
    </w:p>
    <w:p>
      <w:pPr>
        <w:spacing w:after="0" w:line="128" w:lineRule="exact"/>
        <w:rPr>
          <w:sz w:val="20"/>
          <w:szCs w:val="20"/>
          <w:color w:val="auto"/>
        </w:rPr>
      </w:pPr>
    </w:p>
    <w:p>
      <w:pPr>
        <w:ind w:left="580" w:hanging="460"/>
        <w:spacing w:after="0"/>
        <w:tabs>
          <w:tab w:leader="none" w:pos="5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include any prospectus required by Section 10(a)(3) of the Securities Act;</w:t>
      </w:r>
    </w:p>
    <w:p>
      <w:pPr>
        <w:spacing w:after="0" w:line="128" w:lineRule="exact"/>
        <w:rPr>
          <w:rFonts w:ascii="Times New Roman" w:cs="Times New Roman" w:eastAsia="Times New Roman" w:hAnsi="Times New Roman"/>
          <w:sz w:val="17"/>
          <w:szCs w:val="17"/>
          <w:color w:val="auto"/>
        </w:rPr>
      </w:pPr>
    </w:p>
    <w:p>
      <w:pPr>
        <w:ind w:left="580" w:hanging="460"/>
        <w:spacing w:after="0" w:line="261" w:lineRule="auto"/>
        <w:tabs>
          <w:tab w:leader="none" w:pos="5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84" w:lineRule="exact"/>
        <w:rPr>
          <w:rFonts w:ascii="Times New Roman" w:cs="Times New Roman" w:eastAsia="Times New Roman" w:hAnsi="Times New Roman"/>
          <w:sz w:val="17"/>
          <w:szCs w:val="17"/>
          <w:color w:val="auto"/>
        </w:rPr>
      </w:pPr>
    </w:p>
    <w:p>
      <w:pPr>
        <w:ind w:left="580" w:right="80" w:hanging="460"/>
        <w:spacing w:after="0" w:line="291" w:lineRule="auto"/>
        <w:tabs>
          <w:tab w:leader="none" w:pos="5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include any material information with respect to the plan of distribution not previously disclosed in the Registration Statement or any material change to such information in the Registration Statement.</w:t>
      </w:r>
    </w:p>
    <w:p>
      <w:pPr>
        <w:spacing w:after="0" w:line="146" w:lineRule="exact"/>
        <w:rPr>
          <w:sz w:val="20"/>
          <w:szCs w:val="20"/>
          <w:color w:val="auto"/>
        </w:rPr>
      </w:pPr>
    </w:p>
    <w:p>
      <w:pPr>
        <w:ind w:right="220"/>
        <w:spacing w:after="0" w:line="274" w:lineRule="auto"/>
        <w:rPr>
          <w:sz w:val="20"/>
          <w:szCs w:val="20"/>
          <w:color w:val="auto"/>
        </w:rPr>
      </w:pP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paragraphs (A)(1)(i) and (A)(1)(ii) do not apply if the information required to be included in a post-effective amendment by those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paragraphs is contained in reports filed with or furnished to the Commission by the Registrant pursuant to Section 13 or Section 15(d) of the Exchange Act that are incorporated by reference in this Registration Statement.</w:t>
      </w:r>
    </w:p>
    <w:p>
      <w:pPr>
        <w:spacing w:after="0" w:line="71" w:lineRule="exact"/>
        <w:rPr>
          <w:sz w:val="20"/>
          <w:szCs w:val="20"/>
          <w:color w:val="auto"/>
        </w:rPr>
      </w:pPr>
    </w:p>
    <w:p>
      <w:pPr>
        <w:jc w:val="both"/>
        <w:ind w:left="580" w:right="440" w:hanging="460"/>
        <w:spacing w:after="0" w:line="273" w:lineRule="auto"/>
        <w:tabs>
          <w:tab w:leader="none" w:pos="5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71" w:lineRule="exact"/>
        <w:rPr>
          <w:rFonts w:ascii="Times New Roman" w:cs="Times New Roman" w:eastAsia="Times New Roman" w:hAnsi="Times New Roman"/>
          <w:sz w:val="17"/>
          <w:szCs w:val="17"/>
          <w:color w:val="auto"/>
        </w:rPr>
      </w:pPr>
    </w:p>
    <w:p>
      <w:pPr>
        <w:ind w:left="580" w:right="100" w:hanging="460"/>
        <w:spacing w:after="0" w:line="291" w:lineRule="auto"/>
        <w:tabs>
          <w:tab w:leader="none" w:pos="5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will remove from registration by means of a post-effective amendment any of the securities being registered which remain unsold at the termination of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709295</wp:posOffset>
            </wp:positionV>
            <wp:extent cx="716343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194" w:right="359" w:bottom="1440" w:gutter="0" w:footer="0" w:header="0"/>
        </w:sectPr>
      </w:pPr>
    </w:p>
    <w:bookmarkStart w:id="4" w:name="page5"/>
    <w:bookmarkEnd w:id="4"/>
    <w:p>
      <w:pPr>
        <w:ind w:left="576" w:right="220" w:hanging="576"/>
        <w:spacing w:after="0" w:line="263" w:lineRule="auto"/>
        <w:tabs>
          <w:tab w:leader="none" w:pos="576"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81" w:lineRule="exact"/>
        <w:rPr>
          <w:rFonts w:ascii="Times New Roman" w:cs="Times New Roman" w:eastAsia="Times New Roman" w:hAnsi="Times New Roman"/>
          <w:sz w:val="17"/>
          <w:szCs w:val="17"/>
          <w:color w:val="auto"/>
        </w:rPr>
      </w:pPr>
    </w:p>
    <w:p>
      <w:pPr>
        <w:ind w:left="576" w:hanging="576"/>
        <w:spacing w:after="0" w:line="260" w:lineRule="auto"/>
        <w:tabs>
          <w:tab w:leader="none" w:pos="576"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727075</wp:posOffset>
            </wp:positionV>
            <wp:extent cx="716343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16"/>
          </w:cols>
          <w:pgMar w:left="324" w:top="989" w:right="359" w:bottom="1440" w:gutter="0" w:footer="0" w:header="0"/>
        </w:sectPr>
      </w:pPr>
    </w:p>
    <w:bookmarkStart w:id="5" w:name="page6"/>
    <w:bookmarkEnd w:id="5"/>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21" w:lineRule="exact"/>
        <w:rPr>
          <w:sz w:val="20"/>
          <w:szCs w:val="20"/>
          <w:color w:val="auto"/>
        </w:rPr>
      </w:pPr>
    </w:p>
    <w:p>
      <w:pPr>
        <w:jc w:val="both"/>
        <w:ind w:right="280"/>
        <w:spacing w:after="0" w:line="273" w:lineRule="auto"/>
        <w:rPr>
          <w:sz w:val="20"/>
          <w:szCs w:val="20"/>
          <w:color w:val="auto"/>
        </w:rPr>
      </w:pPr>
      <w:r>
        <w:rPr>
          <w:rFonts w:ascii="Times New Roman" w:cs="Times New Roman" w:eastAsia="Times New Roman" w:hAnsi="Times New Roman"/>
          <w:sz w:val="17"/>
          <w:szCs w:val="17"/>
          <w:color w:val="auto"/>
        </w:rPr>
        <w:t>Pursuant to the requirements of the Securities Act of 1933, as amended, the Registrant certifies that it has reasonable grounds to believe that it meets all of the requirements for filing on Form S-8 and has duly caused this Registration Statement on Form S-8 to be signed on its behalf by the undersigned, thereunto duly authorized, in the City of South San Francisco, California, on February 3, 2026.</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TENAYA THERAPEUTICS, INC.</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9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Faraz Ali, M.B.A.</w:t>
            </w:r>
          </w:p>
        </w:tc>
      </w:tr>
      <w:tr>
        <w:trPr>
          <w:trHeight w:val="195"/>
        </w:trPr>
        <w:tc>
          <w:tcPr>
            <w:tcW w:w="1700" w:type="dxa"/>
            <w:vAlign w:val="bottom"/>
          </w:tcPr>
          <w:p>
            <w:pPr>
              <w:spacing w:after="0"/>
              <w:rPr>
                <w:sz w:val="16"/>
                <w:szCs w:val="16"/>
                <w:color w:val="auto"/>
              </w:rPr>
            </w:pPr>
          </w:p>
        </w:tc>
        <w:tc>
          <w:tcPr>
            <w:tcW w:w="9540" w:type="dxa"/>
            <w:vAlign w:val="bottom"/>
          </w:tcPr>
          <w:p>
            <w:pPr>
              <w:spacing w:after="0"/>
              <w:rPr>
                <w:sz w:val="20"/>
                <w:szCs w:val="20"/>
                <w:color w:val="auto"/>
              </w:rPr>
            </w:pPr>
            <w:r>
              <w:rPr>
                <w:rFonts w:ascii="Times New Roman" w:cs="Times New Roman" w:eastAsia="Times New Roman" w:hAnsi="Times New Roman"/>
                <w:sz w:val="17"/>
                <w:szCs w:val="17"/>
                <w:color w:val="auto"/>
              </w:rPr>
              <w:t>Faraz Ali, M.B.A.</w:t>
            </w:r>
          </w:p>
        </w:tc>
      </w:tr>
      <w:tr>
        <w:trPr>
          <w:trHeight w:val="226"/>
        </w:trPr>
        <w:tc>
          <w:tcPr>
            <w:tcW w:w="1700" w:type="dxa"/>
            <w:vAlign w:val="bottom"/>
          </w:tcPr>
          <w:p>
            <w:pPr>
              <w:spacing w:after="0"/>
              <w:rPr>
                <w:sz w:val="19"/>
                <w:szCs w:val="19"/>
                <w:color w:val="auto"/>
              </w:rPr>
            </w:pPr>
          </w:p>
        </w:tc>
        <w:tc>
          <w:tcPr>
            <w:tcW w:w="9540" w:type="dxa"/>
            <w:vAlign w:val="bottom"/>
          </w:tcPr>
          <w:p>
            <w:pPr>
              <w:spacing w:after="0"/>
              <w:rPr>
                <w:sz w:val="20"/>
                <w:szCs w:val="20"/>
                <w:color w:val="auto"/>
              </w:rPr>
            </w:pPr>
            <w:r>
              <w:rPr>
                <w:rFonts w:ascii="Times New Roman" w:cs="Times New Roman" w:eastAsia="Times New Roman" w:hAnsi="Times New Roman"/>
                <w:sz w:val="17"/>
                <w:szCs w:val="17"/>
                <w:color w:val="auto"/>
              </w:rPr>
              <w:t>Chief Executive Officer</w:t>
            </w:r>
          </w:p>
        </w:tc>
      </w:tr>
    </w:tbl>
    <w:p>
      <w:pPr>
        <w:spacing w:after="0" w:line="39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POWER OF ATTORNEY</w:t>
      </w:r>
    </w:p>
    <w:p>
      <w:pPr>
        <w:spacing w:after="0" w:line="22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KNOW ALL PERSONS BY THESE PRESENTS, that each person whose signature appears below constitutes and appoints Faraz Ali as his or her true and lawful attorneys-in-fact and agents, with full power of substitution, for him or her and in his or her name, place and stead, in any and all capacities to sign this Registration Statement and any and all amendments thereto (including post-effective amendments), and to file the same, with all exhibits thereto, and all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they, he or she might or could do in person, hereby ratifying and confirming all that said attorney-in-fact and agents or any of them, or their, his or her substitute or substitutes, may lawfully do or cause to be done by virtue hereof.</w:t>
      </w:r>
    </w:p>
    <w:p>
      <w:pPr>
        <w:spacing w:after="0" w:line="175" w:lineRule="exact"/>
        <w:rPr>
          <w:sz w:val="20"/>
          <w:szCs w:val="20"/>
          <w:color w:val="auto"/>
        </w:rPr>
      </w:pPr>
    </w:p>
    <w:p>
      <w:pPr>
        <w:ind w:right="140"/>
        <w:spacing w:after="0" w:line="291" w:lineRule="auto"/>
        <w:rPr>
          <w:sz w:val="20"/>
          <w:szCs w:val="20"/>
          <w:color w:val="auto"/>
        </w:rPr>
      </w:pPr>
      <w:r>
        <w:rPr>
          <w:rFonts w:ascii="Times New Roman" w:cs="Times New Roman" w:eastAsia="Times New Roman" w:hAnsi="Times New Roman"/>
          <w:sz w:val="17"/>
          <w:szCs w:val="17"/>
          <w:color w:val="auto"/>
        </w:rPr>
        <w:t>Pursuant to the requirements of the Securities Act of 1933, as amended, this Registration Statement on Form S-8 has been signed by the following persons in the capacities and on the dates indicated.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100" w:type="dxa"/>
            <w:vAlign w:val="bottom"/>
            <w:tcBorders>
              <w:bottom w:val="single" w:sz="8" w:color="auto"/>
            </w:tcBorders>
          </w:tcPr>
          <w:p>
            <w:pPr>
              <w:ind w:left="176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20" w:type="dxa"/>
            <w:vAlign w:val="bottom"/>
          </w:tcPr>
          <w:p>
            <w:pPr>
              <w:spacing w:after="0"/>
              <w:rPr>
                <w:sz w:val="16"/>
                <w:szCs w:val="16"/>
                <w:color w:val="auto"/>
              </w:rPr>
            </w:pPr>
          </w:p>
        </w:tc>
        <w:tc>
          <w:tcPr>
            <w:tcW w:w="4840" w:type="dxa"/>
            <w:vAlign w:val="bottom"/>
            <w:tcBorders>
              <w:bottom w:val="single" w:sz="8" w:color="auto"/>
            </w:tcBorders>
          </w:tcPr>
          <w:p>
            <w:pPr>
              <w:ind w:left="228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20" w:type="dxa"/>
            <w:vAlign w:val="bottom"/>
          </w:tcPr>
          <w:p>
            <w:pPr>
              <w:spacing w:after="0"/>
              <w:rPr>
                <w:sz w:val="16"/>
                <w:szCs w:val="16"/>
                <w:color w:val="auto"/>
              </w:rPr>
            </w:pPr>
          </w:p>
        </w:tc>
        <w:tc>
          <w:tcPr>
            <w:tcW w:w="2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Date</w:t>
            </w:r>
          </w:p>
        </w:tc>
      </w:tr>
      <w:tr>
        <w:trPr>
          <w:trHeight w:val="412"/>
        </w:trPr>
        <w:tc>
          <w:tcPr>
            <w:tcW w:w="4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Faraz Ali, M.B.A.</w:t>
            </w:r>
          </w:p>
        </w:tc>
        <w:tc>
          <w:tcPr>
            <w:tcW w:w="120" w:type="dxa"/>
            <w:vAlign w:val="bottom"/>
          </w:tcPr>
          <w:p>
            <w:pPr>
              <w:spacing w:after="0"/>
              <w:rPr>
                <w:sz w:val="24"/>
                <w:szCs w:val="24"/>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7"/>
                <w:szCs w:val="17"/>
                <w:color w:val="auto"/>
              </w:rPr>
              <w:t>Chief Executive Officer and Director</w:t>
            </w:r>
          </w:p>
        </w:tc>
        <w:tc>
          <w:tcPr>
            <w:tcW w:w="12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February 3, 2026</w:t>
            </w:r>
          </w:p>
        </w:tc>
      </w:tr>
      <w:tr>
        <w:trPr>
          <w:trHeight w:val="219"/>
        </w:trPr>
        <w:tc>
          <w:tcPr>
            <w:tcW w:w="4100" w:type="dxa"/>
            <w:vAlign w:val="bottom"/>
          </w:tcPr>
          <w:p>
            <w:pPr>
              <w:spacing w:after="0"/>
              <w:rPr>
                <w:sz w:val="20"/>
                <w:szCs w:val="20"/>
                <w:color w:val="auto"/>
              </w:rPr>
            </w:pPr>
            <w:r>
              <w:rPr>
                <w:rFonts w:ascii="Times New Roman" w:cs="Times New Roman" w:eastAsia="Times New Roman" w:hAnsi="Times New Roman"/>
                <w:sz w:val="17"/>
                <w:szCs w:val="17"/>
                <w:color w:val="auto"/>
              </w:rPr>
              <w:t>Faraz Ali, M.B.A.</w:t>
            </w:r>
          </w:p>
        </w:tc>
        <w:tc>
          <w:tcPr>
            <w:tcW w:w="12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Principal Executive Officer and Interim Principal Financial Officer</w:t>
            </w: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409"/>
        </w:trPr>
        <w:tc>
          <w:tcPr>
            <w:tcW w:w="4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Tomohiro Higa, M.B.A.</w:t>
            </w:r>
          </w:p>
        </w:tc>
        <w:tc>
          <w:tcPr>
            <w:tcW w:w="49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Senior Vice President, Finance</w:t>
            </w:r>
          </w:p>
        </w:tc>
        <w:tc>
          <w:tcPr>
            <w:tcW w:w="120" w:type="dxa"/>
            <w:vAlign w:val="bottom"/>
          </w:tcPr>
          <w:p>
            <w:pPr>
              <w:spacing w:after="0"/>
              <w:rPr>
                <w:sz w:val="24"/>
                <w:szCs w:val="24"/>
                <w:color w:val="auto"/>
              </w:rPr>
            </w:pPr>
          </w:p>
        </w:tc>
        <w:tc>
          <w:tcPr>
            <w:tcW w:w="206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February 3, 2026</w:t>
            </w:r>
          </w:p>
        </w:tc>
      </w:tr>
      <w:tr>
        <w:trPr>
          <w:trHeight w:val="219"/>
        </w:trPr>
        <w:tc>
          <w:tcPr>
            <w:tcW w:w="4100" w:type="dxa"/>
            <w:vAlign w:val="bottom"/>
          </w:tcPr>
          <w:p>
            <w:pPr>
              <w:spacing w:after="0"/>
              <w:rPr>
                <w:sz w:val="20"/>
                <w:szCs w:val="20"/>
                <w:color w:val="auto"/>
              </w:rPr>
            </w:pPr>
            <w:r>
              <w:rPr>
                <w:rFonts w:ascii="Times New Roman" w:cs="Times New Roman" w:eastAsia="Times New Roman" w:hAnsi="Times New Roman"/>
                <w:sz w:val="17"/>
                <w:szCs w:val="17"/>
                <w:color w:val="auto"/>
              </w:rPr>
              <w:t>Tomohiro Higa, M.B.A.</w:t>
            </w:r>
          </w:p>
        </w:tc>
        <w:tc>
          <w:tcPr>
            <w:tcW w:w="49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Interim Principal Accounting Officer</w:t>
            </w: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396"/>
        </w:trPr>
        <w:tc>
          <w:tcPr>
            <w:tcW w:w="4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Amy Burroughs, M.B.A.</w:t>
            </w:r>
          </w:p>
        </w:tc>
        <w:tc>
          <w:tcPr>
            <w:tcW w:w="120" w:type="dxa"/>
            <w:vAlign w:val="bottom"/>
          </w:tcPr>
          <w:p>
            <w:pPr>
              <w:spacing w:after="0"/>
              <w:rPr>
                <w:sz w:val="24"/>
                <w:szCs w:val="24"/>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7"/>
                <w:szCs w:val="17"/>
                <w:color w:val="auto"/>
              </w:rPr>
              <w:t>Director</w:t>
            </w:r>
          </w:p>
        </w:tc>
        <w:tc>
          <w:tcPr>
            <w:tcW w:w="12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February 3, 2026</w:t>
            </w:r>
          </w:p>
        </w:tc>
      </w:tr>
      <w:tr>
        <w:trPr>
          <w:trHeight w:val="219"/>
        </w:trPr>
        <w:tc>
          <w:tcPr>
            <w:tcW w:w="4100" w:type="dxa"/>
            <w:vAlign w:val="bottom"/>
          </w:tcPr>
          <w:p>
            <w:pPr>
              <w:spacing w:after="0"/>
              <w:rPr>
                <w:sz w:val="20"/>
                <w:szCs w:val="20"/>
                <w:color w:val="auto"/>
              </w:rPr>
            </w:pPr>
            <w:r>
              <w:rPr>
                <w:rFonts w:ascii="Times New Roman" w:cs="Times New Roman" w:eastAsia="Times New Roman" w:hAnsi="Times New Roman"/>
                <w:sz w:val="17"/>
                <w:szCs w:val="17"/>
                <w:color w:val="auto"/>
              </w:rPr>
              <w:t>Amy Burroughs, M.B.A.</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409"/>
        </w:trPr>
        <w:tc>
          <w:tcPr>
            <w:tcW w:w="4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June Lee, M.D.</w:t>
            </w:r>
          </w:p>
        </w:tc>
        <w:tc>
          <w:tcPr>
            <w:tcW w:w="120" w:type="dxa"/>
            <w:vAlign w:val="bottom"/>
          </w:tcPr>
          <w:p>
            <w:pPr>
              <w:spacing w:after="0"/>
              <w:rPr>
                <w:sz w:val="24"/>
                <w:szCs w:val="24"/>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7"/>
                <w:szCs w:val="17"/>
                <w:color w:val="auto"/>
              </w:rPr>
              <w:t>Director</w:t>
            </w:r>
          </w:p>
        </w:tc>
        <w:tc>
          <w:tcPr>
            <w:tcW w:w="12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February 3, 2026</w:t>
            </w:r>
          </w:p>
        </w:tc>
      </w:tr>
      <w:tr>
        <w:trPr>
          <w:trHeight w:val="219"/>
        </w:trPr>
        <w:tc>
          <w:tcPr>
            <w:tcW w:w="4100" w:type="dxa"/>
            <w:vAlign w:val="bottom"/>
          </w:tcPr>
          <w:p>
            <w:pPr>
              <w:spacing w:after="0"/>
              <w:rPr>
                <w:sz w:val="20"/>
                <w:szCs w:val="20"/>
                <w:color w:val="auto"/>
              </w:rPr>
            </w:pPr>
            <w:r>
              <w:rPr>
                <w:rFonts w:ascii="Times New Roman" w:cs="Times New Roman" w:eastAsia="Times New Roman" w:hAnsi="Times New Roman"/>
                <w:sz w:val="17"/>
                <w:szCs w:val="17"/>
                <w:color w:val="auto"/>
              </w:rPr>
              <w:t>June Lee, M.D.</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409"/>
        </w:trPr>
        <w:tc>
          <w:tcPr>
            <w:tcW w:w="4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Karah Parschauer, J.D.</w:t>
            </w:r>
          </w:p>
        </w:tc>
        <w:tc>
          <w:tcPr>
            <w:tcW w:w="120" w:type="dxa"/>
            <w:vAlign w:val="bottom"/>
          </w:tcPr>
          <w:p>
            <w:pPr>
              <w:spacing w:after="0"/>
              <w:rPr>
                <w:sz w:val="24"/>
                <w:szCs w:val="24"/>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7"/>
                <w:szCs w:val="17"/>
                <w:color w:val="auto"/>
              </w:rPr>
              <w:t>Director</w:t>
            </w:r>
          </w:p>
        </w:tc>
        <w:tc>
          <w:tcPr>
            <w:tcW w:w="12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February 3, 2026</w:t>
            </w:r>
          </w:p>
        </w:tc>
      </w:tr>
      <w:tr>
        <w:trPr>
          <w:trHeight w:val="219"/>
        </w:trPr>
        <w:tc>
          <w:tcPr>
            <w:tcW w:w="4100" w:type="dxa"/>
            <w:vAlign w:val="bottom"/>
          </w:tcPr>
          <w:p>
            <w:pPr>
              <w:spacing w:after="0"/>
              <w:rPr>
                <w:sz w:val="20"/>
                <w:szCs w:val="20"/>
                <w:color w:val="auto"/>
              </w:rPr>
            </w:pPr>
            <w:r>
              <w:rPr>
                <w:rFonts w:ascii="Times New Roman" w:cs="Times New Roman" w:eastAsia="Times New Roman" w:hAnsi="Times New Roman"/>
                <w:sz w:val="17"/>
                <w:szCs w:val="17"/>
                <w:color w:val="auto"/>
              </w:rPr>
              <w:t>Karah Parschauer, J.D.</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396"/>
        </w:trPr>
        <w:tc>
          <w:tcPr>
            <w:tcW w:w="4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Deepak Srivastava, M.D.</w:t>
            </w:r>
          </w:p>
        </w:tc>
        <w:tc>
          <w:tcPr>
            <w:tcW w:w="120" w:type="dxa"/>
            <w:vAlign w:val="bottom"/>
          </w:tcPr>
          <w:p>
            <w:pPr>
              <w:spacing w:after="0"/>
              <w:rPr>
                <w:sz w:val="24"/>
                <w:szCs w:val="24"/>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7"/>
                <w:szCs w:val="17"/>
                <w:color w:val="auto"/>
              </w:rPr>
              <w:t>Director</w:t>
            </w:r>
          </w:p>
        </w:tc>
        <w:tc>
          <w:tcPr>
            <w:tcW w:w="12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February 3, 2026</w:t>
            </w:r>
          </w:p>
        </w:tc>
      </w:tr>
      <w:tr>
        <w:trPr>
          <w:trHeight w:val="219"/>
        </w:trPr>
        <w:tc>
          <w:tcPr>
            <w:tcW w:w="4100" w:type="dxa"/>
            <w:vAlign w:val="bottom"/>
          </w:tcPr>
          <w:p>
            <w:pPr>
              <w:spacing w:after="0"/>
              <w:rPr>
                <w:sz w:val="20"/>
                <w:szCs w:val="20"/>
                <w:color w:val="auto"/>
              </w:rPr>
            </w:pPr>
            <w:r>
              <w:rPr>
                <w:rFonts w:ascii="Times New Roman" w:cs="Times New Roman" w:eastAsia="Times New Roman" w:hAnsi="Times New Roman"/>
                <w:sz w:val="17"/>
                <w:szCs w:val="17"/>
                <w:color w:val="auto"/>
              </w:rPr>
              <w:t>Deepak Srivastava, M.D.</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396"/>
        </w:trPr>
        <w:tc>
          <w:tcPr>
            <w:tcW w:w="4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Catherine Stehman-Breen, M.D.</w:t>
            </w:r>
          </w:p>
        </w:tc>
        <w:tc>
          <w:tcPr>
            <w:tcW w:w="120" w:type="dxa"/>
            <w:vAlign w:val="bottom"/>
          </w:tcPr>
          <w:p>
            <w:pPr>
              <w:spacing w:after="0"/>
              <w:rPr>
                <w:sz w:val="24"/>
                <w:szCs w:val="24"/>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7"/>
                <w:szCs w:val="17"/>
                <w:color w:val="auto"/>
              </w:rPr>
              <w:t>Director</w:t>
            </w:r>
          </w:p>
        </w:tc>
        <w:tc>
          <w:tcPr>
            <w:tcW w:w="12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February 3, 2026</w:t>
            </w:r>
          </w:p>
        </w:tc>
      </w:tr>
      <w:tr>
        <w:trPr>
          <w:trHeight w:val="219"/>
        </w:trPr>
        <w:tc>
          <w:tcPr>
            <w:tcW w:w="4100" w:type="dxa"/>
            <w:vAlign w:val="bottom"/>
          </w:tcPr>
          <w:p>
            <w:pPr>
              <w:spacing w:after="0"/>
              <w:rPr>
                <w:sz w:val="20"/>
                <w:szCs w:val="20"/>
                <w:color w:val="auto"/>
              </w:rPr>
            </w:pPr>
            <w:r>
              <w:rPr>
                <w:rFonts w:ascii="Times New Roman" w:cs="Times New Roman" w:eastAsia="Times New Roman" w:hAnsi="Times New Roman"/>
                <w:sz w:val="17"/>
                <w:szCs w:val="17"/>
                <w:color w:val="auto"/>
              </w:rPr>
              <w:t>Catherine Stehman-Breen, M.D.</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396"/>
        </w:trPr>
        <w:tc>
          <w:tcPr>
            <w:tcW w:w="4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Jeffrey T. Walsh, M.B.A.</w:t>
            </w:r>
          </w:p>
        </w:tc>
        <w:tc>
          <w:tcPr>
            <w:tcW w:w="120" w:type="dxa"/>
            <w:vAlign w:val="bottom"/>
          </w:tcPr>
          <w:p>
            <w:pPr>
              <w:spacing w:after="0"/>
              <w:rPr>
                <w:sz w:val="24"/>
                <w:szCs w:val="24"/>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7"/>
                <w:szCs w:val="17"/>
                <w:color w:val="auto"/>
              </w:rPr>
              <w:t>Director</w:t>
            </w:r>
          </w:p>
        </w:tc>
        <w:tc>
          <w:tcPr>
            <w:tcW w:w="120" w:type="dxa"/>
            <w:vAlign w:val="bottom"/>
          </w:tcPr>
          <w:p>
            <w:pPr>
              <w:spacing w:after="0"/>
              <w:rPr>
                <w:sz w:val="24"/>
                <w:szCs w:val="24"/>
                <w:color w:val="auto"/>
              </w:rPr>
            </w:pPr>
          </w:p>
        </w:tc>
        <w:tc>
          <w:tcPr>
            <w:tcW w:w="206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February 3, 2026</w:t>
            </w:r>
          </w:p>
        </w:tc>
      </w:tr>
      <w:tr>
        <w:trPr>
          <w:trHeight w:val="219"/>
        </w:trPr>
        <w:tc>
          <w:tcPr>
            <w:tcW w:w="4100" w:type="dxa"/>
            <w:vAlign w:val="bottom"/>
          </w:tcPr>
          <w:p>
            <w:pPr>
              <w:spacing w:after="0"/>
              <w:rPr>
                <w:sz w:val="20"/>
                <w:szCs w:val="20"/>
                <w:color w:val="auto"/>
              </w:rPr>
            </w:pPr>
            <w:r>
              <w:rPr>
                <w:rFonts w:ascii="Times New Roman" w:cs="Times New Roman" w:eastAsia="Times New Roman" w:hAnsi="Times New Roman"/>
                <w:sz w:val="17"/>
                <w:szCs w:val="17"/>
                <w:color w:val="auto"/>
              </w:rPr>
              <w:t>Jeffrey T. Walsh, M.B.A.</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396"/>
        </w:trPr>
        <w:tc>
          <w:tcPr>
            <w:tcW w:w="4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R. Sanders (Sandy) Williams, M.D.</w:t>
            </w:r>
          </w:p>
        </w:tc>
        <w:tc>
          <w:tcPr>
            <w:tcW w:w="120" w:type="dxa"/>
            <w:vAlign w:val="bottom"/>
          </w:tcPr>
          <w:p>
            <w:pPr>
              <w:spacing w:after="0"/>
              <w:rPr>
                <w:sz w:val="24"/>
                <w:szCs w:val="24"/>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7"/>
                <w:szCs w:val="17"/>
                <w:color w:val="auto"/>
              </w:rPr>
              <w:t>Director</w:t>
            </w:r>
          </w:p>
        </w:tc>
        <w:tc>
          <w:tcPr>
            <w:tcW w:w="12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February 3, 2026</w:t>
            </w:r>
          </w:p>
        </w:tc>
      </w:tr>
      <w:tr>
        <w:trPr>
          <w:trHeight w:val="219"/>
        </w:trPr>
        <w:tc>
          <w:tcPr>
            <w:tcW w:w="4100" w:type="dxa"/>
            <w:vAlign w:val="bottom"/>
          </w:tcPr>
          <w:p>
            <w:pPr>
              <w:spacing w:after="0"/>
              <w:rPr>
                <w:sz w:val="20"/>
                <w:szCs w:val="20"/>
                <w:color w:val="auto"/>
              </w:rPr>
            </w:pPr>
            <w:r>
              <w:rPr>
                <w:rFonts w:ascii="Times New Roman" w:cs="Times New Roman" w:eastAsia="Times New Roman" w:hAnsi="Times New Roman"/>
                <w:sz w:val="17"/>
                <w:szCs w:val="17"/>
                <w:color w:val="auto"/>
              </w:rPr>
              <w:t>R. Sanders (Sandy) Williams, M.D.</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1166"/>
        </w:trPr>
        <w:tc>
          <w:tcPr>
            <w:tcW w:w="4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8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87" w:right="339" w:bottom="1440"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1375410</wp:posOffset>
            </wp:positionV>
            <wp:extent cx="716343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7"/>
          <w:szCs w:val="17"/>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283845</wp:posOffset>
            </wp:positionV>
            <wp:extent cx="970280" cy="4032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970280" cy="403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Wilson Sonsini Goodrich &amp; Rosati</w:t>
      </w:r>
    </w:p>
    <w:p>
      <w:pPr>
        <w:spacing w:after="0" w:line="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Professional Corporation</w:t>
      </w:r>
    </w:p>
    <w:p>
      <w:pPr>
        <w:spacing w:after="0" w:line="20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650 Page Mill Road</w:t>
      </w:r>
    </w:p>
    <w:p>
      <w:pPr>
        <w:spacing w:after="0" w:line="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Palo Alto, California 94304-1050</w:t>
      </w:r>
    </w:p>
    <w:p>
      <w:pPr>
        <w:spacing w:after="0" w:line="20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O: 650.493.9300</w:t>
      </w:r>
    </w:p>
    <w:p>
      <w:pPr>
        <w:spacing w:after="0" w:line="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F: 866.974.7329</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February 3, 2026</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Tenaya Therapeutics, Inc.</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171 Oyster Point Boulevard, Suite 500</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South San Francisco, CA 94080</w:t>
      </w:r>
    </w:p>
    <w:p>
      <w:pPr>
        <w:spacing w:after="0" w:line="1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color w:val="auto"/>
        </w:rPr>
        <w:t>Re: Registration Statement on Form S-8</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Ladies and Gentlemen:</w:t>
      </w:r>
    </w:p>
    <w:p>
      <w:pPr>
        <w:spacing w:after="0" w:line="113" w:lineRule="exact"/>
        <w:rPr>
          <w:sz w:val="20"/>
          <w:szCs w:val="20"/>
          <w:color w:val="auto"/>
        </w:rPr>
      </w:pPr>
    </w:p>
    <w:p>
      <w:pPr>
        <w:jc w:val="both"/>
        <w:ind w:firstLine="510"/>
        <w:spacing w:after="0" w:line="262" w:lineRule="auto"/>
        <w:rPr>
          <w:sz w:val="20"/>
          <w:szCs w:val="20"/>
          <w:color w:val="auto"/>
        </w:rPr>
      </w:pPr>
      <w:r>
        <w:rPr>
          <w:rFonts w:ascii="Times New Roman" w:cs="Times New Roman" w:eastAsia="Times New Roman" w:hAnsi="Times New Roman"/>
          <w:sz w:val="17"/>
          <w:szCs w:val="17"/>
          <w:color w:val="auto"/>
        </w:rPr>
        <w:t>We have examined the Registration Statement on Form S-8 (the “</w:t>
      </w:r>
      <w:r>
        <w:rPr>
          <w:rFonts w:ascii="Times New Roman" w:cs="Times New Roman" w:eastAsia="Times New Roman" w:hAnsi="Times New Roman"/>
          <w:sz w:val="17"/>
          <w:szCs w:val="17"/>
          <w:b w:val="1"/>
          <w:bCs w:val="1"/>
          <w:color w:val="auto"/>
        </w:rPr>
        <w:t>Registration Statement</w:t>
      </w:r>
      <w:r>
        <w:rPr>
          <w:rFonts w:ascii="Times New Roman" w:cs="Times New Roman" w:eastAsia="Times New Roman" w:hAnsi="Times New Roman"/>
          <w:sz w:val="17"/>
          <w:szCs w:val="17"/>
          <w:color w:val="auto"/>
        </w:rPr>
        <w:t>”) to be filed by Tenaya Therapeutics, Inc., a Delaware corporation, with the Securities and Exchange Commission (the “</w:t>
      </w:r>
      <w:r>
        <w:rPr>
          <w:rFonts w:ascii="Times New Roman" w:cs="Times New Roman" w:eastAsia="Times New Roman" w:hAnsi="Times New Roman"/>
          <w:sz w:val="17"/>
          <w:szCs w:val="17"/>
          <w:b w:val="1"/>
          <w:bCs w:val="1"/>
          <w:color w:val="auto"/>
        </w:rPr>
        <w:t>Commission</w:t>
      </w:r>
      <w:r>
        <w:rPr>
          <w:rFonts w:ascii="Times New Roman" w:cs="Times New Roman" w:eastAsia="Times New Roman" w:hAnsi="Times New Roman"/>
          <w:sz w:val="17"/>
          <w:szCs w:val="17"/>
          <w:color w:val="auto"/>
        </w:rPr>
        <w:t>”) on or about the date hereof, in connection with the registration under the Securities Act of 1933, as amended (the “</w:t>
      </w:r>
      <w:r>
        <w:rPr>
          <w:rFonts w:ascii="Times New Roman" w:cs="Times New Roman" w:eastAsia="Times New Roman" w:hAnsi="Times New Roman"/>
          <w:sz w:val="17"/>
          <w:szCs w:val="17"/>
          <w:b w:val="1"/>
          <w:bCs w:val="1"/>
          <w:color w:val="auto"/>
        </w:rPr>
        <w:t>Act</w:t>
      </w:r>
      <w:r>
        <w:rPr>
          <w:rFonts w:ascii="Times New Roman" w:cs="Times New Roman" w:eastAsia="Times New Roman" w:hAnsi="Times New Roman"/>
          <w:sz w:val="17"/>
          <w:szCs w:val="17"/>
          <w:color w:val="auto"/>
        </w:rPr>
        <w:t>”), of (i) 4,000,000 shares of Common Stock reserved for issuance pursuant to the 2021 Equity Incentive Plan, (ii) 800,000 shares of Common Stock reserved for issuance pursuant to the 2021 Employee Stock Purchase Plan, and (iii) 2,161,000 shares of Common Stock reserved for issuance pursuant to the 2024 Inducement Equity Incentive Plan (which plans are referred to herein as the “</w:t>
      </w:r>
      <w:r>
        <w:rPr>
          <w:rFonts w:ascii="Times New Roman" w:cs="Times New Roman" w:eastAsia="Times New Roman" w:hAnsi="Times New Roman"/>
          <w:sz w:val="17"/>
          <w:szCs w:val="17"/>
          <w:b w:val="1"/>
          <w:bCs w:val="1"/>
          <w:color w:val="auto"/>
        </w:rPr>
        <w:t>Plans</w:t>
      </w:r>
      <w:r>
        <w:rPr>
          <w:rFonts w:ascii="Times New Roman" w:cs="Times New Roman" w:eastAsia="Times New Roman" w:hAnsi="Times New Roman"/>
          <w:sz w:val="17"/>
          <w:szCs w:val="17"/>
          <w:color w:val="auto"/>
        </w:rPr>
        <w:t>” and which shares of Common Stock are referred to herein as the “</w:t>
      </w:r>
      <w:r>
        <w:rPr>
          <w:rFonts w:ascii="Times New Roman" w:cs="Times New Roman" w:eastAsia="Times New Roman" w:hAnsi="Times New Roman"/>
          <w:sz w:val="17"/>
          <w:szCs w:val="17"/>
          <w:b w:val="1"/>
          <w:bCs w:val="1"/>
          <w:color w:val="auto"/>
        </w:rPr>
        <w:t>Shares</w:t>
      </w:r>
      <w:r>
        <w:rPr>
          <w:rFonts w:ascii="Times New Roman" w:cs="Times New Roman" w:eastAsia="Times New Roman" w:hAnsi="Times New Roman"/>
          <w:sz w:val="17"/>
          <w:szCs w:val="17"/>
          <w:color w:val="auto"/>
        </w:rPr>
        <w:t>”).</w:t>
      </w:r>
    </w:p>
    <w:p>
      <w:pPr>
        <w:spacing w:after="0" w:line="172" w:lineRule="exact"/>
        <w:rPr>
          <w:sz w:val="20"/>
          <w:szCs w:val="20"/>
          <w:color w:val="auto"/>
        </w:rPr>
      </w:pPr>
    </w:p>
    <w:p>
      <w:pPr>
        <w:jc w:val="both"/>
        <w:ind w:firstLine="510"/>
        <w:spacing w:after="0" w:line="291" w:lineRule="auto"/>
        <w:rPr>
          <w:sz w:val="20"/>
          <w:szCs w:val="20"/>
          <w:color w:val="auto"/>
        </w:rPr>
      </w:pPr>
      <w:r>
        <w:rPr>
          <w:rFonts w:ascii="Times New Roman" w:cs="Times New Roman" w:eastAsia="Times New Roman" w:hAnsi="Times New Roman"/>
          <w:sz w:val="17"/>
          <w:szCs w:val="17"/>
          <w:color w:val="auto"/>
        </w:rPr>
        <w:t>On the basis of the foregoing, and in reliance thereon, we are of the opinion that the Shares, when issued and sold in the manner referred to in the Plans and pursuant to the agreements that accompany the Plans, will be legally and validly issued, fully paid, and nonassessable.</w:t>
      </w:r>
    </w:p>
    <w:p>
      <w:pPr>
        <w:spacing w:after="0" w:line="148" w:lineRule="exact"/>
        <w:rPr>
          <w:sz w:val="20"/>
          <w:szCs w:val="20"/>
          <w:color w:val="auto"/>
        </w:rPr>
      </w:pPr>
    </w:p>
    <w:p>
      <w:pPr>
        <w:jc w:val="both"/>
        <w:ind w:firstLine="510"/>
        <w:spacing w:after="0" w:line="273" w:lineRule="auto"/>
        <w:rPr>
          <w:sz w:val="20"/>
          <w:szCs w:val="20"/>
          <w:color w:val="auto"/>
        </w:rPr>
      </w:pPr>
      <w:r>
        <w:rPr>
          <w:rFonts w:ascii="Times New Roman" w:cs="Times New Roman" w:eastAsia="Times New Roman" w:hAnsi="Times New Roman"/>
          <w:sz w:val="17"/>
          <w:szCs w:val="17"/>
          <w:color w:val="auto"/>
        </w:rPr>
        <w:t>We consent to the use of this opinion as an exhibit to the Registration Statement and further consent to the use of our name wherever appearing in the Registration Statement and any amendments thereto. In giving such consent, we do not thereby admit that we are in the category of persons whose consent is required under Section 7 of the Act or the rules and regulations of the Commission thereunder.</w:t>
      </w:r>
    </w:p>
    <w:p>
      <w:pPr>
        <w:spacing w:after="0" w:line="36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7"/>
          <w:szCs w:val="17"/>
          <w:color w:val="auto"/>
        </w:rPr>
        <w:t>Very truly yours,</w:t>
      </w:r>
    </w:p>
    <w:p>
      <w:pPr>
        <w:spacing w:after="0" w:line="21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7"/>
          <w:szCs w:val="17"/>
          <w:color w:val="auto"/>
        </w:rPr>
        <w:t>/s/ Wilson Sonsini Goodrich &amp; Rosati, P.C.</w:t>
      </w:r>
    </w:p>
    <w:p>
      <w:pPr>
        <w:spacing w:after="0" w:line="21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7"/>
          <w:szCs w:val="17"/>
          <w:color w:val="auto"/>
        </w:rPr>
        <w:t>WILSON SONSINI GOODRICH &amp; ROSATI,</w:t>
      </w:r>
    </w:p>
    <w:p>
      <w:pPr>
        <w:spacing w:after="0" w:line="30"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7"/>
          <w:szCs w:val="17"/>
          <w:color w:val="auto"/>
        </w:rPr>
        <w:t>Professional Corporation</w:t>
      </w:r>
    </w:p>
    <w:p>
      <w:pPr>
        <w:spacing w:after="0" w:line="200" w:lineRule="exact"/>
        <w:rPr>
          <w:sz w:val="20"/>
          <w:szCs w:val="20"/>
          <w:color w:val="auto"/>
        </w:rPr>
      </w:pPr>
    </w:p>
    <w:p>
      <w:pPr>
        <w:jc w:val="center"/>
        <w:ind w:right="40"/>
        <w:spacing w:after="0" w:line="291" w:lineRule="auto"/>
        <w:rPr>
          <w:sz w:val="20"/>
          <w:szCs w:val="20"/>
          <w:color w:val="auto"/>
        </w:rPr>
      </w:pPr>
      <w:r>
        <w:rPr>
          <w:rFonts w:ascii="Times New Roman" w:cs="Times New Roman" w:eastAsia="Times New Roman" w:hAnsi="Times New Roman"/>
          <w:sz w:val="17"/>
          <w:szCs w:val="17"/>
          <w:color w:val="auto"/>
        </w:rPr>
        <w:t>AUSTIN BOSTON BOULDER BRUSSELS CENTURY CITY HONG KONG LONDON LOS ANGELES NEW YORK PALO ALTO SALT LAKE CITY SAN DIEGO SAN FRANCISCO SEATTLE SHANGHAI WASHINGTON, DC WILMINGTON, 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816610</wp:posOffset>
            </wp:positionV>
            <wp:extent cx="716343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362" w:right="339" w:bottom="1440" w:gutter="0" w:footer="0" w:header="0"/>
        </w:sectPr>
      </w:pPr>
    </w:p>
    <w:bookmarkStart w:id="8" w:name="page9"/>
    <w:bookmarkEnd w:id="8"/>
    <w:p>
      <w:pPr>
        <w:ind w:left="10300"/>
        <w:spacing w:after="0"/>
        <w:rPr>
          <w:sz w:val="20"/>
          <w:szCs w:val="20"/>
          <w:color w:val="auto"/>
        </w:rPr>
      </w:pPr>
      <w:r>
        <w:rPr>
          <w:rFonts w:ascii="Times New Roman" w:cs="Times New Roman" w:eastAsia="Times New Roman" w:hAnsi="Times New Roman"/>
          <w:sz w:val="17"/>
          <w:szCs w:val="17"/>
          <w:b w:val="1"/>
          <w:bCs w:val="1"/>
          <w:color w:val="auto"/>
        </w:rPr>
        <w:t>Exhibit 23.1</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CONSENT OF INDEPENDENT REGISTERED PUBLIC ACCOUNTING FIRM</w:t>
      </w:r>
    </w:p>
    <w:p>
      <w:pPr>
        <w:spacing w:after="0" w:line="117"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17"/>
          <w:szCs w:val="17"/>
          <w:color w:val="auto"/>
        </w:rPr>
        <w:t>We consent to the incorporation by reference in this Registration Statement on Form S-8 of our report dated March 10, 2025 relating to the financial statements of Tenaya Therapeutics, Inc., appearing in the Annual Report on Form 10-K of Tenaya Therapeutics, Inc. for the year ended December 31, 2024.</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Deloitte &amp; Touche LLP</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San Francisco, California</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1113155</wp:posOffset>
            </wp:positionV>
            <wp:extent cx="716343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1362" w:right="379" w:bottom="1440" w:gutter="0" w:footer="0" w:header="0"/>
        </w:sectPr>
      </w:pPr>
    </w:p>
    <w:bookmarkStart w:id="9" w:name="page10"/>
    <w:bookmarkEnd w:id="9"/>
    <w:p>
      <w:pPr>
        <w:ind w:left="2380"/>
        <w:spacing w:after="0"/>
        <w:rPr>
          <w:sz w:val="20"/>
          <w:szCs w:val="20"/>
          <w:color w:val="auto"/>
        </w:rPr>
      </w:pPr>
      <w:r>
        <w:rPr>
          <w:rFonts w:ascii="Arial" w:cs="Arial" w:eastAsia="Arial" w:hAnsi="Arial"/>
          <w:sz w:val="34"/>
          <w:szCs w:val="34"/>
          <w:b w:val="1"/>
          <w:bCs w:val="1"/>
          <w:color w:val="auto"/>
        </w:rPr>
        <w:t>Calculation of Filing Fee Tables</w:t>
      </w:r>
    </w:p>
    <w:p>
      <w:pPr>
        <w:spacing w:after="0" w:line="218" w:lineRule="exact"/>
        <w:rPr>
          <w:sz w:val="20"/>
          <w:szCs w:val="20"/>
          <w:color w:val="auto"/>
        </w:rPr>
      </w:pPr>
    </w:p>
    <w:p>
      <w:pPr>
        <w:ind w:left="4680"/>
        <w:spacing w:after="0"/>
        <w:rPr>
          <w:sz w:val="20"/>
          <w:szCs w:val="20"/>
          <w:color w:val="auto"/>
        </w:rPr>
      </w:pPr>
      <w:r>
        <w:rPr>
          <w:rFonts w:ascii="Arial" w:cs="Arial" w:eastAsia="Arial" w:hAnsi="Arial"/>
          <w:sz w:val="35"/>
          <w:szCs w:val="35"/>
          <w:b w:val="1"/>
          <w:bCs w:val="1"/>
          <w:color w:val="auto"/>
        </w:rPr>
        <w:t>S-8</w:t>
      </w:r>
    </w:p>
    <w:p>
      <w:pPr>
        <w:spacing w:after="0" w:line="116" w:lineRule="exact"/>
        <w:rPr>
          <w:sz w:val="20"/>
          <w:szCs w:val="20"/>
          <w:color w:val="auto"/>
        </w:rPr>
      </w:pPr>
    </w:p>
    <w:p>
      <w:pPr>
        <w:jc w:val="center"/>
        <w:ind w:right="140"/>
        <w:spacing w:after="0"/>
        <w:rPr>
          <w:sz w:val="20"/>
          <w:szCs w:val="20"/>
          <w:color w:val="auto"/>
        </w:rPr>
      </w:pPr>
      <w:r>
        <w:rPr>
          <w:rFonts w:ascii="Arial" w:cs="Arial" w:eastAsia="Arial" w:hAnsi="Arial"/>
          <w:sz w:val="35"/>
          <w:szCs w:val="35"/>
          <w:b w:val="1"/>
          <w:bCs w:val="1"/>
          <w:color w:val="auto"/>
        </w:rPr>
        <w:t>Tenaya Therapeutics, Inc.</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Table 1: Newly Registered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33655</wp:posOffset>
            </wp:positionV>
            <wp:extent cx="6426835" cy="78168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6426835" cy="7816850"/>
                    </a:xfrm>
                    <a:prstGeom prst="rect">
                      <a:avLst/>
                    </a:prstGeom>
                    <a:noFill/>
                  </pic:spPr>
                </pic:pic>
              </a:graphicData>
            </a:graphic>
          </wp:anchor>
        </w:drawing>
      </w:r>
    </w:p>
    <w:p>
      <w:pPr>
        <w:sectPr>
          <w:pgSz w:w="11900" w:h="16838" w:orient="portrait"/>
          <w:cols w:equalWidth="0" w:num="1">
            <w:col w:w="10040"/>
          </w:cols>
          <w:pgMar w:left="920" w:top="141" w:right="939" w:bottom="0" w:gutter="0" w:footer="0" w:header="0"/>
        </w:sectPr>
      </w:pPr>
    </w:p>
    <w:p>
      <w:pPr>
        <w:spacing w:after="0" w:line="96" w:lineRule="exact"/>
        <w:rPr>
          <w:sz w:val="20"/>
          <w:szCs w:val="20"/>
          <w:color w:val="auto"/>
        </w:rPr>
      </w:pPr>
    </w:p>
    <w:tbl>
      <w:tblPr>
        <w:tblLayout w:type="fixed"/>
        <w:tblInd w:w="200" w:type="dxa"/>
        <w:tblCellMar>
          <w:top w:w="0" w:type="dxa"/>
          <w:left w:w="0" w:type="dxa"/>
          <w:bottom w:w="0" w:type="dxa"/>
          <w:right w:w="0" w:type="dxa"/>
        </w:tblCellMar>
      </w:tblPr>
      <w:tr>
        <w:trPr>
          <w:trHeight w:val="453"/>
        </w:trPr>
        <w:tc>
          <w:tcPr>
            <w:tcW w:w="9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8"/>
              </w:rPr>
              <w:t>Security</w:t>
            </w:r>
          </w:p>
        </w:tc>
        <w:tc>
          <w:tcPr>
            <w:tcW w:w="20" w:type="dxa"/>
            <w:vAlign w:val="bottom"/>
          </w:tcPr>
          <w:p>
            <w:pPr>
              <w:spacing w:after="0"/>
              <w:rPr>
                <w:sz w:val="24"/>
                <w:szCs w:val="24"/>
                <w:color w:val="auto"/>
              </w:rPr>
            </w:pPr>
          </w:p>
        </w:tc>
        <w:tc>
          <w:tcPr>
            <w:tcW w:w="112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8"/>
              </w:rPr>
              <w:t>Security</w:t>
            </w:r>
          </w:p>
        </w:tc>
        <w:tc>
          <w:tcPr>
            <w:tcW w:w="20" w:type="dxa"/>
            <w:vAlign w:val="bottom"/>
          </w:tcPr>
          <w:p>
            <w:pPr>
              <w:spacing w:after="0"/>
              <w:rPr>
                <w:sz w:val="24"/>
                <w:szCs w:val="24"/>
                <w:color w:val="auto"/>
              </w:rPr>
            </w:pPr>
          </w:p>
        </w:tc>
        <w:tc>
          <w:tcPr>
            <w:tcW w:w="11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Fee</w:t>
            </w:r>
          </w:p>
        </w:tc>
        <w:tc>
          <w:tcPr>
            <w:tcW w:w="40" w:type="dxa"/>
            <w:vAlign w:val="bottom"/>
          </w:tcPr>
          <w:p>
            <w:pPr>
              <w:spacing w:after="0"/>
              <w:rPr>
                <w:sz w:val="24"/>
                <w:szCs w:val="24"/>
                <w:color w:val="auto"/>
              </w:rPr>
            </w:pPr>
          </w:p>
        </w:tc>
        <w:tc>
          <w:tcPr>
            <w:tcW w:w="11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Amount</w:t>
            </w:r>
          </w:p>
        </w:tc>
        <w:tc>
          <w:tcPr>
            <w:tcW w:w="0" w:type="dxa"/>
            <w:vAlign w:val="bottom"/>
          </w:tcPr>
          <w:p>
            <w:pPr>
              <w:spacing w:after="0"/>
              <w:rPr>
                <w:sz w:val="1"/>
                <w:szCs w:val="1"/>
                <w:color w:val="auto"/>
              </w:rPr>
            </w:pPr>
          </w:p>
        </w:tc>
      </w:tr>
      <w:tr>
        <w:trPr>
          <w:trHeight w:val="208"/>
        </w:trPr>
        <w:tc>
          <w:tcPr>
            <w:tcW w:w="96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shd w:val="clear" w:color="auto" w:fill="9ADAF6"/>
          </w:tcPr>
          <w:p>
            <w:pPr>
              <w:jc w:val="center"/>
              <w:spacing w:after="0" w:line="208" w:lineRule="exact"/>
              <w:rPr>
                <w:sz w:val="20"/>
                <w:szCs w:val="20"/>
                <w:color w:val="auto"/>
              </w:rPr>
            </w:pPr>
            <w:r>
              <w:rPr>
                <w:rFonts w:ascii="Arial" w:cs="Arial" w:eastAsia="Arial" w:hAnsi="Arial"/>
                <w:sz w:val="21"/>
                <w:szCs w:val="21"/>
                <w:b w:val="1"/>
                <w:bCs w:val="1"/>
                <w:color w:val="auto"/>
                <w:w w:val="98"/>
              </w:rPr>
              <w:t>Calculation</w:t>
            </w:r>
          </w:p>
        </w:tc>
        <w:tc>
          <w:tcPr>
            <w:tcW w:w="40" w:type="dxa"/>
            <w:vAlign w:val="bottom"/>
          </w:tcPr>
          <w:p>
            <w:pPr>
              <w:spacing w:after="0"/>
              <w:rPr>
                <w:sz w:val="18"/>
                <w:szCs w:val="18"/>
                <w:color w:val="auto"/>
              </w:rPr>
            </w:pPr>
          </w:p>
        </w:tc>
        <w:tc>
          <w:tcPr>
            <w:tcW w:w="1100" w:type="dxa"/>
            <w:vAlign w:val="bottom"/>
            <w:vMerge w:val="continue"/>
            <w:shd w:val="clear" w:color="auto" w:fill="9ADAF6"/>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96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3"/>
              </w:rPr>
              <w:t>Type</w:t>
            </w:r>
          </w:p>
        </w:tc>
        <w:tc>
          <w:tcPr>
            <w:tcW w:w="20" w:type="dxa"/>
            <w:vAlign w:val="bottom"/>
          </w:tcPr>
          <w:p>
            <w:pPr>
              <w:spacing w:after="0"/>
              <w:rPr>
                <w:sz w:val="20"/>
                <w:szCs w:val="20"/>
                <w:color w:val="auto"/>
              </w:rPr>
            </w:pPr>
          </w:p>
        </w:tc>
        <w:tc>
          <w:tcPr>
            <w:tcW w:w="112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7"/>
              </w:rPr>
              <w:t>Class Title</w:t>
            </w:r>
          </w:p>
        </w:tc>
        <w:tc>
          <w:tcPr>
            <w:tcW w:w="20" w:type="dxa"/>
            <w:vAlign w:val="bottom"/>
          </w:tcPr>
          <w:p>
            <w:pPr>
              <w:spacing w:after="0"/>
              <w:rPr>
                <w:sz w:val="20"/>
                <w:szCs w:val="20"/>
                <w:color w:val="auto"/>
              </w:rPr>
            </w:pPr>
          </w:p>
        </w:tc>
        <w:tc>
          <w:tcPr>
            <w:tcW w:w="11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Rule</w:t>
            </w:r>
          </w:p>
        </w:tc>
        <w:tc>
          <w:tcPr>
            <w:tcW w:w="40" w:type="dxa"/>
            <w:vAlign w:val="bottom"/>
          </w:tcPr>
          <w:p>
            <w:pPr>
              <w:spacing w:after="0"/>
              <w:rPr>
                <w:sz w:val="20"/>
                <w:szCs w:val="20"/>
                <w:color w:val="auto"/>
              </w:rPr>
            </w:pPr>
          </w:p>
        </w:tc>
        <w:tc>
          <w:tcPr>
            <w:tcW w:w="110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Registered</w:t>
            </w:r>
          </w:p>
        </w:tc>
        <w:tc>
          <w:tcPr>
            <w:tcW w:w="0" w:type="dxa"/>
            <w:vAlign w:val="bottom"/>
          </w:tcPr>
          <w:p>
            <w:pPr>
              <w:spacing w:after="0"/>
              <w:rPr>
                <w:sz w:val="1"/>
                <w:szCs w:val="1"/>
                <w:color w:val="auto"/>
              </w:rPr>
            </w:pPr>
          </w:p>
        </w:tc>
      </w:tr>
      <w:tr>
        <w:trPr>
          <w:trHeight w:val="76"/>
        </w:trPr>
        <w:tc>
          <w:tcPr>
            <w:tcW w:w="960" w:type="dxa"/>
            <w:vAlign w:val="bottom"/>
            <w:shd w:val="clear" w:color="auto" w:fill="9ADAF6"/>
          </w:tcPr>
          <w:p>
            <w:pPr>
              <w:spacing w:after="0"/>
              <w:rPr>
                <w:sz w:val="6"/>
                <w:szCs w:val="6"/>
                <w:color w:val="auto"/>
              </w:rPr>
            </w:pPr>
          </w:p>
        </w:tc>
        <w:tc>
          <w:tcPr>
            <w:tcW w:w="20" w:type="dxa"/>
            <w:vAlign w:val="bottom"/>
          </w:tcPr>
          <w:p>
            <w:pPr>
              <w:spacing w:after="0"/>
              <w:rPr>
                <w:sz w:val="6"/>
                <w:szCs w:val="6"/>
                <w:color w:val="auto"/>
              </w:rPr>
            </w:pPr>
          </w:p>
        </w:tc>
        <w:tc>
          <w:tcPr>
            <w:tcW w:w="1120" w:type="dxa"/>
            <w:vAlign w:val="bottom"/>
            <w:shd w:val="clear" w:color="auto" w:fill="9ADAF6"/>
          </w:tcPr>
          <w:p>
            <w:pPr>
              <w:spacing w:after="0"/>
              <w:rPr>
                <w:sz w:val="6"/>
                <w:szCs w:val="6"/>
                <w:color w:val="auto"/>
              </w:rPr>
            </w:pPr>
          </w:p>
        </w:tc>
        <w:tc>
          <w:tcPr>
            <w:tcW w:w="20" w:type="dxa"/>
            <w:vAlign w:val="bottom"/>
          </w:tcPr>
          <w:p>
            <w:pPr>
              <w:spacing w:after="0"/>
              <w:rPr>
                <w:sz w:val="6"/>
                <w:szCs w:val="6"/>
                <w:color w:val="auto"/>
              </w:rPr>
            </w:pPr>
          </w:p>
        </w:tc>
        <w:tc>
          <w:tcPr>
            <w:tcW w:w="1140" w:type="dxa"/>
            <w:vAlign w:val="bottom"/>
            <w:vMerge w:val="continue"/>
            <w:shd w:val="clear" w:color="auto" w:fill="9ADAF6"/>
          </w:tcPr>
          <w:p>
            <w:pPr>
              <w:spacing w:after="0"/>
              <w:rPr>
                <w:sz w:val="6"/>
                <w:szCs w:val="6"/>
                <w:color w:val="auto"/>
              </w:rPr>
            </w:pPr>
          </w:p>
        </w:tc>
        <w:tc>
          <w:tcPr>
            <w:tcW w:w="40" w:type="dxa"/>
            <w:vAlign w:val="bottom"/>
          </w:tcPr>
          <w:p>
            <w:pPr>
              <w:spacing w:after="0"/>
              <w:rPr>
                <w:sz w:val="6"/>
                <w:szCs w:val="6"/>
                <w:color w:val="auto"/>
              </w:rPr>
            </w:pPr>
          </w:p>
        </w:tc>
        <w:tc>
          <w:tcPr>
            <w:tcW w:w="1100" w:type="dxa"/>
            <w:vAlign w:val="bottom"/>
            <w:shd w:val="clear" w:color="auto" w:fill="9ADAF6"/>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9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100" w:type="dxa"/>
            <w:vAlign w:val="bottom"/>
            <w:shd w:val="clear" w:color="auto" w:fill="9ADAF6"/>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13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Proposed</w:t>
            </w:r>
          </w:p>
        </w:tc>
        <w:tc>
          <w:tcPr>
            <w:tcW w:w="20" w:type="dxa"/>
            <w:vAlign w:val="bottom"/>
          </w:tcPr>
          <w:p>
            <w:pPr>
              <w:spacing w:after="0"/>
              <w:rPr>
                <w:sz w:val="21"/>
                <w:szCs w:val="21"/>
                <w:color w:val="auto"/>
              </w:rPr>
            </w:pPr>
          </w:p>
        </w:tc>
        <w:tc>
          <w:tcPr>
            <w:tcW w:w="1500" w:type="dxa"/>
            <w:vAlign w:val="bottom"/>
            <w:shd w:val="clear" w:color="auto" w:fill="9ADAF6"/>
          </w:tcPr>
          <w:p>
            <w:pPr>
              <w:spacing w:after="0"/>
              <w:rPr>
                <w:sz w:val="21"/>
                <w:szCs w:val="21"/>
                <w:color w:val="auto"/>
              </w:rPr>
            </w:pPr>
          </w:p>
        </w:tc>
        <w:tc>
          <w:tcPr>
            <w:tcW w:w="20" w:type="dxa"/>
            <w:vAlign w:val="bottom"/>
          </w:tcPr>
          <w:p>
            <w:pPr>
              <w:spacing w:after="0"/>
              <w:rPr>
                <w:sz w:val="21"/>
                <w:szCs w:val="21"/>
                <w:color w:val="auto"/>
              </w:rPr>
            </w:pPr>
          </w:p>
        </w:tc>
        <w:tc>
          <w:tcPr>
            <w:tcW w:w="1020" w:type="dxa"/>
            <w:vAlign w:val="bottom"/>
            <w:shd w:val="clear" w:color="auto" w:fill="9ADAF6"/>
          </w:tcPr>
          <w:p>
            <w:pPr>
              <w:spacing w:after="0"/>
              <w:rPr>
                <w:sz w:val="21"/>
                <w:szCs w:val="21"/>
                <w:color w:val="auto"/>
              </w:rPr>
            </w:pPr>
          </w:p>
        </w:tc>
        <w:tc>
          <w:tcPr>
            <w:tcW w:w="20" w:type="dxa"/>
            <w:vAlign w:val="bottom"/>
          </w:tcPr>
          <w:p>
            <w:pPr>
              <w:spacing w:after="0"/>
              <w:rPr>
                <w:sz w:val="21"/>
                <w:szCs w:val="21"/>
                <w:color w:val="auto"/>
              </w:rPr>
            </w:pPr>
          </w:p>
        </w:tc>
        <w:tc>
          <w:tcPr>
            <w:tcW w:w="1480" w:type="dxa"/>
            <w:vAlign w:val="bottom"/>
            <w:shd w:val="clear" w:color="auto" w:fill="9ADAF6"/>
          </w:tcPr>
          <w:p>
            <w:pPr>
              <w:spacing w:after="0"/>
              <w:rPr>
                <w:sz w:val="21"/>
                <w:szCs w:val="21"/>
                <w:color w:val="auto"/>
              </w:rPr>
            </w:pPr>
          </w:p>
        </w:tc>
      </w:tr>
      <w:tr>
        <w:trPr>
          <w:trHeight w:val="233"/>
        </w:trPr>
        <w:tc>
          <w:tcPr>
            <w:tcW w:w="136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Maximum</w:t>
            </w:r>
          </w:p>
        </w:tc>
        <w:tc>
          <w:tcPr>
            <w:tcW w:w="20" w:type="dxa"/>
            <w:vAlign w:val="bottom"/>
          </w:tcPr>
          <w:p>
            <w:pPr>
              <w:spacing w:after="0"/>
              <w:rPr>
                <w:sz w:val="20"/>
                <w:szCs w:val="20"/>
                <w:color w:val="auto"/>
              </w:rPr>
            </w:pPr>
          </w:p>
        </w:tc>
        <w:tc>
          <w:tcPr>
            <w:tcW w:w="150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Maximum</w:t>
            </w:r>
          </w:p>
        </w:tc>
        <w:tc>
          <w:tcPr>
            <w:tcW w:w="20" w:type="dxa"/>
            <w:vAlign w:val="bottom"/>
          </w:tcPr>
          <w:p>
            <w:pPr>
              <w:spacing w:after="0"/>
              <w:rPr>
                <w:sz w:val="20"/>
                <w:szCs w:val="20"/>
                <w:color w:val="auto"/>
              </w:rPr>
            </w:pPr>
          </w:p>
        </w:tc>
        <w:tc>
          <w:tcPr>
            <w:tcW w:w="102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48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Amount of</w:t>
            </w:r>
          </w:p>
        </w:tc>
      </w:tr>
      <w:tr>
        <w:trPr>
          <w:trHeight w:val="233"/>
        </w:trPr>
        <w:tc>
          <w:tcPr>
            <w:tcW w:w="136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7"/>
              </w:rPr>
              <w:t>Offering</w:t>
            </w:r>
          </w:p>
        </w:tc>
        <w:tc>
          <w:tcPr>
            <w:tcW w:w="20" w:type="dxa"/>
            <w:vAlign w:val="bottom"/>
          </w:tcPr>
          <w:p>
            <w:pPr>
              <w:spacing w:after="0"/>
              <w:rPr>
                <w:sz w:val="20"/>
                <w:szCs w:val="20"/>
                <w:color w:val="auto"/>
              </w:rPr>
            </w:pPr>
          </w:p>
        </w:tc>
        <w:tc>
          <w:tcPr>
            <w:tcW w:w="150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Aggregate</w:t>
            </w:r>
          </w:p>
        </w:tc>
        <w:tc>
          <w:tcPr>
            <w:tcW w:w="20" w:type="dxa"/>
            <w:vAlign w:val="bottom"/>
          </w:tcPr>
          <w:p>
            <w:pPr>
              <w:spacing w:after="0"/>
              <w:rPr>
                <w:sz w:val="20"/>
                <w:szCs w:val="20"/>
                <w:color w:val="auto"/>
              </w:rPr>
            </w:pPr>
          </w:p>
        </w:tc>
        <w:tc>
          <w:tcPr>
            <w:tcW w:w="1020" w:type="dxa"/>
            <w:vAlign w:val="bottom"/>
            <w:shd w:val="clear" w:color="auto" w:fill="9ADAF6"/>
          </w:tcPr>
          <w:p>
            <w:pPr>
              <w:ind w:left="80"/>
              <w:spacing w:after="0" w:line="233" w:lineRule="exact"/>
              <w:rPr>
                <w:sz w:val="20"/>
                <w:szCs w:val="20"/>
                <w:color w:val="auto"/>
              </w:rPr>
            </w:pPr>
            <w:r>
              <w:rPr>
                <w:rFonts w:ascii="Arial" w:cs="Arial" w:eastAsia="Arial" w:hAnsi="Arial"/>
                <w:sz w:val="21"/>
                <w:szCs w:val="21"/>
                <w:b w:val="1"/>
                <w:bCs w:val="1"/>
                <w:color w:val="auto"/>
              </w:rPr>
              <w:t>Fee Rate</w:t>
            </w:r>
          </w:p>
        </w:tc>
        <w:tc>
          <w:tcPr>
            <w:tcW w:w="20" w:type="dxa"/>
            <w:vAlign w:val="bottom"/>
          </w:tcPr>
          <w:p>
            <w:pPr>
              <w:spacing w:after="0"/>
              <w:rPr>
                <w:sz w:val="20"/>
                <w:szCs w:val="20"/>
                <w:color w:val="auto"/>
              </w:rPr>
            </w:pPr>
          </w:p>
        </w:tc>
        <w:tc>
          <w:tcPr>
            <w:tcW w:w="148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7"/>
              </w:rPr>
              <w:t>Registration</w:t>
            </w:r>
          </w:p>
        </w:tc>
      </w:tr>
      <w:tr>
        <w:trPr>
          <w:trHeight w:val="233"/>
        </w:trPr>
        <w:tc>
          <w:tcPr>
            <w:tcW w:w="136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Price Per</w:t>
            </w:r>
          </w:p>
        </w:tc>
        <w:tc>
          <w:tcPr>
            <w:tcW w:w="20" w:type="dxa"/>
            <w:vAlign w:val="bottom"/>
          </w:tcPr>
          <w:p>
            <w:pPr>
              <w:spacing w:after="0"/>
              <w:rPr>
                <w:sz w:val="20"/>
                <w:szCs w:val="20"/>
                <w:color w:val="auto"/>
              </w:rPr>
            </w:pPr>
          </w:p>
        </w:tc>
        <w:tc>
          <w:tcPr>
            <w:tcW w:w="150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Offering Price</w:t>
            </w:r>
          </w:p>
        </w:tc>
        <w:tc>
          <w:tcPr>
            <w:tcW w:w="20" w:type="dxa"/>
            <w:vAlign w:val="bottom"/>
          </w:tcPr>
          <w:p>
            <w:pPr>
              <w:spacing w:after="0"/>
              <w:rPr>
                <w:sz w:val="20"/>
                <w:szCs w:val="20"/>
                <w:color w:val="auto"/>
              </w:rPr>
            </w:pPr>
          </w:p>
        </w:tc>
        <w:tc>
          <w:tcPr>
            <w:tcW w:w="102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48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Fee</w:t>
            </w:r>
          </w:p>
        </w:tc>
      </w:tr>
      <w:tr>
        <w:trPr>
          <w:trHeight w:val="272"/>
        </w:trPr>
        <w:tc>
          <w:tcPr>
            <w:tcW w:w="13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Unit</w:t>
            </w:r>
          </w:p>
        </w:tc>
        <w:tc>
          <w:tcPr>
            <w:tcW w:w="20" w:type="dxa"/>
            <w:vAlign w:val="bottom"/>
          </w:tcPr>
          <w:p>
            <w:pPr>
              <w:spacing w:after="0"/>
              <w:rPr>
                <w:sz w:val="23"/>
                <w:szCs w:val="23"/>
                <w:color w:val="auto"/>
              </w:rPr>
            </w:pPr>
          </w:p>
        </w:tc>
        <w:tc>
          <w:tcPr>
            <w:tcW w:w="150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102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1480" w:type="dxa"/>
            <w:vAlign w:val="bottom"/>
            <w:shd w:val="clear" w:color="auto" w:fill="9ADAF6"/>
          </w:tcPr>
          <w:p>
            <w:pPr>
              <w:spacing w:after="0"/>
              <w:rPr>
                <w:sz w:val="23"/>
                <w:szCs w:val="23"/>
                <w:color w:val="auto"/>
              </w:rPr>
            </w:pPr>
          </w:p>
        </w:tc>
      </w:tr>
    </w:tbl>
    <w:p>
      <w:pPr>
        <w:spacing w:after="0" w:line="13" w:lineRule="exact"/>
        <w:rPr>
          <w:sz w:val="20"/>
          <w:szCs w:val="20"/>
          <w:color w:val="auto"/>
        </w:rPr>
      </w:pPr>
    </w:p>
    <w:p>
      <w:pPr>
        <w:sectPr>
          <w:pgSz w:w="11900" w:h="16838" w:orient="portrait"/>
          <w:cols w:equalWidth="0" w:num="2">
            <w:col w:w="4600" w:space="20"/>
            <w:col w:w="5420"/>
          </w:cols>
          <w:pgMar w:left="920" w:top="141" w:right="9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40"/>
        <w:spacing w:after="0"/>
        <w:rPr>
          <w:sz w:val="20"/>
          <w:szCs w:val="20"/>
          <w:color w:val="auto"/>
        </w:rPr>
      </w:pPr>
      <w:r>
        <w:rPr>
          <w:rFonts w:ascii="Arial" w:cs="Arial" w:eastAsia="Arial" w:hAnsi="Arial"/>
          <w:sz w:val="20"/>
          <w:szCs w:val="20"/>
          <w:color w:val="auto"/>
        </w:rPr>
        <w:t>1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0"/>
        <w:spacing w:after="0"/>
        <w:rPr>
          <w:sz w:val="20"/>
          <w:szCs w:val="20"/>
          <w:color w:val="auto"/>
        </w:rPr>
      </w:pPr>
      <w:r>
        <w:rPr>
          <w:rFonts w:ascii="Arial" w:cs="Arial" w:eastAsia="Arial" w:hAnsi="Arial"/>
          <w:sz w:val="20"/>
          <w:szCs w:val="20"/>
          <w:color w:val="auto"/>
        </w:rPr>
        <w:t>2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0"/>
        <w:spacing w:after="0"/>
        <w:rPr>
          <w:sz w:val="20"/>
          <w:szCs w:val="20"/>
          <w:color w:val="auto"/>
        </w:rPr>
      </w:pPr>
      <w:r>
        <w:rPr>
          <w:rFonts w:ascii="Arial" w:cs="Arial" w:eastAsia="Arial" w:hAnsi="Arial"/>
          <w:sz w:val="20"/>
          <w:szCs w:val="20"/>
          <w:color w:val="auto"/>
        </w:rPr>
        <w:t>3 Equity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color w:val="auto"/>
        </w:rPr>
        <w:t>Common</w:t>
      </w:r>
    </w:p>
    <w:p>
      <w:pPr>
        <w:spacing w:after="0" w:line="3" w:lineRule="exact"/>
        <w:rPr>
          <w:sz w:val="20"/>
          <w:szCs w:val="20"/>
          <w:color w:val="auto"/>
        </w:rPr>
      </w:pPr>
    </w:p>
    <w:p>
      <w:pPr>
        <w:spacing w:after="0"/>
        <w:rPr>
          <w:sz w:val="20"/>
          <w:szCs w:val="20"/>
          <w:color w:val="auto"/>
        </w:rPr>
      </w:pPr>
      <w:r>
        <w:rPr>
          <w:rFonts w:ascii="Arial" w:cs="Arial" w:eastAsia="Arial" w:hAnsi="Arial"/>
          <w:sz w:val="21"/>
          <w:szCs w:val="21"/>
          <w:color w:val="auto"/>
        </w:rPr>
        <w:t>Stock,</w:t>
      </w:r>
    </w:p>
    <w:p>
      <w:pPr>
        <w:spacing w:after="0" w:line="231" w:lineRule="auto"/>
        <w:rPr>
          <w:sz w:val="20"/>
          <w:szCs w:val="20"/>
          <w:color w:val="auto"/>
        </w:rPr>
      </w:pPr>
      <w:r>
        <w:rPr>
          <w:rFonts w:ascii="Arial" w:cs="Arial" w:eastAsia="Arial" w:hAnsi="Arial"/>
          <w:sz w:val="21"/>
          <w:szCs w:val="21"/>
          <w:color w:val="auto"/>
        </w:rPr>
        <w:t>$0.0001</w:t>
      </w:r>
    </w:p>
    <w:p>
      <w:pPr>
        <w:spacing w:after="0" w:line="232" w:lineRule="auto"/>
        <w:rPr>
          <w:sz w:val="20"/>
          <w:szCs w:val="20"/>
          <w:color w:val="auto"/>
        </w:rPr>
      </w:pPr>
      <w:r>
        <w:rPr>
          <w:rFonts w:ascii="Arial" w:cs="Arial" w:eastAsia="Arial" w:hAnsi="Arial"/>
          <w:sz w:val="21"/>
          <w:szCs w:val="21"/>
          <w:color w:val="auto"/>
        </w:rPr>
        <w:t>par value</w:t>
      </w:r>
    </w:p>
    <w:p>
      <w:pPr>
        <w:spacing w:after="0" w:line="232" w:lineRule="auto"/>
        <w:rPr>
          <w:sz w:val="20"/>
          <w:szCs w:val="20"/>
          <w:color w:val="auto"/>
        </w:rPr>
      </w:pPr>
      <w:r>
        <w:rPr>
          <w:rFonts w:ascii="Arial" w:cs="Arial" w:eastAsia="Arial" w:hAnsi="Arial"/>
          <w:sz w:val="21"/>
          <w:szCs w:val="21"/>
          <w:color w:val="auto"/>
        </w:rPr>
        <w:t>per share,</w:t>
      </w:r>
    </w:p>
    <w:p>
      <w:pPr>
        <w:spacing w:after="0" w:line="231" w:lineRule="auto"/>
        <w:rPr>
          <w:sz w:val="20"/>
          <w:szCs w:val="20"/>
          <w:color w:val="auto"/>
        </w:rPr>
      </w:pPr>
      <w:r>
        <w:rPr>
          <w:rFonts w:ascii="Arial" w:cs="Arial" w:eastAsia="Arial" w:hAnsi="Arial"/>
          <w:sz w:val="21"/>
          <w:szCs w:val="21"/>
          <w:color w:val="auto"/>
        </w:rPr>
        <w:t>reserved</w:t>
      </w:r>
    </w:p>
    <w:p>
      <w:pPr>
        <w:spacing w:after="0" w:line="232" w:lineRule="auto"/>
        <w:rPr>
          <w:sz w:val="20"/>
          <w:szCs w:val="20"/>
          <w:color w:val="auto"/>
        </w:rPr>
      </w:pPr>
      <w:r>
        <w:rPr>
          <w:rFonts w:ascii="Arial" w:cs="Arial" w:eastAsia="Arial" w:hAnsi="Arial"/>
          <w:sz w:val="21"/>
          <w:szCs w:val="21"/>
          <w:color w:val="auto"/>
        </w:rPr>
        <w:t>for</w:t>
      </w:r>
    </w:p>
    <w:p>
      <w:pPr>
        <w:spacing w:after="0" w:line="232" w:lineRule="auto"/>
        <w:rPr>
          <w:sz w:val="20"/>
          <w:szCs w:val="20"/>
          <w:color w:val="auto"/>
        </w:rPr>
      </w:pPr>
      <w:r>
        <w:rPr>
          <w:rFonts w:ascii="Arial" w:cs="Arial" w:eastAsia="Arial" w:hAnsi="Arial"/>
          <w:sz w:val="21"/>
          <w:szCs w:val="21"/>
          <w:color w:val="auto"/>
        </w:rPr>
        <w:t>issuance</w:t>
      </w:r>
    </w:p>
    <w:p>
      <w:pPr>
        <w:spacing w:after="0" w:line="231" w:lineRule="auto"/>
        <w:rPr>
          <w:sz w:val="20"/>
          <w:szCs w:val="20"/>
          <w:color w:val="auto"/>
        </w:rPr>
      </w:pPr>
      <w:r>
        <w:rPr>
          <w:rFonts w:ascii="Arial" w:cs="Arial" w:eastAsia="Arial" w:hAnsi="Arial"/>
          <w:sz w:val="21"/>
          <w:szCs w:val="21"/>
          <w:color w:val="auto"/>
        </w:rPr>
        <w:t>pursuant to</w:t>
      </w:r>
    </w:p>
    <w:p>
      <w:pPr>
        <w:spacing w:after="0" w:line="232" w:lineRule="auto"/>
        <w:rPr>
          <w:sz w:val="20"/>
          <w:szCs w:val="20"/>
          <w:color w:val="auto"/>
        </w:rPr>
      </w:pPr>
      <w:r>
        <w:rPr>
          <w:rFonts w:ascii="Arial" w:cs="Arial" w:eastAsia="Arial" w:hAnsi="Arial"/>
          <w:sz w:val="21"/>
          <w:szCs w:val="21"/>
          <w:color w:val="auto"/>
        </w:rPr>
        <w:t>the 2021</w:t>
      </w:r>
    </w:p>
    <w:p>
      <w:pPr>
        <w:spacing w:after="0" w:line="232" w:lineRule="auto"/>
        <w:rPr>
          <w:sz w:val="20"/>
          <w:szCs w:val="20"/>
          <w:color w:val="auto"/>
        </w:rPr>
      </w:pPr>
      <w:r>
        <w:rPr>
          <w:rFonts w:ascii="Arial" w:cs="Arial" w:eastAsia="Arial" w:hAnsi="Arial"/>
          <w:sz w:val="21"/>
          <w:szCs w:val="21"/>
          <w:color w:val="auto"/>
        </w:rPr>
        <w:t>Equity</w:t>
      </w:r>
    </w:p>
    <w:p>
      <w:pPr>
        <w:spacing w:after="0" w:line="231" w:lineRule="auto"/>
        <w:rPr>
          <w:sz w:val="20"/>
          <w:szCs w:val="20"/>
          <w:color w:val="auto"/>
        </w:rPr>
      </w:pPr>
      <w:r>
        <w:rPr>
          <w:rFonts w:ascii="Arial" w:cs="Arial" w:eastAsia="Arial" w:hAnsi="Arial"/>
          <w:sz w:val="21"/>
          <w:szCs w:val="21"/>
          <w:color w:val="auto"/>
        </w:rPr>
        <w:t>Incentive</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Plan</w:t>
      </w:r>
    </w:p>
    <w:p>
      <w:pPr>
        <w:spacing w:after="0" w:line="23" w:lineRule="exact"/>
        <w:rPr>
          <w:sz w:val="20"/>
          <w:szCs w:val="20"/>
          <w:color w:val="auto"/>
        </w:rPr>
      </w:pPr>
    </w:p>
    <w:p>
      <w:pPr>
        <w:spacing w:after="0"/>
        <w:rPr>
          <w:sz w:val="20"/>
          <w:szCs w:val="20"/>
          <w:color w:val="auto"/>
        </w:rPr>
      </w:pPr>
      <w:r>
        <w:rPr>
          <w:rFonts w:ascii="Arial" w:cs="Arial" w:eastAsia="Arial" w:hAnsi="Arial"/>
          <w:sz w:val="21"/>
          <w:szCs w:val="21"/>
          <w:color w:val="auto"/>
        </w:rPr>
        <w:t>Common</w:t>
      </w:r>
    </w:p>
    <w:p>
      <w:pPr>
        <w:spacing w:after="0" w:line="3" w:lineRule="exact"/>
        <w:rPr>
          <w:sz w:val="20"/>
          <w:szCs w:val="20"/>
          <w:color w:val="auto"/>
        </w:rPr>
      </w:pPr>
    </w:p>
    <w:p>
      <w:pPr>
        <w:spacing w:after="0"/>
        <w:rPr>
          <w:sz w:val="20"/>
          <w:szCs w:val="20"/>
          <w:color w:val="auto"/>
        </w:rPr>
      </w:pPr>
      <w:r>
        <w:rPr>
          <w:rFonts w:ascii="Arial" w:cs="Arial" w:eastAsia="Arial" w:hAnsi="Arial"/>
          <w:sz w:val="21"/>
          <w:szCs w:val="21"/>
          <w:color w:val="auto"/>
        </w:rPr>
        <w:t>Stock,</w:t>
      </w:r>
    </w:p>
    <w:p>
      <w:pPr>
        <w:spacing w:after="0" w:line="231" w:lineRule="auto"/>
        <w:rPr>
          <w:sz w:val="20"/>
          <w:szCs w:val="20"/>
          <w:color w:val="auto"/>
        </w:rPr>
      </w:pPr>
      <w:r>
        <w:rPr>
          <w:rFonts w:ascii="Arial" w:cs="Arial" w:eastAsia="Arial" w:hAnsi="Arial"/>
          <w:sz w:val="21"/>
          <w:szCs w:val="21"/>
          <w:color w:val="auto"/>
        </w:rPr>
        <w:t>$0.0001</w:t>
      </w:r>
    </w:p>
    <w:p>
      <w:pPr>
        <w:spacing w:after="0" w:line="232" w:lineRule="auto"/>
        <w:rPr>
          <w:sz w:val="20"/>
          <w:szCs w:val="20"/>
          <w:color w:val="auto"/>
        </w:rPr>
      </w:pPr>
      <w:r>
        <w:rPr>
          <w:rFonts w:ascii="Arial" w:cs="Arial" w:eastAsia="Arial" w:hAnsi="Arial"/>
          <w:sz w:val="21"/>
          <w:szCs w:val="21"/>
          <w:color w:val="auto"/>
        </w:rPr>
        <w:t>par value</w:t>
      </w:r>
    </w:p>
    <w:p>
      <w:pPr>
        <w:spacing w:after="0" w:line="232" w:lineRule="auto"/>
        <w:rPr>
          <w:sz w:val="20"/>
          <w:szCs w:val="20"/>
          <w:color w:val="auto"/>
        </w:rPr>
      </w:pPr>
      <w:r>
        <w:rPr>
          <w:rFonts w:ascii="Arial" w:cs="Arial" w:eastAsia="Arial" w:hAnsi="Arial"/>
          <w:sz w:val="21"/>
          <w:szCs w:val="21"/>
          <w:color w:val="auto"/>
        </w:rPr>
        <w:t>per share,</w:t>
      </w:r>
    </w:p>
    <w:p>
      <w:pPr>
        <w:spacing w:after="0" w:line="231" w:lineRule="auto"/>
        <w:rPr>
          <w:sz w:val="20"/>
          <w:szCs w:val="20"/>
          <w:color w:val="auto"/>
        </w:rPr>
      </w:pPr>
      <w:r>
        <w:rPr>
          <w:rFonts w:ascii="Arial" w:cs="Arial" w:eastAsia="Arial" w:hAnsi="Arial"/>
          <w:sz w:val="21"/>
          <w:szCs w:val="21"/>
          <w:color w:val="auto"/>
        </w:rPr>
        <w:t>to be</w:t>
      </w:r>
    </w:p>
    <w:p>
      <w:pPr>
        <w:spacing w:after="0" w:line="232" w:lineRule="auto"/>
        <w:rPr>
          <w:sz w:val="20"/>
          <w:szCs w:val="20"/>
          <w:color w:val="auto"/>
        </w:rPr>
      </w:pPr>
      <w:r>
        <w:rPr>
          <w:rFonts w:ascii="Arial" w:cs="Arial" w:eastAsia="Arial" w:hAnsi="Arial"/>
          <w:sz w:val="21"/>
          <w:szCs w:val="21"/>
          <w:color w:val="auto"/>
        </w:rPr>
        <w:t>issued</w:t>
      </w:r>
    </w:p>
    <w:p>
      <w:pPr>
        <w:spacing w:after="0" w:line="232" w:lineRule="auto"/>
        <w:rPr>
          <w:sz w:val="20"/>
          <w:szCs w:val="20"/>
          <w:color w:val="auto"/>
        </w:rPr>
      </w:pPr>
      <w:r>
        <w:rPr>
          <w:rFonts w:ascii="Arial" w:cs="Arial" w:eastAsia="Arial" w:hAnsi="Arial"/>
          <w:sz w:val="21"/>
          <w:szCs w:val="21"/>
          <w:color w:val="auto"/>
        </w:rPr>
        <w:t>pursuant to</w:t>
      </w:r>
    </w:p>
    <w:p>
      <w:pPr>
        <w:spacing w:after="0"/>
        <w:rPr>
          <w:sz w:val="20"/>
          <w:szCs w:val="20"/>
          <w:color w:val="auto"/>
        </w:rPr>
      </w:pPr>
      <w:r>
        <w:rPr>
          <w:rFonts w:ascii="Arial" w:cs="Arial" w:eastAsia="Arial" w:hAnsi="Arial"/>
          <w:sz w:val="20"/>
          <w:szCs w:val="20"/>
          <w:color w:val="auto"/>
        </w:rPr>
        <w:t>outstanding</w:t>
      </w:r>
    </w:p>
    <w:p>
      <w:pPr>
        <w:spacing w:after="0" w:line="234" w:lineRule="auto"/>
        <w:rPr>
          <w:sz w:val="20"/>
          <w:szCs w:val="20"/>
          <w:color w:val="auto"/>
        </w:rPr>
      </w:pPr>
      <w:r>
        <w:rPr>
          <w:rFonts w:ascii="Arial" w:cs="Arial" w:eastAsia="Arial" w:hAnsi="Arial"/>
          <w:sz w:val="21"/>
          <w:szCs w:val="21"/>
          <w:color w:val="auto"/>
        </w:rPr>
        <w:t>options</w:t>
      </w:r>
    </w:p>
    <w:p>
      <w:pPr>
        <w:spacing w:after="0" w:line="232" w:lineRule="auto"/>
        <w:rPr>
          <w:sz w:val="20"/>
          <w:szCs w:val="20"/>
          <w:color w:val="auto"/>
        </w:rPr>
      </w:pPr>
      <w:r>
        <w:rPr>
          <w:rFonts w:ascii="Arial" w:cs="Arial" w:eastAsia="Arial" w:hAnsi="Arial"/>
          <w:sz w:val="21"/>
          <w:szCs w:val="21"/>
          <w:color w:val="auto"/>
        </w:rPr>
        <w:t>under the</w:t>
      </w:r>
    </w:p>
    <w:p>
      <w:pPr>
        <w:spacing w:after="0" w:line="232" w:lineRule="auto"/>
        <w:rPr>
          <w:sz w:val="20"/>
          <w:szCs w:val="20"/>
          <w:color w:val="auto"/>
        </w:rPr>
      </w:pPr>
      <w:r>
        <w:rPr>
          <w:rFonts w:ascii="Arial" w:cs="Arial" w:eastAsia="Arial" w:hAnsi="Arial"/>
          <w:sz w:val="21"/>
          <w:szCs w:val="21"/>
          <w:color w:val="auto"/>
        </w:rPr>
        <w:t>2021</w:t>
      </w:r>
    </w:p>
    <w:p>
      <w:pPr>
        <w:spacing w:after="0" w:line="231" w:lineRule="auto"/>
        <w:rPr>
          <w:sz w:val="20"/>
          <w:szCs w:val="20"/>
          <w:color w:val="auto"/>
        </w:rPr>
      </w:pPr>
      <w:r>
        <w:rPr>
          <w:rFonts w:ascii="Arial" w:cs="Arial" w:eastAsia="Arial" w:hAnsi="Arial"/>
          <w:sz w:val="21"/>
          <w:szCs w:val="21"/>
          <w:color w:val="auto"/>
        </w:rPr>
        <w:t>Employee</w:t>
      </w:r>
    </w:p>
    <w:p>
      <w:pPr>
        <w:spacing w:after="0" w:line="232" w:lineRule="auto"/>
        <w:rPr>
          <w:sz w:val="20"/>
          <w:szCs w:val="20"/>
          <w:color w:val="auto"/>
        </w:rPr>
      </w:pPr>
      <w:r>
        <w:rPr>
          <w:rFonts w:ascii="Arial" w:cs="Arial" w:eastAsia="Arial" w:hAnsi="Arial"/>
          <w:sz w:val="21"/>
          <w:szCs w:val="21"/>
          <w:color w:val="auto"/>
        </w:rPr>
        <w:t>Stock</w:t>
      </w:r>
    </w:p>
    <w:p>
      <w:pPr>
        <w:spacing w:after="0" w:line="232" w:lineRule="auto"/>
        <w:rPr>
          <w:sz w:val="20"/>
          <w:szCs w:val="20"/>
          <w:color w:val="auto"/>
        </w:rPr>
      </w:pPr>
      <w:r>
        <w:rPr>
          <w:rFonts w:ascii="Arial" w:cs="Arial" w:eastAsia="Arial" w:hAnsi="Arial"/>
          <w:sz w:val="21"/>
          <w:szCs w:val="21"/>
          <w:color w:val="auto"/>
        </w:rPr>
        <w:t>Purchase</w:t>
      </w:r>
    </w:p>
    <w:p>
      <w:pPr>
        <w:spacing w:after="0"/>
        <w:rPr>
          <w:sz w:val="20"/>
          <w:szCs w:val="20"/>
          <w:color w:val="auto"/>
        </w:rPr>
      </w:pPr>
      <w:r>
        <w:rPr>
          <w:rFonts w:ascii="Arial" w:cs="Arial" w:eastAsia="Arial" w:hAnsi="Arial"/>
          <w:sz w:val="21"/>
          <w:szCs w:val="21"/>
          <w:color w:val="auto"/>
        </w:rPr>
        <w:t>Plan</w:t>
      </w:r>
    </w:p>
    <w:p>
      <w:pPr>
        <w:spacing w:after="0" w:line="23" w:lineRule="exact"/>
        <w:rPr>
          <w:sz w:val="20"/>
          <w:szCs w:val="20"/>
          <w:color w:val="auto"/>
        </w:rPr>
      </w:pPr>
    </w:p>
    <w:p>
      <w:pPr>
        <w:spacing w:after="0"/>
        <w:rPr>
          <w:sz w:val="20"/>
          <w:szCs w:val="20"/>
          <w:color w:val="auto"/>
        </w:rPr>
      </w:pPr>
      <w:r>
        <w:rPr>
          <w:rFonts w:ascii="Arial" w:cs="Arial" w:eastAsia="Arial" w:hAnsi="Arial"/>
          <w:sz w:val="21"/>
          <w:szCs w:val="21"/>
          <w:color w:val="auto"/>
        </w:rPr>
        <w:t>Common</w:t>
      </w:r>
    </w:p>
    <w:p>
      <w:pPr>
        <w:spacing w:after="0" w:line="3" w:lineRule="exact"/>
        <w:rPr>
          <w:sz w:val="20"/>
          <w:szCs w:val="20"/>
          <w:color w:val="auto"/>
        </w:rPr>
      </w:pPr>
    </w:p>
    <w:p>
      <w:pPr>
        <w:spacing w:after="0"/>
        <w:rPr>
          <w:sz w:val="20"/>
          <w:szCs w:val="20"/>
          <w:color w:val="auto"/>
        </w:rPr>
      </w:pPr>
      <w:r>
        <w:rPr>
          <w:rFonts w:ascii="Arial" w:cs="Arial" w:eastAsia="Arial" w:hAnsi="Arial"/>
          <w:sz w:val="21"/>
          <w:szCs w:val="21"/>
          <w:color w:val="auto"/>
        </w:rPr>
        <w:t>Stock,</w:t>
      </w:r>
    </w:p>
    <w:p>
      <w:pPr>
        <w:spacing w:after="0" w:line="231" w:lineRule="auto"/>
        <w:rPr>
          <w:sz w:val="20"/>
          <w:szCs w:val="20"/>
          <w:color w:val="auto"/>
        </w:rPr>
      </w:pPr>
      <w:r>
        <w:rPr>
          <w:rFonts w:ascii="Arial" w:cs="Arial" w:eastAsia="Arial" w:hAnsi="Arial"/>
          <w:sz w:val="21"/>
          <w:szCs w:val="21"/>
          <w:color w:val="auto"/>
        </w:rPr>
        <w:t>$0.0001</w:t>
      </w:r>
    </w:p>
    <w:p>
      <w:pPr>
        <w:spacing w:after="0" w:line="232" w:lineRule="auto"/>
        <w:rPr>
          <w:sz w:val="20"/>
          <w:szCs w:val="20"/>
          <w:color w:val="auto"/>
        </w:rPr>
      </w:pPr>
      <w:r>
        <w:rPr>
          <w:rFonts w:ascii="Arial" w:cs="Arial" w:eastAsia="Arial" w:hAnsi="Arial"/>
          <w:sz w:val="21"/>
          <w:szCs w:val="21"/>
          <w:color w:val="auto"/>
        </w:rPr>
        <w:t>par value</w:t>
      </w:r>
    </w:p>
    <w:p>
      <w:pPr>
        <w:spacing w:after="0" w:line="232" w:lineRule="auto"/>
        <w:rPr>
          <w:sz w:val="20"/>
          <w:szCs w:val="20"/>
          <w:color w:val="auto"/>
        </w:rPr>
      </w:pPr>
      <w:r>
        <w:rPr>
          <w:rFonts w:ascii="Arial" w:cs="Arial" w:eastAsia="Arial" w:hAnsi="Arial"/>
          <w:sz w:val="21"/>
          <w:szCs w:val="21"/>
          <w:color w:val="auto"/>
        </w:rPr>
        <w:t>per share,</w:t>
      </w:r>
    </w:p>
    <w:p>
      <w:pPr>
        <w:spacing w:after="0" w:line="231" w:lineRule="auto"/>
        <w:rPr>
          <w:sz w:val="20"/>
          <w:szCs w:val="20"/>
          <w:color w:val="auto"/>
        </w:rPr>
      </w:pPr>
      <w:r>
        <w:rPr>
          <w:rFonts w:ascii="Arial" w:cs="Arial" w:eastAsia="Arial" w:hAnsi="Arial"/>
          <w:sz w:val="21"/>
          <w:szCs w:val="21"/>
          <w:color w:val="auto"/>
        </w:rPr>
        <w:t>reserved</w:t>
      </w:r>
    </w:p>
    <w:p>
      <w:pPr>
        <w:spacing w:after="0" w:line="232" w:lineRule="auto"/>
        <w:rPr>
          <w:sz w:val="20"/>
          <w:szCs w:val="20"/>
          <w:color w:val="auto"/>
        </w:rPr>
      </w:pPr>
      <w:r>
        <w:rPr>
          <w:rFonts w:ascii="Arial" w:cs="Arial" w:eastAsia="Arial" w:hAnsi="Arial"/>
          <w:sz w:val="21"/>
          <w:szCs w:val="21"/>
          <w:color w:val="auto"/>
        </w:rPr>
        <w:t>for</w:t>
      </w:r>
    </w:p>
    <w:p>
      <w:pPr>
        <w:spacing w:after="0" w:line="232" w:lineRule="auto"/>
        <w:rPr>
          <w:sz w:val="20"/>
          <w:szCs w:val="20"/>
          <w:color w:val="auto"/>
        </w:rPr>
      </w:pPr>
      <w:r>
        <w:rPr>
          <w:rFonts w:ascii="Arial" w:cs="Arial" w:eastAsia="Arial" w:hAnsi="Arial"/>
          <w:sz w:val="21"/>
          <w:szCs w:val="21"/>
          <w:color w:val="auto"/>
        </w:rPr>
        <w:t>issuance</w:t>
      </w:r>
    </w:p>
    <w:p>
      <w:pPr>
        <w:spacing w:after="0" w:line="231" w:lineRule="auto"/>
        <w:rPr>
          <w:sz w:val="20"/>
          <w:szCs w:val="20"/>
          <w:color w:val="auto"/>
        </w:rPr>
      </w:pPr>
      <w:r>
        <w:rPr>
          <w:rFonts w:ascii="Arial" w:cs="Arial" w:eastAsia="Arial" w:hAnsi="Arial"/>
          <w:sz w:val="21"/>
          <w:szCs w:val="21"/>
          <w:color w:val="auto"/>
        </w:rPr>
        <w:t>pursuant to</w:t>
      </w:r>
    </w:p>
    <w:p>
      <w:pPr>
        <w:spacing w:after="0" w:line="232" w:lineRule="auto"/>
        <w:rPr>
          <w:sz w:val="20"/>
          <w:szCs w:val="20"/>
          <w:color w:val="auto"/>
        </w:rPr>
      </w:pPr>
      <w:r>
        <w:rPr>
          <w:rFonts w:ascii="Arial" w:cs="Arial" w:eastAsia="Arial" w:hAnsi="Arial"/>
          <w:sz w:val="21"/>
          <w:szCs w:val="21"/>
          <w:color w:val="auto"/>
        </w:rPr>
        <w:t>the 2024</w:t>
      </w:r>
    </w:p>
    <w:p>
      <w:pPr>
        <w:spacing w:after="0"/>
        <w:rPr>
          <w:sz w:val="20"/>
          <w:szCs w:val="20"/>
          <w:color w:val="auto"/>
        </w:rPr>
      </w:pPr>
      <w:r>
        <w:rPr>
          <w:rFonts w:ascii="Arial" w:cs="Arial" w:eastAsia="Arial" w:hAnsi="Arial"/>
          <w:sz w:val="20"/>
          <w:szCs w:val="20"/>
          <w:color w:val="auto"/>
        </w:rPr>
        <w:t>Inducement</w:t>
      </w:r>
    </w:p>
    <w:p>
      <w:pPr>
        <w:spacing w:after="0" w:line="234" w:lineRule="auto"/>
        <w:rPr>
          <w:sz w:val="20"/>
          <w:szCs w:val="20"/>
          <w:color w:val="auto"/>
        </w:rPr>
      </w:pPr>
      <w:r>
        <w:rPr>
          <w:rFonts w:ascii="Arial" w:cs="Arial" w:eastAsia="Arial" w:hAnsi="Arial"/>
          <w:sz w:val="21"/>
          <w:szCs w:val="21"/>
          <w:color w:val="auto"/>
        </w:rPr>
        <w:t>Equity</w:t>
      </w:r>
    </w:p>
    <w:p>
      <w:pPr>
        <w:spacing w:after="0" w:line="232" w:lineRule="auto"/>
        <w:rPr>
          <w:sz w:val="20"/>
          <w:szCs w:val="20"/>
          <w:color w:val="auto"/>
        </w:rPr>
      </w:pPr>
      <w:r>
        <w:rPr>
          <w:rFonts w:ascii="Arial" w:cs="Arial" w:eastAsia="Arial" w:hAnsi="Arial"/>
          <w:sz w:val="21"/>
          <w:szCs w:val="21"/>
          <w:color w:val="auto"/>
        </w:rPr>
        <w:t>Incentive</w:t>
      </w:r>
    </w:p>
    <w:p>
      <w:pPr>
        <w:spacing w:after="0"/>
        <w:rPr>
          <w:sz w:val="20"/>
          <w:szCs w:val="20"/>
          <w:color w:val="auto"/>
        </w:rPr>
      </w:pPr>
      <w:r>
        <w:rPr>
          <w:rFonts w:ascii="Arial" w:cs="Arial" w:eastAsia="Arial" w:hAnsi="Arial"/>
          <w:sz w:val="21"/>
          <w:szCs w:val="21"/>
          <w:color w:val="auto"/>
        </w:rPr>
        <w:t>Plan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tabs>
          <w:tab w:leader="none" w:pos="1020" w:val="left"/>
        </w:tabs>
        <w:rPr>
          <w:sz w:val="20"/>
          <w:szCs w:val="20"/>
          <w:color w:val="auto"/>
        </w:rPr>
      </w:pPr>
      <w:r>
        <w:rPr>
          <w:rFonts w:ascii="Arial" w:cs="Arial" w:eastAsia="Arial" w:hAnsi="Arial"/>
          <w:sz w:val="20"/>
          <w:szCs w:val="20"/>
          <w:color w:val="auto"/>
        </w:rPr>
        <w:t>Other</w:t>
      </w:r>
      <w:r>
        <w:rPr>
          <w:sz w:val="20"/>
          <w:szCs w:val="20"/>
          <w:color w:val="auto"/>
        </w:rPr>
        <w:tab/>
      </w:r>
      <w:r>
        <w:rPr>
          <w:rFonts w:ascii="Arial" w:cs="Arial" w:eastAsia="Arial" w:hAnsi="Arial"/>
          <w:sz w:val="20"/>
          <w:szCs w:val="20"/>
          <w:color w:val="auto"/>
        </w:rPr>
        <w:t>4,000,000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tabs>
          <w:tab w:leader="none" w:pos="1180" w:val="left"/>
        </w:tabs>
        <w:rPr>
          <w:sz w:val="20"/>
          <w:szCs w:val="20"/>
          <w:color w:val="auto"/>
        </w:rPr>
      </w:pPr>
      <w:r>
        <w:rPr>
          <w:rFonts w:ascii="Arial" w:cs="Arial" w:eastAsia="Arial" w:hAnsi="Arial"/>
          <w:sz w:val="21"/>
          <w:szCs w:val="21"/>
          <w:color w:val="auto"/>
        </w:rPr>
        <w:t>Other</w:t>
      </w:r>
      <w:r>
        <w:rPr>
          <w:sz w:val="20"/>
          <w:szCs w:val="20"/>
          <w:color w:val="auto"/>
        </w:rPr>
        <w:tab/>
      </w:r>
      <w:r>
        <w:rPr>
          <w:rFonts w:ascii="Arial" w:cs="Arial" w:eastAsia="Arial" w:hAnsi="Arial"/>
          <w:sz w:val="21"/>
          <w:szCs w:val="21"/>
          <w:color w:val="auto"/>
        </w:rPr>
        <w:t>800,000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tabs>
          <w:tab w:leader="none" w:pos="1020" w:val="left"/>
        </w:tabs>
        <w:rPr>
          <w:sz w:val="20"/>
          <w:szCs w:val="20"/>
          <w:color w:val="auto"/>
        </w:rPr>
      </w:pPr>
      <w:r>
        <w:rPr>
          <w:rFonts w:ascii="Arial" w:cs="Arial" w:eastAsia="Arial" w:hAnsi="Arial"/>
          <w:sz w:val="20"/>
          <w:szCs w:val="20"/>
          <w:color w:val="auto"/>
        </w:rPr>
        <w:t>Other</w:t>
      </w:r>
      <w:r>
        <w:rPr>
          <w:sz w:val="20"/>
          <w:szCs w:val="20"/>
          <w:color w:val="auto"/>
        </w:rPr>
        <w:tab/>
      </w:r>
      <w:r>
        <w:rPr>
          <w:rFonts w:ascii="Arial" w:cs="Arial" w:eastAsia="Arial" w:hAnsi="Arial"/>
          <w:sz w:val="20"/>
          <w:szCs w:val="20"/>
          <w:color w:val="auto"/>
        </w:rPr>
        <w:t>2,161,000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tabs>
          <w:tab w:leader="none" w:pos="3820" w:val="left"/>
        </w:tabs>
        <w:rPr>
          <w:sz w:val="20"/>
          <w:szCs w:val="20"/>
          <w:color w:val="auto"/>
        </w:rPr>
      </w:pPr>
      <w:r>
        <w:rPr>
          <w:rFonts w:ascii="Arial" w:cs="Arial" w:eastAsia="Arial" w:hAnsi="Arial"/>
          <w:sz w:val="21"/>
          <w:szCs w:val="21"/>
          <w:color w:val="auto"/>
        </w:rPr>
        <w:t>$ 0.68 $ 2,720,000.00 0.0001381</w:t>
      </w:r>
      <w:r>
        <w:rPr>
          <w:sz w:val="20"/>
          <w:szCs w:val="20"/>
          <w:color w:val="auto"/>
        </w:rPr>
        <w:tab/>
      </w:r>
      <w:r>
        <w:rPr>
          <w:rFonts w:ascii="Arial" w:cs="Arial" w:eastAsia="Arial" w:hAnsi="Arial"/>
          <w:sz w:val="20"/>
          <w:szCs w:val="20"/>
          <w:color w:val="auto"/>
        </w:rPr>
        <w:t>$ 375.63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tabs>
          <w:tab w:leader="none" w:pos="860" w:val="left"/>
          <w:tab w:leader="none" w:pos="3940" w:val="left"/>
        </w:tabs>
        <w:rPr>
          <w:sz w:val="20"/>
          <w:szCs w:val="20"/>
          <w:color w:val="auto"/>
        </w:rPr>
      </w:pPr>
      <w:r>
        <w:rPr>
          <w:rFonts w:ascii="Arial" w:cs="Arial" w:eastAsia="Arial" w:hAnsi="Arial"/>
          <w:sz w:val="21"/>
          <w:szCs w:val="21"/>
          <w:color w:val="auto"/>
        </w:rPr>
        <w:t>$ 0.58</w:t>
        <w:tab/>
        <w:t>$ 464,000.00 0.0001381</w:t>
      </w:r>
      <w:r>
        <w:rPr>
          <w:sz w:val="20"/>
          <w:szCs w:val="20"/>
          <w:color w:val="auto"/>
        </w:rPr>
        <w:tab/>
      </w:r>
      <w:r>
        <w:rPr>
          <w:rFonts w:ascii="Arial" w:cs="Arial" w:eastAsia="Arial" w:hAnsi="Arial"/>
          <w:sz w:val="20"/>
          <w:szCs w:val="20"/>
          <w:color w:val="auto"/>
        </w:rPr>
        <w:t>$ 64.08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tabs>
          <w:tab w:leader="none" w:pos="3820" w:val="left"/>
        </w:tabs>
        <w:rPr>
          <w:sz w:val="20"/>
          <w:szCs w:val="20"/>
          <w:color w:val="auto"/>
        </w:rPr>
      </w:pPr>
      <w:r>
        <w:rPr>
          <w:rFonts w:ascii="Arial" w:cs="Arial" w:eastAsia="Arial" w:hAnsi="Arial"/>
          <w:sz w:val="21"/>
          <w:szCs w:val="21"/>
          <w:color w:val="auto"/>
        </w:rPr>
        <w:t>$ 0.68 $ 1,469,480.00 0.0001381</w:t>
      </w:r>
      <w:r>
        <w:rPr>
          <w:sz w:val="20"/>
          <w:szCs w:val="20"/>
          <w:color w:val="auto"/>
        </w:rPr>
        <w:tab/>
      </w:r>
      <w:r>
        <w:rPr>
          <w:rFonts w:ascii="Arial" w:cs="Arial" w:eastAsia="Arial" w:hAnsi="Arial"/>
          <w:sz w:val="20"/>
          <w:szCs w:val="20"/>
          <w:color w:val="auto"/>
        </w:rPr>
        <w:t>$ 202.94</w:t>
      </w:r>
    </w:p>
    <w:p>
      <w:pPr>
        <w:spacing w:after="0" w:line="1558" w:lineRule="exact"/>
        <w:rPr>
          <w:sz w:val="20"/>
          <w:szCs w:val="20"/>
          <w:color w:val="auto"/>
        </w:rPr>
      </w:pPr>
    </w:p>
    <w:p>
      <w:pPr>
        <w:sectPr>
          <w:pgSz w:w="11900" w:h="16838" w:orient="portrait"/>
          <w:cols w:equalWidth="0" w:num="4">
            <w:col w:w="780" w:space="400"/>
            <w:col w:w="1080" w:space="360"/>
            <w:col w:w="2040" w:space="720"/>
            <w:col w:w="4660"/>
          </w:cols>
          <w:pgMar w:left="920" w:top="141" w:right="939" w:bottom="0" w:gutter="0" w:footer="0" w:header="0"/>
          <w:type w:val="continuous"/>
        </w:sectPr>
      </w:pPr>
    </w:p>
    <w:tbl>
      <w:tblPr>
        <w:tblLayout w:type="fixed"/>
        <w:tblInd w:w="2420" w:type="dxa"/>
        <w:tblCellMar>
          <w:top w:w="0" w:type="dxa"/>
          <w:left w:w="0" w:type="dxa"/>
          <w:bottom w:w="0" w:type="dxa"/>
          <w:right w:w="0" w:type="dxa"/>
        </w:tblCellMar>
      </w:tblPr>
      <w:tr>
        <w:trPr>
          <w:trHeight w:val="274"/>
        </w:trPr>
        <w:tc>
          <w:tcPr>
            <w:tcW w:w="2920" w:type="dxa"/>
            <w:vAlign w:val="bottom"/>
          </w:tcPr>
          <w:p>
            <w:pPr>
              <w:jc w:val="right"/>
              <w:ind w:right="656"/>
              <w:spacing w:after="0"/>
              <w:rPr>
                <w:sz w:val="20"/>
                <w:szCs w:val="20"/>
                <w:color w:val="auto"/>
              </w:rPr>
            </w:pPr>
            <w:r>
              <w:rPr>
                <w:rFonts w:ascii="Arial" w:cs="Arial" w:eastAsia="Arial" w:hAnsi="Arial"/>
                <w:sz w:val="21"/>
                <w:szCs w:val="21"/>
                <w:color w:val="auto"/>
                <w:w w:val="96"/>
              </w:rPr>
              <w:t>Total Offering Amounts:</w:t>
            </w:r>
          </w:p>
        </w:tc>
        <w:tc>
          <w:tcPr>
            <w:tcW w:w="3020" w:type="dxa"/>
            <w:vAlign w:val="bottom"/>
          </w:tcPr>
          <w:p>
            <w:pPr>
              <w:jc w:val="right"/>
              <w:ind w:right="776"/>
              <w:spacing w:after="0"/>
              <w:rPr>
                <w:sz w:val="20"/>
                <w:szCs w:val="20"/>
                <w:color w:val="auto"/>
              </w:rPr>
            </w:pPr>
            <w:r>
              <w:rPr>
                <w:rFonts w:ascii="Arial" w:cs="Arial" w:eastAsia="Arial" w:hAnsi="Arial"/>
                <w:sz w:val="21"/>
                <w:szCs w:val="21"/>
                <w:color w:val="auto"/>
              </w:rPr>
              <w:t>$ 4,653,480.00</w:t>
            </w:r>
          </w:p>
        </w:tc>
        <w:tc>
          <w:tcPr>
            <w:tcW w:w="1660" w:type="dxa"/>
            <w:vAlign w:val="bottom"/>
          </w:tcPr>
          <w:p>
            <w:pPr>
              <w:jc w:val="right"/>
              <w:spacing w:after="0"/>
              <w:rPr>
                <w:sz w:val="20"/>
                <w:szCs w:val="20"/>
                <w:color w:val="auto"/>
              </w:rPr>
            </w:pPr>
            <w:r>
              <w:rPr>
                <w:rFonts w:ascii="Arial" w:cs="Arial" w:eastAsia="Arial" w:hAnsi="Arial"/>
                <w:sz w:val="21"/>
                <w:szCs w:val="21"/>
                <w:color w:val="auto"/>
              </w:rPr>
              <w:t>$ 642.65</w:t>
            </w:r>
          </w:p>
        </w:tc>
      </w:tr>
      <w:tr>
        <w:trPr>
          <w:trHeight w:val="285"/>
        </w:trPr>
        <w:tc>
          <w:tcPr>
            <w:tcW w:w="2920" w:type="dxa"/>
            <w:vAlign w:val="bottom"/>
          </w:tcPr>
          <w:p>
            <w:pPr>
              <w:jc w:val="right"/>
              <w:ind w:right="656"/>
              <w:spacing w:after="0"/>
              <w:rPr>
                <w:sz w:val="20"/>
                <w:szCs w:val="20"/>
                <w:color w:val="auto"/>
              </w:rPr>
            </w:pPr>
            <w:r>
              <w:rPr>
                <w:rFonts w:ascii="Arial" w:cs="Arial" w:eastAsia="Arial" w:hAnsi="Arial"/>
                <w:sz w:val="21"/>
                <w:szCs w:val="21"/>
                <w:color w:val="auto"/>
              </w:rPr>
              <w:t>Total Fee Offsets:</w:t>
            </w:r>
          </w:p>
        </w:tc>
        <w:tc>
          <w:tcPr>
            <w:tcW w:w="302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21"/>
                <w:szCs w:val="21"/>
                <w:color w:val="auto"/>
              </w:rPr>
              <w:t>$ 0.00</w:t>
            </w:r>
          </w:p>
        </w:tc>
      </w:tr>
      <w:tr>
        <w:trPr>
          <w:trHeight w:val="285"/>
        </w:trPr>
        <w:tc>
          <w:tcPr>
            <w:tcW w:w="2920" w:type="dxa"/>
            <w:vAlign w:val="bottom"/>
          </w:tcPr>
          <w:p>
            <w:pPr>
              <w:jc w:val="right"/>
              <w:ind w:right="656"/>
              <w:spacing w:after="0"/>
              <w:rPr>
                <w:sz w:val="20"/>
                <w:szCs w:val="20"/>
                <w:color w:val="auto"/>
              </w:rPr>
            </w:pPr>
            <w:r>
              <w:rPr>
                <w:rFonts w:ascii="Arial" w:cs="Arial" w:eastAsia="Arial" w:hAnsi="Arial"/>
                <w:sz w:val="21"/>
                <w:szCs w:val="21"/>
                <w:color w:val="auto"/>
              </w:rPr>
              <w:t>Net Fee Due:</w:t>
            </w:r>
          </w:p>
        </w:tc>
        <w:tc>
          <w:tcPr>
            <w:tcW w:w="302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21"/>
                <w:szCs w:val="21"/>
                <w:color w:val="auto"/>
              </w:rPr>
              <w:t>$ 642.65</w:t>
            </w:r>
          </w:p>
        </w:tc>
      </w:tr>
    </w:tbl>
    <w:p>
      <w:pPr>
        <w:spacing w:after="0" w:line="30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Offering Note</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color w:val="auto"/>
        </w:rPr>
        <w:t>1</w:t>
      </w:r>
    </w:p>
    <w:p>
      <w:pPr>
        <w:spacing w:after="0" w:line="70" w:lineRule="exact"/>
        <w:rPr>
          <w:sz w:val="20"/>
          <w:szCs w:val="20"/>
          <w:color w:val="auto"/>
        </w:rPr>
      </w:pPr>
    </w:p>
    <w:p>
      <w:pPr>
        <w:ind w:left="220" w:right="240"/>
        <w:spacing w:after="0" w:line="239" w:lineRule="auto"/>
        <w:rPr>
          <w:sz w:val="20"/>
          <w:szCs w:val="20"/>
          <w:color w:val="auto"/>
        </w:rPr>
      </w:pPr>
      <w:r>
        <w:rPr>
          <w:rFonts w:ascii="Arial" w:cs="Arial" w:eastAsia="Arial" w:hAnsi="Arial"/>
          <w:sz w:val="21"/>
          <w:szCs w:val="21"/>
          <w:color w:val="auto"/>
        </w:rPr>
        <w:t>1 a. Pursuant to Rule 416(a) of the Securities Act of 1933, as amended (Securities Act), this Registration Statement shall also cover any additional shares of the Registrant's common stock that become issuable under the 2021 Equity Incentive Plan (2021 Plan) by reason of any stock dividend, stock split, recapitalization or other similar transaction effected without receipt of consideration that increases the number of the Registrant's outstanding shares of common stock.</w:t>
      </w:r>
    </w:p>
    <w:p>
      <w:pPr>
        <w:sectPr>
          <w:pgSz w:w="11900" w:h="16838" w:orient="portrait"/>
          <w:cols w:equalWidth="0" w:num="1">
            <w:col w:w="10040"/>
          </w:cols>
          <w:pgMar w:left="920" w:top="141" w:right="939" w:bottom="0" w:gutter="0" w:footer="0" w:header="0"/>
          <w:type w:val="continuous"/>
        </w:sectPr>
      </w:pPr>
    </w:p>
    <w:bookmarkStart w:id="10" w:name="page11"/>
    <w:bookmarkEnd w:id="10"/>
    <w:p>
      <w:pPr>
        <w:ind w:left="820" w:right="720"/>
        <w:spacing w:after="0" w:line="234" w:lineRule="auto"/>
        <w:rPr>
          <w:sz w:val="20"/>
          <w:szCs w:val="20"/>
          <w:color w:val="auto"/>
        </w:rPr>
      </w:pPr>
      <w:r>
        <w:rPr>
          <w:rFonts w:ascii="Arial" w:cs="Arial" w:eastAsia="Arial" w:hAnsi="Arial"/>
          <w:sz w:val="21"/>
          <w:szCs w:val="21"/>
          <w:color w:val="auto"/>
        </w:rPr>
        <w:t>b. Represents the shares of common stock reserved for issuance that were automatically added on January 1, 2026 to the shares of common stock reserved for issuance under the 2021 Plan. The 2021 Plan provides for an automatic annual increase in the number of shares reserved and available for issuance under the 2021 Plan as follows: the number of shares of common stock available for issuance under the 2021 Plan will be increased on the first day of each fiscal year beginning with the 2022 fiscal year, in an amount equal to the least of (i) 4,000,000 shares, (ii) four percent (4%) of the outstanding shares on the last day of the immediately preceding fiscal year, or (iii) such number of shares determined by the board of directors no later than the last day of the immediately preceding fiscal year.</w:t>
      </w:r>
    </w:p>
    <w:p>
      <w:pPr>
        <w:spacing w:after="0" w:line="1" w:lineRule="exact"/>
        <w:rPr>
          <w:sz w:val="20"/>
          <w:szCs w:val="20"/>
          <w:color w:val="auto"/>
        </w:rPr>
      </w:pPr>
    </w:p>
    <w:p>
      <w:pPr>
        <w:ind w:left="820" w:right="760"/>
        <w:spacing w:after="0" w:line="236" w:lineRule="auto"/>
        <w:rPr>
          <w:sz w:val="20"/>
          <w:szCs w:val="20"/>
          <w:color w:val="auto"/>
        </w:rPr>
      </w:pPr>
      <w:r>
        <w:rPr>
          <w:rFonts w:ascii="Arial" w:cs="Arial" w:eastAsia="Arial" w:hAnsi="Arial"/>
          <w:sz w:val="21"/>
          <w:szCs w:val="21"/>
          <w:color w:val="auto"/>
        </w:rPr>
        <w:t>c. Estimated in accordance with Rule 457(c) and (h) of the Securities Act solely for the purpose of calculating the registration fee on the basis of $0.68 per share, which represents the average of the high and low selling prices per share of the Registrant's common stock on January 28, 2026 as reported by The Nasdaq Global Select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375920</wp:posOffset>
            </wp:positionH>
            <wp:positionV relativeFrom="paragraph">
              <wp:posOffset>226695</wp:posOffset>
            </wp:positionV>
            <wp:extent cx="639826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6398260" cy="41910"/>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ind w:left="600"/>
        <w:spacing w:after="0"/>
        <w:rPr>
          <w:sz w:val="20"/>
          <w:szCs w:val="20"/>
          <w:color w:val="auto"/>
        </w:rPr>
      </w:pPr>
      <w:r>
        <w:rPr>
          <w:rFonts w:ascii="Arial" w:cs="Arial" w:eastAsia="Arial" w:hAnsi="Arial"/>
          <w:sz w:val="13"/>
          <w:szCs w:val="13"/>
          <w:color w:val="auto"/>
        </w:rPr>
        <w:t>2</w:t>
      </w:r>
    </w:p>
    <w:p>
      <w:pPr>
        <w:spacing w:after="0" w:line="70" w:lineRule="exact"/>
        <w:rPr>
          <w:sz w:val="20"/>
          <w:szCs w:val="20"/>
          <w:color w:val="auto"/>
        </w:rPr>
      </w:pPr>
    </w:p>
    <w:p>
      <w:pPr>
        <w:ind w:left="820" w:right="860"/>
        <w:spacing w:after="0" w:line="235" w:lineRule="auto"/>
        <w:rPr>
          <w:sz w:val="20"/>
          <w:szCs w:val="20"/>
          <w:color w:val="auto"/>
        </w:rPr>
      </w:pPr>
      <w:r>
        <w:rPr>
          <w:rFonts w:ascii="Arial" w:cs="Arial" w:eastAsia="Arial" w:hAnsi="Arial"/>
          <w:sz w:val="21"/>
          <w:szCs w:val="21"/>
          <w:color w:val="auto"/>
        </w:rPr>
        <w:t>2 a.Pursuant to Rule 416(a) of the Securities Act of 1933, as amended (Securities Act), this Registration Statement shall also cover any additional shares of the Registrant's common stock that become issuable under the 2021 Employee Stock Purchase Plan (2021 ESPP) by reason of any stock dividend, stock split, recapitalization or other similar transaction effected without receipt of consideration that increases the number of the Registrant's outstanding shares of common stock.</w:t>
      </w:r>
    </w:p>
    <w:p>
      <w:pPr>
        <w:spacing w:after="0" w:line="3" w:lineRule="exact"/>
        <w:rPr>
          <w:sz w:val="20"/>
          <w:szCs w:val="20"/>
          <w:color w:val="auto"/>
        </w:rPr>
      </w:pPr>
    </w:p>
    <w:p>
      <w:pPr>
        <w:ind w:left="820" w:right="720"/>
        <w:spacing w:after="0" w:line="231" w:lineRule="auto"/>
        <w:rPr>
          <w:sz w:val="20"/>
          <w:szCs w:val="20"/>
          <w:color w:val="auto"/>
        </w:rPr>
      </w:pPr>
      <w:r>
        <w:rPr>
          <w:rFonts w:ascii="Arial" w:cs="Arial" w:eastAsia="Arial" w:hAnsi="Arial"/>
          <w:sz w:val="21"/>
          <w:szCs w:val="21"/>
          <w:color w:val="auto"/>
        </w:rPr>
        <w:t>b. Represents shares of common stock reserved for issuance under that were automatically added on January 1, 2026 to the shares of common stock reserved for issuance under the 2021 ESPP. The 2021 ESPP provides for an automatic annual increase in the number of shares reserved and available for issuance under the 2021 ESPP as follows: the number of shares of common stock available for issuance under the 2021 ESPP will be increased on the first day of each fiscal year beginning with the 2022 fiscal year, in an amount equal to the least of (i) 800,000 shares, (ii) one percent (1%) of the outstanding shares on the last day of immediately preceding fiscal year, or (iii) such number of shares determined by the board of directors no later than the last day of the immediately preceding fiscal year.</w:t>
      </w:r>
    </w:p>
    <w:p>
      <w:pPr>
        <w:spacing w:after="0" w:line="5" w:lineRule="exact"/>
        <w:rPr>
          <w:sz w:val="20"/>
          <w:szCs w:val="20"/>
          <w:color w:val="auto"/>
        </w:rPr>
      </w:pPr>
    </w:p>
    <w:p>
      <w:pPr>
        <w:ind w:left="820" w:right="800"/>
        <w:spacing w:after="0" w:line="235" w:lineRule="auto"/>
        <w:rPr>
          <w:sz w:val="20"/>
          <w:szCs w:val="20"/>
          <w:color w:val="auto"/>
        </w:rPr>
      </w:pPr>
      <w:r>
        <w:rPr>
          <w:rFonts w:ascii="Arial" w:cs="Arial" w:eastAsia="Arial" w:hAnsi="Arial"/>
          <w:sz w:val="21"/>
          <w:szCs w:val="21"/>
          <w:color w:val="auto"/>
        </w:rPr>
        <w:t>c.Estimated in accordance with Rule 457(c) and (h) of the Securities Act solely for the purpose of calculating the registration fee on the basis of 85% of $0.68, which represents the average of the high and low selling price per share of the Registrant's common stock on January 28, 2026 as reported by The Nasdaq Global Selected Market. Pursuant to the 2021 ESPP, the purchase price of the shares of common stock reserved for issuance thereunder will be 85% of the lower of the fair market value of the common stock on (i) the first trading day of the offering period or (ii) the exercise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375920</wp:posOffset>
            </wp:positionH>
            <wp:positionV relativeFrom="paragraph">
              <wp:posOffset>77470</wp:posOffset>
            </wp:positionV>
            <wp:extent cx="639826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6398260" cy="41910"/>
                    </a:xfrm>
                    <a:prstGeom prst="rect">
                      <a:avLst/>
                    </a:prstGeom>
                    <a:noFill/>
                  </pic:spPr>
                </pic:pic>
              </a:graphicData>
            </a:graphic>
          </wp:anchor>
        </w:drawing>
      </w:r>
    </w:p>
    <w:p>
      <w:pPr>
        <w:spacing w:after="0" w:line="290" w:lineRule="exact"/>
        <w:rPr>
          <w:sz w:val="20"/>
          <w:szCs w:val="20"/>
          <w:color w:val="auto"/>
        </w:rPr>
      </w:pPr>
    </w:p>
    <w:p>
      <w:pPr>
        <w:ind w:left="600"/>
        <w:spacing w:after="0"/>
        <w:rPr>
          <w:sz w:val="20"/>
          <w:szCs w:val="20"/>
          <w:color w:val="auto"/>
        </w:rPr>
      </w:pPr>
      <w:r>
        <w:rPr>
          <w:rFonts w:ascii="Arial" w:cs="Arial" w:eastAsia="Arial" w:hAnsi="Arial"/>
          <w:sz w:val="13"/>
          <w:szCs w:val="13"/>
          <w:color w:val="auto"/>
        </w:rPr>
        <w:t>3</w:t>
      </w:r>
    </w:p>
    <w:p>
      <w:pPr>
        <w:spacing w:after="0" w:line="70" w:lineRule="exact"/>
        <w:rPr>
          <w:sz w:val="20"/>
          <w:szCs w:val="20"/>
          <w:color w:val="auto"/>
        </w:rPr>
      </w:pPr>
    </w:p>
    <w:p>
      <w:pPr>
        <w:ind w:left="820" w:right="820" w:firstLine="6"/>
        <w:spacing w:after="0" w:line="235" w:lineRule="auto"/>
        <w:tabs>
          <w:tab w:leader="none" w:pos="1050" w:val="left"/>
        </w:tabs>
        <w:numPr>
          <w:ilvl w:val="0"/>
          <w:numId w:val="8"/>
        </w:numPr>
        <w:rPr>
          <w:rFonts w:ascii="Arial" w:cs="Arial" w:eastAsia="Arial" w:hAnsi="Arial"/>
          <w:sz w:val="21"/>
          <w:szCs w:val="21"/>
          <w:color w:val="auto"/>
        </w:rPr>
      </w:pPr>
      <w:r>
        <w:rPr>
          <w:rFonts w:ascii="Arial" w:cs="Arial" w:eastAsia="Arial" w:hAnsi="Arial"/>
          <w:sz w:val="21"/>
          <w:szCs w:val="21"/>
          <w:color w:val="auto"/>
        </w:rPr>
        <w:t>a. Pursuant to Rule 416(a) of the Securities Act of 1933, as amended (Securities Act), this Registration Statement shall also cover any additional shares of the Registrant's common stock that become issuable under the 2024 Inducement Equity Incentive Plan (2024 Plan) by reason of any stock dividend, stock split, recapitalization or other similar transaction effected without receipt of consideration that increases the number of the Registrant's outstanding shares of common stock.</w:t>
      </w:r>
    </w:p>
    <w:p>
      <w:pPr>
        <w:spacing w:after="0" w:line="3" w:lineRule="exact"/>
        <w:rPr>
          <w:rFonts w:ascii="Arial" w:cs="Arial" w:eastAsia="Arial" w:hAnsi="Arial"/>
          <w:sz w:val="21"/>
          <w:szCs w:val="21"/>
          <w:color w:val="auto"/>
        </w:rPr>
      </w:pPr>
    </w:p>
    <w:p>
      <w:pPr>
        <w:ind w:left="820"/>
        <w:spacing w:after="0" w:line="231" w:lineRule="auto"/>
        <w:rPr>
          <w:rFonts w:ascii="Arial" w:cs="Arial" w:eastAsia="Arial" w:hAnsi="Arial"/>
          <w:sz w:val="21"/>
          <w:szCs w:val="21"/>
          <w:color w:val="auto"/>
        </w:rPr>
      </w:pPr>
      <w:r>
        <w:rPr>
          <w:rFonts w:ascii="Arial" w:cs="Arial" w:eastAsia="Arial" w:hAnsi="Arial"/>
          <w:sz w:val="21"/>
          <w:szCs w:val="21"/>
          <w:color w:val="auto"/>
        </w:rPr>
        <w:t>b. Reflects 2,161,000 shares of Common Stock reserved for issuance under the 2024 Plan.</w:t>
      </w:r>
    </w:p>
    <w:p>
      <w:pPr>
        <w:ind w:left="820" w:right="900"/>
        <w:spacing w:after="0" w:line="236" w:lineRule="auto"/>
        <w:rPr>
          <w:rFonts w:ascii="Arial" w:cs="Arial" w:eastAsia="Arial" w:hAnsi="Arial"/>
          <w:sz w:val="21"/>
          <w:szCs w:val="21"/>
          <w:color w:val="auto"/>
        </w:rPr>
      </w:pPr>
      <w:r>
        <w:rPr>
          <w:rFonts w:ascii="Arial" w:cs="Arial" w:eastAsia="Arial" w:hAnsi="Arial"/>
          <w:sz w:val="21"/>
          <w:szCs w:val="21"/>
          <w:color w:val="auto"/>
        </w:rPr>
        <w:t>c. Estimated in accordance with Rules 457 (c) and (h) of the Securities Act solely for the purpose of calculating the registration fee on the basis of $0.68 per share, which represents the average of the high and low prices of the Registrant's common stock on January 28, 2026, as reported on the Nasdaq Global Select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375920</wp:posOffset>
            </wp:positionH>
            <wp:positionV relativeFrom="paragraph">
              <wp:posOffset>78740</wp:posOffset>
            </wp:positionV>
            <wp:extent cx="639826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6398260" cy="41910"/>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tbl>
      <w:tblPr>
        <w:tblLayout w:type="fixed"/>
        <w:tblInd w:w="10" w:type="dxa"/>
        <w:tblCellMar>
          <w:top w:w="0" w:type="dxa"/>
          <w:left w:w="0" w:type="dxa"/>
          <w:bottom w:w="0" w:type="dxa"/>
          <w:right w:w="0" w:type="dxa"/>
        </w:tblCellMar>
      </w:tblPr>
      <w:tr>
        <w:trPr>
          <w:trHeight w:val="364"/>
        </w:trPr>
        <w:tc>
          <w:tcPr>
            <w:tcW w:w="4380" w:type="dxa"/>
            <w:vAlign w:val="bottom"/>
            <w:tcBorders>
              <w:bottom w:val="single" w:sz="8" w:color="auto"/>
            </w:tcBorders>
            <w:gridSpan w:val="12"/>
          </w:tcPr>
          <w:p>
            <w:pPr>
              <w:ind w:left="40"/>
              <w:spacing w:after="0"/>
              <w:rPr>
                <w:sz w:val="20"/>
                <w:szCs w:val="20"/>
                <w:color w:val="auto"/>
              </w:rPr>
            </w:pPr>
            <w:r>
              <w:rPr>
                <w:rFonts w:ascii="Arial" w:cs="Arial" w:eastAsia="Arial" w:hAnsi="Arial"/>
                <w:sz w:val="21"/>
                <w:szCs w:val="21"/>
                <w:b w:val="1"/>
                <w:bCs w:val="1"/>
                <w:color w:val="auto"/>
              </w:rPr>
              <w:t>Table 2: Fee Offset Claims and Sources</w:t>
            </w:r>
          </w:p>
        </w:tc>
        <w:tc>
          <w:tcPr>
            <w:tcW w:w="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4"/>
          </w:tcPr>
          <w:p>
            <w:pPr>
              <w:ind w:left="200"/>
              <w:spacing w:after="0" w:line="242" w:lineRule="exact"/>
              <w:rPr>
                <w:sz w:val="20"/>
                <w:szCs w:val="20"/>
                <w:color w:val="auto"/>
              </w:rPr>
            </w:pPr>
            <w:r>
              <w:rPr>
                <w:rFonts w:ascii="MS PGothic" w:cs="MS PGothic" w:eastAsia="MS PGothic" w:hAnsi="MS PGothic"/>
                <w:sz w:val="21"/>
                <w:szCs w:val="21"/>
                <w:color w:val="auto"/>
                <w:highlight w:val="black"/>
              </w:rPr>
              <w:t>☑</w:t>
            </w:r>
            <w:r>
              <w:rPr>
                <w:rFonts w:ascii="Arial" w:cs="Arial" w:eastAsia="Arial" w:hAnsi="Arial"/>
                <w:sz w:val="21"/>
                <w:szCs w:val="21"/>
                <w:b w:val="1"/>
                <w:bCs w:val="1"/>
                <w:color w:val="auto"/>
              </w:rPr>
              <w:t>Not Applicable</w:t>
            </w:r>
          </w:p>
        </w:tc>
        <w:tc>
          <w:tcPr>
            <w:tcW w:w="0" w:type="dxa"/>
            <w:vAlign w:val="bottom"/>
          </w:tcPr>
          <w:p>
            <w:pPr>
              <w:spacing w:after="0"/>
              <w:rPr>
                <w:sz w:val="1"/>
                <w:szCs w:val="1"/>
                <w:color w:val="auto"/>
              </w:rPr>
            </w:pPr>
          </w:p>
        </w:tc>
      </w:tr>
      <w:tr>
        <w:trPr>
          <w:trHeight w:val="220"/>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9ADAF6"/>
          </w:tcPr>
          <w:p>
            <w:pPr>
              <w:jc w:val="center"/>
              <w:spacing w:after="0" w:line="220" w:lineRule="exact"/>
              <w:rPr>
                <w:sz w:val="20"/>
                <w:szCs w:val="20"/>
                <w:color w:val="auto"/>
              </w:rPr>
            </w:pPr>
            <w:r>
              <w:rPr>
                <w:rFonts w:ascii="Arial" w:cs="Arial" w:eastAsia="Arial" w:hAnsi="Arial"/>
                <w:sz w:val="21"/>
                <w:szCs w:val="21"/>
                <w:b w:val="1"/>
                <w:bCs w:val="1"/>
                <w:color w:val="auto"/>
                <w:w w:val="98"/>
              </w:rPr>
              <w:t>Unsold</w:t>
            </w:r>
          </w:p>
        </w:tc>
        <w:tc>
          <w:tcPr>
            <w:tcW w:w="20" w:type="dxa"/>
            <w:vAlign w:val="bottom"/>
          </w:tcPr>
          <w:p>
            <w:pPr>
              <w:spacing w:after="0"/>
              <w:rPr>
                <w:sz w:val="19"/>
                <w:szCs w:val="19"/>
                <w:color w:val="auto"/>
              </w:rPr>
            </w:pPr>
          </w:p>
        </w:tc>
        <w:tc>
          <w:tcPr>
            <w:tcW w:w="740" w:type="dxa"/>
            <w:vAlign w:val="bottom"/>
            <w:shd w:val="clear" w:color="auto" w:fill="9ADAF6"/>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0" w:type="dxa"/>
            <w:vAlign w:val="bottom"/>
            <w:tcBorders>
              <w:left w:val="single" w:sz="8" w:color="auto"/>
            </w:tcBorders>
          </w:tcPr>
          <w:p>
            <w:pPr>
              <w:spacing w:after="0"/>
              <w:rPr>
                <w:sz w:val="20"/>
                <w:szCs w:val="20"/>
                <w:color w:val="auto"/>
              </w:rPr>
            </w:pPr>
          </w:p>
        </w:tc>
        <w:tc>
          <w:tcPr>
            <w:tcW w:w="80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Security</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Security</w:t>
            </w:r>
          </w:p>
        </w:tc>
        <w:tc>
          <w:tcPr>
            <w:tcW w:w="4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Unsold</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Aggregate</w:t>
            </w:r>
          </w:p>
        </w:tc>
        <w:tc>
          <w:tcPr>
            <w:tcW w:w="20" w:type="dxa"/>
            <w:vAlign w:val="bottom"/>
          </w:tcPr>
          <w:p>
            <w:pPr>
              <w:spacing w:after="0"/>
              <w:rPr>
                <w:sz w:val="20"/>
                <w:szCs w:val="20"/>
                <w:color w:val="auto"/>
              </w:rPr>
            </w:pPr>
          </w:p>
        </w:tc>
        <w:tc>
          <w:tcPr>
            <w:tcW w:w="7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Fee</w:t>
            </w:r>
          </w:p>
        </w:tc>
        <w:tc>
          <w:tcPr>
            <w:tcW w:w="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40" w:type="dxa"/>
            <w:vAlign w:val="bottom"/>
            <w:tcBorders>
              <w:left w:val="single" w:sz="8" w:color="auto"/>
            </w:tcBorders>
          </w:tcPr>
          <w:p>
            <w:pPr>
              <w:spacing w:after="0"/>
              <w:rPr>
                <w:sz w:val="20"/>
                <w:szCs w:val="20"/>
                <w:color w:val="auto"/>
              </w:rPr>
            </w:pPr>
          </w:p>
        </w:tc>
        <w:tc>
          <w:tcPr>
            <w:tcW w:w="80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vMerge w:val="restart"/>
            <w:shd w:val="clear" w:color="auto" w:fill="9ADAF6"/>
          </w:tcPr>
          <w:p>
            <w:pPr>
              <w:ind w:left="20"/>
              <w:spacing w:after="0"/>
              <w:rPr>
                <w:sz w:val="20"/>
                <w:szCs w:val="20"/>
                <w:color w:val="auto"/>
              </w:rPr>
            </w:pPr>
            <w:r>
              <w:rPr>
                <w:rFonts w:ascii="Arial" w:cs="Arial" w:eastAsia="Arial" w:hAnsi="Arial"/>
                <w:sz w:val="21"/>
                <w:szCs w:val="21"/>
                <w:b w:val="1"/>
                <w:bCs w:val="1"/>
                <w:color w:val="auto"/>
                <w:w w:val="98"/>
              </w:rPr>
              <w:t>Registrant</w:t>
            </w:r>
          </w:p>
        </w:tc>
        <w:tc>
          <w:tcPr>
            <w:tcW w:w="20" w:type="dxa"/>
            <w:vAlign w:val="bottom"/>
          </w:tcPr>
          <w:p>
            <w:pPr>
              <w:spacing w:after="0"/>
              <w:rPr>
                <w:sz w:val="20"/>
                <w:szCs w:val="20"/>
                <w:color w:val="auto"/>
              </w:rPr>
            </w:pPr>
          </w:p>
        </w:tc>
        <w:tc>
          <w:tcPr>
            <w:tcW w:w="60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Form</w:t>
            </w:r>
          </w:p>
        </w:tc>
        <w:tc>
          <w:tcPr>
            <w:tcW w:w="20" w:type="dxa"/>
            <w:vAlign w:val="bottom"/>
          </w:tcPr>
          <w:p>
            <w:pPr>
              <w:spacing w:after="0"/>
              <w:rPr>
                <w:sz w:val="20"/>
                <w:szCs w:val="20"/>
                <w:color w:val="auto"/>
              </w:rPr>
            </w:pPr>
          </w:p>
        </w:tc>
        <w:tc>
          <w:tcPr>
            <w:tcW w:w="82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8"/>
              </w:rPr>
              <w:t>Initial</w:t>
            </w:r>
          </w:p>
        </w:tc>
        <w:tc>
          <w:tcPr>
            <w:tcW w:w="20" w:type="dxa"/>
            <w:vAlign w:val="bottom"/>
          </w:tcPr>
          <w:p>
            <w:pPr>
              <w:spacing w:after="0"/>
              <w:rPr>
                <w:sz w:val="20"/>
                <w:szCs w:val="20"/>
                <w:color w:val="auto"/>
              </w:rPr>
            </w:pPr>
          </w:p>
        </w:tc>
        <w:tc>
          <w:tcPr>
            <w:tcW w:w="58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vMerge w:val="restart"/>
            <w:shd w:val="clear" w:color="auto" w:fill="9ADAF6"/>
          </w:tcPr>
          <w:p>
            <w:pPr>
              <w:jc w:val="right"/>
              <w:ind w:right="141"/>
              <w:spacing w:after="0"/>
              <w:rPr>
                <w:sz w:val="20"/>
                <w:szCs w:val="20"/>
                <w:color w:val="auto"/>
              </w:rPr>
            </w:pPr>
            <w:r>
              <w:rPr>
                <w:rFonts w:ascii="Arial" w:cs="Arial" w:eastAsia="Arial" w:hAnsi="Arial"/>
                <w:sz w:val="21"/>
                <w:szCs w:val="21"/>
                <w:b w:val="1"/>
                <w:bCs w:val="1"/>
                <w:color w:val="auto"/>
              </w:rPr>
              <w:t>Fee</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3"/>
              </w:rPr>
              <w:t>Type</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7"/>
              </w:rPr>
              <w:t>Title</w:t>
            </w:r>
          </w:p>
        </w:tc>
        <w:tc>
          <w:tcPr>
            <w:tcW w:w="4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Securities</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rPr>
              <w:t>Offering</w:t>
            </w:r>
          </w:p>
        </w:tc>
        <w:tc>
          <w:tcPr>
            <w:tcW w:w="20" w:type="dxa"/>
            <w:vAlign w:val="bottom"/>
          </w:tcPr>
          <w:p>
            <w:pPr>
              <w:spacing w:after="0"/>
              <w:rPr>
                <w:sz w:val="20"/>
                <w:szCs w:val="20"/>
                <w:color w:val="auto"/>
              </w:rPr>
            </w:pPr>
          </w:p>
        </w:tc>
        <w:tc>
          <w:tcPr>
            <w:tcW w:w="7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Paid</w:t>
            </w:r>
          </w:p>
        </w:tc>
        <w:tc>
          <w:tcPr>
            <w:tcW w:w="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40" w:type="dxa"/>
            <w:vAlign w:val="bottom"/>
            <w:tcBorders>
              <w:left w:val="single" w:sz="8" w:color="auto"/>
            </w:tcBorders>
          </w:tcPr>
          <w:p>
            <w:pPr>
              <w:spacing w:after="0"/>
              <w:rPr>
                <w:sz w:val="18"/>
                <w:szCs w:val="18"/>
                <w:color w:val="auto"/>
              </w:rPr>
            </w:pPr>
          </w:p>
        </w:tc>
        <w:tc>
          <w:tcPr>
            <w:tcW w:w="8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shd w:val="clear" w:color="auto" w:fill="9ADAF6"/>
          </w:tcPr>
          <w:p>
            <w:pPr>
              <w:jc w:val="center"/>
              <w:spacing w:after="0" w:line="208" w:lineRule="exact"/>
              <w:rPr>
                <w:sz w:val="20"/>
                <w:szCs w:val="20"/>
                <w:color w:val="auto"/>
              </w:rPr>
            </w:pPr>
            <w:r>
              <w:rPr>
                <w:rFonts w:ascii="Arial" w:cs="Arial" w:eastAsia="Arial" w:hAnsi="Arial"/>
                <w:sz w:val="21"/>
                <w:szCs w:val="21"/>
                <w:b w:val="1"/>
                <w:bCs w:val="1"/>
                <w:color w:val="auto"/>
                <w:w w:val="95"/>
              </w:rPr>
              <w:t>or</w:t>
            </w:r>
          </w:p>
        </w:tc>
        <w:tc>
          <w:tcPr>
            <w:tcW w:w="20" w:type="dxa"/>
            <w:vAlign w:val="bottom"/>
          </w:tcPr>
          <w:p>
            <w:pPr>
              <w:spacing w:after="0"/>
              <w:rPr>
                <w:sz w:val="18"/>
                <w:szCs w:val="18"/>
                <w:color w:val="auto"/>
              </w:rPr>
            </w:pPr>
          </w:p>
        </w:tc>
        <w:tc>
          <w:tcPr>
            <w:tcW w:w="820" w:type="dxa"/>
            <w:vAlign w:val="bottom"/>
            <w:shd w:val="clear" w:color="auto" w:fill="9ADAF6"/>
          </w:tcPr>
          <w:p>
            <w:pPr>
              <w:jc w:val="center"/>
              <w:spacing w:after="0" w:line="208" w:lineRule="exact"/>
              <w:rPr>
                <w:sz w:val="20"/>
                <w:szCs w:val="20"/>
                <w:color w:val="auto"/>
              </w:rPr>
            </w:pPr>
            <w:r>
              <w:rPr>
                <w:rFonts w:ascii="Arial" w:cs="Arial" w:eastAsia="Arial" w:hAnsi="Arial"/>
                <w:sz w:val="21"/>
                <w:szCs w:val="21"/>
                <w:b w:val="1"/>
                <w:bCs w:val="1"/>
                <w:color w:val="auto"/>
                <w:w w:val="99"/>
              </w:rPr>
              <w:t>File</w:t>
            </w:r>
          </w:p>
        </w:tc>
        <w:tc>
          <w:tcPr>
            <w:tcW w:w="20" w:type="dxa"/>
            <w:vAlign w:val="bottom"/>
          </w:tcPr>
          <w:p>
            <w:pPr>
              <w:spacing w:after="0"/>
              <w:rPr>
                <w:sz w:val="18"/>
                <w:szCs w:val="18"/>
                <w:color w:val="auto"/>
              </w:rPr>
            </w:pPr>
          </w:p>
        </w:tc>
        <w:tc>
          <w:tcPr>
            <w:tcW w:w="58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shd w:val="clear" w:color="auto" w:fill="9ADAF6"/>
          </w:tcPr>
          <w:p>
            <w:pPr>
              <w:jc w:val="center"/>
              <w:spacing w:after="0" w:line="208" w:lineRule="exact"/>
              <w:rPr>
                <w:sz w:val="20"/>
                <w:szCs w:val="20"/>
                <w:color w:val="auto"/>
              </w:rPr>
            </w:pPr>
            <w:r>
              <w:rPr>
                <w:rFonts w:ascii="Arial" w:cs="Arial" w:eastAsia="Arial" w:hAnsi="Arial"/>
                <w:sz w:val="21"/>
                <w:szCs w:val="21"/>
                <w:b w:val="1"/>
                <w:bCs w:val="1"/>
                <w:color w:val="auto"/>
                <w:w w:val="99"/>
              </w:rPr>
              <w:t>Filing</w:t>
            </w:r>
          </w:p>
        </w:tc>
        <w:tc>
          <w:tcPr>
            <w:tcW w:w="40" w:type="dxa"/>
            <w:vAlign w:val="bottom"/>
          </w:tcPr>
          <w:p>
            <w:pPr>
              <w:spacing w:after="0"/>
              <w:rPr>
                <w:sz w:val="18"/>
                <w:szCs w:val="18"/>
                <w:color w:val="auto"/>
              </w:rPr>
            </w:pPr>
          </w:p>
        </w:tc>
        <w:tc>
          <w:tcPr>
            <w:tcW w:w="84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shd w:val="clear" w:color="auto" w:fill="9ADAF6"/>
          </w:tcPr>
          <w:p>
            <w:pPr>
              <w:jc w:val="center"/>
              <w:spacing w:after="0" w:line="208" w:lineRule="exact"/>
              <w:rPr>
                <w:sz w:val="20"/>
                <w:szCs w:val="20"/>
                <w:color w:val="auto"/>
              </w:rPr>
            </w:pPr>
            <w:r>
              <w:rPr>
                <w:rFonts w:ascii="Arial" w:cs="Arial" w:eastAsia="Arial" w:hAnsi="Arial"/>
                <w:sz w:val="21"/>
                <w:szCs w:val="21"/>
                <w:b w:val="1"/>
                <w:bCs w:val="1"/>
                <w:color w:val="auto"/>
                <w:w w:val="98"/>
              </w:rPr>
              <w:t>Associated</w:t>
            </w:r>
          </w:p>
        </w:tc>
        <w:tc>
          <w:tcPr>
            <w:tcW w:w="20" w:type="dxa"/>
            <w:vAlign w:val="bottom"/>
          </w:tcPr>
          <w:p>
            <w:pPr>
              <w:spacing w:after="0"/>
              <w:rPr>
                <w:sz w:val="18"/>
                <w:szCs w:val="18"/>
                <w:color w:val="auto"/>
              </w:rPr>
            </w:pPr>
          </w:p>
        </w:tc>
        <w:tc>
          <w:tcPr>
            <w:tcW w:w="1140" w:type="dxa"/>
            <w:vAlign w:val="bottom"/>
            <w:shd w:val="clear" w:color="auto" w:fill="9ADAF6"/>
          </w:tcPr>
          <w:p>
            <w:pPr>
              <w:jc w:val="center"/>
              <w:spacing w:after="0" w:line="208" w:lineRule="exact"/>
              <w:rPr>
                <w:sz w:val="20"/>
                <w:szCs w:val="20"/>
                <w:color w:val="auto"/>
              </w:rPr>
            </w:pPr>
            <w:r>
              <w:rPr>
                <w:rFonts w:ascii="Arial" w:cs="Arial" w:eastAsia="Arial" w:hAnsi="Arial"/>
                <w:sz w:val="21"/>
                <w:szCs w:val="21"/>
                <w:b w:val="1"/>
                <w:bCs w:val="1"/>
                <w:color w:val="auto"/>
                <w:w w:val="99"/>
              </w:rPr>
              <w:t>Associated</w:t>
            </w:r>
          </w:p>
        </w:tc>
        <w:tc>
          <w:tcPr>
            <w:tcW w:w="40" w:type="dxa"/>
            <w:vAlign w:val="bottom"/>
          </w:tcPr>
          <w:p>
            <w:pPr>
              <w:spacing w:after="0"/>
              <w:rPr>
                <w:sz w:val="18"/>
                <w:szCs w:val="18"/>
                <w:color w:val="auto"/>
              </w:rPr>
            </w:pPr>
          </w:p>
        </w:tc>
        <w:tc>
          <w:tcPr>
            <w:tcW w:w="1140" w:type="dxa"/>
            <w:vAlign w:val="bottom"/>
            <w:shd w:val="clear" w:color="auto" w:fill="9ADAF6"/>
          </w:tcPr>
          <w:p>
            <w:pPr>
              <w:jc w:val="center"/>
              <w:spacing w:after="0" w:line="208" w:lineRule="exact"/>
              <w:rPr>
                <w:sz w:val="20"/>
                <w:szCs w:val="20"/>
                <w:color w:val="auto"/>
              </w:rPr>
            </w:pPr>
            <w:r>
              <w:rPr>
                <w:rFonts w:ascii="Arial" w:cs="Arial" w:eastAsia="Arial" w:hAnsi="Arial"/>
                <w:sz w:val="21"/>
                <w:szCs w:val="21"/>
                <w:b w:val="1"/>
                <w:bCs w:val="1"/>
                <w:color w:val="auto"/>
                <w:w w:val="98"/>
              </w:rPr>
              <w:t>Associated</w:t>
            </w:r>
          </w:p>
        </w:tc>
        <w:tc>
          <w:tcPr>
            <w:tcW w:w="20" w:type="dxa"/>
            <w:vAlign w:val="bottom"/>
          </w:tcPr>
          <w:p>
            <w:pPr>
              <w:spacing w:after="0"/>
              <w:rPr>
                <w:sz w:val="18"/>
                <w:szCs w:val="18"/>
                <w:color w:val="auto"/>
              </w:rPr>
            </w:pPr>
          </w:p>
        </w:tc>
        <w:tc>
          <w:tcPr>
            <w:tcW w:w="1140" w:type="dxa"/>
            <w:vAlign w:val="bottom"/>
            <w:shd w:val="clear" w:color="auto" w:fill="9ADAF6"/>
          </w:tcPr>
          <w:p>
            <w:pPr>
              <w:jc w:val="center"/>
              <w:spacing w:after="0" w:line="208" w:lineRule="exact"/>
              <w:rPr>
                <w:sz w:val="20"/>
                <w:szCs w:val="20"/>
                <w:color w:val="auto"/>
              </w:rPr>
            </w:pPr>
            <w:r>
              <w:rPr>
                <w:rFonts w:ascii="Arial" w:cs="Arial" w:eastAsia="Arial" w:hAnsi="Arial"/>
                <w:sz w:val="21"/>
                <w:szCs w:val="21"/>
                <w:b w:val="1"/>
                <w:bCs w:val="1"/>
                <w:color w:val="auto"/>
                <w:w w:val="98"/>
              </w:rPr>
              <w:t>Amount</w:t>
            </w:r>
          </w:p>
        </w:tc>
        <w:tc>
          <w:tcPr>
            <w:tcW w:w="20" w:type="dxa"/>
            <w:vAlign w:val="bottom"/>
          </w:tcPr>
          <w:p>
            <w:pPr>
              <w:spacing w:after="0"/>
              <w:rPr>
                <w:sz w:val="18"/>
                <w:szCs w:val="18"/>
                <w:color w:val="auto"/>
              </w:rPr>
            </w:pPr>
          </w:p>
        </w:tc>
        <w:tc>
          <w:tcPr>
            <w:tcW w:w="740" w:type="dxa"/>
            <w:vAlign w:val="bottom"/>
            <w:shd w:val="clear" w:color="auto" w:fill="9ADAF6"/>
          </w:tcPr>
          <w:p>
            <w:pPr>
              <w:jc w:val="center"/>
              <w:spacing w:after="0" w:line="208" w:lineRule="exact"/>
              <w:rPr>
                <w:sz w:val="20"/>
                <w:szCs w:val="20"/>
                <w:color w:val="auto"/>
              </w:rPr>
            </w:pPr>
            <w:r>
              <w:rPr>
                <w:rFonts w:ascii="Arial" w:cs="Arial" w:eastAsia="Arial" w:hAnsi="Arial"/>
                <w:sz w:val="21"/>
                <w:szCs w:val="21"/>
                <w:b w:val="1"/>
                <w:bCs w:val="1"/>
                <w:color w:val="auto"/>
                <w:w w:val="99"/>
              </w:rPr>
              <w:t>with</w:t>
            </w:r>
          </w:p>
        </w:tc>
        <w:tc>
          <w:tcPr>
            <w:tcW w:w="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40" w:type="dxa"/>
            <w:vAlign w:val="bottom"/>
            <w:tcBorders>
              <w:left w:val="single" w:sz="8" w:color="auto"/>
            </w:tcBorders>
          </w:tcPr>
          <w:p>
            <w:pPr>
              <w:spacing w:after="0"/>
              <w:rPr>
                <w:sz w:val="12"/>
                <w:szCs w:val="12"/>
                <w:color w:val="auto"/>
              </w:rPr>
            </w:pPr>
          </w:p>
        </w:tc>
        <w:tc>
          <w:tcPr>
            <w:tcW w:w="80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or Filer</w:t>
            </w:r>
          </w:p>
        </w:tc>
        <w:tc>
          <w:tcPr>
            <w:tcW w:w="20" w:type="dxa"/>
            <w:vAlign w:val="bottom"/>
          </w:tcPr>
          <w:p>
            <w:pPr>
              <w:spacing w:after="0"/>
              <w:rPr>
                <w:sz w:val="12"/>
                <w:szCs w:val="12"/>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Filing</w:t>
            </w:r>
          </w:p>
        </w:tc>
        <w:tc>
          <w:tcPr>
            <w:tcW w:w="20" w:type="dxa"/>
            <w:vAlign w:val="bottom"/>
          </w:tcPr>
          <w:p>
            <w:pPr>
              <w:spacing w:after="0"/>
              <w:rPr>
                <w:sz w:val="12"/>
                <w:szCs w:val="12"/>
                <w:color w:val="auto"/>
              </w:rPr>
            </w:pPr>
          </w:p>
        </w:tc>
        <w:tc>
          <w:tcPr>
            <w:tcW w:w="82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8"/>
              </w:rPr>
              <w:t>Number</w:t>
            </w:r>
          </w:p>
        </w:tc>
        <w:tc>
          <w:tcPr>
            <w:tcW w:w="20" w:type="dxa"/>
            <w:vAlign w:val="bottom"/>
          </w:tcPr>
          <w:p>
            <w:pPr>
              <w:spacing w:after="0"/>
              <w:rPr>
                <w:sz w:val="12"/>
                <w:szCs w:val="12"/>
                <w:color w:val="auto"/>
              </w:rPr>
            </w:pPr>
          </w:p>
        </w:tc>
        <w:tc>
          <w:tcPr>
            <w:tcW w:w="58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Filing</w:t>
            </w:r>
          </w:p>
        </w:tc>
        <w:tc>
          <w:tcPr>
            <w:tcW w:w="20" w:type="dxa"/>
            <w:vAlign w:val="bottom"/>
          </w:tcPr>
          <w:p>
            <w:pPr>
              <w:spacing w:after="0"/>
              <w:rPr>
                <w:sz w:val="12"/>
                <w:szCs w:val="12"/>
                <w:color w:val="auto"/>
              </w:rPr>
            </w:pPr>
          </w:p>
        </w:tc>
        <w:tc>
          <w:tcPr>
            <w:tcW w:w="5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6"/>
              </w:rPr>
              <w:t>Date</w:t>
            </w:r>
          </w:p>
        </w:tc>
        <w:tc>
          <w:tcPr>
            <w:tcW w:w="40" w:type="dxa"/>
            <w:vAlign w:val="bottom"/>
          </w:tcPr>
          <w:p>
            <w:pPr>
              <w:spacing w:after="0"/>
              <w:rPr>
                <w:sz w:val="12"/>
                <w:szCs w:val="12"/>
                <w:color w:val="auto"/>
              </w:rPr>
            </w:pPr>
          </w:p>
        </w:tc>
        <w:tc>
          <w:tcPr>
            <w:tcW w:w="840" w:type="dxa"/>
            <w:vAlign w:val="bottom"/>
            <w:shd w:val="clear" w:color="auto" w:fill="9ADAF6"/>
          </w:tcPr>
          <w:p>
            <w:pPr>
              <w:ind w:left="120"/>
              <w:spacing w:after="0" w:line="142" w:lineRule="exact"/>
              <w:rPr>
                <w:sz w:val="20"/>
                <w:szCs w:val="20"/>
                <w:color w:val="auto"/>
              </w:rPr>
            </w:pPr>
            <w:r>
              <w:rPr>
                <w:rFonts w:ascii="Arial" w:cs="Arial" w:eastAsia="Arial" w:hAnsi="Arial"/>
                <w:sz w:val="16"/>
                <w:szCs w:val="16"/>
                <w:b w:val="1"/>
                <w:bCs w:val="1"/>
                <w:color w:val="auto"/>
              </w:rPr>
              <w:t>Offset</w:t>
            </w:r>
          </w:p>
        </w:tc>
        <w:tc>
          <w:tcPr>
            <w:tcW w:w="20" w:type="dxa"/>
            <w:vAlign w:val="bottom"/>
          </w:tcPr>
          <w:p>
            <w:pPr>
              <w:spacing w:after="0"/>
              <w:rPr>
                <w:sz w:val="12"/>
                <w:szCs w:val="12"/>
                <w:color w:val="auto"/>
              </w:rPr>
            </w:pPr>
          </w:p>
        </w:tc>
        <w:tc>
          <w:tcPr>
            <w:tcW w:w="11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with Fee</w:t>
            </w:r>
          </w:p>
        </w:tc>
        <w:tc>
          <w:tcPr>
            <w:tcW w:w="20" w:type="dxa"/>
            <w:vAlign w:val="bottom"/>
          </w:tcPr>
          <w:p>
            <w:pPr>
              <w:spacing w:after="0"/>
              <w:rPr>
                <w:sz w:val="12"/>
                <w:szCs w:val="12"/>
                <w:color w:val="auto"/>
              </w:rPr>
            </w:pPr>
          </w:p>
        </w:tc>
        <w:tc>
          <w:tcPr>
            <w:tcW w:w="11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12"/>
                <w:szCs w:val="12"/>
                <w:color w:val="auto"/>
              </w:rPr>
            </w:pPr>
          </w:p>
        </w:tc>
        <w:tc>
          <w:tcPr>
            <w:tcW w:w="11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with Fee</w:t>
            </w:r>
          </w:p>
        </w:tc>
        <w:tc>
          <w:tcPr>
            <w:tcW w:w="20" w:type="dxa"/>
            <w:vAlign w:val="bottom"/>
          </w:tcPr>
          <w:p>
            <w:pPr>
              <w:spacing w:after="0"/>
              <w:rPr>
                <w:sz w:val="12"/>
                <w:szCs w:val="12"/>
                <w:color w:val="auto"/>
              </w:rPr>
            </w:pPr>
          </w:p>
        </w:tc>
        <w:tc>
          <w:tcPr>
            <w:tcW w:w="11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8"/>
              </w:rPr>
              <w:t>Associated</w:t>
            </w:r>
          </w:p>
        </w:tc>
        <w:tc>
          <w:tcPr>
            <w:tcW w:w="20" w:type="dxa"/>
            <w:vAlign w:val="bottom"/>
          </w:tcPr>
          <w:p>
            <w:pPr>
              <w:spacing w:after="0"/>
              <w:rPr>
                <w:sz w:val="12"/>
                <w:szCs w:val="12"/>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Fee</w:t>
            </w:r>
          </w:p>
        </w:tc>
        <w:tc>
          <w:tcPr>
            <w:tcW w:w="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40" w:type="dxa"/>
            <w:vAlign w:val="bottom"/>
            <w:tcBorders>
              <w:left w:val="single" w:sz="8" w:color="auto"/>
            </w:tcBorders>
          </w:tcPr>
          <w:p>
            <w:pPr>
              <w:spacing w:after="0"/>
              <w:rPr>
                <w:sz w:val="18"/>
                <w:szCs w:val="18"/>
                <w:color w:val="auto"/>
              </w:rPr>
            </w:pPr>
          </w:p>
        </w:tc>
        <w:tc>
          <w:tcPr>
            <w:tcW w:w="8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shd w:val="clear" w:color="auto" w:fill="9ADAF6"/>
          </w:tcPr>
          <w:p>
            <w:pPr>
              <w:jc w:val="center"/>
              <w:spacing w:after="0" w:line="208" w:lineRule="exact"/>
              <w:rPr>
                <w:sz w:val="20"/>
                <w:szCs w:val="20"/>
                <w:color w:val="auto"/>
              </w:rPr>
            </w:pPr>
            <w:r>
              <w:rPr>
                <w:rFonts w:ascii="Arial" w:cs="Arial" w:eastAsia="Arial" w:hAnsi="Arial"/>
                <w:sz w:val="21"/>
                <w:szCs w:val="21"/>
                <w:b w:val="1"/>
                <w:bCs w:val="1"/>
                <w:color w:val="auto"/>
              </w:rPr>
              <w:t>Name</w:t>
            </w:r>
          </w:p>
        </w:tc>
        <w:tc>
          <w:tcPr>
            <w:tcW w:w="20" w:type="dxa"/>
            <w:vAlign w:val="bottom"/>
          </w:tcPr>
          <w:p>
            <w:pPr>
              <w:spacing w:after="0"/>
              <w:rPr>
                <w:sz w:val="18"/>
                <w:szCs w:val="18"/>
                <w:color w:val="auto"/>
              </w:rPr>
            </w:pPr>
          </w:p>
        </w:tc>
        <w:tc>
          <w:tcPr>
            <w:tcW w:w="60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shd w:val="clear" w:color="auto" w:fill="9ADAF6"/>
          </w:tcPr>
          <w:p>
            <w:pPr>
              <w:jc w:val="center"/>
              <w:spacing w:after="0" w:line="208" w:lineRule="exact"/>
              <w:rPr>
                <w:sz w:val="20"/>
                <w:szCs w:val="20"/>
                <w:color w:val="auto"/>
              </w:rPr>
            </w:pPr>
            <w:r>
              <w:rPr>
                <w:rFonts w:ascii="Arial" w:cs="Arial" w:eastAsia="Arial" w:hAnsi="Arial"/>
                <w:sz w:val="21"/>
                <w:szCs w:val="21"/>
                <w:b w:val="1"/>
                <w:bCs w:val="1"/>
                <w:color w:val="auto"/>
              </w:rPr>
              <w:t>Date</w:t>
            </w:r>
          </w:p>
        </w:tc>
        <w:tc>
          <w:tcPr>
            <w:tcW w:w="20" w:type="dxa"/>
            <w:vAlign w:val="bottom"/>
          </w:tcPr>
          <w:p>
            <w:pPr>
              <w:spacing w:after="0"/>
              <w:rPr>
                <w:sz w:val="18"/>
                <w:szCs w:val="18"/>
                <w:color w:val="auto"/>
              </w:rPr>
            </w:pPr>
          </w:p>
        </w:tc>
        <w:tc>
          <w:tcPr>
            <w:tcW w:w="580" w:type="dxa"/>
            <w:vAlign w:val="bottom"/>
            <w:vMerge w:val="continue"/>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shd w:val="clear" w:color="auto" w:fill="9ADAF6"/>
          </w:tcPr>
          <w:p>
            <w:pPr>
              <w:jc w:val="right"/>
              <w:spacing w:after="0" w:line="208" w:lineRule="exact"/>
              <w:rPr>
                <w:sz w:val="20"/>
                <w:szCs w:val="20"/>
                <w:color w:val="auto"/>
              </w:rPr>
            </w:pPr>
            <w:r>
              <w:rPr>
                <w:rFonts w:ascii="Arial" w:cs="Arial" w:eastAsia="Arial" w:hAnsi="Arial"/>
                <w:sz w:val="21"/>
                <w:szCs w:val="21"/>
                <w:b w:val="1"/>
                <w:bCs w:val="1"/>
                <w:color w:val="auto"/>
                <w:w w:val="97"/>
              </w:rPr>
              <w:t>Claimed</w:t>
            </w:r>
          </w:p>
        </w:tc>
        <w:tc>
          <w:tcPr>
            <w:tcW w:w="20" w:type="dxa"/>
            <w:vAlign w:val="bottom"/>
          </w:tcPr>
          <w:p>
            <w:pPr>
              <w:spacing w:after="0"/>
              <w:rPr>
                <w:sz w:val="18"/>
                <w:szCs w:val="18"/>
                <w:color w:val="auto"/>
              </w:rPr>
            </w:pPr>
          </w:p>
        </w:tc>
        <w:tc>
          <w:tcPr>
            <w:tcW w:w="114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vMerge w:val="continue"/>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vMerge w:val="continue"/>
            <w:shd w:val="clear" w:color="auto" w:fill="9ADAF6"/>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40" w:type="dxa"/>
            <w:vAlign w:val="bottom"/>
            <w:tcBorders>
              <w:left w:val="single" w:sz="8" w:color="auto"/>
            </w:tcBorders>
          </w:tcPr>
          <w:p>
            <w:pPr>
              <w:spacing w:after="0"/>
              <w:rPr>
                <w:sz w:val="12"/>
                <w:szCs w:val="12"/>
                <w:color w:val="auto"/>
              </w:rPr>
            </w:pPr>
          </w:p>
        </w:tc>
        <w:tc>
          <w:tcPr>
            <w:tcW w:w="80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Type</w:t>
            </w:r>
          </w:p>
        </w:tc>
        <w:tc>
          <w:tcPr>
            <w:tcW w:w="20" w:type="dxa"/>
            <w:vAlign w:val="bottom"/>
          </w:tcPr>
          <w:p>
            <w:pPr>
              <w:spacing w:after="0"/>
              <w:rPr>
                <w:sz w:val="12"/>
                <w:szCs w:val="12"/>
                <w:color w:val="auto"/>
              </w:rPr>
            </w:pPr>
          </w:p>
        </w:tc>
        <w:tc>
          <w:tcPr>
            <w:tcW w:w="82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Offset</w:t>
            </w:r>
          </w:p>
        </w:tc>
        <w:tc>
          <w:tcPr>
            <w:tcW w:w="20" w:type="dxa"/>
            <w:vAlign w:val="bottom"/>
          </w:tcPr>
          <w:p>
            <w:pPr>
              <w:spacing w:after="0"/>
              <w:rPr>
                <w:sz w:val="12"/>
                <w:szCs w:val="12"/>
                <w:color w:val="auto"/>
              </w:rPr>
            </w:pPr>
          </w:p>
        </w:tc>
        <w:tc>
          <w:tcPr>
            <w:tcW w:w="114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4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Offset</w:t>
            </w:r>
          </w:p>
        </w:tc>
        <w:tc>
          <w:tcPr>
            <w:tcW w:w="20" w:type="dxa"/>
            <w:vAlign w:val="bottom"/>
          </w:tcPr>
          <w:p>
            <w:pPr>
              <w:spacing w:after="0"/>
              <w:rPr>
                <w:sz w:val="12"/>
                <w:szCs w:val="12"/>
                <w:color w:val="auto"/>
              </w:rPr>
            </w:pPr>
          </w:p>
        </w:tc>
        <w:tc>
          <w:tcPr>
            <w:tcW w:w="114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with Fee</w:t>
            </w:r>
          </w:p>
        </w:tc>
        <w:tc>
          <w:tcPr>
            <w:tcW w:w="20" w:type="dxa"/>
            <w:vAlign w:val="bottom"/>
          </w:tcPr>
          <w:p>
            <w:pPr>
              <w:spacing w:after="0"/>
              <w:rPr>
                <w:sz w:val="12"/>
                <w:szCs w:val="12"/>
                <w:color w:val="auto"/>
              </w:rPr>
            </w:pPr>
          </w:p>
        </w:tc>
        <w:tc>
          <w:tcPr>
            <w:tcW w:w="74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Offset</w:t>
            </w:r>
          </w:p>
        </w:tc>
        <w:tc>
          <w:tcPr>
            <w:tcW w:w="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3"/>
        </w:trPr>
        <w:tc>
          <w:tcPr>
            <w:tcW w:w="40" w:type="dxa"/>
            <w:vAlign w:val="bottom"/>
            <w:tcBorders>
              <w:left w:val="single" w:sz="8" w:color="auto"/>
            </w:tcBorders>
          </w:tcPr>
          <w:p>
            <w:pPr>
              <w:spacing w:after="0"/>
              <w:rPr>
                <w:sz w:val="20"/>
                <w:szCs w:val="20"/>
                <w:color w:val="auto"/>
              </w:rPr>
            </w:pPr>
          </w:p>
        </w:tc>
        <w:tc>
          <w:tcPr>
            <w:tcW w:w="80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7"/>
              </w:rPr>
              <w:t>Claimed</w:t>
            </w:r>
          </w:p>
        </w:tc>
        <w:tc>
          <w:tcPr>
            <w:tcW w:w="4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7"/>
              </w:rPr>
              <w:t>Claimed</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5"/>
              </w:rPr>
              <w:t>Offset</w:t>
            </w:r>
          </w:p>
        </w:tc>
        <w:tc>
          <w:tcPr>
            <w:tcW w:w="20" w:type="dxa"/>
            <w:vAlign w:val="bottom"/>
          </w:tcPr>
          <w:p>
            <w:pPr>
              <w:spacing w:after="0"/>
              <w:rPr>
                <w:sz w:val="20"/>
                <w:szCs w:val="20"/>
                <w:color w:val="auto"/>
              </w:rPr>
            </w:pPr>
          </w:p>
        </w:tc>
        <w:tc>
          <w:tcPr>
            <w:tcW w:w="7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Source</w:t>
            </w:r>
          </w:p>
        </w:tc>
        <w:tc>
          <w:tcPr>
            <w:tcW w:w="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2"/>
        </w:trPr>
        <w:tc>
          <w:tcPr>
            <w:tcW w:w="40" w:type="dxa"/>
            <w:vAlign w:val="bottom"/>
            <w:tcBorders>
              <w:left w:val="single" w:sz="8" w:color="auto"/>
            </w:tcBorders>
          </w:tcPr>
          <w:p>
            <w:pPr>
              <w:spacing w:after="0"/>
              <w:rPr>
                <w:sz w:val="23"/>
                <w:szCs w:val="23"/>
                <w:color w:val="auto"/>
              </w:rPr>
            </w:pPr>
          </w:p>
        </w:tc>
        <w:tc>
          <w:tcPr>
            <w:tcW w:w="80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38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106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82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shd w:val="clear" w:color="auto" w:fill="9ADAF6"/>
          </w:tcPr>
          <w:p>
            <w:pPr>
              <w:spacing w:after="0"/>
              <w:rPr>
                <w:sz w:val="23"/>
                <w:szCs w:val="23"/>
                <w:color w:val="auto"/>
              </w:rPr>
            </w:pPr>
          </w:p>
        </w:tc>
        <w:tc>
          <w:tcPr>
            <w:tcW w:w="40" w:type="dxa"/>
            <w:vAlign w:val="bottom"/>
          </w:tcPr>
          <w:p>
            <w:pPr>
              <w:spacing w:after="0"/>
              <w:rPr>
                <w:sz w:val="23"/>
                <w:szCs w:val="23"/>
                <w:color w:val="auto"/>
              </w:rPr>
            </w:pPr>
          </w:p>
        </w:tc>
        <w:tc>
          <w:tcPr>
            <w:tcW w:w="84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9ADAF6"/>
          </w:tcPr>
          <w:p>
            <w:pPr>
              <w:spacing w:after="0"/>
              <w:rPr>
                <w:sz w:val="23"/>
                <w:szCs w:val="23"/>
                <w:color w:val="auto"/>
              </w:rPr>
            </w:pPr>
          </w:p>
        </w:tc>
        <w:tc>
          <w:tcPr>
            <w:tcW w:w="40" w:type="dxa"/>
            <w:vAlign w:val="bottom"/>
          </w:tcPr>
          <w:p>
            <w:pPr>
              <w:spacing w:after="0"/>
              <w:rPr>
                <w:sz w:val="23"/>
                <w:szCs w:val="23"/>
                <w:color w:val="auto"/>
              </w:rPr>
            </w:pPr>
          </w:p>
        </w:tc>
        <w:tc>
          <w:tcPr>
            <w:tcW w:w="114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3"/>
                <w:szCs w:val="23"/>
                <w:color w:val="auto"/>
              </w:rPr>
            </w:pPr>
          </w:p>
        </w:tc>
        <w:tc>
          <w:tcPr>
            <w:tcW w:w="740" w:type="dxa"/>
            <w:vAlign w:val="bottom"/>
            <w:shd w:val="clear" w:color="auto" w:fill="9ADAF6"/>
          </w:tcPr>
          <w:p>
            <w:pPr>
              <w:spacing w:after="0"/>
              <w:rPr>
                <w:sz w:val="23"/>
                <w:szCs w:val="23"/>
                <w:color w:val="auto"/>
              </w:rPr>
            </w:pPr>
          </w:p>
        </w:tc>
        <w:tc>
          <w:tcPr>
            <w:tcW w:w="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03"/>
        </w:trPr>
        <w:tc>
          <w:tcPr>
            <w:tcW w:w="40" w:type="dxa"/>
            <w:vAlign w:val="bottom"/>
            <w:tcBorders>
              <w:lef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0" w:type="dxa"/>
            <w:vAlign w:val="bottom"/>
            <w:gridSpan w:val="3"/>
          </w:tcPr>
          <w:p>
            <w:pPr>
              <w:ind w:left="100"/>
              <w:spacing w:after="0"/>
              <w:rPr>
                <w:sz w:val="20"/>
                <w:szCs w:val="20"/>
                <w:color w:val="auto"/>
              </w:rPr>
            </w:pPr>
            <w:r>
              <w:rPr>
                <w:rFonts w:ascii="Arial" w:cs="Arial" w:eastAsia="Arial" w:hAnsi="Arial"/>
                <w:sz w:val="21"/>
                <w:szCs w:val="21"/>
                <w:b w:val="1"/>
                <w:bCs w:val="1"/>
                <w:color w:val="auto"/>
              </w:rPr>
              <w:t>Rule 457(p)</w:t>
            </w: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ind w:left="20"/>
              <w:spacing w:after="0" w:line="227" w:lineRule="exact"/>
              <w:rPr>
                <w:sz w:val="20"/>
                <w:szCs w:val="20"/>
                <w:color w:val="auto"/>
              </w:rPr>
            </w:pPr>
            <w:r>
              <w:rPr>
                <w:rFonts w:ascii="Arial" w:cs="Arial" w:eastAsia="Arial" w:hAnsi="Arial"/>
                <w:sz w:val="21"/>
                <w:szCs w:val="21"/>
                <w:color w:val="auto"/>
              </w:rPr>
              <w:t>Fee</w:t>
            </w:r>
          </w:p>
        </w:tc>
        <w:tc>
          <w:tcPr>
            <w:tcW w:w="20" w:type="dxa"/>
            <w:vAlign w:val="bottom"/>
          </w:tcPr>
          <w:p>
            <w:pPr>
              <w:spacing w:after="0"/>
              <w:rPr>
                <w:sz w:val="19"/>
                <w:szCs w:val="19"/>
                <w:color w:val="auto"/>
              </w:rPr>
            </w:pPr>
          </w:p>
        </w:tc>
        <w:tc>
          <w:tcPr>
            <w:tcW w:w="3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0" w:type="dxa"/>
            <w:vAlign w:val="bottom"/>
            <w:tcBorders>
              <w:left w:val="single" w:sz="8" w:color="auto"/>
            </w:tcBorders>
          </w:tcPr>
          <w:p>
            <w:pPr>
              <w:spacing w:after="0"/>
              <w:rPr>
                <w:sz w:val="20"/>
                <w:szCs w:val="20"/>
                <w:color w:val="auto"/>
              </w:rPr>
            </w:pPr>
          </w:p>
        </w:tc>
        <w:tc>
          <w:tcPr>
            <w:tcW w:w="80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Offset</w:t>
            </w:r>
          </w:p>
        </w:tc>
        <w:tc>
          <w:tcPr>
            <w:tcW w:w="20" w:type="dxa"/>
            <w:vAlign w:val="bottom"/>
          </w:tcPr>
          <w:p>
            <w:pPr>
              <w:spacing w:after="0"/>
              <w:rPr>
                <w:sz w:val="20"/>
                <w:szCs w:val="20"/>
                <w:color w:val="auto"/>
              </w:rPr>
            </w:pPr>
          </w:p>
        </w:tc>
        <w:tc>
          <w:tcPr>
            <w:tcW w:w="38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106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600" w:type="dxa"/>
            <w:vAlign w:val="bottom"/>
            <w:shd w:val="clear" w:color="auto" w:fill="E7E7E2"/>
          </w:tcPr>
          <w:p>
            <w:pPr>
              <w:jc w:val="center"/>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820" w:type="dxa"/>
            <w:vAlign w:val="bottom"/>
            <w:shd w:val="clear" w:color="auto" w:fill="E7E7E2"/>
          </w:tcPr>
          <w:p>
            <w:pPr>
              <w:jc w:val="center"/>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580" w:type="dxa"/>
            <w:vAlign w:val="bottom"/>
            <w:shd w:val="clear" w:color="auto" w:fill="E7E7E2"/>
          </w:tcPr>
          <w:p>
            <w:pPr>
              <w:jc w:val="center"/>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580" w:type="dxa"/>
            <w:vAlign w:val="bottom"/>
            <w:shd w:val="clear" w:color="auto" w:fill="E7E7E2"/>
          </w:tcPr>
          <w:p>
            <w:pPr>
              <w:jc w:val="center"/>
              <w:spacing w:after="0" w:line="233" w:lineRule="exact"/>
              <w:rPr>
                <w:sz w:val="20"/>
                <w:szCs w:val="20"/>
                <w:color w:val="auto"/>
              </w:rPr>
            </w:pPr>
            <w:r>
              <w:rPr>
                <w:rFonts w:ascii="Arial" w:cs="Arial" w:eastAsia="Arial" w:hAnsi="Arial"/>
                <w:sz w:val="21"/>
                <w:szCs w:val="21"/>
                <w:color w:val="auto"/>
              </w:rPr>
              <w:t>N/A</w:t>
            </w:r>
          </w:p>
        </w:tc>
        <w:tc>
          <w:tcPr>
            <w:tcW w:w="40" w:type="dxa"/>
            <w:vAlign w:val="bottom"/>
          </w:tcPr>
          <w:p>
            <w:pPr>
              <w:spacing w:after="0"/>
              <w:rPr>
                <w:sz w:val="20"/>
                <w:szCs w:val="20"/>
                <w:color w:val="auto"/>
              </w:rPr>
            </w:pPr>
          </w:p>
        </w:tc>
        <w:tc>
          <w:tcPr>
            <w:tcW w:w="840" w:type="dxa"/>
            <w:vAlign w:val="bottom"/>
            <w:shd w:val="clear" w:color="auto" w:fill="E7E7E2"/>
          </w:tcPr>
          <w:p>
            <w:pPr>
              <w:jc w:val="right"/>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114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114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N/A</w:t>
            </w:r>
          </w:p>
        </w:tc>
        <w:tc>
          <w:tcPr>
            <w:tcW w:w="40" w:type="dxa"/>
            <w:vAlign w:val="bottom"/>
          </w:tcPr>
          <w:p>
            <w:pPr>
              <w:spacing w:after="0"/>
              <w:rPr>
                <w:sz w:val="20"/>
                <w:szCs w:val="20"/>
                <w:color w:val="auto"/>
              </w:rPr>
            </w:pPr>
          </w:p>
        </w:tc>
        <w:tc>
          <w:tcPr>
            <w:tcW w:w="1140" w:type="dxa"/>
            <w:vAlign w:val="bottom"/>
            <w:shd w:val="clear" w:color="auto" w:fill="E7E7E2"/>
          </w:tcPr>
          <w:p>
            <w:pPr>
              <w:ind w:left="780"/>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1140" w:type="dxa"/>
            <w:vAlign w:val="bottom"/>
            <w:shd w:val="clear" w:color="auto" w:fill="E7E7E2"/>
          </w:tcPr>
          <w:p>
            <w:pPr>
              <w:ind w:left="780"/>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740" w:type="dxa"/>
            <w:vAlign w:val="bottom"/>
            <w:shd w:val="clear" w:color="auto" w:fill="E7E7E2"/>
          </w:tcPr>
          <w:p>
            <w:pPr>
              <w:ind w:left="380"/>
              <w:spacing w:after="0" w:line="233" w:lineRule="exact"/>
              <w:rPr>
                <w:sz w:val="20"/>
                <w:szCs w:val="20"/>
                <w:color w:val="auto"/>
              </w:rPr>
            </w:pPr>
            <w:r>
              <w:rPr>
                <w:rFonts w:ascii="Arial" w:cs="Arial" w:eastAsia="Arial" w:hAnsi="Arial"/>
                <w:sz w:val="21"/>
                <w:szCs w:val="21"/>
                <w:color w:val="auto"/>
                <w:w w:val="96"/>
              </w:rPr>
              <w:t>N/A</w:t>
            </w:r>
          </w:p>
        </w:tc>
        <w:tc>
          <w:tcPr>
            <w:tcW w:w="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2"/>
        </w:trPr>
        <w:tc>
          <w:tcPr>
            <w:tcW w:w="40" w:type="dxa"/>
            <w:vAlign w:val="bottom"/>
            <w:tcBorders>
              <w:left w:val="single" w:sz="8" w:color="auto"/>
            </w:tcBorders>
          </w:tcPr>
          <w:p>
            <w:pPr>
              <w:spacing w:after="0"/>
              <w:rPr>
                <w:sz w:val="23"/>
                <w:szCs w:val="23"/>
                <w:color w:val="auto"/>
              </w:rPr>
            </w:pPr>
          </w:p>
        </w:tc>
        <w:tc>
          <w:tcPr>
            <w:tcW w:w="800" w:type="dxa"/>
            <w:vAlign w:val="bottom"/>
            <w:shd w:val="clear" w:color="auto" w:fill="E7E7E2"/>
          </w:tcPr>
          <w:p>
            <w:pPr>
              <w:ind w:left="20"/>
              <w:spacing w:after="0"/>
              <w:rPr>
                <w:sz w:val="20"/>
                <w:szCs w:val="20"/>
                <w:color w:val="auto"/>
              </w:rPr>
            </w:pPr>
            <w:r>
              <w:rPr>
                <w:rFonts w:ascii="Arial" w:cs="Arial" w:eastAsia="Arial" w:hAnsi="Arial"/>
                <w:sz w:val="21"/>
                <w:szCs w:val="21"/>
                <w:color w:val="auto"/>
              </w:rPr>
              <w:t>Claims</w:t>
            </w:r>
          </w:p>
        </w:tc>
        <w:tc>
          <w:tcPr>
            <w:tcW w:w="20" w:type="dxa"/>
            <w:vAlign w:val="bottom"/>
          </w:tcPr>
          <w:p>
            <w:pPr>
              <w:spacing w:after="0"/>
              <w:rPr>
                <w:sz w:val="23"/>
                <w:szCs w:val="23"/>
                <w:color w:val="auto"/>
              </w:rPr>
            </w:pPr>
          </w:p>
        </w:tc>
        <w:tc>
          <w:tcPr>
            <w:tcW w:w="38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06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82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shd w:val="clear" w:color="auto" w:fill="E7E7E2"/>
          </w:tcPr>
          <w:p>
            <w:pPr>
              <w:spacing w:after="0"/>
              <w:rPr>
                <w:sz w:val="23"/>
                <w:szCs w:val="23"/>
                <w:color w:val="auto"/>
              </w:rPr>
            </w:pPr>
          </w:p>
        </w:tc>
        <w:tc>
          <w:tcPr>
            <w:tcW w:w="40" w:type="dxa"/>
            <w:vAlign w:val="bottom"/>
          </w:tcPr>
          <w:p>
            <w:pPr>
              <w:spacing w:after="0"/>
              <w:rPr>
                <w:sz w:val="23"/>
                <w:szCs w:val="23"/>
                <w:color w:val="auto"/>
              </w:rPr>
            </w:pPr>
          </w:p>
        </w:tc>
        <w:tc>
          <w:tcPr>
            <w:tcW w:w="8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4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740" w:type="dxa"/>
            <w:vAlign w:val="bottom"/>
            <w:shd w:val="clear" w:color="auto" w:fill="E7E7E2"/>
          </w:tcPr>
          <w:p>
            <w:pPr>
              <w:spacing w:after="0"/>
              <w:rPr>
                <w:sz w:val="23"/>
                <w:szCs w:val="23"/>
                <w:color w:val="auto"/>
              </w:rPr>
            </w:pPr>
          </w:p>
        </w:tc>
        <w:tc>
          <w:tcPr>
            <w:tcW w:w="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40" w:type="dxa"/>
            <w:vAlign w:val="bottom"/>
            <w:tcBorders>
              <w:left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ind w:left="20"/>
              <w:spacing w:after="0" w:line="220" w:lineRule="exact"/>
              <w:rPr>
                <w:sz w:val="20"/>
                <w:szCs w:val="20"/>
                <w:color w:val="auto"/>
              </w:rPr>
            </w:pPr>
            <w:r>
              <w:rPr>
                <w:rFonts w:ascii="Arial" w:cs="Arial" w:eastAsia="Arial" w:hAnsi="Arial"/>
                <w:sz w:val="21"/>
                <w:szCs w:val="21"/>
                <w:color w:val="auto"/>
              </w:rPr>
              <w:t>Fee</w:t>
            </w:r>
          </w:p>
        </w:tc>
        <w:tc>
          <w:tcPr>
            <w:tcW w:w="20" w:type="dxa"/>
            <w:vAlign w:val="bottom"/>
          </w:tcPr>
          <w:p>
            <w:pPr>
              <w:spacing w:after="0"/>
              <w:rPr>
                <w:sz w:val="19"/>
                <w:szCs w:val="19"/>
                <w:color w:val="auto"/>
              </w:rPr>
            </w:pPr>
          </w:p>
        </w:tc>
        <w:tc>
          <w:tcPr>
            <w:tcW w:w="3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0" w:type="dxa"/>
            <w:vAlign w:val="bottom"/>
            <w:tcBorders>
              <w:left w:val="single" w:sz="8" w:color="auto"/>
            </w:tcBorders>
          </w:tcPr>
          <w:p>
            <w:pPr>
              <w:spacing w:after="0"/>
              <w:rPr>
                <w:sz w:val="20"/>
                <w:szCs w:val="20"/>
                <w:color w:val="auto"/>
              </w:rPr>
            </w:pPr>
          </w:p>
        </w:tc>
        <w:tc>
          <w:tcPr>
            <w:tcW w:w="80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Offset</w:t>
            </w:r>
          </w:p>
        </w:tc>
        <w:tc>
          <w:tcPr>
            <w:tcW w:w="20" w:type="dxa"/>
            <w:vAlign w:val="bottom"/>
          </w:tcPr>
          <w:p>
            <w:pPr>
              <w:spacing w:after="0"/>
              <w:rPr>
                <w:sz w:val="20"/>
                <w:szCs w:val="20"/>
                <w:color w:val="auto"/>
              </w:rPr>
            </w:pPr>
          </w:p>
        </w:tc>
        <w:tc>
          <w:tcPr>
            <w:tcW w:w="38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106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600" w:type="dxa"/>
            <w:vAlign w:val="bottom"/>
            <w:shd w:val="clear" w:color="auto" w:fill="E7E7E2"/>
          </w:tcPr>
          <w:p>
            <w:pPr>
              <w:jc w:val="center"/>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820" w:type="dxa"/>
            <w:vAlign w:val="bottom"/>
            <w:shd w:val="clear" w:color="auto" w:fill="E7E7E2"/>
          </w:tcPr>
          <w:p>
            <w:pPr>
              <w:jc w:val="center"/>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580" w:type="dxa"/>
            <w:vAlign w:val="bottom"/>
            <w:shd w:val="clear" w:color="auto" w:fill="E7E7E2"/>
          </w:tcPr>
          <w:p>
            <w:pPr>
              <w:jc w:val="center"/>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580" w:type="dxa"/>
            <w:vAlign w:val="bottom"/>
            <w:shd w:val="clear" w:color="auto" w:fill="E7E7E2"/>
          </w:tcPr>
          <w:p>
            <w:pPr>
              <w:jc w:val="center"/>
              <w:spacing w:after="0" w:line="233" w:lineRule="exact"/>
              <w:rPr>
                <w:sz w:val="20"/>
                <w:szCs w:val="20"/>
                <w:color w:val="auto"/>
              </w:rPr>
            </w:pPr>
            <w:r>
              <w:rPr>
                <w:rFonts w:ascii="Arial" w:cs="Arial" w:eastAsia="Arial" w:hAnsi="Arial"/>
                <w:sz w:val="21"/>
                <w:szCs w:val="21"/>
                <w:color w:val="auto"/>
              </w:rPr>
              <w:t>N/A</w:t>
            </w:r>
          </w:p>
        </w:tc>
        <w:tc>
          <w:tcPr>
            <w:tcW w:w="40" w:type="dxa"/>
            <w:vAlign w:val="bottom"/>
          </w:tcPr>
          <w:p>
            <w:pPr>
              <w:spacing w:after="0"/>
              <w:rPr>
                <w:sz w:val="20"/>
                <w:szCs w:val="20"/>
                <w:color w:val="auto"/>
              </w:rPr>
            </w:pPr>
          </w:p>
        </w:tc>
        <w:tc>
          <w:tcPr>
            <w:tcW w:w="840" w:type="dxa"/>
            <w:vAlign w:val="bottom"/>
            <w:shd w:val="clear" w:color="auto" w:fill="E7E7E2"/>
          </w:tcPr>
          <w:p>
            <w:pPr>
              <w:jc w:val="right"/>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114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114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N/A</w:t>
            </w:r>
          </w:p>
        </w:tc>
        <w:tc>
          <w:tcPr>
            <w:tcW w:w="40" w:type="dxa"/>
            <w:vAlign w:val="bottom"/>
          </w:tcPr>
          <w:p>
            <w:pPr>
              <w:spacing w:after="0"/>
              <w:rPr>
                <w:sz w:val="20"/>
                <w:szCs w:val="20"/>
                <w:color w:val="auto"/>
              </w:rPr>
            </w:pPr>
          </w:p>
        </w:tc>
        <w:tc>
          <w:tcPr>
            <w:tcW w:w="1140" w:type="dxa"/>
            <w:vAlign w:val="bottom"/>
            <w:shd w:val="clear" w:color="auto" w:fill="E7E7E2"/>
          </w:tcPr>
          <w:p>
            <w:pPr>
              <w:ind w:left="780"/>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1140" w:type="dxa"/>
            <w:vAlign w:val="bottom"/>
            <w:shd w:val="clear" w:color="auto" w:fill="E7E7E2"/>
          </w:tcPr>
          <w:p>
            <w:pPr>
              <w:ind w:left="780"/>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740" w:type="dxa"/>
            <w:vAlign w:val="bottom"/>
            <w:shd w:val="clear" w:color="auto" w:fill="E7E7E2"/>
          </w:tcPr>
          <w:p>
            <w:pPr>
              <w:ind w:left="380"/>
              <w:spacing w:after="0" w:line="233" w:lineRule="exact"/>
              <w:rPr>
                <w:sz w:val="20"/>
                <w:szCs w:val="20"/>
                <w:color w:val="auto"/>
              </w:rPr>
            </w:pPr>
            <w:r>
              <w:rPr>
                <w:rFonts w:ascii="Arial" w:cs="Arial" w:eastAsia="Arial" w:hAnsi="Arial"/>
                <w:sz w:val="21"/>
                <w:szCs w:val="21"/>
                <w:color w:val="auto"/>
                <w:w w:val="96"/>
              </w:rPr>
              <w:t>N/A</w:t>
            </w:r>
          </w:p>
        </w:tc>
        <w:tc>
          <w:tcPr>
            <w:tcW w:w="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2"/>
        </w:trPr>
        <w:tc>
          <w:tcPr>
            <w:tcW w:w="40" w:type="dxa"/>
            <w:vAlign w:val="bottom"/>
            <w:tcBorders>
              <w:left w:val="single" w:sz="8" w:color="auto"/>
            </w:tcBorders>
          </w:tcPr>
          <w:p>
            <w:pPr>
              <w:spacing w:after="0"/>
              <w:rPr>
                <w:sz w:val="23"/>
                <w:szCs w:val="23"/>
                <w:color w:val="auto"/>
              </w:rPr>
            </w:pPr>
          </w:p>
        </w:tc>
        <w:tc>
          <w:tcPr>
            <w:tcW w:w="800" w:type="dxa"/>
            <w:vAlign w:val="bottom"/>
            <w:shd w:val="clear" w:color="auto" w:fill="E7E7E2"/>
          </w:tcPr>
          <w:p>
            <w:pPr>
              <w:ind w:left="20"/>
              <w:spacing w:after="0"/>
              <w:rPr>
                <w:sz w:val="20"/>
                <w:szCs w:val="20"/>
                <w:color w:val="auto"/>
              </w:rPr>
            </w:pPr>
            <w:r>
              <w:rPr>
                <w:rFonts w:ascii="Arial" w:cs="Arial" w:eastAsia="Arial" w:hAnsi="Arial"/>
                <w:sz w:val="21"/>
                <w:szCs w:val="21"/>
                <w:color w:val="auto"/>
                <w:w w:val="98"/>
              </w:rPr>
              <w:t>Sources</w:t>
            </w:r>
          </w:p>
        </w:tc>
        <w:tc>
          <w:tcPr>
            <w:tcW w:w="20" w:type="dxa"/>
            <w:vAlign w:val="bottom"/>
          </w:tcPr>
          <w:p>
            <w:pPr>
              <w:spacing w:after="0"/>
              <w:rPr>
                <w:sz w:val="23"/>
                <w:szCs w:val="23"/>
                <w:color w:val="auto"/>
              </w:rPr>
            </w:pPr>
          </w:p>
        </w:tc>
        <w:tc>
          <w:tcPr>
            <w:tcW w:w="38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06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82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shd w:val="clear" w:color="auto" w:fill="E7E7E2"/>
          </w:tcPr>
          <w:p>
            <w:pPr>
              <w:spacing w:after="0"/>
              <w:rPr>
                <w:sz w:val="23"/>
                <w:szCs w:val="23"/>
                <w:color w:val="auto"/>
              </w:rPr>
            </w:pPr>
          </w:p>
        </w:tc>
        <w:tc>
          <w:tcPr>
            <w:tcW w:w="40" w:type="dxa"/>
            <w:vAlign w:val="bottom"/>
          </w:tcPr>
          <w:p>
            <w:pPr>
              <w:spacing w:after="0"/>
              <w:rPr>
                <w:sz w:val="23"/>
                <w:szCs w:val="23"/>
                <w:color w:val="auto"/>
              </w:rPr>
            </w:pPr>
          </w:p>
        </w:tc>
        <w:tc>
          <w:tcPr>
            <w:tcW w:w="8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4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740" w:type="dxa"/>
            <w:vAlign w:val="bottom"/>
            <w:shd w:val="clear" w:color="auto" w:fill="E7E7E2"/>
          </w:tcPr>
          <w:p>
            <w:pPr>
              <w:spacing w:after="0"/>
              <w:rPr>
                <w:sz w:val="23"/>
                <w:szCs w:val="23"/>
                <w:color w:val="auto"/>
              </w:rPr>
            </w:pPr>
          </w:p>
        </w:tc>
        <w:tc>
          <w:tcPr>
            <w:tcW w:w="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340"/>
      </w:cols>
      <w:pgMar w:left="320" w:top="114" w:right="239" w:bottom="538"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lowerLetter"/>
      <w:start w:val="1"/>
    </w:lvl>
  </w:abstractNum>
  <w:abstractNum w:abstractNumId="1">
    <w:nsid w:val="46E87CCD"/>
    <w:multiLevelType w:val="hybridMultilevel"/>
    <w:lvl w:ilvl="0">
      <w:lvlJc w:val="left"/>
      <w:lvlText w:val="(%1)"/>
      <w:numFmt w:val="decimal"/>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1."/>
      <w:numFmt w:val="upperLetter"/>
      <w:start w:val="1"/>
    </w:lvl>
    <w:lvl w:ilvl="1">
      <w:lvlJc w:val="left"/>
      <w:lvlText w:val="(%2)"/>
      <w:numFmt w:val="decimal"/>
      <w:start w:val="1"/>
    </w:lvl>
  </w:abstractNum>
  <w:abstractNum w:abstractNumId="4">
    <w:nsid w:val="2EB141F2"/>
    <w:multiLevelType w:val="hybridMultilevel"/>
    <w:lvl w:ilvl="0">
      <w:lvlJc w:val="left"/>
      <w:lvlText w:val="(%1)"/>
      <w:numFmt w:val="lowerRoman"/>
      <w:start w:val="1"/>
    </w:lvl>
  </w:abstractNum>
  <w:abstractNum w:abstractNumId="5">
    <w:nsid w:val="41B71EFB"/>
    <w:multiLevelType w:val="hybridMultilevel"/>
    <w:lvl w:ilvl="0">
      <w:lvlJc w:val="left"/>
      <w:lvlText w:val="(%1)"/>
      <w:numFmt w:val="decimal"/>
      <w:start w:val="2"/>
    </w:lvl>
  </w:abstractNum>
  <w:abstractNum w:abstractNumId="6">
    <w:nsid w:val="79E2A9E3"/>
    <w:multiLevelType w:val="hybridMultilevel"/>
    <w:lvl w:ilvl="0">
      <w:lvlJc w:val="left"/>
      <w:lvlText w:val="%1."/>
      <w:numFmt w:val="upperLetter"/>
      <w:start w:val="2"/>
    </w:lvl>
  </w:abstractNum>
  <w:abstractNum w:abstractNumId="7">
    <w:nsid w:val="7545E146"/>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jpe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14" Type="http://schemas.openxmlformats.org/officeDocument/2006/relationships/hyperlink" Target="https://www.sec.gov/ix?doc=/Archives/edgar/data/0001858848/000095017025036329/tnya-20241231.htm" TargetMode="External"/><Relationship Id="rId15" Type="http://schemas.openxmlformats.org/officeDocument/2006/relationships/hyperlink" Target="https://www.sec.gov/Archives/edgar/data/1858848/000119312521223152/d170858d8a12b.htm" TargetMode="External"/><Relationship Id="rId18" Type="http://schemas.openxmlformats.org/officeDocument/2006/relationships/hyperlink" Target="https://www.sec.gov/Archives/edgar/data/0001858848/000119312521223559/d175698dex42.htm" TargetMode="External"/><Relationship Id="rId19" Type="http://schemas.openxmlformats.org/officeDocument/2006/relationships/hyperlink" Target="https://www.sec.gov/Archives/edgar/data/0001858848/000095017022004426/tnya-ex10_2.htm" TargetMode="External"/><Relationship Id="rId20" Type="http://schemas.openxmlformats.org/officeDocument/2006/relationships/hyperlink" Target="https://www.sec.gov/Archives/edgar/data/1858848/000119312521223559/d175698dex104.htm" TargetMode="External"/><Relationship Id="rId21" Type="http://schemas.openxmlformats.org/officeDocument/2006/relationships/hyperlink" Target="https://www.sec.gov/Archives/edgar/data/1858848/000119312526032017/tnya-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2026-02-03T15:18:11Z</dcterms:created>
  <dcterms:modified xsi:type="dcterms:W3CDTF">2026-02-03T15:18:11Z</dcterms:modified>
</cp:coreProperties>
</file>