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81-3789973</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2021 Equity Incentive Plan</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2021 Employee Stock Purchase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Faraz Ali, M.B.A.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Tenaya Therapeutics,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825-6990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Jennifer Knapp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Jennifer Fang</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This Registration Statement on Form S-8 (Registration Statement) is filed by Tenaya Therapeutics, Inc. (Registrant) for the purpose of registering 1,651,654 shares of common stock of the Registrant reserved for issuance under the 2021 Equity Incentive Plan and 412,913 shares of common stock of the Registrant reserved for issuance under the 2021 Employee Stock Purchase Plan.</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3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Securities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Exchange Commission (Commission):</w:t>
      </w:r>
    </w:p>
    <w:p>
      <w:pPr>
        <w:spacing w:after="0" w:line="211" w:lineRule="exact"/>
        <w:rPr>
          <w:sz w:val="20"/>
          <w:szCs w:val="20"/>
          <w:color w:val="auto"/>
        </w:rPr>
      </w:pPr>
    </w:p>
    <w:p>
      <w:pPr>
        <w:ind w:left="4" w:right="20" w:hanging="4"/>
        <w:spacing w:after="0" w:line="277"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Commission on March 23, 2022 pursuant to Section 13(a) of the Securities Exchange Act of 1934, as amended (Exchange Act); and</w:t>
      </w:r>
    </w:p>
    <w:p>
      <w:pPr>
        <w:spacing w:after="0" w:line="170" w:lineRule="exact"/>
        <w:rPr>
          <w:rFonts w:ascii="Arial" w:cs="Arial" w:eastAsia="Arial" w:hAnsi="Arial"/>
          <w:sz w:val="18"/>
          <w:szCs w:val="18"/>
          <w:color w:val="auto"/>
        </w:rPr>
      </w:pPr>
    </w:p>
    <w:p>
      <w:pPr>
        <w:ind w:left="4" w:right="140" w:hanging="4"/>
        <w:spacing w:after="0" w:line="277"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Sections 13(a) or 15(d) of the Exchange Act since the end of the fiscal year covered by the Registrant’s Annual Report referred to in (1) above; and</w:t>
      </w:r>
    </w:p>
    <w:p>
      <w:pPr>
        <w:spacing w:after="0" w:line="170" w:lineRule="exact"/>
        <w:rPr>
          <w:rFonts w:ascii="Arial" w:cs="Arial" w:eastAsia="Arial" w:hAnsi="Arial"/>
          <w:sz w:val="18"/>
          <w:szCs w:val="18"/>
          <w:color w:val="auto"/>
        </w:rPr>
      </w:pPr>
    </w:p>
    <w:p>
      <w:pPr>
        <w:jc w:val="both"/>
        <w:ind w:left="4" w:hanging="4"/>
        <w:spacing w:after="0" w:line="263"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1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001-40656) filed with the Commission on July 23, 2021, pursuant to Section 12(b) of Exchange Act, including any amendment or report filed for the purpose of updating such description.</w:t>
      </w:r>
    </w:p>
    <w:p>
      <w:pPr>
        <w:spacing w:after="0" w:line="184" w:lineRule="exact"/>
        <w:rPr>
          <w:rFonts w:ascii="Arial" w:cs="Arial" w:eastAsia="Arial" w:hAnsi="Arial"/>
          <w:sz w:val="18"/>
          <w:szCs w:val="18"/>
          <w:color w:val="auto"/>
        </w:rPr>
      </w:pPr>
    </w:p>
    <w:p>
      <w:pPr>
        <w:ind w:left="4"/>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w:t>
      </w:r>
    </w:p>
    <w:p>
      <w:pPr>
        <w:spacing w:after="0" w:line="177" w:lineRule="exact"/>
        <w:rPr>
          <w:sz w:val="20"/>
          <w:szCs w:val="20"/>
          <w:color w:val="auto"/>
        </w:rPr>
      </w:pPr>
    </w:p>
    <w:p>
      <w:pPr>
        <w:ind w:left="4" w:right="260"/>
        <w:spacing w:after="0" w:line="273" w:lineRule="auto"/>
        <w:rPr>
          <w:sz w:val="20"/>
          <w:szCs w:val="20"/>
          <w:color w:val="auto"/>
        </w:rPr>
      </w:pPr>
      <w:r>
        <w:rPr>
          <w:rFonts w:ascii="Arial" w:cs="Arial" w:eastAsia="Arial" w:hAnsi="Arial"/>
          <w:sz w:val="17"/>
          <w:szCs w:val="17"/>
          <w:color w:val="auto"/>
        </w:rPr>
        <w:t>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78"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w:t>
      </w:r>
    </w:p>
    <w:p>
      <w:pPr>
        <w:ind w:left="4" w:right="40" w:hanging="4"/>
        <w:spacing w:after="0" w:line="252"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2"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8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8"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4"/>
          </w:cols>
          <w:pgMar w:left="436" w:top="270" w:right="49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180" w:type="dxa"/>
            <w:vAlign w:val="bottom"/>
            <w:gridSpan w:val="9"/>
          </w:tcPr>
          <w:p>
            <w:pPr>
              <w:ind w:left="260"/>
              <w:spacing w:after="0"/>
              <w:rPr>
                <w:sz w:val="20"/>
                <w:szCs w:val="20"/>
                <w:color w:val="auto"/>
              </w:rPr>
            </w:pPr>
            <w:r>
              <w:rPr>
                <w:rFonts w:ascii="Arial" w:cs="Arial" w:eastAsia="Arial" w:hAnsi="Arial"/>
                <w:sz w:val="18"/>
                <w:szCs w:val="18"/>
                <w:b w:val="1"/>
                <w:bCs w:val="1"/>
                <w:color w:val="auto"/>
              </w:rPr>
              <w:t>Exhibits.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Form</w:t>
            </w:r>
          </w:p>
        </w:tc>
        <w:tc>
          <w:tcPr>
            <w:tcW w:w="110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File No.</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Exhibit</w:t>
            </w:r>
          </w:p>
        </w:tc>
        <w:tc>
          <w:tcPr>
            <w:tcW w:w="8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7"/>
        </w:trPr>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0" w:type="dxa"/>
            <w:vAlign w:val="bottom"/>
            <w:gridSpan w:val="3"/>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270"/>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7180" w:type="dxa"/>
            <w:vAlign w:val="bottom"/>
            <w:gridSpan w:val="9"/>
          </w:tcPr>
          <w:p>
            <w:pPr>
              <w:spacing w:after="0"/>
              <w:rPr>
                <w:rFonts w:ascii="Arial" w:cs="Arial" w:eastAsia="Arial" w:hAnsi="Arial"/>
                <w:sz w:val="18"/>
                <w:szCs w:val="18"/>
                <w:color w:val="0000EE"/>
              </w:rPr>
            </w:pPr>
            <w:hyperlink r:id="rId21">
              <w:r>
                <w:rPr>
                  <w:rFonts w:ascii="Arial" w:cs="Arial" w:eastAsia="Arial" w:hAnsi="Arial"/>
                  <w:sz w:val="18"/>
                  <w:szCs w:val="18"/>
                  <w:color w:val="0000EE"/>
                </w:rPr>
                <w:t>Specimen common stock certificate of the Registrant</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3"/>
                <w:szCs w:val="23"/>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7/26/2021</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2021</w:t>
              </w:r>
            </w:hyperlink>
          </w:p>
        </w:tc>
        <w:tc>
          <w:tcPr>
            <w:tcW w:w="4220" w:type="dxa"/>
            <w:vAlign w:val="bottom"/>
            <w:tcBorders>
              <w:bottom w:val="single" w:sz="8" w:color="0000EE"/>
            </w:tcBorders>
            <w:gridSpan w:val="4"/>
          </w:tcPr>
          <w:p>
            <w:pPr>
              <w:ind w:left="2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Equity Incentive Plan and forms of agreements thereunder</w:t>
              </w:r>
            </w:hyperlink>
          </w:p>
        </w:tc>
        <w:tc>
          <w:tcPr>
            <w:tcW w:w="2580" w:type="dxa"/>
            <w:vAlign w:val="bottom"/>
            <w:gridSpan w:val="4"/>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001-40656</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3/23/2022</w:t>
            </w:r>
          </w:p>
        </w:tc>
      </w:tr>
      <w:tr>
        <w:trPr>
          <w:trHeight w:val="30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380" w:type="dxa"/>
            <w:vAlign w:val="bottom"/>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2021</w:t>
              </w:r>
            </w:hyperlink>
          </w:p>
        </w:tc>
        <w:tc>
          <w:tcPr>
            <w:tcW w:w="6800" w:type="dxa"/>
            <w:vAlign w:val="bottom"/>
            <w:gridSpan w:val="8"/>
          </w:tcPr>
          <w:p>
            <w:pPr>
              <w:ind w:left="20"/>
              <w:spacing w:after="0"/>
              <w:rPr>
                <w:rFonts w:ascii="Arial" w:cs="Arial" w:eastAsia="Arial" w:hAnsi="Arial"/>
                <w:sz w:val="18"/>
                <w:szCs w:val="18"/>
                <w:color w:val="0000EE"/>
              </w:rPr>
            </w:pPr>
            <w:hyperlink r:id="rId23">
              <w:r>
                <w:rPr>
                  <w:rFonts w:ascii="Arial" w:cs="Arial" w:eastAsia="Arial" w:hAnsi="Arial"/>
                  <w:sz w:val="18"/>
                  <w:szCs w:val="18"/>
                  <w:color w:val="0000EE"/>
                </w:rPr>
                <w:t>Employee Stock Purchase Plan and forms of agreements thereunder</w:t>
              </w:r>
            </w:hyperlink>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333-257820</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7/26/2021</w:t>
            </w: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280" w:type="dxa"/>
            <w:vAlign w:val="bottom"/>
            <w:tcBorders>
              <w:top w:val="single" w:sz="8" w:color="0000EE"/>
            </w:tcBorders>
            <w:gridSpan w:val="7"/>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Opinion of Wilson Sonsini Goodrich &amp; Rosati, Professional Corporation</w:t>
              </w:r>
            </w:hyperlink>
          </w:p>
        </w:tc>
        <w:tc>
          <w:tcPr>
            <w:tcW w:w="19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6"/>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718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Deloitte and Touche LLP, Independent Registered Public Accounting Firm</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724" w:right="3180" w:hanging="624"/>
        <w:spacing w:after="0" w:line="277"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23.2*</w:t>
      </w:r>
      <w:r>
        <w:rPr>
          <w:sz w:val="20"/>
          <w:szCs w:val="20"/>
          <w:color w:val="auto"/>
        </w:rPr>
        <w:tab/>
      </w:r>
      <w:hyperlink w:anchor="page8">
        <w:r>
          <w:rPr>
            <w:rFonts w:ascii="Arial" w:cs="Arial" w:eastAsia="Arial" w:hAnsi="Arial"/>
            <w:sz w:val="18"/>
            <w:szCs w:val="18"/>
            <w:u w:val="single" w:color="auto"/>
            <w:color w:val="0000EE"/>
          </w:rPr>
          <w:t>Consent of Wilson Sonsini Goodrich &amp; Rosati, Professional Corporation (contained in Exhibit 5.1</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hereto)</w:t>
        </w:r>
      </w:hyperlink>
    </w:p>
    <w:p>
      <w:pPr>
        <w:spacing w:after="0" w:line="62" w:lineRule="exact"/>
        <w:rPr>
          <w:sz w:val="20"/>
          <w:szCs w:val="20"/>
          <w:color w:val="auto"/>
        </w:rPr>
      </w:pPr>
    </w:p>
    <w:p>
      <w:pPr>
        <w:ind w:left="84"/>
        <w:spacing w:after="0"/>
        <w:tabs>
          <w:tab w:leader="none" w:pos="70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6">
        <w:r>
          <w:rPr>
            <w:rFonts w:ascii="Arial" w:cs="Arial" w:eastAsia="Arial" w:hAnsi="Arial"/>
            <w:sz w:val="16"/>
            <w:szCs w:val="16"/>
            <w:u w:val="single" w:color="auto"/>
            <w:color w:val="0000EE"/>
          </w:rPr>
          <w:t>Power of Attorney (contained on signature page hereto)</w:t>
        </w:r>
      </w:hyperlink>
    </w:p>
    <w:p>
      <w:pPr>
        <w:spacing w:after="0" w:line="117" w:lineRule="exact"/>
        <w:rPr>
          <w:sz w:val="20"/>
          <w:szCs w:val="20"/>
          <w:color w:val="auto"/>
        </w:rPr>
      </w:pPr>
    </w:p>
    <w:p>
      <w:pPr>
        <w:ind w:left="144"/>
        <w:spacing w:after="0"/>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10">
        <w:r>
          <w:rPr>
            <w:rFonts w:ascii="Arial" w:cs="Arial" w:eastAsia="Arial" w:hAnsi="Arial"/>
            <w:sz w:val="18"/>
            <w:szCs w:val="18"/>
            <w:u w:val="single" w:color="auto"/>
            <w:color w:val="0000EE"/>
          </w:rPr>
          <w:t>Filing Fee Table.</w:t>
        </w:r>
      </w:hyperlink>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7"/>
          <w:szCs w:val="17"/>
          <w:color w:val="auto"/>
        </w:rPr>
      </w:pPr>
      <w:r>
        <w:rPr>
          <w:rFonts w:ascii="Arial" w:cs="Arial" w:eastAsia="Arial" w:hAnsi="Arial"/>
          <w:sz w:val="17"/>
          <w:szCs w:val="17"/>
          <w:color w:val="auto"/>
        </w:rPr>
        <w:t>It will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20" w:hanging="439"/>
        <w:spacing w:after="0" w:line="291" w:lineRule="auto"/>
        <w:tabs>
          <w:tab w:leader="none" w:pos="1424"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4" w:right="20" w:hanging="439"/>
        <w:spacing w:after="0" w:line="277"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jc w:val="both"/>
        <w:ind w:left="964" w:right="280"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ectPr>
          <w:pgSz w:w="11900" w:h="16838" w:orient="portrait"/>
          <w:cols w:equalWidth="0" w:num="1">
            <w:col w:w="10964"/>
          </w:cols>
          <w:pgMar w:left="436" w:top="270" w:right="499" w:bottom="1440" w:gutter="0" w:footer="0" w:header="0"/>
        </w:sectPr>
      </w:pPr>
    </w:p>
    <w:bookmarkStart w:id="4" w:name="page5"/>
    <w:bookmarkEnd w:id="4"/>
    <w:p>
      <w:pPr>
        <w:ind w:left="424" w:right="2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24" w:hanging="424"/>
        <w:spacing w:after="0" w:line="290"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referenced in Item 6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984"/>
          </w:cols>
          <w:pgMar w:left="436" w:top="274"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March 23,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Faraz Ali and Leone Patterson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Faraz Ali,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Faraz Ali,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Leone D. Patterson,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and Business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Leone D. Patterson,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Eli Casdin,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Jin-Long Chen,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Jin-Long Chen,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 Goeddel, Ph.D.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V. Goeddel,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June Lee,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June Lee,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Karah Parschauer, J.D.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Karah Parschauer, J.D.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Deepak Srivastava,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Deepak Srivastava,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Stehman-Breen,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Catherine Stehman-Breen,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Walsh, M.B.A.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Jeffrey T. Walsh, M.B.A.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Sanders (Sandy) Williams,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 Sanders (Sandy) Williams,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5"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2268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22680" cy="462915"/>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650.493.9300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650.493.6811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7"/>
          <w:szCs w:val="17"/>
          <w:color w:val="auto"/>
        </w:rPr>
        <w:t>We have examined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Tenaya Therapeutics, Inc., a Delaware corporation, with the Securities and Exchange Commission on or about the date hereof, in connection with the registration under the Securities Act of 1933, as amended, of (i) 1,651,654 shares of Common Stock reserved for issuance pursuant to the 2021 Equity Incentive Plan, and (ii) 412,913 shares of Common Stock reserved for issuance pursuant to the 2021 Employee Stock Purchase Plan (which plans are referred to herein as the “</w:t>
      </w:r>
      <w:r>
        <w:rPr>
          <w:rFonts w:ascii="Arial" w:cs="Arial" w:eastAsia="Arial" w:hAnsi="Arial"/>
          <w:sz w:val="17"/>
          <w:szCs w:val="17"/>
          <w:b w:val="1"/>
          <w:bCs w:val="1"/>
          <w:color w:val="auto"/>
        </w:rPr>
        <w:t>Plans</w:t>
      </w:r>
      <w:r>
        <w:rPr>
          <w:rFonts w:ascii="Arial" w:cs="Arial" w:eastAsia="Arial" w:hAnsi="Arial"/>
          <w:sz w:val="17"/>
          <w:szCs w:val="17"/>
          <w:color w:val="auto"/>
        </w:rPr>
        <w:t>” and which shares of Common Stock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2"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24"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AUSTIN BEIJING BOSTON BRUSSELS HONG KONG LONDON LOS ANGELES NEW YORK PALO ALTO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SAN FRANCISCO SEATTLE SHANGHAI WASHINGTON, DC WILMINGTON, DE</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23, 2022 relating to the financial statements of Tenaya Therapeutics, Inc., appearing in the Annual Report on Form 10-K of Tenaya Therapeutics, Inc.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0"/>
        </w:trPr>
        <w:tc>
          <w:tcPr>
            <w:tcW w:w="920" w:type="dxa"/>
            <w:vAlign w:val="bottom"/>
            <w:tcBorders>
              <w:top w:val="single" w:sz="8" w:color="auto"/>
              <w:left w:val="single" w:sz="8" w:color="auto"/>
              <w:right w:val="single" w:sz="8" w:color="auto"/>
            </w:tcBorders>
          </w:tcPr>
          <w:p>
            <w:pPr>
              <w:spacing w:after="0"/>
              <w:rPr>
                <w:sz w:val="11"/>
                <w:szCs w:val="11"/>
                <w:color w:val="auto"/>
              </w:rPr>
            </w:pPr>
          </w:p>
        </w:tc>
        <w:tc>
          <w:tcPr>
            <w:tcW w:w="392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jc w:val="center"/>
              <w:ind w:left="9"/>
              <w:spacing w:after="0" w:line="131" w:lineRule="exact"/>
              <w:rPr>
                <w:sz w:val="20"/>
                <w:szCs w:val="20"/>
                <w:color w:val="auto"/>
              </w:rPr>
            </w:pPr>
            <w:r>
              <w:rPr>
                <w:rFonts w:ascii="Arial" w:cs="Arial" w:eastAsia="Arial" w:hAnsi="Arial"/>
                <w:sz w:val="13"/>
                <w:szCs w:val="13"/>
                <w:b w:val="1"/>
                <w:bCs w:val="1"/>
                <w:color w:val="auto"/>
                <w:w w:val="86"/>
              </w:rPr>
              <w:t>Proposed</w:t>
            </w:r>
          </w:p>
        </w:tc>
        <w:tc>
          <w:tcPr>
            <w:tcW w:w="140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3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9"/>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93"/>
              </w:rPr>
              <w:t>Maximum</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3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9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9"/>
              <w:spacing w:after="0" w:line="135" w:lineRule="exact"/>
              <w:rPr>
                <w:sz w:val="20"/>
                <w:szCs w:val="20"/>
                <w:color w:val="auto"/>
              </w:rPr>
            </w:pPr>
            <w:r>
              <w:rPr>
                <w:rFonts w:ascii="Arial" w:cs="Arial" w:eastAsia="Arial" w:hAnsi="Arial"/>
                <w:sz w:val="13"/>
                <w:szCs w:val="13"/>
                <w:b w:val="1"/>
                <w:bCs w:val="1"/>
                <w:color w:val="auto"/>
                <w:w w:val="94"/>
              </w:rPr>
              <w:t>Offering</w:t>
            </w:r>
          </w:p>
        </w:tc>
        <w:tc>
          <w:tcPr>
            <w:tcW w:w="14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3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Class</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96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b w:val="1"/>
                <w:bCs w:val="1"/>
                <w:color w:val="auto"/>
                <w:w w:val="89"/>
              </w:rPr>
              <w:t>Amount</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4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94"/>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67"/>
        </w:trPr>
        <w:tc>
          <w:tcPr>
            <w:tcW w:w="92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3"/>
                <w:szCs w:val="13"/>
                <w:b w:val="1"/>
                <w:bCs w:val="1"/>
                <w:color w:val="auto"/>
                <w:w w:val="86"/>
              </w:rPr>
              <w:t>Security Type</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9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3"/>
                <w:szCs w:val="13"/>
                <w:b w:val="1"/>
                <w:bCs w:val="1"/>
                <w:color w:val="auto"/>
                <w:w w:val="87"/>
              </w:rPr>
              <w:t>Registered (1)</w:t>
            </w:r>
          </w:p>
        </w:tc>
        <w:tc>
          <w:tcPr>
            <w:tcW w:w="7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94"/>
              </w:rPr>
              <w:t>Unit</w:t>
            </w: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8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r>
      <w:tr>
        <w:trPr>
          <w:trHeight w:val="195"/>
        </w:trPr>
        <w:tc>
          <w:tcPr>
            <w:tcW w:w="920" w:type="dxa"/>
            <w:vAlign w:val="bottom"/>
            <w:tcBorders>
              <w:left w:val="single" w:sz="8" w:color="auto"/>
              <w:right w:val="single" w:sz="8" w:color="auto"/>
            </w:tcBorders>
          </w:tcPr>
          <w:p>
            <w:pPr>
              <w:jc w:val="center"/>
              <w:ind w:left="39"/>
              <w:spacing w:after="0" w:line="195" w:lineRule="exact"/>
              <w:rPr>
                <w:sz w:val="20"/>
                <w:szCs w:val="20"/>
                <w:color w:val="auto"/>
              </w:rPr>
            </w:pPr>
            <w:r>
              <w:rPr>
                <w:rFonts w:ascii="Arial" w:cs="Arial" w:eastAsia="Arial" w:hAnsi="Arial"/>
                <w:sz w:val="18"/>
                <w:szCs w:val="18"/>
                <w:color w:val="auto"/>
                <w:w w:val="95"/>
              </w:rPr>
              <w:t>Equity</w:t>
            </w:r>
          </w:p>
        </w:tc>
        <w:tc>
          <w:tcPr>
            <w:tcW w:w="3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Rule 457(c)</w:t>
            </w:r>
          </w:p>
        </w:tc>
        <w:tc>
          <w:tcPr>
            <w:tcW w:w="9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1,651,654</w:t>
            </w:r>
            <w:r>
              <w:rPr>
                <w:rFonts w:ascii="Arial" w:cs="Arial" w:eastAsia="Arial" w:hAnsi="Arial"/>
                <w:sz w:val="21"/>
                <w:szCs w:val="21"/>
                <w:color w:val="auto"/>
                <w:w w:val="94"/>
                <w:vertAlign w:val="superscript"/>
              </w:rPr>
              <w:t>(2)</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$11.04</w:t>
            </w:r>
            <w:r>
              <w:rPr>
                <w:rFonts w:ascii="Arial" w:cs="Arial" w:eastAsia="Arial" w:hAnsi="Arial"/>
                <w:sz w:val="21"/>
                <w:szCs w:val="21"/>
                <w:color w:val="auto"/>
                <w:w w:val="96"/>
                <w:vertAlign w:val="superscript"/>
              </w:rPr>
              <w:t>(3)</w:t>
            </w:r>
          </w:p>
        </w:tc>
        <w:tc>
          <w:tcPr>
            <w:tcW w:w="1400" w:type="dxa"/>
            <w:vAlign w:val="bottom"/>
            <w:tcBorders>
              <w:right w:val="single" w:sz="8" w:color="auto"/>
            </w:tcBorders>
          </w:tcPr>
          <w:p>
            <w:pPr>
              <w:jc w:val="center"/>
              <w:ind w:left="5"/>
              <w:spacing w:after="0" w:line="195" w:lineRule="exact"/>
              <w:rPr>
                <w:sz w:val="20"/>
                <w:szCs w:val="20"/>
                <w:color w:val="auto"/>
              </w:rPr>
            </w:pPr>
            <w:r>
              <w:rPr>
                <w:rFonts w:ascii="Arial" w:cs="Arial" w:eastAsia="Arial" w:hAnsi="Arial"/>
                <w:sz w:val="18"/>
                <w:szCs w:val="18"/>
                <w:color w:val="auto"/>
                <w:w w:val="89"/>
              </w:rPr>
              <w:t>$18,234,260.16</w:t>
            </w: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$92.70 per</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$1,690.32</w:t>
            </w: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 issuance pursuant to the 2021 Equity</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880" w:type="dxa"/>
            <w:vAlign w:val="bottom"/>
            <w:tcBorders>
              <w:right w:val="single" w:sz="8" w:color="auto"/>
            </w:tcBorders>
          </w:tcPr>
          <w:p>
            <w:pPr>
              <w:spacing w:after="0"/>
              <w:rPr>
                <w:sz w:val="18"/>
                <w:szCs w:val="18"/>
                <w:color w:val="auto"/>
              </w:rPr>
            </w:pPr>
          </w:p>
        </w:tc>
      </w:tr>
      <w:tr>
        <w:trPr>
          <w:trHeight w:val="230"/>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Incentive Plan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5"/>
        </w:trPr>
        <w:tc>
          <w:tcPr>
            <w:tcW w:w="920" w:type="dxa"/>
            <w:vAlign w:val="bottom"/>
            <w:tcBorders>
              <w:left w:val="single" w:sz="8" w:color="auto"/>
              <w:right w:val="single" w:sz="8" w:color="auto"/>
            </w:tcBorders>
          </w:tcPr>
          <w:p>
            <w:pPr>
              <w:jc w:val="center"/>
              <w:ind w:left="39"/>
              <w:spacing w:after="0" w:line="195" w:lineRule="exact"/>
              <w:rPr>
                <w:sz w:val="20"/>
                <w:szCs w:val="20"/>
                <w:color w:val="auto"/>
              </w:rPr>
            </w:pPr>
            <w:r>
              <w:rPr>
                <w:rFonts w:ascii="Arial" w:cs="Arial" w:eastAsia="Arial" w:hAnsi="Arial"/>
                <w:sz w:val="18"/>
                <w:szCs w:val="18"/>
                <w:color w:val="auto"/>
                <w:w w:val="95"/>
              </w:rPr>
              <w:t>Equity</w:t>
            </w:r>
          </w:p>
        </w:tc>
        <w:tc>
          <w:tcPr>
            <w:tcW w:w="3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Rule 457(c)</w:t>
            </w:r>
          </w:p>
        </w:tc>
        <w:tc>
          <w:tcPr>
            <w:tcW w:w="9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412,913</w:t>
            </w:r>
            <w:r>
              <w:rPr>
                <w:rFonts w:ascii="Arial" w:cs="Arial" w:eastAsia="Arial" w:hAnsi="Arial"/>
                <w:sz w:val="21"/>
                <w:szCs w:val="21"/>
                <w:color w:val="auto"/>
                <w:vertAlign w:val="superscript"/>
              </w:rPr>
              <w:t>(4)</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$9.38</w:t>
            </w:r>
            <w:r>
              <w:rPr>
                <w:rFonts w:ascii="Arial" w:cs="Arial" w:eastAsia="Arial" w:hAnsi="Arial"/>
                <w:sz w:val="21"/>
                <w:szCs w:val="21"/>
                <w:color w:val="auto"/>
                <w:vertAlign w:val="superscript"/>
              </w:rPr>
              <w:t>(5)</w:t>
            </w:r>
          </w:p>
        </w:tc>
        <w:tc>
          <w:tcPr>
            <w:tcW w:w="1400" w:type="dxa"/>
            <w:vAlign w:val="bottom"/>
            <w:tcBorders>
              <w:right w:val="single" w:sz="8" w:color="auto"/>
            </w:tcBorders>
          </w:tcPr>
          <w:p>
            <w:pPr>
              <w:jc w:val="center"/>
              <w:ind w:left="5"/>
              <w:spacing w:after="0" w:line="195" w:lineRule="exact"/>
              <w:rPr>
                <w:sz w:val="20"/>
                <w:szCs w:val="20"/>
                <w:color w:val="auto"/>
              </w:rPr>
            </w:pPr>
            <w:r>
              <w:rPr>
                <w:rFonts w:ascii="Arial" w:cs="Arial" w:eastAsia="Arial" w:hAnsi="Arial"/>
                <w:sz w:val="18"/>
                <w:szCs w:val="18"/>
                <w:color w:val="auto"/>
                <w:w w:val="90"/>
              </w:rPr>
              <w:t>$3,873,123.94</w:t>
            </w:r>
          </w:p>
        </w:tc>
        <w:tc>
          <w:tcPr>
            <w:tcW w:w="10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$92.70 per</w:t>
            </w:r>
          </w:p>
        </w:tc>
        <w:tc>
          <w:tcPr>
            <w:tcW w:w="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$359.03</w:t>
            </w: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reserved for issuance pursuant to the 2021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880" w:type="dxa"/>
            <w:vAlign w:val="bottom"/>
            <w:tcBorders>
              <w:right w:val="single" w:sz="8" w:color="auto"/>
            </w:tcBorders>
          </w:tcPr>
          <w:p>
            <w:pPr>
              <w:spacing w:after="0"/>
              <w:rPr>
                <w:sz w:val="18"/>
                <w:szCs w:val="18"/>
                <w:color w:val="auto"/>
              </w:rPr>
            </w:pPr>
          </w:p>
        </w:tc>
      </w:tr>
      <w:tr>
        <w:trPr>
          <w:trHeight w:val="230"/>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Employee Stock Purchase Plan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9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920" w:type="dxa"/>
            <w:vAlign w:val="bottom"/>
            <w:tcBorders>
              <w:left w:val="single" w:sz="8" w:color="auto"/>
              <w:bottom w:val="single" w:sz="8" w:color="auto"/>
            </w:tcBorders>
          </w:tcPr>
          <w:p>
            <w:pPr>
              <w:spacing w:after="0"/>
              <w:rPr>
                <w:sz w:val="18"/>
                <w:szCs w:val="18"/>
                <w:color w:val="auto"/>
              </w:rPr>
            </w:pPr>
          </w:p>
        </w:tc>
        <w:tc>
          <w:tcPr>
            <w:tcW w:w="3920" w:type="dxa"/>
            <w:vAlign w:val="bottom"/>
            <w:tcBorders>
              <w:bottom w:val="single" w:sz="8" w:color="auto"/>
            </w:tcBorders>
          </w:tcPr>
          <w:p>
            <w:pPr>
              <w:jc w:val="center"/>
              <w:ind w:left="1177"/>
              <w:spacing w:after="0"/>
              <w:rPr>
                <w:sz w:val="20"/>
                <w:szCs w:val="20"/>
                <w:color w:val="auto"/>
              </w:rPr>
            </w:pPr>
            <w:r>
              <w:rPr>
                <w:rFonts w:ascii="Arial" w:cs="Arial" w:eastAsia="Arial" w:hAnsi="Arial"/>
                <w:sz w:val="18"/>
                <w:szCs w:val="18"/>
                <w:b w:val="1"/>
                <w:bCs w:val="1"/>
                <w:color w:val="auto"/>
                <w:w w:val="92"/>
              </w:rPr>
              <w:t>Total Offering Amounts</w:t>
            </w: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9"/>
              </w:rPr>
              <w:t>$22,107,384.10</w:t>
            </w: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$2,049.35</w:t>
            </w:r>
          </w:p>
        </w:tc>
      </w:tr>
      <w:tr>
        <w:trPr>
          <w:trHeight w:val="209"/>
        </w:trPr>
        <w:tc>
          <w:tcPr>
            <w:tcW w:w="920" w:type="dxa"/>
            <w:vAlign w:val="bottom"/>
            <w:tcBorders>
              <w:left w:val="single" w:sz="8" w:color="auto"/>
              <w:bottom w:val="single" w:sz="8" w:color="auto"/>
            </w:tcBorders>
          </w:tcPr>
          <w:p>
            <w:pPr>
              <w:spacing w:after="0"/>
              <w:rPr>
                <w:sz w:val="18"/>
                <w:szCs w:val="18"/>
                <w:color w:val="auto"/>
              </w:rPr>
            </w:pPr>
          </w:p>
        </w:tc>
        <w:tc>
          <w:tcPr>
            <w:tcW w:w="3920" w:type="dxa"/>
            <w:vAlign w:val="bottom"/>
            <w:tcBorders>
              <w:bottom w:val="single" w:sz="8" w:color="auto"/>
            </w:tcBorders>
          </w:tcPr>
          <w:p>
            <w:pPr>
              <w:jc w:val="center"/>
              <w:ind w:left="1177"/>
              <w:spacing w:after="0"/>
              <w:rPr>
                <w:sz w:val="20"/>
                <w:szCs w:val="20"/>
                <w:color w:val="auto"/>
              </w:rPr>
            </w:pPr>
            <w:r>
              <w:rPr>
                <w:rFonts w:ascii="Arial" w:cs="Arial" w:eastAsia="Arial" w:hAnsi="Arial"/>
                <w:sz w:val="18"/>
                <w:szCs w:val="18"/>
                <w:b w:val="1"/>
                <w:bCs w:val="1"/>
                <w:color w:val="auto"/>
                <w:w w:val="88"/>
              </w:rPr>
              <w:t>Total Fee Offsets</w:t>
            </w: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920" w:type="dxa"/>
            <w:vAlign w:val="bottom"/>
            <w:tcBorders>
              <w:left w:val="single" w:sz="8" w:color="auto"/>
              <w:bottom w:val="single" w:sz="8" w:color="auto"/>
            </w:tcBorders>
          </w:tcPr>
          <w:p>
            <w:pPr>
              <w:spacing w:after="0"/>
              <w:rPr>
                <w:sz w:val="18"/>
                <w:szCs w:val="18"/>
                <w:color w:val="auto"/>
              </w:rPr>
            </w:pPr>
          </w:p>
        </w:tc>
        <w:tc>
          <w:tcPr>
            <w:tcW w:w="3920" w:type="dxa"/>
            <w:vAlign w:val="bottom"/>
            <w:tcBorders>
              <w:bottom w:val="single" w:sz="8" w:color="auto"/>
            </w:tcBorders>
          </w:tcPr>
          <w:p>
            <w:pPr>
              <w:jc w:val="center"/>
              <w:ind w:left="1177"/>
              <w:spacing w:after="0"/>
              <w:rPr>
                <w:sz w:val="20"/>
                <w:szCs w:val="20"/>
                <w:color w:val="auto"/>
              </w:rPr>
            </w:pPr>
            <w:r>
              <w:rPr>
                <w:rFonts w:ascii="Arial" w:cs="Arial" w:eastAsia="Arial" w:hAnsi="Arial"/>
                <w:sz w:val="18"/>
                <w:szCs w:val="18"/>
                <w:b w:val="1"/>
                <w:bCs w:val="1"/>
                <w:color w:val="auto"/>
                <w:w w:val="90"/>
              </w:rPr>
              <w:t>Net Fee Due</w:t>
            </w: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$2,049.35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424" w:right="300" w:hanging="424"/>
        <w:spacing w:after="0" w:line="269"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(Securities Act), this Registration Statement shall also cover any additional shares of the Registrant’s common stock that become issuable under the 2021 Equity Incentive Plan (2021 Plan) and the 2021 Employee Stock Purchase Plan (2021 ESPP) by reason of any stock dividend, stock split, recapitalization or other similar transaction effected without receipt of consideration that increases the number of the Registrant’s outstanding shares of common stock.</w:t>
      </w:r>
    </w:p>
    <w:p>
      <w:pPr>
        <w:spacing w:after="0" w:line="1" w:lineRule="exact"/>
        <w:rPr>
          <w:rFonts w:ascii="Arial" w:cs="Arial" w:eastAsia="Arial" w:hAnsi="Arial"/>
          <w:sz w:val="17"/>
          <w:szCs w:val="17"/>
          <w:color w:val="auto"/>
        </w:rPr>
      </w:pPr>
    </w:p>
    <w:p>
      <w:pPr>
        <w:ind w:left="424" w:hanging="424"/>
        <w:spacing w:after="0" w:line="281"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shares of common stock reserved for issuance that were automatically added on January 1, 2022 to the shares of common stock reserved for issuance under the 2021 Plan. The 2021 Plan provides for an automatic annual increase in the number of shares reserved and available for issuance under the 2021 Plan as follows: the number of shares of common stock available for issuance under the 2021 Plan will be increased on the first day of each fiscal year beginning with the 2022 fiscal year, in an amount equal to the least of (i) 4,000,000 shares, (ii) four percent</w:t>
      </w:r>
    </w:p>
    <w:p>
      <w:pPr>
        <w:spacing w:after="0" w:line="2" w:lineRule="exact"/>
        <w:rPr>
          <w:rFonts w:ascii="Arial" w:cs="Arial" w:eastAsia="Arial" w:hAnsi="Arial"/>
          <w:sz w:val="16"/>
          <w:szCs w:val="16"/>
          <w:color w:val="auto"/>
        </w:rPr>
      </w:pPr>
    </w:p>
    <w:p>
      <w:pPr>
        <w:ind w:left="424" w:right="160"/>
        <w:spacing w:after="0" w:line="250" w:lineRule="auto"/>
        <w:rPr>
          <w:rFonts w:ascii="Arial" w:cs="Arial" w:eastAsia="Arial" w:hAnsi="Arial"/>
          <w:sz w:val="16"/>
          <w:szCs w:val="16"/>
          <w:color w:val="auto"/>
        </w:rPr>
      </w:pPr>
      <w:r>
        <w:rPr>
          <w:rFonts w:ascii="Arial" w:cs="Arial" w:eastAsia="Arial" w:hAnsi="Arial"/>
          <w:sz w:val="18"/>
          <w:szCs w:val="18"/>
          <w:color w:val="auto"/>
        </w:rPr>
        <w:t>(4%) of the outstanding shares on the last day of the immediately preceding fiscal year, or (iii) such number of shares determined by the board of directors no later than the last day of the immediately preceding fiscal year.</w:t>
      </w:r>
    </w:p>
    <w:p>
      <w:pPr>
        <w:ind w:left="424" w:hanging="424"/>
        <w:spacing w:after="0"/>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Estimated in accordance with Rule 457(c) and (h) of the Securities Act solely for the purpose of calculating the registration fee on the basis of</w:t>
      </w:r>
    </w:p>
    <w:p>
      <w:pPr>
        <w:spacing w:after="0" w:line="32" w:lineRule="exact"/>
        <w:rPr>
          <w:rFonts w:ascii="Arial" w:cs="Arial" w:eastAsia="Arial" w:hAnsi="Arial"/>
          <w:sz w:val="16"/>
          <w:szCs w:val="16"/>
          <w:color w:val="auto"/>
        </w:rPr>
      </w:pPr>
    </w:p>
    <w:p>
      <w:pPr>
        <w:ind w:left="424" w:right="20"/>
        <w:spacing w:after="0" w:line="250" w:lineRule="auto"/>
        <w:rPr>
          <w:rFonts w:ascii="Arial" w:cs="Arial" w:eastAsia="Arial" w:hAnsi="Arial"/>
          <w:sz w:val="16"/>
          <w:szCs w:val="16"/>
          <w:color w:val="auto"/>
        </w:rPr>
      </w:pPr>
      <w:r>
        <w:rPr>
          <w:rFonts w:ascii="Arial" w:cs="Arial" w:eastAsia="Arial" w:hAnsi="Arial"/>
          <w:sz w:val="18"/>
          <w:szCs w:val="18"/>
          <w:color w:val="auto"/>
        </w:rPr>
        <w:t>$11.04 per share, which represents the average of the high and low selling prices per share of the Registrant’s common stock on March 17, 2022 as reported by The Nasdaq Global Select Market.</w:t>
      </w:r>
    </w:p>
    <w:p>
      <w:pPr>
        <w:ind w:left="424" w:right="40" w:hanging="424"/>
        <w:spacing w:after="0" w:line="265"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shares of common stock reserved for issuance under that were automatically added on January 1, 2022 to the shares of common stock reserved for issuance under the 2021 ESPP. The 2021 ESPP provides for an automatic annual increase in the number of shares reserved and available for issuance under the 2021 ESPP as follows: the number of shares of common stock available for issuance under the 2021 ESPP will be increased on the first day of each fiscal year beginning with the 2022 fiscal year, in an amount equal to the least of (i) 800,000 shares, (ii) one percent (1%) of the outstanding shares on the last day of immediately preceding fiscal year, or (iii) such number of shares determined by the board of directors no later than the last day of the immediately preceding fiscal year.</w:t>
      </w:r>
    </w:p>
    <w:p>
      <w:pPr>
        <w:ind w:left="424" w:right="220"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in accordance with Rule 457(c) and (h) of the Securities Act solely for the purpose of calculating the registration fee on the basis of 85% of $11.04, which represents the average of the high and low selling price per share of the Registrant’s common stock on March 17, 2022 as reported by The Nasdaq Global Selected Market. Pursuant to the 2021 ESPP, the purchase price of the shares of common stock reserved for issuance thereunder will be 85% of the lower of the fair market value of the common stock on (i) the first trading day of the offering period or (ii) the exercise date.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upp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18" Type="http://schemas.openxmlformats.org/officeDocument/2006/relationships/hyperlink" Target="http://www.sec.gov/ix?doc=/Archives/edgar/data/0001858848/000095017022004426/tnya-20211231.htm" TargetMode="External"/><Relationship Id="rId19" Type="http://schemas.openxmlformats.org/officeDocument/2006/relationships/hyperlink" Target="http://www.sec.gov/Archives/edgar/data/1858848/000119312521223152/d170858d8a12b.htm" TargetMode="External"/><Relationship Id="rId21" Type="http://schemas.openxmlformats.org/officeDocument/2006/relationships/hyperlink" Target="http://www.sec.gov/Archives/edgar/data/0001858848/000119312521223559/d175698dex42.htm" TargetMode="External"/><Relationship Id="rId22" Type="http://schemas.openxmlformats.org/officeDocument/2006/relationships/hyperlink" Target="http://www.sec.gov/Archives/edgar/data/0001858848/000095017022004426/tnya-ex10_2.htm" TargetMode="External"/><Relationship Id="rId23" Type="http://schemas.openxmlformats.org/officeDocument/2006/relationships/hyperlink" Target="http://www.sec.gov/Archives/edgar/data/1858848/000119312521223559/d17569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2022-03-23T16:28:22Z</dcterms:created>
  <dcterms:modified xsi:type="dcterms:W3CDTF">2022-03-23T16:28:22Z</dcterms:modified>
</cp:coreProperties>
</file>