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800 Nicollet Mall, Suite 800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Minneapolis, MN 55402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July 27,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Attn: Tracey Houser</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Brian Cascio</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Tom Kluck</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Suzanne Hayes</w:t>
      </w:r>
    </w:p>
    <w:p>
      <w:pPr>
        <w:spacing w:after="0" w:line="23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Tenaya Therapeutics,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 No. 333-257820)</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firstLine="440"/>
        <w:spacing w:after="0" w:line="296" w:lineRule="auto"/>
        <w:rPr>
          <w:sz w:val="20"/>
          <w:szCs w:val="20"/>
          <w:color w:val="auto"/>
        </w:rPr>
      </w:pPr>
      <w:r>
        <w:rPr>
          <w:rFonts w:ascii="Arial" w:cs="Arial" w:eastAsia="Arial" w:hAnsi="Arial"/>
          <w:sz w:val="16"/>
          <w:szCs w:val="16"/>
          <w:color w:val="auto"/>
        </w:rPr>
        <w:t>In accordance with Rule 461 of Regulation C of the General Rules and Regulations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we, the representatives of the several underwriters (the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hereby join in the request of Tenaya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for acceleration of the effective date of the above-referenced Registration Statement on Form S-1, as amended, so that it will be declared effective at 4:00 PM, Eastern Daylight Time, on Thursday, July 29, 2021 or as soon thereafter as practicable, or at such later time as the Company’s outside counsel, Wilson Sonsini Goodrich &amp; Rosati, P.C., may orally request via telephone call that such Registration Statement be declared effective.</w:t>
      </w:r>
    </w:p>
    <w:p>
      <w:pPr>
        <w:sectPr>
          <w:pgSz w:w="11900" w:h="16838" w:orient="portrait"/>
          <w:cols w:equalWidth="0" w:num="1">
            <w:col w:w="10940"/>
          </w:cols>
          <w:pgMar w:left="440" w:top="233" w:right="519" w:bottom="1440" w:gutter="0" w:footer="0" w:header="0"/>
        </w:sectPr>
      </w:pPr>
    </w:p>
    <w:bookmarkStart w:id="1" w:name="page2"/>
    <w:bookmarkEnd w:id="1"/>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Rule 460 under the Act, we, as the Representatives, wish to advise you that there have been, or there will be, distributed to each underwriter or dealer who is reasonably anticipated to participate in the distribution of the securities as many copies of the preliminary prospectus as appears to be reasonable to secure adequate distribution of the preliminary prospectus.</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the undersigned, as the Representatives, each confirm on behalf of ourselves and the other participating underwriters that we have complied and will continue to comply with the requirements of Rule 15c2-8 under the Securities Exchange Act of 1934, as amended, in connection with the above-referenced issuance.</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immediately follows</w:t>
      </w:r>
      <w:r>
        <w:rPr>
          <w:rFonts w:ascii="Arial" w:cs="Arial" w:eastAsia="Arial" w:hAnsi="Arial"/>
          <w:sz w:val="18"/>
          <w:szCs w:val="18"/>
          <w:color w:val="auto"/>
        </w:rPr>
        <w:t>]</w:t>
      </w:r>
    </w:p>
    <w:p>
      <w:pPr>
        <w:sectPr>
          <w:pgSz w:w="11900" w:h="16838" w:orient="portrait"/>
          <w:cols w:equalWidth="0" w:num="1">
            <w:col w:w="10820"/>
          </w:cols>
          <w:pgMar w:left="440" w:top="274" w:right="639" w:bottom="1440" w:gutter="0" w:footer="0" w:header="0"/>
        </w:sectPr>
      </w:pPr>
    </w:p>
    <w:bookmarkStart w:id="2" w:name="page3"/>
    <w:bookmarkEnd w:id="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PIPER SANDLER &amp; CO.</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Representatives of the several underwriters</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 Rigoli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Chris Rigoli</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COWEN AND COMPANY,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Jason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Jason Fenton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PIPER SANDLER &amp; CO.</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Chad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Chad Huber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Underwriters’ Acceleration Request</w:t>
      </w:r>
      <w:r>
        <w:rPr>
          <w:rFonts w:ascii="Arial" w:cs="Arial" w:eastAsia="Arial" w:hAnsi="Arial"/>
          <w:sz w:val="16"/>
          <w:szCs w:val="16"/>
          <w:color w:val="auto"/>
        </w:rPr>
        <w:t>]</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2021-08-26T23:05:31Z</dcterms:created>
  <dcterms:modified xsi:type="dcterms:W3CDTF">2021-08-26T23:05:31Z</dcterms:modified>
</cp:coreProperties>
</file>