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filed with the Securities and Exchange Commission on July 26, 2021.</w:t>
      </w:r>
    </w:p>
    <w:p>
      <w:pPr>
        <w:spacing w:after="0" w:line="96"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333-257820</w:t>
      </w:r>
    </w:p>
    <w:p>
      <w:pPr>
        <w:spacing w:after="0" w:line="10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Washington, D.C. 20549</w:t>
      </w:r>
    </w:p>
    <w:p>
      <w:pPr>
        <w:spacing w:after="0" w:line="10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AMENDMENT NO. 1</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TO</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FORM S-1</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Under the Securities Act of 1933</w:t>
      </w:r>
    </w:p>
    <w:p>
      <w:pPr>
        <w:spacing w:after="0" w:line="206"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TENAYA THERAPEUTICS, INC.</w:t>
      </w:r>
    </w:p>
    <w:p>
      <w:pPr>
        <w:spacing w:after="0" w:line="29"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(Exact name of Registrant as specified in its charter)</w:t>
      </w:r>
    </w:p>
    <w:p>
      <w:pPr>
        <w:spacing w:after="0" w:line="85" w:lineRule="exact"/>
        <w:rPr>
          <w:sz w:val="24"/>
          <w:szCs w:val="24"/>
          <w:color w:val="auto"/>
        </w:rPr>
      </w:pPr>
    </w:p>
    <w:tbl>
      <w:tblPr>
        <w:tblLayout w:type="fixed"/>
        <w:tblInd w:w="1080" w:type="dxa"/>
        <w:tblCellMar>
          <w:top w:w="0" w:type="dxa"/>
          <w:left w:w="0" w:type="dxa"/>
          <w:bottom w:w="0" w:type="dxa"/>
          <w:right w:w="0" w:type="dxa"/>
        </w:tblCellMar>
      </w:tblPr>
      <w:tr>
        <w:trPr>
          <w:trHeight w:val="161"/>
        </w:trPr>
        <w:tc>
          <w:tcPr>
            <w:tcW w:w="2740" w:type="dxa"/>
            <w:vAlign w:val="bottom"/>
          </w:tcPr>
          <w:p>
            <w:pPr>
              <w:jc w:val="center"/>
              <w:ind w:right="968"/>
              <w:spacing w:after="0"/>
              <w:rPr>
                <w:sz w:val="20"/>
                <w:szCs w:val="20"/>
                <w:color w:val="auto"/>
              </w:rPr>
            </w:pPr>
            <w:r>
              <w:rPr>
                <w:rFonts w:ascii="Arial" w:cs="Arial" w:eastAsia="Arial" w:hAnsi="Arial"/>
                <w:sz w:val="14"/>
                <w:szCs w:val="14"/>
                <w:b w:val="1"/>
                <w:bCs w:val="1"/>
                <w:color w:val="auto"/>
                <w:w w:val="94"/>
              </w:rPr>
              <w:t>Delaware</w:t>
            </w:r>
          </w:p>
        </w:tc>
        <w:tc>
          <w:tcPr>
            <w:tcW w:w="3800" w:type="dxa"/>
            <w:vAlign w:val="bottom"/>
          </w:tcPr>
          <w:p>
            <w:pPr>
              <w:jc w:val="center"/>
              <w:ind w:right="8"/>
              <w:spacing w:after="0"/>
              <w:rPr>
                <w:sz w:val="20"/>
                <w:szCs w:val="20"/>
                <w:color w:val="auto"/>
              </w:rPr>
            </w:pPr>
            <w:r>
              <w:rPr>
                <w:rFonts w:ascii="Arial" w:cs="Arial" w:eastAsia="Arial" w:hAnsi="Arial"/>
                <w:sz w:val="14"/>
                <w:szCs w:val="14"/>
                <w:b w:val="1"/>
                <w:bCs w:val="1"/>
                <w:color w:val="auto"/>
                <w:w w:val="89"/>
              </w:rPr>
              <w:t>2836</w:t>
            </w:r>
          </w:p>
        </w:tc>
        <w:tc>
          <w:tcPr>
            <w:tcW w:w="2420" w:type="dxa"/>
            <w:vAlign w:val="bottom"/>
          </w:tcPr>
          <w:p>
            <w:pPr>
              <w:jc w:val="center"/>
              <w:ind w:left="1008"/>
              <w:spacing w:after="0"/>
              <w:rPr>
                <w:sz w:val="20"/>
                <w:szCs w:val="20"/>
                <w:color w:val="auto"/>
              </w:rPr>
            </w:pPr>
            <w:r>
              <w:rPr>
                <w:rFonts w:ascii="Arial" w:cs="Arial" w:eastAsia="Arial" w:hAnsi="Arial"/>
                <w:sz w:val="14"/>
                <w:szCs w:val="14"/>
                <w:b w:val="1"/>
                <w:bCs w:val="1"/>
                <w:color w:val="auto"/>
                <w:w w:val="93"/>
              </w:rPr>
              <w:t>81-3789973</w:t>
            </w:r>
          </w:p>
        </w:tc>
      </w:tr>
      <w:tr>
        <w:trPr>
          <w:trHeight w:val="148"/>
        </w:trPr>
        <w:tc>
          <w:tcPr>
            <w:tcW w:w="2740" w:type="dxa"/>
            <w:vAlign w:val="bottom"/>
          </w:tcPr>
          <w:p>
            <w:pPr>
              <w:jc w:val="center"/>
              <w:ind w:right="948"/>
              <w:spacing w:after="0" w:line="149" w:lineRule="exact"/>
              <w:rPr>
                <w:sz w:val="20"/>
                <w:szCs w:val="20"/>
                <w:color w:val="auto"/>
              </w:rPr>
            </w:pPr>
            <w:r>
              <w:rPr>
                <w:rFonts w:ascii="Arial" w:cs="Arial" w:eastAsia="Arial" w:hAnsi="Arial"/>
                <w:sz w:val="14"/>
                <w:szCs w:val="14"/>
                <w:color w:val="auto"/>
                <w:w w:val="95"/>
              </w:rPr>
              <w:t>(State or other jurisdiction of</w:t>
            </w:r>
          </w:p>
        </w:tc>
        <w:tc>
          <w:tcPr>
            <w:tcW w:w="3800" w:type="dxa"/>
            <w:vAlign w:val="bottom"/>
          </w:tcPr>
          <w:p>
            <w:pPr>
              <w:jc w:val="center"/>
              <w:ind w:right="8"/>
              <w:spacing w:after="0" w:line="149" w:lineRule="exact"/>
              <w:rPr>
                <w:sz w:val="20"/>
                <w:szCs w:val="20"/>
                <w:color w:val="auto"/>
              </w:rPr>
            </w:pPr>
            <w:r>
              <w:rPr>
                <w:rFonts w:ascii="Arial" w:cs="Arial" w:eastAsia="Arial" w:hAnsi="Arial"/>
                <w:sz w:val="14"/>
                <w:szCs w:val="14"/>
                <w:color w:val="auto"/>
                <w:w w:val="94"/>
              </w:rPr>
              <w:t>(Primary Standard Industrial</w:t>
            </w:r>
          </w:p>
        </w:tc>
        <w:tc>
          <w:tcPr>
            <w:tcW w:w="2420" w:type="dxa"/>
            <w:vAlign w:val="bottom"/>
          </w:tcPr>
          <w:p>
            <w:pPr>
              <w:jc w:val="center"/>
              <w:ind w:left="1008"/>
              <w:spacing w:after="0" w:line="149" w:lineRule="exact"/>
              <w:rPr>
                <w:sz w:val="20"/>
                <w:szCs w:val="20"/>
                <w:color w:val="auto"/>
              </w:rPr>
            </w:pPr>
            <w:r>
              <w:rPr>
                <w:rFonts w:ascii="Arial" w:cs="Arial" w:eastAsia="Arial" w:hAnsi="Arial"/>
                <w:sz w:val="14"/>
                <w:szCs w:val="14"/>
                <w:color w:val="auto"/>
                <w:w w:val="95"/>
              </w:rPr>
              <w:t>(I.R.S. Employer</w:t>
            </w:r>
          </w:p>
        </w:tc>
      </w:tr>
      <w:tr>
        <w:trPr>
          <w:trHeight w:val="182"/>
        </w:trPr>
        <w:tc>
          <w:tcPr>
            <w:tcW w:w="2740" w:type="dxa"/>
            <w:vAlign w:val="bottom"/>
          </w:tcPr>
          <w:p>
            <w:pPr>
              <w:jc w:val="center"/>
              <w:ind w:right="948"/>
              <w:spacing w:after="0"/>
              <w:rPr>
                <w:sz w:val="20"/>
                <w:szCs w:val="20"/>
                <w:color w:val="auto"/>
              </w:rPr>
            </w:pPr>
            <w:r>
              <w:rPr>
                <w:rFonts w:ascii="Arial" w:cs="Arial" w:eastAsia="Arial" w:hAnsi="Arial"/>
                <w:sz w:val="14"/>
                <w:szCs w:val="14"/>
                <w:color w:val="auto"/>
                <w:w w:val="94"/>
              </w:rPr>
              <w:t>incorporation or organization)</w:t>
            </w:r>
          </w:p>
        </w:tc>
        <w:tc>
          <w:tcPr>
            <w:tcW w:w="3800" w:type="dxa"/>
            <w:vAlign w:val="bottom"/>
          </w:tcPr>
          <w:p>
            <w:pPr>
              <w:jc w:val="center"/>
              <w:ind w:right="8"/>
              <w:spacing w:after="0"/>
              <w:rPr>
                <w:sz w:val="20"/>
                <w:szCs w:val="20"/>
                <w:color w:val="auto"/>
              </w:rPr>
            </w:pPr>
            <w:r>
              <w:rPr>
                <w:rFonts w:ascii="Arial" w:cs="Arial" w:eastAsia="Arial" w:hAnsi="Arial"/>
                <w:sz w:val="14"/>
                <w:szCs w:val="14"/>
                <w:color w:val="auto"/>
                <w:w w:val="94"/>
              </w:rPr>
              <w:t>Classification Code Number)</w:t>
            </w:r>
          </w:p>
        </w:tc>
        <w:tc>
          <w:tcPr>
            <w:tcW w:w="2420" w:type="dxa"/>
            <w:vAlign w:val="bottom"/>
          </w:tcPr>
          <w:p>
            <w:pPr>
              <w:jc w:val="center"/>
              <w:ind w:left="1008"/>
              <w:spacing w:after="0"/>
              <w:rPr>
                <w:sz w:val="20"/>
                <w:szCs w:val="20"/>
                <w:color w:val="auto"/>
              </w:rPr>
            </w:pPr>
            <w:r>
              <w:rPr>
                <w:rFonts w:ascii="Arial" w:cs="Arial" w:eastAsia="Arial" w:hAnsi="Arial"/>
                <w:sz w:val="14"/>
                <w:szCs w:val="14"/>
                <w:color w:val="auto"/>
                <w:w w:val="97"/>
              </w:rPr>
              <w:t>Identification Number)</w:t>
            </w:r>
          </w:p>
        </w:tc>
      </w:tr>
    </w:tbl>
    <w:p>
      <w:pPr>
        <w:spacing w:after="0" w:line="8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171 Oyster Point Boulevard, 5th Floor</w:t>
      </w:r>
    </w:p>
    <w:p>
      <w:pPr>
        <w:jc w:val="center"/>
        <w:ind w:right="-99"/>
        <w:spacing w:after="0" w:line="226" w:lineRule="auto"/>
        <w:rPr>
          <w:sz w:val="20"/>
          <w:szCs w:val="20"/>
          <w:color w:val="auto"/>
        </w:rPr>
      </w:pPr>
      <w:r>
        <w:rPr>
          <w:rFonts w:ascii="Arial" w:cs="Arial" w:eastAsia="Arial" w:hAnsi="Arial"/>
          <w:sz w:val="14"/>
          <w:szCs w:val="14"/>
          <w:b w:val="1"/>
          <w:bCs w:val="1"/>
          <w:color w:val="auto"/>
        </w:rPr>
        <w:t>South San Francisco, CA 94080</w:t>
      </w:r>
    </w:p>
    <w:p>
      <w:pPr>
        <w:jc w:val="center"/>
        <w:ind w:right="-99"/>
        <w:spacing w:after="0" w:line="221" w:lineRule="auto"/>
        <w:rPr>
          <w:sz w:val="20"/>
          <w:szCs w:val="20"/>
          <w:color w:val="auto"/>
        </w:rPr>
      </w:pPr>
      <w:r>
        <w:rPr>
          <w:rFonts w:ascii="Arial" w:cs="Arial" w:eastAsia="Arial" w:hAnsi="Arial"/>
          <w:sz w:val="14"/>
          <w:szCs w:val="14"/>
          <w:b w:val="1"/>
          <w:bCs w:val="1"/>
          <w:color w:val="auto"/>
        </w:rPr>
        <w:t>(650) 825-6990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80"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Faraz Ali, M.B.A.</w:t>
      </w:r>
    </w:p>
    <w:p>
      <w:pPr>
        <w:jc w:val="center"/>
        <w:ind w:right="-99"/>
        <w:spacing w:after="0" w:line="226" w:lineRule="auto"/>
        <w:rPr>
          <w:sz w:val="20"/>
          <w:szCs w:val="20"/>
          <w:color w:val="auto"/>
        </w:rPr>
      </w:pPr>
      <w:r>
        <w:rPr>
          <w:rFonts w:ascii="Arial" w:cs="Arial" w:eastAsia="Arial" w:hAnsi="Arial"/>
          <w:sz w:val="14"/>
          <w:szCs w:val="14"/>
          <w:b w:val="1"/>
          <w:bCs w:val="1"/>
          <w:color w:val="auto"/>
        </w:rPr>
        <w:t>Chief Executive Officer</w:t>
      </w:r>
    </w:p>
    <w:p>
      <w:pPr>
        <w:jc w:val="center"/>
        <w:ind w:right="-99"/>
        <w:spacing w:after="0" w:line="221" w:lineRule="auto"/>
        <w:rPr>
          <w:sz w:val="20"/>
          <w:szCs w:val="20"/>
          <w:color w:val="auto"/>
        </w:rPr>
      </w:pPr>
      <w:r>
        <w:rPr>
          <w:rFonts w:ascii="Arial" w:cs="Arial" w:eastAsia="Arial" w:hAnsi="Arial"/>
          <w:sz w:val="14"/>
          <w:szCs w:val="14"/>
          <w:b w:val="1"/>
          <w:bCs w:val="1"/>
          <w:color w:val="auto"/>
        </w:rPr>
        <w:t>Tenaya Therapeutics, Inc.</w:t>
      </w:r>
    </w:p>
    <w:p>
      <w:pPr>
        <w:jc w:val="center"/>
        <w:ind w:right="-99"/>
        <w:spacing w:after="0" w:line="222" w:lineRule="auto"/>
        <w:rPr>
          <w:sz w:val="20"/>
          <w:szCs w:val="20"/>
          <w:color w:val="auto"/>
        </w:rPr>
      </w:pPr>
      <w:r>
        <w:rPr>
          <w:rFonts w:ascii="Arial" w:cs="Arial" w:eastAsia="Arial" w:hAnsi="Arial"/>
          <w:sz w:val="14"/>
          <w:szCs w:val="14"/>
          <w:b w:val="1"/>
          <w:bCs w:val="1"/>
          <w:color w:val="auto"/>
        </w:rPr>
        <w:t>171 Oyster Point Boulevard, 5th Floor</w:t>
      </w:r>
    </w:p>
    <w:p>
      <w:pPr>
        <w:jc w:val="center"/>
        <w:ind w:right="-99"/>
        <w:spacing w:after="0" w:line="221" w:lineRule="auto"/>
        <w:rPr>
          <w:sz w:val="20"/>
          <w:szCs w:val="20"/>
          <w:color w:val="auto"/>
        </w:rPr>
      </w:pPr>
      <w:r>
        <w:rPr>
          <w:rFonts w:ascii="Arial" w:cs="Arial" w:eastAsia="Arial" w:hAnsi="Arial"/>
          <w:sz w:val="14"/>
          <w:szCs w:val="14"/>
          <w:b w:val="1"/>
          <w:bCs w:val="1"/>
          <w:color w:val="auto"/>
        </w:rPr>
        <w:t>South San Francisco, CA 94080</w:t>
      </w:r>
    </w:p>
    <w:p>
      <w:pPr>
        <w:jc w:val="center"/>
        <w:ind w:right="-99"/>
        <w:spacing w:after="0" w:line="222" w:lineRule="auto"/>
        <w:rPr>
          <w:sz w:val="20"/>
          <w:szCs w:val="20"/>
          <w:color w:val="auto"/>
        </w:rPr>
      </w:pPr>
      <w:r>
        <w:rPr>
          <w:rFonts w:ascii="Arial" w:cs="Arial" w:eastAsia="Arial" w:hAnsi="Arial"/>
          <w:sz w:val="14"/>
          <w:szCs w:val="14"/>
          <w:b w:val="1"/>
          <w:bCs w:val="1"/>
          <w:color w:val="auto"/>
        </w:rPr>
        <w:t>(650) 825-6990</w:t>
      </w:r>
    </w:p>
    <w:p>
      <w:pPr>
        <w:jc w:val="center"/>
        <w:ind w:right="-9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84" w:lineRule="exact"/>
        <w:rPr>
          <w:sz w:val="24"/>
          <w:szCs w:val="24"/>
          <w:color w:val="auto"/>
        </w:rPr>
      </w:pPr>
    </w:p>
    <w:tbl>
      <w:tblPr>
        <w:tblLayout w:type="fixed"/>
        <w:tblInd w:w="1880" w:type="dxa"/>
        <w:tblCellMar>
          <w:top w:w="0" w:type="dxa"/>
          <w:left w:w="0" w:type="dxa"/>
          <w:bottom w:w="0" w:type="dxa"/>
          <w:right w:w="0" w:type="dxa"/>
        </w:tblCellMar>
      </w:tblPr>
      <w:tr>
        <w:trPr>
          <w:trHeight w:val="182"/>
        </w:trPr>
        <w:tc>
          <w:tcPr>
            <w:tcW w:w="2720" w:type="dxa"/>
            <w:vAlign w:val="bottom"/>
          </w:tcPr>
          <w:p>
            <w:pPr>
              <w:spacing w:after="0"/>
              <w:rPr>
                <w:sz w:val="15"/>
                <w:szCs w:val="15"/>
                <w:color w:val="auto"/>
              </w:rPr>
            </w:pPr>
          </w:p>
        </w:tc>
        <w:tc>
          <w:tcPr>
            <w:tcW w:w="4680" w:type="dxa"/>
            <w:vAlign w:val="bottom"/>
          </w:tcPr>
          <w:p>
            <w:pPr>
              <w:ind w:left="720"/>
              <w:spacing w:after="0"/>
              <w:rPr>
                <w:sz w:val="20"/>
                <w:szCs w:val="20"/>
                <w:color w:val="auto"/>
              </w:rPr>
            </w:pPr>
            <w:r>
              <w:rPr>
                <w:rFonts w:ascii="Arial" w:cs="Arial" w:eastAsia="Arial" w:hAnsi="Arial"/>
                <w:sz w:val="14"/>
                <w:szCs w:val="14"/>
                <w:i w:val="1"/>
                <w:iCs w:val="1"/>
                <w:color w:val="auto"/>
              </w:rPr>
              <w:t>Copies to:</w:t>
            </w:r>
          </w:p>
        </w:tc>
      </w:tr>
      <w:tr>
        <w:trPr>
          <w:trHeight w:val="236"/>
        </w:trPr>
        <w:tc>
          <w:tcPr>
            <w:tcW w:w="2720" w:type="dxa"/>
            <w:vAlign w:val="bottom"/>
          </w:tcPr>
          <w:p>
            <w:pPr>
              <w:jc w:val="center"/>
              <w:ind w:right="668"/>
              <w:spacing w:after="0"/>
              <w:rPr>
                <w:sz w:val="20"/>
                <w:szCs w:val="20"/>
                <w:color w:val="auto"/>
              </w:rPr>
            </w:pPr>
            <w:r>
              <w:rPr>
                <w:rFonts w:ascii="Arial" w:cs="Arial" w:eastAsia="Arial" w:hAnsi="Arial"/>
                <w:sz w:val="14"/>
                <w:szCs w:val="14"/>
                <w:color w:val="auto"/>
                <w:w w:val="96"/>
              </w:rPr>
              <w:t>Kenneth A. Clark</w:t>
            </w:r>
          </w:p>
        </w:tc>
        <w:tc>
          <w:tcPr>
            <w:tcW w:w="4680" w:type="dxa"/>
            <w:vAlign w:val="bottom"/>
          </w:tcPr>
          <w:p>
            <w:pPr>
              <w:jc w:val="center"/>
              <w:ind w:left="2928"/>
              <w:spacing w:after="0"/>
              <w:rPr>
                <w:sz w:val="20"/>
                <w:szCs w:val="20"/>
                <w:color w:val="auto"/>
              </w:rPr>
            </w:pPr>
            <w:r>
              <w:rPr>
                <w:rFonts w:ascii="Arial" w:cs="Arial" w:eastAsia="Arial" w:hAnsi="Arial"/>
                <w:sz w:val="14"/>
                <w:szCs w:val="14"/>
                <w:color w:val="auto"/>
                <w:w w:val="91"/>
              </w:rPr>
              <w:t>Alan F. Denenberg</w:t>
            </w:r>
          </w:p>
        </w:tc>
      </w:tr>
      <w:tr>
        <w:trPr>
          <w:trHeight w:val="148"/>
        </w:trPr>
        <w:tc>
          <w:tcPr>
            <w:tcW w:w="2720" w:type="dxa"/>
            <w:vAlign w:val="bottom"/>
          </w:tcPr>
          <w:p>
            <w:pPr>
              <w:jc w:val="center"/>
              <w:ind w:right="648"/>
              <w:spacing w:after="0" w:line="149" w:lineRule="exact"/>
              <w:rPr>
                <w:sz w:val="20"/>
                <w:szCs w:val="20"/>
                <w:color w:val="auto"/>
              </w:rPr>
            </w:pPr>
            <w:r>
              <w:rPr>
                <w:rFonts w:ascii="Arial" w:cs="Arial" w:eastAsia="Arial" w:hAnsi="Arial"/>
                <w:sz w:val="14"/>
                <w:szCs w:val="14"/>
                <w:color w:val="auto"/>
                <w:w w:val="93"/>
              </w:rPr>
              <w:t>Jennifer Knapp</w:t>
            </w:r>
          </w:p>
        </w:tc>
        <w:tc>
          <w:tcPr>
            <w:tcW w:w="4680" w:type="dxa"/>
            <w:vAlign w:val="bottom"/>
          </w:tcPr>
          <w:p>
            <w:pPr>
              <w:jc w:val="center"/>
              <w:ind w:left="2908"/>
              <w:spacing w:after="0" w:line="149" w:lineRule="exact"/>
              <w:rPr>
                <w:sz w:val="20"/>
                <w:szCs w:val="20"/>
                <w:color w:val="auto"/>
              </w:rPr>
            </w:pPr>
            <w:r>
              <w:rPr>
                <w:rFonts w:ascii="Arial" w:cs="Arial" w:eastAsia="Arial" w:hAnsi="Arial"/>
                <w:sz w:val="14"/>
                <w:szCs w:val="14"/>
                <w:color w:val="auto"/>
                <w:w w:val="90"/>
              </w:rPr>
              <w:t>Stephen Salmon</w:t>
            </w:r>
          </w:p>
        </w:tc>
      </w:tr>
      <w:tr>
        <w:trPr>
          <w:trHeight w:val="148"/>
        </w:trPr>
        <w:tc>
          <w:tcPr>
            <w:tcW w:w="2720" w:type="dxa"/>
            <w:vAlign w:val="bottom"/>
          </w:tcPr>
          <w:p>
            <w:pPr>
              <w:jc w:val="center"/>
              <w:ind w:right="648"/>
              <w:spacing w:after="0" w:line="149" w:lineRule="exact"/>
              <w:rPr>
                <w:sz w:val="20"/>
                <w:szCs w:val="20"/>
                <w:color w:val="auto"/>
              </w:rPr>
            </w:pPr>
            <w:r>
              <w:rPr>
                <w:rFonts w:ascii="Arial" w:cs="Arial" w:eastAsia="Arial" w:hAnsi="Arial"/>
                <w:sz w:val="14"/>
                <w:szCs w:val="14"/>
                <w:color w:val="auto"/>
                <w:w w:val="93"/>
              </w:rPr>
              <w:t>Jennifer Fang</w:t>
            </w:r>
          </w:p>
        </w:tc>
        <w:tc>
          <w:tcPr>
            <w:tcW w:w="4680" w:type="dxa"/>
            <w:vAlign w:val="bottom"/>
          </w:tcPr>
          <w:p>
            <w:pPr>
              <w:jc w:val="center"/>
              <w:ind w:left="2928"/>
              <w:spacing w:after="0" w:line="149" w:lineRule="exact"/>
              <w:rPr>
                <w:sz w:val="20"/>
                <w:szCs w:val="20"/>
                <w:color w:val="auto"/>
              </w:rPr>
            </w:pPr>
            <w:r>
              <w:rPr>
                <w:rFonts w:ascii="Arial" w:cs="Arial" w:eastAsia="Arial" w:hAnsi="Arial"/>
                <w:sz w:val="14"/>
                <w:szCs w:val="14"/>
                <w:color w:val="auto"/>
                <w:w w:val="99"/>
              </w:rPr>
              <w:t>Davis Polk &amp; Wardwell LLP</w:t>
            </w:r>
          </w:p>
        </w:tc>
      </w:tr>
      <w:tr>
        <w:trPr>
          <w:trHeight w:val="149"/>
        </w:trPr>
        <w:tc>
          <w:tcPr>
            <w:tcW w:w="2720" w:type="dxa"/>
            <w:vAlign w:val="bottom"/>
          </w:tcPr>
          <w:p>
            <w:pPr>
              <w:jc w:val="center"/>
              <w:ind w:right="648"/>
              <w:spacing w:after="0" w:line="149" w:lineRule="exact"/>
              <w:rPr>
                <w:sz w:val="20"/>
                <w:szCs w:val="20"/>
                <w:color w:val="auto"/>
              </w:rPr>
            </w:pPr>
            <w:r>
              <w:rPr>
                <w:rFonts w:ascii="Arial" w:cs="Arial" w:eastAsia="Arial" w:hAnsi="Arial"/>
                <w:sz w:val="14"/>
                <w:szCs w:val="14"/>
                <w:color w:val="auto"/>
                <w:w w:val="95"/>
              </w:rPr>
              <w:t>Wilson Sonsini Goodrich &amp; Rosati</w:t>
            </w:r>
          </w:p>
        </w:tc>
        <w:tc>
          <w:tcPr>
            <w:tcW w:w="4680" w:type="dxa"/>
            <w:vAlign w:val="bottom"/>
          </w:tcPr>
          <w:p>
            <w:pPr>
              <w:jc w:val="center"/>
              <w:ind w:left="2928"/>
              <w:spacing w:after="0" w:line="149" w:lineRule="exact"/>
              <w:rPr>
                <w:sz w:val="20"/>
                <w:szCs w:val="20"/>
                <w:color w:val="auto"/>
              </w:rPr>
            </w:pPr>
            <w:r>
              <w:rPr>
                <w:rFonts w:ascii="Arial" w:cs="Arial" w:eastAsia="Arial" w:hAnsi="Arial"/>
                <w:sz w:val="14"/>
                <w:szCs w:val="14"/>
                <w:color w:val="auto"/>
                <w:w w:val="93"/>
              </w:rPr>
              <w:t>1600 El Camino Real</w:t>
            </w:r>
          </w:p>
        </w:tc>
      </w:tr>
      <w:tr>
        <w:trPr>
          <w:trHeight w:val="148"/>
        </w:trPr>
        <w:tc>
          <w:tcPr>
            <w:tcW w:w="2720" w:type="dxa"/>
            <w:vAlign w:val="bottom"/>
          </w:tcPr>
          <w:p>
            <w:pPr>
              <w:jc w:val="center"/>
              <w:ind w:right="648"/>
              <w:spacing w:after="0" w:line="149" w:lineRule="exact"/>
              <w:rPr>
                <w:sz w:val="20"/>
                <w:szCs w:val="20"/>
                <w:color w:val="auto"/>
              </w:rPr>
            </w:pPr>
            <w:r>
              <w:rPr>
                <w:rFonts w:ascii="Arial" w:cs="Arial" w:eastAsia="Arial" w:hAnsi="Arial"/>
                <w:sz w:val="14"/>
                <w:szCs w:val="14"/>
                <w:color w:val="auto"/>
                <w:w w:val="93"/>
              </w:rPr>
              <w:t>Professional Corporation</w:t>
            </w:r>
          </w:p>
        </w:tc>
        <w:tc>
          <w:tcPr>
            <w:tcW w:w="4680" w:type="dxa"/>
            <w:vAlign w:val="bottom"/>
          </w:tcPr>
          <w:p>
            <w:pPr>
              <w:jc w:val="center"/>
              <w:ind w:left="2928"/>
              <w:spacing w:after="0" w:line="149" w:lineRule="exact"/>
              <w:rPr>
                <w:sz w:val="20"/>
                <w:szCs w:val="20"/>
                <w:color w:val="auto"/>
              </w:rPr>
            </w:pPr>
            <w:r>
              <w:rPr>
                <w:rFonts w:ascii="Arial" w:cs="Arial" w:eastAsia="Arial" w:hAnsi="Arial"/>
                <w:sz w:val="14"/>
                <w:szCs w:val="14"/>
                <w:color w:val="auto"/>
                <w:w w:val="96"/>
              </w:rPr>
              <w:t>Menlo Park, CA 94025</w:t>
            </w:r>
          </w:p>
        </w:tc>
      </w:tr>
      <w:tr>
        <w:trPr>
          <w:trHeight w:val="148"/>
        </w:trPr>
        <w:tc>
          <w:tcPr>
            <w:tcW w:w="2720" w:type="dxa"/>
            <w:vAlign w:val="bottom"/>
          </w:tcPr>
          <w:p>
            <w:pPr>
              <w:jc w:val="center"/>
              <w:ind w:right="648"/>
              <w:spacing w:after="0" w:line="149" w:lineRule="exact"/>
              <w:rPr>
                <w:sz w:val="20"/>
                <w:szCs w:val="20"/>
                <w:color w:val="auto"/>
              </w:rPr>
            </w:pPr>
            <w:r>
              <w:rPr>
                <w:rFonts w:ascii="Arial" w:cs="Arial" w:eastAsia="Arial" w:hAnsi="Arial"/>
                <w:sz w:val="14"/>
                <w:szCs w:val="14"/>
                <w:color w:val="auto"/>
                <w:w w:val="94"/>
              </w:rPr>
              <w:t>650 Page Mill Road</w:t>
            </w:r>
          </w:p>
        </w:tc>
        <w:tc>
          <w:tcPr>
            <w:tcW w:w="4680" w:type="dxa"/>
            <w:vAlign w:val="bottom"/>
          </w:tcPr>
          <w:p>
            <w:pPr>
              <w:jc w:val="center"/>
              <w:ind w:left="2908"/>
              <w:spacing w:after="0" w:line="149" w:lineRule="exact"/>
              <w:rPr>
                <w:sz w:val="20"/>
                <w:szCs w:val="20"/>
                <w:color w:val="auto"/>
              </w:rPr>
            </w:pPr>
            <w:r>
              <w:rPr>
                <w:rFonts w:ascii="Arial" w:cs="Arial" w:eastAsia="Arial" w:hAnsi="Arial"/>
                <w:sz w:val="14"/>
                <w:szCs w:val="14"/>
                <w:color w:val="auto"/>
                <w:w w:val="93"/>
              </w:rPr>
              <w:t>(650) 752-2000</w:t>
            </w:r>
          </w:p>
        </w:tc>
      </w:tr>
      <w:tr>
        <w:trPr>
          <w:trHeight w:val="149"/>
        </w:trPr>
        <w:tc>
          <w:tcPr>
            <w:tcW w:w="2720" w:type="dxa"/>
            <w:vAlign w:val="bottom"/>
          </w:tcPr>
          <w:p>
            <w:pPr>
              <w:jc w:val="center"/>
              <w:ind w:right="668"/>
              <w:spacing w:after="0" w:line="149" w:lineRule="exact"/>
              <w:rPr>
                <w:sz w:val="20"/>
                <w:szCs w:val="20"/>
                <w:color w:val="auto"/>
              </w:rPr>
            </w:pPr>
            <w:r>
              <w:rPr>
                <w:rFonts w:ascii="Arial" w:cs="Arial" w:eastAsia="Arial" w:hAnsi="Arial"/>
                <w:sz w:val="14"/>
                <w:szCs w:val="14"/>
                <w:color w:val="auto"/>
                <w:w w:val="96"/>
              </w:rPr>
              <w:t>Palo Alto, CA 94304</w:t>
            </w:r>
          </w:p>
        </w:tc>
        <w:tc>
          <w:tcPr>
            <w:tcW w:w="4680" w:type="dxa"/>
            <w:vAlign w:val="bottom"/>
          </w:tcPr>
          <w:p>
            <w:pPr>
              <w:spacing w:after="0"/>
              <w:rPr>
                <w:sz w:val="12"/>
                <w:szCs w:val="12"/>
                <w:color w:val="auto"/>
              </w:rPr>
            </w:pPr>
          </w:p>
        </w:tc>
      </w:tr>
      <w:tr>
        <w:trPr>
          <w:trHeight w:val="182"/>
        </w:trPr>
        <w:tc>
          <w:tcPr>
            <w:tcW w:w="2720" w:type="dxa"/>
            <w:vAlign w:val="bottom"/>
          </w:tcPr>
          <w:p>
            <w:pPr>
              <w:jc w:val="center"/>
              <w:ind w:right="668"/>
              <w:spacing w:after="0"/>
              <w:rPr>
                <w:sz w:val="20"/>
                <w:szCs w:val="20"/>
                <w:color w:val="auto"/>
              </w:rPr>
            </w:pPr>
            <w:r>
              <w:rPr>
                <w:rFonts w:ascii="Arial" w:cs="Arial" w:eastAsia="Arial" w:hAnsi="Arial"/>
                <w:sz w:val="14"/>
                <w:szCs w:val="14"/>
                <w:color w:val="auto"/>
                <w:w w:val="93"/>
              </w:rPr>
              <w:t>(650) 493-9300</w:t>
            </w:r>
          </w:p>
        </w:tc>
        <w:tc>
          <w:tcPr>
            <w:tcW w:w="4680" w:type="dxa"/>
            <w:vAlign w:val="bottom"/>
          </w:tcPr>
          <w:p>
            <w:pPr>
              <w:spacing w:after="0"/>
              <w:rPr>
                <w:sz w:val="15"/>
                <w:szCs w:val="15"/>
                <w:color w:val="auto"/>
              </w:rPr>
            </w:pPr>
          </w:p>
        </w:tc>
      </w:tr>
    </w:tbl>
    <w:p>
      <w:pPr>
        <w:spacing w:after="0" w:line="8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As soon as practicable after the effective date of this Registration Statement.</w:t>
      </w:r>
    </w:p>
    <w:p>
      <w:pPr>
        <w:spacing w:after="0" w:line="84" w:lineRule="exact"/>
        <w:rPr>
          <w:sz w:val="24"/>
          <w:szCs w:val="24"/>
          <w:color w:val="auto"/>
        </w:rPr>
      </w:pPr>
    </w:p>
    <w:p>
      <w:pPr>
        <w:ind w:left="120" w:right="360" w:firstLine="440"/>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72" w:lineRule="exact"/>
        <w:rPr>
          <w:sz w:val="24"/>
          <w:szCs w:val="24"/>
          <w:color w:val="auto"/>
        </w:rPr>
      </w:pPr>
    </w:p>
    <w:p>
      <w:pPr>
        <w:ind w:left="120" w:right="620" w:firstLine="4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72" w:lineRule="exact"/>
        <w:rPr>
          <w:sz w:val="24"/>
          <w:szCs w:val="24"/>
          <w:color w:val="auto"/>
        </w:rPr>
      </w:pPr>
    </w:p>
    <w:p>
      <w:pPr>
        <w:ind w:left="120" w:right="16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72" w:lineRule="exact"/>
        <w:rPr>
          <w:sz w:val="24"/>
          <w:szCs w:val="24"/>
          <w:color w:val="auto"/>
        </w:rPr>
      </w:pPr>
    </w:p>
    <w:p>
      <w:pPr>
        <w:ind w:left="120" w:right="14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72" w:lineRule="exact"/>
        <w:rPr>
          <w:sz w:val="24"/>
          <w:szCs w:val="24"/>
          <w:color w:val="auto"/>
        </w:rPr>
      </w:pPr>
    </w:p>
    <w:p>
      <w:pPr>
        <w:ind w:left="120" w:right="100" w:firstLine="4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5" w:lineRule="exact"/>
        <w:rPr>
          <w:sz w:val="24"/>
          <w:szCs w:val="24"/>
          <w:color w:val="auto"/>
        </w:rPr>
      </w:pPr>
    </w:p>
    <w:tbl>
      <w:tblPr>
        <w:tblLayout w:type="fixed"/>
        <w:tblInd w:w="120" w:type="dxa"/>
        <w:tblCellMar>
          <w:top w:w="0" w:type="dxa"/>
          <w:left w:w="0" w:type="dxa"/>
          <w:bottom w:w="0" w:type="dxa"/>
          <w:right w:w="0" w:type="dxa"/>
        </w:tblCellMar>
      </w:tblPr>
      <w:tr>
        <w:trPr>
          <w:trHeight w:val="226"/>
        </w:trPr>
        <w:tc>
          <w:tcPr>
            <w:tcW w:w="15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240" w:type="dxa"/>
            <w:vAlign w:val="bottom"/>
          </w:tcPr>
          <w:p>
            <w:pPr>
              <w:ind w:left="3380"/>
              <w:spacing w:after="0"/>
              <w:rPr>
                <w:sz w:val="20"/>
                <w:szCs w:val="20"/>
                <w:color w:val="auto"/>
              </w:rPr>
            </w:pPr>
            <w:r>
              <w:rPr>
                <w:rFonts w:ascii="Arial" w:cs="Arial" w:eastAsia="Arial" w:hAnsi="Arial"/>
                <w:sz w:val="14"/>
                <w:szCs w:val="14"/>
                <w:color w:val="auto"/>
              </w:rPr>
              <w:t>Accelerated filer</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1560" w:type="dxa"/>
            <w:vAlign w:val="bottom"/>
          </w:tcPr>
          <w:p>
            <w:pPr>
              <w:spacing w:after="0"/>
              <w:rPr>
                <w:sz w:val="20"/>
                <w:szCs w:val="20"/>
                <w:color w:val="auto"/>
              </w:rPr>
            </w:pPr>
            <w:r>
              <w:rPr>
                <w:rFonts w:ascii="Arial" w:cs="Arial" w:eastAsia="Arial" w:hAnsi="Arial"/>
                <w:sz w:val="14"/>
                <w:szCs w:val="14"/>
                <w:color w:val="auto"/>
              </w:rPr>
              <w:t>Non-accelerated filer</w:t>
            </w:r>
          </w:p>
        </w:tc>
        <w:tc>
          <w:tcPr>
            <w:tcW w:w="37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240" w:type="dxa"/>
            <w:vAlign w:val="bottom"/>
          </w:tcPr>
          <w:p>
            <w:pPr>
              <w:ind w:left="3380"/>
              <w:spacing w:after="0"/>
              <w:rPr>
                <w:sz w:val="20"/>
                <w:szCs w:val="20"/>
                <w:color w:val="auto"/>
              </w:rPr>
            </w:pPr>
            <w:r>
              <w:rPr>
                <w:rFonts w:ascii="Arial" w:cs="Arial" w:eastAsia="Arial" w:hAnsi="Arial"/>
                <w:sz w:val="14"/>
                <w:szCs w:val="14"/>
                <w:color w:val="auto"/>
              </w:rPr>
              <w:t>Smaller reporting company</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156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5240" w:type="dxa"/>
            <w:vAlign w:val="bottom"/>
          </w:tcPr>
          <w:p>
            <w:pPr>
              <w:ind w:left="3380"/>
              <w:spacing w:after="0"/>
              <w:rPr>
                <w:sz w:val="20"/>
                <w:szCs w:val="20"/>
                <w:color w:val="auto"/>
              </w:rPr>
            </w:pPr>
            <w:r>
              <w:rPr>
                <w:rFonts w:ascii="Arial" w:cs="Arial" w:eastAsia="Arial" w:hAnsi="Arial"/>
                <w:sz w:val="14"/>
                <w:szCs w:val="14"/>
                <w:color w:val="auto"/>
              </w:rPr>
              <w:t>Emerging growth company</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72" w:lineRule="exact"/>
        <w:rPr>
          <w:sz w:val="24"/>
          <w:szCs w:val="24"/>
          <w:color w:val="auto"/>
        </w:rPr>
      </w:pPr>
    </w:p>
    <w:p>
      <w:pPr>
        <w:ind w:left="120" w:right="580" w:firstLine="44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6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CALCULATION OF REGISTRATION FEE</w:t>
      </w:r>
    </w:p>
    <w:p>
      <w:pPr>
        <w:spacing w:after="0" w:line="112"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388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388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vMerge w:val="restart"/>
          </w:tcPr>
          <w:p>
            <w:pPr>
              <w:jc w:val="center"/>
              <w:ind w:left="8"/>
              <w:spacing w:after="0"/>
              <w:rPr>
                <w:sz w:val="20"/>
                <w:szCs w:val="20"/>
                <w:color w:val="auto"/>
              </w:rPr>
            </w:pPr>
            <w:r>
              <w:rPr>
                <w:rFonts w:ascii="Arial" w:cs="Arial" w:eastAsia="Arial" w:hAnsi="Arial"/>
                <w:sz w:val="14"/>
                <w:szCs w:val="14"/>
                <w:b w:val="1"/>
                <w:bCs w:val="1"/>
                <w:color w:val="auto"/>
                <w:w w:val="94"/>
              </w:rPr>
              <w:t>Amount</w:t>
            </w:r>
          </w:p>
        </w:tc>
        <w:tc>
          <w:tcPr>
            <w:tcW w:w="176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740" w:type="dxa"/>
            <w:vAlign w:val="bottom"/>
            <w:tcBorders>
              <w:right w:val="single" w:sz="8" w:color="auto"/>
            </w:tcBorders>
          </w:tcPr>
          <w:p>
            <w:pPr>
              <w:jc w:val="center"/>
              <w:ind w:left="10"/>
              <w:spacing w:after="0" w:line="106" w:lineRule="exact"/>
              <w:rPr>
                <w:sz w:val="20"/>
                <w:szCs w:val="20"/>
                <w:color w:val="auto"/>
              </w:rPr>
            </w:pPr>
            <w:r>
              <w:rPr>
                <w:rFonts w:ascii="Arial" w:cs="Arial" w:eastAsia="Arial" w:hAnsi="Arial"/>
                <w:sz w:val="12"/>
                <w:szCs w:val="12"/>
                <w:b w:val="1"/>
                <w:bCs w:val="1"/>
                <w:color w:val="auto"/>
              </w:rPr>
              <w:t>Proposed</w:t>
            </w: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w:t>
            </w:r>
          </w:p>
        </w:tc>
        <w:tc>
          <w:tcPr>
            <w:tcW w:w="1780" w:type="dxa"/>
            <w:vAlign w:val="bottom"/>
            <w:tcBorders>
              <w:right w:val="single" w:sz="8" w:color="auto"/>
            </w:tcBorders>
            <w:vMerge w:val="continue"/>
          </w:tcPr>
          <w:p>
            <w:pPr>
              <w:spacing w:after="0"/>
              <w:rPr>
                <w:sz w:val="12"/>
                <w:szCs w:val="12"/>
                <w:color w:val="auto"/>
              </w:rPr>
            </w:pPr>
          </w:p>
        </w:tc>
        <w:tc>
          <w:tcPr>
            <w:tcW w:w="176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9"/>
              </w:rPr>
              <w:t>Maximum</w:t>
            </w:r>
          </w:p>
        </w:tc>
        <w:tc>
          <w:tcPr>
            <w:tcW w:w="1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86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3880" w:type="dxa"/>
            <w:vAlign w:val="bottom"/>
            <w:tcBorders>
              <w:right w:val="single" w:sz="8" w:color="auto"/>
            </w:tcBorders>
            <w:vMerge w:val="continue"/>
          </w:tcPr>
          <w:p>
            <w:pPr>
              <w:spacing w:after="0"/>
              <w:rPr>
                <w:sz w:val="12"/>
                <w:szCs w:val="12"/>
                <w:color w:val="auto"/>
              </w:rPr>
            </w:pPr>
          </w:p>
        </w:tc>
        <w:tc>
          <w:tcPr>
            <w:tcW w:w="178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89"/>
              </w:rPr>
              <w:t>to be</w:t>
            </w:r>
          </w:p>
        </w:tc>
        <w:tc>
          <w:tcPr>
            <w:tcW w:w="1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Offering Price</w:t>
            </w:r>
          </w:p>
        </w:tc>
        <w:tc>
          <w:tcPr>
            <w:tcW w:w="174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89"/>
              </w:rPr>
              <w:t>Aggregate</w:t>
            </w:r>
          </w:p>
        </w:tc>
        <w:tc>
          <w:tcPr>
            <w:tcW w:w="1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78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1"/>
              </w:rPr>
              <w:t>Registered(1)</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Per Share(2)</w:t>
            </w:r>
          </w:p>
        </w:tc>
        <w:tc>
          <w:tcPr>
            <w:tcW w:w="174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w w:val="96"/>
              </w:rPr>
              <w:t>Offering Price(1)(2)</w:t>
            </w:r>
          </w:p>
        </w:tc>
        <w:tc>
          <w:tcPr>
            <w:tcW w:w="186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3"/>
              </w:rPr>
              <w:t>Registration Fee(1)(3)</w:t>
            </w:r>
          </w:p>
        </w:tc>
        <w:tc>
          <w:tcPr>
            <w:tcW w:w="0" w:type="dxa"/>
            <w:vAlign w:val="bottom"/>
          </w:tcPr>
          <w:p>
            <w:pPr>
              <w:spacing w:after="0"/>
              <w:rPr>
                <w:sz w:val="1"/>
                <w:szCs w:val="1"/>
                <w:color w:val="auto"/>
              </w:rPr>
            </w:pPr>
          </w:p>
        </w:tc>
      </w:tr>
      <w:tr>
        <w:trPr>
          <w:trHeight w:val="142"/>
        </w:trPr>
        <w:tc>
          <w:tcPr>
            <w:tcW w:w="388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Common Stock $0.0001 par value per share</w:t>
            </w:r>
          </w:p>
        </w:tc>
        <w:tc>
          <w:tcPr>
            <w:tcW w:w="1780" w:type="dxa"/>
            <w:vAlign w:val="bottom"/>
            <w:tcBorders>
              <w:bottom w:val="single" w:sz="8" w:color="auto"/>
              <w:right w:val="single" w:sz="8" w:color="auto"/>
            </w:tcBorders>
          </w:tcPr>
          <w:p>
            <w:pPr>
              <w:jc w:val="right"/>
              <w:ind w:right="468"/>
              <w:spacing w:after="0" w:line="142" w:lineRule="exact"/>
              <w:rPr>
                <w:sz w:val="20"/>
                <w:szCs w:val="20"/>
                <w:color w:val="auto"/>
              </w:rPr>
            </w:pPr>
            <w:r>
              <w:rPr>
                <w:rFonts w:ascii="Arial" w:cs="Arial" w:eastAsia="Arial" w:hAnsi="Arial"/>
                <w:sz w:val="14"/>
                <w:szCs w:val="14"/>
                <w:color w:val="auto"/>
              </w:rPr>
              <w:t>11,500,000</w:t>
            </w:r>
          </w:p>
        </w:tc>
        <w:tc>
          <w:tcPr>
            <w:tcW w:w="17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$16.00</w:t>
            </w:r>
          </w:p>
        </w:tc>
        <w:tc>
          <w:tcPr>
            <w:tcW w:w="17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$184,000,000</w:t>
            </w:r>
          </w:p>
        </w:tc>
        <w:tc>
          <w:tcPr>
            <w:tcW w:w="1860" w:type="dxa"/>
            <w:vAlign w:val="bottom"/>
            <w:tcBorders>
              <w:bottom w:val="single" w:sz="8" w:color="auto"/>
            </w:tcBorders>
          </w:tcPr>
          <w:p>
            <w:pPr>
              <w:jc w:val="center"/>
              <w:ind w:left="8"/>
              <w:spacing w:after="0" w:line="142" w:lineRule="exact"/>
              <w:rPr>
                <w:sz w:val="20"/>
                <w:szCs w:val="20"/>
                <w:color w:val="auto"/>
              </w:rPr>
            </w:pPr>
            <w:r>
              <w:rPr>
                <w:rFonts w:ascii="Arial" w:cs="Arial" w:eastAsia="Arial" w:hAnsi="Arial"/>
                <w:sz w:val="14"/>
                <w:szCs w:val="14"/>
                <w:color w:val="auto"/>
                <w:w w:val="90"/>
              </w:rPr>
              <w:t>$20,075</w:t>
            </w:r>
          </w:p>
        </w:tc>
        <w:tc>
          <w:tcPr>
            <w:tcW w:w="0" w:type="dxa"/>
            <w:vAlign w:val="bottom"/>
          </w:tcPr>
          <w:p>
            <w:pPr>
              <w:spacing w:after="0"/>
              <w:rPr>
                <w:sz w:val="1"/>
                <w:szCs w:val="1"/>
                <w:color w:val="auto"/>
              </w:rPr>
            </w:pPr>
          </w:p>
        </w:tc>
      </w:tr>
      <w:tr>
        <w:trPr>
          <w:trHeight w:val="20"/>
        </w:trPr>
        <w:tc>
          <w:tcPr>
            <w:tcW w:w="38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hanging="424"/>
        <w:spacing w:after="0" w:line="231"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the aggregate offering price of the 1,500,000 additional shares that the underwriters have the option to purchase.</w:t>
      </w:r>
    </w:p>
    <w:p>
      <w:pPr>
        <w:ind w:left="540" w:hanging="424"/>
        <w:spacing w:after="0" w:line="221"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457(a) under the Securities Act of 1933, as amended.</w:t>
      </w:r>
    </w:p>
    <w:p>
      <w:pPr>
        <w:ind w:left="540" w:right="180" w:hanging="424"/>
        <w:spacing w:after="0" w:line="237"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pursuant to Rule 457(a) under the Securities Act of 1933, as amended, based on an estimate of the proposed maximum aggregate offering price. Of this amount, a total of $10,910 was already paid.</w:t>
      </w:r>
    </w:p>
    <w:p>
      <w:pPr>
        <w:spacing w:after="0" w:line="71" w:lineRule="exact"/>
        <w:rPr>
          <w:sz w:val="24"/>
          <w:szCs w:val="24"/>
          <w:color w:val="auto"/>
        </w:rPr>
      </w:pPr>
    </w:p>
    <w:p>
      <w:pPr>
        <w:ind w:left="120" w:right="80" w:firstLine="440"/>
        <w:spacing w:after="0" w:line="26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right="60"/>
        <w:spacing w:after="0" w:line="243" w:lineRule="auto"/>
        <w:rPr>
          <w:sz w:val="20"/>
          <w:szCs w:val="20"/>
          <w:color w:val="auto"/>
        </w:rPr>
      </w:pPr>
      <w:r>
        <w:rPr>
          <w:rFonts w:ascii="Arial" w:cs="Arial" w:eastAsia="Arial" w:hAnsi="Arial"/>
          <w:sz w:val="15"/>
          <w:szCs w:val="15"/>
          <w:b w:val="1"/>
          <w:bCs w:val="1"/>
          <w:color w:val="DE1A1E"/>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DE1A1E"/>
        </w:rPr>
        <w:t>PROSPECTUS (Subject to Completion)</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DE1A1E"/>
        </w:rPr>
        <w:t>Issued July 26, 2021</w:t>
      </w: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32"/>
          <w:szCs w:val="32"/>
          <w:i w:val="1"/>
          <w:iCs w:val="1"/>
          <w:color w:val="auto"/>
        </w:rPr>
        <w:t>10,000,000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70485</wp:posOffset>
            </wp:positionV>
            <wp:extent cx="2331720" cy="8312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31720"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99"/>
        <w:spacing w:after="0"/>
        <w:rPr>
          <w:sz w:val="20"/>
          <w:szCs w:val="20"/>
          <w:color w:val="auto"/>
        </w:rPr>
      </w:pPr>
      <w:r>
        <w:rPr>
          <w:rFonts w:ascii="Arial" w:cs="Arial" w:eastAsia="Arial" w:hAnsi="Arial"/>
          <w:sz w:val="22"/>
          <w:szCs w:val="22"/>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221615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20" w:right="400"/>
        <w:spacing w:after="0" w:line="381" w:lineRule="auto"/>
        <w:rPr>
          <w:sz w:val="20"/>
          <w:szCs w:val="20"/>
          <w:color w:val="auto"/>
        </w:rPr>
      </w:pPr>
      <w:r>
        <w:rPr>
          <w:rFonts w:ascii="Arial" w:cs="Arial" w:eastAsia="Arial" w:hAnsi="Arial"/>
          <w:sz w:val="15"/>
          <w:szCs w:val="15"/>
          <w:b w:val="1"/>
          <w:bCs w:val="1"/>
          <w:i w:val="1"/>
          <w:iCs w:val="1"/>
          <w:color w:val="auto"/>
        </w:rPr>
        <w:t>Tenaya Therapeutics, Inc. is offering 10,000,000 shares of our common stock. This is the initial public offering, and no public market currently exists for our shares of common stock. We anticipate that the initial public offering price will be between $14.00 and $16.00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applied to list the common stock on the Nasdaq Stock Market under the symbol “TNYA”.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220345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left="120" w:right="720"/>
        <w:spacing w:after="0" w:line="250" w:lineRule="auto"/>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We are an “emerging growth company” as defined under the federal securities laws. Investing in our common stock involves risks. See the section titled “</w:t>
      </w:r>
      <w:hyperlink w:anchor="page19">
        <w:r>
          <w:rPr>
            <w:rFonts w:ascii="Arial" w:cs="Arial" w:eastAsia="Arial" w:hAnsi="Arial"/>
            <w:sz w:val="22"/>
            <w:szCs w:val="22"/>
            <w:b w:val="1"/>
            <w:bCs w:val="1"/>
            <w:i w:val="1"/>
            <w:iCs w:val="1"/>
            <w:u w:val="single" w:color="auto"/>
            <w:color w:val="0000EE"/>
          </w:rPr>
          <w:t>Risk Factors</w:t>
        </w:r>
      </w:hyperlink>
      <w:r>
        <w:rPr>
          <w:rFonts w:ascii="Arial" w:cs="Arial" w:eastAsia="Arial" w:hAnsi="Arial"/>
          <w:sz w:val="22"/>
          <w:szCs w:val="22"/>
          <w:b w:val="1"/>
          <w:bCs w:val="1"/>
          <w:i w:val="1"/>
          <w:iCs w:val="1"/>
          <w:color w:val="auto"/>
        </w:rPr>
        <w:t>” beginning on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201930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340" w:type="dxa"/>
            <w:vAlign w:val="bottom"/>
          </w:tcPr>
          <w:p>
            <w:pPr>
              <w:spacing w:after="0"/>
              <w:rPr>
                <w:sz w:val="20"/>
                <w:szCs w:val="20"/>
                <w:color w:val="auto"/>
              </w:rPr>
            </w:pPr>
          </w:p>
        </w:tc>
        <w:tc>
          <w:tcPr>
            <w:tcW w:w="1120" w:type="dxa"/>
            <w:vAlign w:val="bottom"/>
          </w:tcPr>
          <w:p>
            <w:pPr>
              <w:ind w:left="200"/>
              <w:spacing w:after="0"/>
              <w:rPr>
                <w:sz w:val="20"/>
                <w:szCs w:val="20"/>
                <w:color w:val="auto"/>
              </w:rPr>
            </w:pPr>
            <w:r>
              <w:rPr>
                <w:rFonts w:ascii="Arial" w:cs="Arial" w:eastAsia="Arial" w:hAnsi="Arial"/>
                <w:sz w:val="18"/>
                <w:szCs w:val="18"/>
                <w:i w:val="1"/>
                <w:iCs w:val="1"/>
                <w:color w:val="auto"/>
              </w:rPr>
              <w:t>PRICE $</w:t>
            </w:r>
          </w:p>
        </w:tc>
        <w:tc>
          <w:tcPr>
            <w:tcW w:w="1200" w:type="dxa"/>
            <w:vAlign w:val="bottom"/>
            <w:gridSpan w:val="3"/>
          </w:tcPr>
          <w:p>
            <w:pPr>
              <w:jc w:val="center"/>
              <w:ind w:left="36"/>
              <w:spacing w:after="0"/>
              <w:rPr>
                <w:sz w:val="20"/>
                <w:szCs w:val="20"/>
                <w:color w:val="auto"/>
              </w:rPr>
            </w:pPr>
            <w:r>
              <w:rPr>
                <w:rFonts w:ascii="Arial" w:cs="Arial" w:eastAsia="Arial" w:hAnsi="Arial"/>
                <w:sz w:val="18"/>
                <w:szCs w:val="18"/>
                <w:i w:val="1"/>
                <w:iCs w:val="1"/>
                <w:color w:val="auto"/>
                <w:w w:val="91"/>
              </w:rPr>
              <w:t>A SHARE</w:t>
            </w:r>
          </w:p>
        </w:tc>
        <w:tc>
          <w:tcPr>
            <w:tcW w:w="10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340" w:type="dxa"/>
            <w:vAlign w:val="bottom"/>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40" w:type="dxa"/>
            <w:vAlign w:val="bottom"/>
          </w:tcPr>
          <w:p>
            <w:pPr>
              <w:spacing w:after="0"/>
              <w:rPr>
                <w:sz w:val="23"/>
                <w:szCs w:val="23"/>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i w:val="1"/>
                <w:iCs w:val="1"/>
                <w:color w:val="auto"/>
                <w:w w:val="92"/>
              </w:rPr>
              <w:t>Underwriting</w:t>
            </w:r>
          </w:p>
        </w:tc>
        <w:tc>
          <w:tcPr>
            <w:tcW w:w="10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6"/>
        </w:trPr>
        <w:tc>
          <w:tcPr>
            <w:tcW w:w="4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8"/>
              </w:rPr>
              <w:t>Discounts</w:t>
            </w:r>
          </w:p>
        </w:tc>
        <w:tc>
          <w:tcPr>
            <w:tcW w:w="10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4"/>
              </w:rPr>
              <w:t>Proceeds to</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0" w:type="dxa"/>
            <w:vAlign w:val="bottom"/>
            <w:gridSpan w:val="3"/>
          </w:tcPr>
          <w:p>
            <w:pPr>
              <w:jc w:val="center"/>
              <w:ind w:left="16"/>
              <w:spacing w:after="0" w:line="149" w:lineRule="exact"/>
              <w:rPr>
                <w:sz w:val="20"/>
                <w:szCs w:val="20"/>
                <w:color w:val="auto"/>
              </w:rPr>
            </w:pPr>
            <w:r>
              <w:rPr>
                <w:rFonts w:ascii="Arial" w:cs="Arial" w:eastAsia="Arial" w:hAnsi="Arial"/>
                <w:sz w:val="14"/>
                <w:szCs w:val="14"/>
                <w:b w:val="1"/>
                <w:bCs w:val="1"/>
                <w:i w:val="1"/>
                <w:iCs w:val="1"/>
                <w:color w:val="auto"/>
                <w:w w:val="89"/>
              </w:rPr>
              <w:t>Price to</w:t>
            </w:r>
          </w:p>
        </w:tc>
        <w:tc>
          <w:tcPr>
            <w:tcW w:w="10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8"/>
              </w:rPr>
              <w:t>and</w:t>
            </w:r>
          </w:p>
        </w:tc>
        <w:tc>
          <w:tcPr>
            <w:tcW w:w="10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6"/>
              </w:rPr>
              <w:t>Tenaya</w:t>
            </w:r>
          </w:p>
        </w:tc>
        <w:tc>
          <w:tcPr>
            <w:tcW w:w="0" w:type="dxa"/>
            <w:vAlign w:val="bottom"/>
          </w:tcPr>
          <w:p>
            <w:pPr>
              <w:spacing w:after="0"/>
              <w:rPr>
                <w:sz w:val="1"/>
                <w:szCs w:val="1"/>
                <w:color w:val="auto"/>
              </w:rPr>
            </w:pPr>
          </w:p>
        </w:tc>
      </w:tr>
      <w:tr>
        <w:trPr>
          <w:trHeight w:val="167"/>
        </w:trPr>
        <w:tc>
          <w:tcPr>
            <w:tcW w:w="54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Per Share</w:t>
            </w:r>
          </w:p>
        </w:tc>
        <w:tc>
          <w:tcPr>
            <w:tcW w:w="440" w:type="dxa"/>
            <w:vAlign w:val="bottom"/>
          </w:tcPr>
          <w:p>
            <w:pPr>
              <w:spacing w:after="0"/>
              <w:rPr>
                <w:sz w:val="14"/>
                <w:szCs w:val="14"/>
                <w:color w:val="auto"/>
              </w:rPr>
            </w:pPr>
          </w:p>
        </w:tc>
        <w:tc>
          <w:tcPr>
            <w:tcW w:w="760" w:type="dxa"/>
            <w:vAlign w:val="bottom"/>
            <w:gridSpan w:val="2"/>
          </w:tcPr>
          <w:p>
            <w:pPr>
              <w:jc w:val="center"/>
              <w:ind w:right="340"/>
              <w:spacing w:after="0"/>
              <w:rPr>
                <w:sz w:val="20"/>
                <w:szCs w:val="20"/>
                <w:color w:val="auto"/>
              </w:rPr>
            </w:pPr>
            <w:r>
              <w:rPr>
                <w:rFonts w:ascii="Arial" w:cs="Arial" w:eastAsia="Arial" w:hAnsi="Arial"/>
                <w:sz w:val="14"/>
                <w:szCs w:val="14"/>
                <w:b w:val="1"/>
                <w:bCs w:val="1"/>
                <w:i w:val="1"/>
                <w:iCs w:val="1"/>
                <w:color w:val="auto"/>
                <w:w w:val="90"/>
              </w:rPr>
              <w:t>Public</w:t>
            </w:r>
          </w:p>
        </w:tc>
        <w:tc>
          <w:tcPr>
            <w:tcW w:w="10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8"/>
              </w:rPr>
              <w:t>Commissions</w:t>
            </w:r>
            <w:r>
              <w:rPr>
                <w:rFonts w:ascii="Arial" w:cs="Arial" w:eastAsia="Arial" w:hAnsi="Arial"/>
                <w:sz w:val="12"/>
                <w:szCs w:val="12"/>
                <w:b w:val="1"/>
                <w:bCs w:val="1"/>
                <w:i w:val="1"/>
                <w:iCs w:val="1"/>
                <w:color w:val="auto"/>
                <w:w w:val="88"/>
              </w:rPr>
              <w:t>(1)</w:t>
            </w:r>
          </w:p>
        </w:tc>
        <w:tc>
          <w:tcPr>
            <w:tcW w:w="10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0"/>
              </w:rPr>
              <w:t>Therapeutics, Inc.</w:t>
            </w:r>
          </w:p>
        </w:tc>
        <w:tc>
          <w:tcPr>
            <w:tcW w:w="0" w:type="dxa"/>
            <w:vAlign w:val="bottom"/>
          </w:tcPr>
          <w:p>
            <w:pPr>
              <w:spacing w:after="0"/>
              <w:rPr>
                <w:sz w:val="1"/>
                <w:szCs w:val="1"/>
                <w:color w:val="auto"/>
              </w:rPr>
            </w:pPr>
          </w:p>
        </w:tc>
      </w:tr>
      <w:tr>
        <w:trPr>
          <w:trHeight w:val="195"/>
        </w:trPr>
        <w:tc>
          <w:tcPr>
            <w:tcW w:w="546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i w:val="1"/>
                <w:iCs w:val="1"/>
                <w:color w:val="auto"/>
              </w:rPr>
              <w:t>$</w:t>
            </w: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40" w:type="dxa"/>
            <w:vAlign w:val="bottom"/>
            <w:tcBorders>
              <w:top w:val="single" w:sz="8" w:color="auto"/>
            </w:tcBorders>
          </w:tcPr>
          <w:p>
            <w:pPr>
              <w:jc w:val="right"/>
              <w:ind w:right="184"/>
              <w:spacing w:after="0" w:line="195" w:lineRule="exact"/>
              <w:rPr>
                <w:sz w:val="20"/>
                <w:szCs w:val="20"/>
                <w:color w:val="auto"/>
              </w:rPr>
            </w:pPr>
            <w:r>
              <w:rPr>
                <w:rFonts w:ascii="Arial" w:cs="Arial" w:eastAsia="Arial" w:hAnsi="Arial"/>
                <w:sz w:val="18"/>
                <w:szCs w:val="18"/>
                <w:i w:val="1"/>
                <w:iCs w:val="1"/>
                <w:color w:val="auto"/>
              </w:rPr>
              <w:t>$</w:t>
            </w:r>
          </w:p>
        </w:tc>
        <w:tc>
          <w:tcPr>
            <w:tcW w:w="1080" w:type="dxa"/>
            <w:vAlign w:val="bottom"/>
          </w:tcPr>
          <w:p>
            <w:pPr>
              <w:spacing w:after="0"/>
              <w:rPr>
                <w:sz w:val="16"/>
                <w:szCs w:val="16"/>
                <w:color w:val="auto"/>
              </w:rPr>
            </w:pPr>
          </w:p>
        </w:tc>
        <w:tc>
          <w:tcPr>
            <w:tcW w:w="1100" w:type="dxa"/>
            <w:vAlign w:val="bottom"/>
            <w:tcBorders>
              <w:top w:val="single" w:sz="8" w:color="auto"/>
            </w:tcBorders>
          </w:tcPr>
          <w:p>
            <w:pPr>
              <w:jc w:val="right"/>
              <w:ind w:right="204"/>
              <w:spacing w:after="0" w:line="195" w:lineRule="exact"/>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i w:val="1"/>
                <w:iCs w:val="1"/>
                <w:color w:val="auto"/>
              </w:rPr>
              <w:t>Total</w:t>
            </w:r>
          </w:p>
        </w:tc>
        <w:tc>
          <w:tcPr>
            <w:tcW w:w="44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gridSpan w:val="2"/>
          </w:tcPr>
          <w:p>
            <w:pPr>
              <w:jc w:val="right"/>
              <w:ind w:right="684"/>
              <w:spacing w:after="0"/>
              <w:rPr>
                <w:sz w:val="20"/>
                <w:szCs w:val="20"/>
                <w:color w:val="auto"/>
              </w:rPr>
            </w:pPr>
            <w:r>
              <w:rPr>
                <w:rFonts w:ascii="Arial" w:cs="Arial" w:eastAsia="Arial" w:hAnsi="Arial"/>
                <w:sz w:val="18"/>
                <w:szCs w:val="18"/>
                <w:i w:val="1"/>
                <w:iCs w:val="1"/>
                <w:color w:val="auto"/>
              </w:rPr>
              <w:t>$</w:t>
            </w:r>
          </w:p>
        </w:tc>
        <w:tc>
          <w:tcPr>
            <w:tcW w:w="2180" w:type="dxa"/>
            <w:vAlign w:val="bottom"/>
            <w:gridSpan w:val="2"/>
          </w:tcPr>
          <w:p>
            <w:pPr>
              <w:jc w:val="right"/>
              <w:ind w:right="704"/>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See the section titled “Underwriters” for a description of the compensation payable to the underwriters.</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We have granted the underwriters the right to purchase up to 1,500,000 additional shares of our common stock to cover over-allotments, if any.</w:t>
      </w:r>
    </w:p>
    <w:p>
      <w:pPr>
        <w:spacing w:after="0" w:line="156"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i w:val="1"/>
          <w:i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03"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7580" w:type="dxa"/>
            <w:vAlign w:val="bottom"/>
          </w:tcPr>
          <w:p>
            <w:pPr>
              <w:spacing w:after="0"/>
              <w:rPr>
                <w:sz w:val="20"/>
                <w:szCs w:val="20"/>
                <w:color w:val="auto"/>
              </w:rPr>
            </w:pPr>
            <w:r>
              <w:rPr>
                <w:rFonts w:ascii="Arial" w:cs="Arial" w:eastAsia="Arial" w:hAnsi="Arial"/>
                <w:sz w:val="18"/>
                <w:szCs w:val="18"/>
                <w:i w:val="1"/>
                <w:iCs w:val="1"/>
                <w:color w:val="auto"/>
                <w:w w:val="95"/>
              </w:rPr>
              <w:t>The underwriters expect to deliver the shares against payment in New York, New York, on or about</w:t>
            </w: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205740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ind w:left="120"/>
        <w:spacing w:after="0"/>
        <w:rPr>
          <w:sz w:val="20"/>
          <w:szCs w:val="20"/>
          <w:color w:val="auto"/>
        </w:rPr>
      </w:pPr>
      <w:r>
        <w:rPr>
          <w:rFonts w:ascii="Arial" w:cs="Arial" w:eastAsia="Arial" w:hAnsi="Arial"/>
          <w:sz w:val="29"/>
          <w:szCs w:val="29"/>
          <w:i w:val="1"/>
          <w:iCs w:val="1"/>
          <w:color w:val="auto"/>
        </w:rPr>
        <w:t>Morgan Stanley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jc w:val="center"/>
        <w:ind w:right="2360"/>
        <w:spacing w:after="0"/>
        <w:rPr>
          <w:sz w:val="20"/>
          <w:szCs w:val="20"/>
          <w:color w:val="auto"/>
        </w:rPr>
      </w:pPr>
      <w:r>
        <w:rPr>
          <w:rFonts w:ascii="Arial" w:cs="Arial" w:eastAsia="Arial" w:hAnsi="Arial"/>
          <w:sz w:val="28"/>
          <w:szCs w:val="28"/>
          <w:i w:val="1"/>
          <w:iCs w:val="1"/>
          <w:color w:val="auto"/>
        </w:rPr>
        <w:t>Cowen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30"/>
          <w:szCs w:val="30"/>
          <w:i w:val="1"/>
          <w:iCs w:val="1"/>
          <w:color w:val="auto"/>
        </w:rPr>
        <w:t>Piper Sandler</w:t>
      </w:r>
    </w:p>
    <w:p>
      <w:pPr>
        <w:spacing w:after="0" w:line="96" w:lineRule="exact"/>
        <w:rPr>
          <w:sz w:val="20"/>
          <w:szCs w:val="20"/>
          <w:color w:val="auto"/>
        </w:rPr>
      </w:pPr>
    </w:p>
    <w:p>
      <w:pPr>
        <w:sectPr>
          <w:pgSz w:w="11900" w:h="16838" w:orient="portrait"/>
          <w:cols w:equalWidth="0" w:num="3">
            <w:col w:w="4620" w:space="720"/>
            <w:col w:w="3260" w:space="720"/>
            <w:col w:w="1820"/>
          </w:cols>
          <w:pgMar w:left="320" w:top="459" w:right="439" w:bottom="1440" w:gutter="0" w:footer="0" w:header="0"/>
          <w:type w:val="continuous"/>
        </w:sectPr>
      </w:pPr>
    </w:p>
    <w:p>
      <w:pPr>
        <w:jc w:val="center"/>
        <w:ind w:left="340"/>
        <w:spacing w:after="0"/>
        <w:rPr>
          <w:sz w:val="20"/>
          <w:szCs w:val="20"/>
          <w:color w:val="auto"/>
        </w:rPr>
      </w:pPr>
      <w:r>
        <w:rPr>
          <w:rFonts w:ascii="Arial" w:cs="Arial" w:eastAsia="Arial" w:hAnsi="Arial"/>
          <w:sz w:val="26"/>
          <w:szCs w:val="26"/>
          <w:i w:val="1"/>
          <w:iCs w:val="1"/>
          <w:color w:val="auto"/>
        </w:rPr>
        <w:t>Chardan</w:t>
      </w:r>
    </w:p>
    <w:p>
      <w:pPr>
        <w:spacing w:after="0" w:line="224"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 2021</w:t>
      </w:r>
    </w:p>
    <w:p>
      <w:pPr>
        <w:sectPr>
          <w:pgSz w:w="11900" w:h="16838" w:orient="portrait"/>
          <w:cols w:equalWidth="0" w:num="1">
            <w:col w:w="11140"/>
          </w:cols>
          <w:pgMar w:left="32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840" w:type="dxa"/>
            <w:vAlign w:val="bottom"/>
            <w:gridSpan w:val="16"/>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PROSPECTUS SUMMARY</w:t>
              </w:r>
            </w:hyperlink>
          </w:p>
        </w:tc>
        <w:tc>
          <w:tcPr>
            <w:tcW w:w="7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5"/>
              </w:rPr>
              <w:t>Page</w:t>
            </w:r>
          </w:p>
        </w:tc>
        <w:tc>
          <w:tcPr>
            <w:tcW w:w="5000" w:type="dxa"/>
            <w:vAlign w:val="bottom"/>
            <w:gridSpan w:val="13"/>
            <w:vMerge w:val="restart"/>
          </w:tcPr>
          <w:p>
            <w:pPr>
              <w:spacing w:after="0"/>
              <w:rPr>
                <w:rFonts w:ascii="Arial" w:cs="Arial" w:eastAsia="Arial" w:hAnsi="Arial"/>
                <w:sz w:val="18"/>
                <w:szCs w:val="18"/>
                <w:color w:val="0000EE"/>
              </w:rPr>
            </w:pPr>
            <w:hyperlink w:anchor="page224">
              <w:r>
                <w:rPr>
                  <w:rFonts w:ascii="Arial" w:cs="Arial" w:eastAsia="Arial" w:hAnsi="Arial"/>
                  <w:sz w:val="18"/>
                  <w:szCs w:val="18"/>
                  <w:color w:val="0000EE"/>
                </w:rPr>
                <w:t>EXECUTIVE COMPENSATION</w:t>
              </w:r>
            </w:hyperlink>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4840" w:type="dxa"/>
            <w:vAlign w:val="bottom"/>
            <w:gridSpan w:val="16"/>
            <w:vMerge w:val="continue"/>
          </w:tcPr>
          <w:p>
            <w:pPr>
              <w:spacing w:after="0"/>
              <w:rPr>
                <w:sz w:val="14"/>
                <w:szCs w:val="14"/>
                <w:color w:val="auto"/>
              </w:rPr>
            </w:pPr>
          </w:p>
        </w:tc>
        <w:tc>
          <w:tcPr>
            <w:tcW w:w="36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420" w:type="dxa"/>
            <w:vAlign w:val="bottom"/>
          </w:tcPr>
          <w:p>
            <w:pPr>
              <w:spacing w:after="0"/>
              <w:rPr>
                <w:sz w:val="14"/>
                <w:szCs w:val="14"/>
                <w:color w:val="auto"/>
              </w:rPr>
            </w:pPr>
          </w:p>
        </w:tc>
        <w:tc>
          <w:tcPr>
            <w:tcW w:w="5000" w:type="dxa"/>
            <w:vAlign w:val="bottom"/>
            <w:gridSpan w:val="13"/>
            <w:vMerge w:val="continue"/>
          </w:tcPr>
          <w:p>
            <w:pPr>
              <w:spacing w:after="0"/>
              <w:rPr>
                <w:sz w:val="14"/>
                <w:szCs w:val="14"/>
                <w:color w:val="auto"/>
              </w:rPr>
            </w:pPr>
          </w:p>
        </w:tc>
        <w:tc>
          <w:tcPr>
            <w:tcW w:w="3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w w:val="99"/>
              </w:rPr>
              <w:t>221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gridSpan w:val="11"/>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2760" w:type="dxa"/>
            <w:vAlign w:val="bottom"/>
            <w:gridSpan w:val="5"/>
          </w:tcPr>
          <w:p>
            <w:pPr>
              <w:spacing w:after="0"/>
              <w:rPr>
                <w:sz w:val="17"/>
                <w:szCs w:val="17"/>
                <w:color w:val="auto"/>
              </w:rPr>
            </w:pPr>
          </w:p>
        </w:tc>
        <w:tc>
          <w:tcPr>
            <w:tcW w:w="78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16</w:t>
            </w:r>
          </w:p>
        </w:tc>
        <w:tc>
          <w:tcPr>
            <w:tcW w:w="5000" w:type="dxa"/>
            <w:vAlign w:val="bottom"/>
            <w:gridSpan w:val="13"/>
          </w:tcPr>
          <w:p>
            <w:pPr>
              <w:spacing w:after="0" w:line="196" w:lineRule="exact"/>
              <w:rPr>
                <w:rFonts w:ascii="Arial" w:cs="Arial" w:eastAsia="Arial" w:hAnsi="Arial"/>
                <w:sz w:val="18"/>
                <w:szCs w:val="18"/>
                <w:color w:val="0000EE"/>
              </w:rPr>
            </w:pPr>
            <w:hyperlink w:anchor="page237">
              <w:r>
                <w:rPr>
                  <w:rFonts w:ascii="Arial" w:cs="Arial" w:eastAsia="Arial" w:hAnsi="Arial"/>
                  <w:sz w:val="18"/>
                  <w:szCs w:val="18"/>
                  <w:color w:val="0000EE"/>
                </w:rPr>
                <w:t>CERTAIN RELATIONSHIPS AND RELATED PARTY</w:t>
              </w:r>
            </w:hyperlink>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0" w:type="dxa"/>
            <w:vAlign w:val="bottom"/>
            <w:gridSpan w:val="15"/>
          </w:tcPr>
          <w:p>
            <w:pPr>
              <w:spacing w:after="0" w:line="196" w:lineRule="exact"/>
              <w:rPr>
                <w:rFonts w:ascii="Arial" w:cs="Arial" w:eastAsia="Arial" w:hAnsi="Arial"/>
                <w:sz w:val="18"/>
                <w:szCs w:val="18"/>
                <w:color w:val="0000EE"/>
                <w:w w:val="95"/>
              </w:rPr>
            </w:pPr>
            <w:hyperlink w:anchor="page98">
              <w:r>
                <w:rPr>
                  <w:rFonts w:ascii="Arial" w:cs="Arial" w:eastAsia="Arial" w:hAnsi="Arial"/>
                  <w:sz w:val="18"/>
                  <w:szCs w:val="18"/>
                  <w:color w:val="0000EE"/>
                  <w:w w:val="95"/>
                </w:rPr>
                <w:t>SPECIAL NOTE REGARDING FORWARD- LOOKING</w:t>
              </w:r>
            </w:hyperlink>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20" w:type="dxa"/>
            <w:vAlign w:val="bottom"/>
            <w:gridSpan w:val="12"/>
          </w:tcPr>
          <w:p>
            <w:pPr>
              <w:spacing w:after="0" w:line="196" w:lineRule="exact"/>
              <w:rPr>
                <w:rFonts w:ascii="Arial" w:cs="Arial" w:eastAsia="Arial" w:hAnsi="Arial"/>
                <w:sz w:val="18"/>
                <w:szCs w:val="18"/>
                <w:color w:val="0000EE"/>
              </w:rPr>
            </w:pPr>
            <w:hyperlink w:anchor="page237">
              <w:r>
                <w:rPr>
                  <w:rFonts w:ascii="Arial" w:cs="Arial" w:eastAsia="Arial" w:hAnsi="Arial"/>
                  <w:sz w:val="18"/>
                  <w:szCs w:val="18"/>
                  <w:color w:val="0000EE"/>
                </w:rPr>
                <w:t>TRANSACTIONS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234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14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98">
              <w:r>
                <w:rPr>
                  <w:rFonts w:ascii="Arial" w:cs="Arial" w:eastAsia="Arial" w:hAnsi="Arial"/>
                  <w:sz w:val="18"/>
                  <w:szCs w:val="18"/>
                  <w:color w:val="0000EE"/>
                  <w:w w:val="92"/>
                </w:rPr>
                <w:t>STATEMENTS</w:t>
              </w:r>
            </w:hyperlink>
          </w:p>
        </w:tc>
        <w:tc>
          <w:tcPr>
            <w:tcW w:w="2880" w:type="dxa"/>
            <w:vAlign w:val="bottom"/>
            <w:gridSpan w:val="8"/>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95</w:t>
            </w:r>
          </w:p>
        </w:tc>
        <w:tc>
          <w:tcPr>
            <w:tcW w:w="2440" w:type="dxa"/>
            <w:vAlign w:val="bottom"/>
            <w:tcBorders>
              <w:bottom w:val="single" w:sz="8" w:color="0000EE"/>
            </w:tcBorders>
            <w:gridSpan w:val="5"/>
          </w:tcPr>
          <w:p>
            <w:pPr>
              <w:spacing w:after="0" w:line="196" w:lineRule="exact"/>
              <w:rPr>
                <w:rFonts w:ascii="Arial" w:cs="Arial" w:eastAsia="Arial" w:hAnsi="Arial"/>
                <w:sz w:val="18"/>
                <w:szCs w:val="18"/>
                <w:color w:val="0000EE"/>
                <w:w w:val="96"/>
              </w:rPr>
            </w:pPr>
            <w:hyperlink w:anchor="page240">
              <w:r>
                <w:rPr>
                  <w:rFonts w:ascii="Arial" w:cs="Arial" w:eastAsia="Arial" w:hAnsi="Arial"/>
                  <w:sz w:val="18"/>
                  <w:szCs w:val="18"/>
                  <w:color w:val="0000EE"/>
                  <w:w w:val="96"/>
                </w:rPr>
                <w:t>PRINCIPAL STOCKHOLDERS</w:t>
              </w:r>
            </w:hyperlink>
          </w:p>
        </w:tc>
        <w:tc>
          <w:tcPr>
            <w:tcW w:w="256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237</w:t>
            </w:r>
          </w:p>
        </w:tc>
        <w:tc>
          <w:tcPr>
            <w:tcW w:w="0" w:type="dxa"/>
            <w:vAlign w:val="bottom"/>
          </w:tcPr>
          <w:p>
            <w:pPr>
              <w:spacing w:after="0"/>
              <w:rPr>
                <w:sz w:val="1"/>
                <w:szCs w:val="1"/>
                <w:color w:val="auto"/>
              </w:rPr>
            </w:pPr>
          </w:p>
        </w:tc>
      </w:tr>
      <w:tr>
        <w:trPr>
          <w:trHeight w:val="196"/>
        </w:trPr>
        <w:tc>
          <w:tcPr>
            <w:tcW w:w="4840" w:type="dxa"/>
            <w:vAlign w:val="bottom"/>
            <w:gridSpan w:val="16"/>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MARKET, INDUSTRY AND OTHER DATA</w:t>
              </w:r>
            </w:hyperlink>
          </w:p>
        </w:tc>
        <w:tc>
          <w:tcPr>
            <w:tcW w:w="78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97</w:t>
            </w:r>
          </w:p>
        </w:tc>
        <w:tc>
          <w:tcPr>
            <w:tcW w:w="5000" w:type="dxa"/>
            <w:vAlign w:val="bottom"/>
            <w:gridSpan w:val="13"/>
          </w:tcPr>
          <w:p>
            <w:pPr>
              <w:spacing w:after="0" w:line="196" w:lineRule="exact"/>
              <w:rPr>
                <w:rFonts w:ascii="Arial" w:cs="Arial" w:eastAsia="Arial" w:hAnsi="Arial"/>
                <w:sz w:val="18"/>
                <w:szCs w:val="18"/>
                <w:color w:val="0000EE"/>
              </w:rPr>
            </w:pPr>
            <w:hyperlink w:anchor="page243">
              <w:r>
                <w:rPr>
                  <w:rFonts w:ascii="Arial" w:cs="Arial" w:eastAsia="Arial" w:hAnsi="Arial"/>
                  <w:sz w:val="18"/>
                  <w:szCs w:val="18"/>
                  <w:color w:val="0000EE"/>
                </w:rPr>
                <w:t>DESCRIPTION OF CAPITAL STOCK</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240</w:t>
            </w:r>
          </w:p>
        </w:tc>
        <w:tc>
          <w:tcPr>
            <w:tcW w:w="0" w:type="dxa"/>
            <w:vAlign w:val="bottom"/>
          </w:tcPr>
          <w:p>
            <w:pPr>
              <w:spacing w:after="0"/>
              <w:rPr>
                <w:sz w:val="1"/>
                <w:szCs w:val="1"/>
                <w:color w:val="auto"/>
              </w:rPr>
            </w:pPr>
          </w:p>
        </w:tc>
      </w:tr>
      <w:tr>
        <w:trPr>
          <w:trHeight w:val="20"/>
        </w:trPr>
        <w:tc>
          <w:tcPr>
            <w:tcW w:w="8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101">
              <w:r>
                <w:rPr>
                  <w:rFonts w:ascii="Arial" w:cs="Arial" w:eastAsia="Arial" w:hAnsi="Arial"/>
                  <w:sz w:val="18"/>
                  <w:szCs w:val="18"/>
                  <w:color w:val="0000EE"/>
                  <w:w w:val="91"/>
                </w:rPr>
                <w:t>USE OF PROCEEDS</w:t>
              </w:r>
            </w:hyperlink>
          </w:p>
        </w:tc>
        <w:tc>
          <w:tcPr>
            <w:tcW w:w="1720" w:type="dxa"/>
            <w:vAlign w:val="bottom"/>
            <w:gridSpan w:val="3"/>
          </w:tcPr>
          <w:p>
            <w:pPr>
              <w:spacing w:after="0"/>
              <w:rPr>
                <w:sz w:val="17"/>
                <w:szCs w:val="17"/>
                <w:color w:val="auto"/>
              </w:rPr>
            </w:pPr>
          </w:p>
        </w:tc>
        <w:tc>
          <w:tcPr>
            <w:tcW w:w="1520" w:type="dxa"/>
            <w:vAlign w:val="bottom"/>
            <w:gridSpan w:val="3"/>
          </w:tcPr>
          <w:p>
            <w:pPr>
              <w:spacing w:after="0"/>
              <w:rPr>
                <w:sz w:val="17"/>
                <w:szCs w:val="17"/>
                <w:color w:val="auto"/>
              </w:rPr>
            </w:pPr>
          </w:p>
        </w:tc>
        <w:tc>
          <w:tcPr>
            <w:tcW w:w="78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98</w:t>
            </w:r>
          </w:p>
        </w:tc>
        <w:tc>
          <w:tcPr>
            <w:tcW w:w="318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w:anchor="page249">
              <w:r>
                <w:rPr>
                  <w:rFonts w:ascii="Arial" w:cs="Arial" w:eastAsia="Arial" w:hAnsi="Arial"/>
                  <w:sz w:val="18"/>
                  <w:szCs w:val="18"/>
                  <w:color w:val="0000EE"/>
                  <w:w w:val="95"/>
                </w:rPr>
                <w:t>SHARES ELIGIBLE FOR FUTURE SALE</w:t>
              </w:r>
            </w:hyperlink>
          </w:p>
        </w:tc>
        <w:tc>
          <w:tcPr>
            <w:tcW w:w="182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246</w:t>
            </w:r>
          </w:p>
        </w:tc>
        <w:tc>
          <w:tcPr>
            <w:tcW w:w="0" w:type="dxa"/>
            <w:vAlign w:val="bottom"/>
          </w:tcPr>
          <w:p>
            <w:pPr>
              <w:spacing w:after="0"/>
              <w:rPr>
                <w:sz w:val="1"/>
                <w:szCs w:val="1"/>
                <w:color w:val="auto"/>
              </w:rPr>
            </w:pPr>
          </w:p>
        </w:tc>
      </w:tr>
      <w:tr>
        <w:trPr>
          <w:trHeight w:val="196"/>
        </w:trPr>
        <w:tc>
          <w:tcPr>
            <w:tcW w:w="1580" w:type="dxa"/>
            <w:vAlign w:val="bottom"/>
            <w:gridSpan w:val="9"/>
          </w:tcPr>
          <w:p>
            <w:pPr>
              <w:spacing w:after="0" w:line="196" w:lineRule="exact"/>
              <w:rPr>
                <w:rFonts w:ascii="Arial" w:cs="Arial" w:eastAsia="Arial" w:hAnsi="Arial"/>
                <w:sz w:val="18"/>
                <w:szCs w:val="18"/>
                <w:color w:val="0000EE"/>
                <w:w w:val="99"/>
              </w:rPr>
            </w:pPr>
            <w:hyperlink w:anchor="page103">
              <w:r>
                <w:rPr>
                  <w:rFonts w:ascii="Arial" w:cs="Arial" w:eastAsia="Arial" w:hAnsi="Arial"/>
                  <w:sz w:val="18"/>
                  <w:szCs w:val="18"/>
                  <w:color w:val="0000EE"/>
                  <w:w w:val="99"/>
                </w:rPr>
                <w:t>DIVIDEND POLICY</w:t>
              </w:r>
            </w:hyperlink>
          </w:p>
        </w:tc>
        <w:tc>
          <w:tcPr>
            <w:tcW w:w="3260" w:type="dxa"/>
            <w:vAlign w:val="bottom"/>
            <w:gridSpan w:val="7"/>
          </w:tcPr>
          <w:p>
            <w:pPr>
              <w:spacing w:after="0"/>
              <w:rPr>
                <w:sz w:val="17"/>
                <w:szCs w:val="17"/>
                <w:color w:val="auto"/>
              </w:rPr>
            </w:pPr>
          </w:p>
        </w:tc>
        <w:tc>
          <w:tcPr>
            <w:tcW w:w="78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100</w:t>
            </w:r>
          </w:p>
        </w:tc>
        <w:tc>
          <w:tcPr>
            <w:tcW w:w="5000" w:type="dxa"/>
            <w:vAlign w:val="bottom"/>
            <w:gridSpan w:val="13"/>
          </w:tcPr>
          <w:p>
            <w:pPr>
              <w:spacing w:after="0" w:line="196" w:lineRule="exact"/>
              <w:rPr>
                <w:rFonts w:ascii="Arial" w:cs="Arial" w:eastAsia="Arial" w:hAnsi="Arial"/>
                <w:sz w:val="18"/>
                <w:szCs w:val="18"/>
                <w:color w:val="0000EE"/>
              </w:rPr>
            </w:pPr>
            <w:hyperlink w:anchor="page251">
              <w:r>
                <w:rPr>
                  <w:rFonts w:ascii="Arial" w:cs="Arial" w:eastAsia="Arial" w:hAnsi="Arial"/>
                  <w:sz w:val="18"/>
                  <w:szCs w:val="18"/>
                  <w:color w:val="0000EE"/>
                </w:rPr>
                <w:t>MATERIAL U.S. FEDERAL INCOME TAX</w:t>
              </w:r>
            </w:hyperlink>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gridSpan w:val="8"/>
          </w:tcPr>
          <w:p>
            <w:pPr>
              <w:spacing w:after="0" w:line="196" w:lineRule="exact"/>
              <w:rPr>
                <w:rFonts w:ascii="Arial" w:cs="Arial" w:eastAsia="Arial" w:hAnsi="Arial"/>
                <w:sz w:val="18"/>
                <w:szCs w:val="18"/>
                <w:color w:val="0000EE"/>
                <w:w w:val="98"/>
              </w:rPr>
            </w:pPr>
            <w:hyperlink w:anchor="page104">
              <w:r>
                <w:rPr>
                  <w:rFonts w:ascii="Arial" w:cs="Arial" w:eastAsia="Arial" w:hAnsi="Arial"/>
                  <w:sz w:val="18"/>
                  <w:szCs w:val="18"/>
                  <w:color w:val="0000EE"/>
                  <w:w w:val="98"/>
                </w:rPr>
                <w:t>CAPITALIZATION</w:t>
              </w:r>
            </w:hyperlink>
          </w:p>
        </w:tc>
        <w:tc>
          <w:tcPr>
            <w:tcW w:w="120" w:type="dxa"/>
            <w:vAlign w:val="bottom"/>
          </w:tcPr>
          <w:p>
            <w:pPr>
              <w:spacing w:after="0"/>
              <w:rPr>
                <w:sz w:val="17"/>
                <w:szCs w:val="17"/>
                <w:color w:val="auto"/>
              </w:rPr>
            </w:pPr>
          </w:p>
        </w:tc>
        <w:tc>
          <w:tcPr>
            <w:tcW w:w="3260" w:type="dxa"/>
            <w:vAlign w:val="bottom"/>
            <w:gridSpan w:val="7"/>
          </w:tcPr>
          <w:p>
            <w:pPr>
              <w:spacing w:after="0"/>
              <w:rPr>
                <w:sz w:val="17"/>
                <w:szCs w:val="17"/>
                <w:color w:val="auto"/>
              </w:rPr>
            </w:pPr>
          </w:p>
        </w:tc>
        <w:tc>
          <w:tcPr>
            <w:tcW w:w="78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101</w:t>
            </w:r>
          </w:p>
        </w:tc>
        <w:tc>
          <w:tcPr>
            <w:tcW w:w="180" w:type="dxa"/>
            <w:vAlign w:val="bottom"/>
          </w:tcPr>
          <w:p>
            <w:pPr>
              <w:spacing w:after="0"/>
              <w:rPr>
                <w:sz w:val="17"/>
                <w:szCs w:val="17"/>
                <w:color w:val="auto"/>
              </w:rPr>
            </w:pPr>
          </w:p>
        </w:tc>
        <w:tc>
          <w:tcPr>
            <w:tcW w:w="4820" w:type="dxa"/>
            <w:vAlign w:val="bottom"/>
            <w:gridSpan w:val="12"/>
          </w:tcPr>
          <w:p>
            <w:pPr>
              <w:spacing w:after="0" w:line="196" w:lineRule="exact"/>
              <w:rPr>
                <w:rFonts w:ascii="Arial" w:cs="Arial" w:eastAsia="Arial" w:hAnsi="Arial"/>
                <w:sz w:val="18"/>
                <w:szCs w:val="18"/>
                <w:color w:val="0000EE"/>
              </w:rPr>
            </w:pPr>
            <w:hyperlink w:anchor="page251">
              <w:r>
                <w:rPr>
                  <w:rFonts w:ascii="Arial" w:cs="Arial" w:eastAsia="Arial" w:hAnsi="Arial"/>
                  <w:sz w:val="18"/>
                  <w:szCs w:val="18"/>
                  <w:color w:val="0000EE"/>
                </w:rPr>
                <w:t>CONSIDERATIONS FOR NON-U.S. HOLDERS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248</w:t>
            </w:r>
          </w:p>
        </w:tc>
        <w:tc>
          <w:tcPr>
            <w:tcW w:w="0" w:type="dxa"/>
            <w:vAlign w:val="bottom"/>
          </w:tcPr>
          <w:p>
            <w:pPr>
              <w:spacing w:after="0"/>
              <w:rPr>
                <w:sz w:val="1"/>
                <w:szCs w:val="1"/>
                <w:color w:val="auto"/>
              </w:rPr>
            </w:pPr>
          </w:p>
        </w:tc>
      </w:tr>
      <w:tr>
        <w:trPr>
          <w:trHeight w:val="20"/>
        </w:trPr>
        <w:tc>
          <w:tcPr>
            <w:tcW w:w="8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Borders>
              <w:bottom w:val="single" w:sz="8" w:color="0000EE"/>
            </w:tcBorders>
            <w:gridSpan w:val="3"/>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DILUTION</w:t>
              </w:r>
            </w:hyperlink>
          </w:p>
        </w:tc>
        <w:tc>
          <w:tcPr>
            <w:tcW w:w="580" w:type="dxa"/>
            <w:vAlign w:val="bottom"/>
            <w:gridSpan w:val="5"/>
          </w:tcPr>
          <w:p>
            <w:pPr>
              <w:spacing w:after="0"/>
              <w:rPr>
                <w:sz w:val="17"/>
                <w:szCs w:val="17"/>
                <w:color w:val="auto"/>
              </w:rPr>
            </w:pPr>
          </w:p>
        </w:tc>
        <w:tc>
          <w:tcPr>
            <w:tcW w:w="3380" w:type="dxa"/>
            <w:vAlign w:val="bottom"/>
            <w:gridSpan w:val="8"/>
          </w:tcPr>
          <w:p>
            <w:pPr>
              <w:spacing w:after="0"/>
              <w:rPr>
                <w:sz w:val="17"/>
                <w:szCs w:val="17"/>
                <w:color w:val="auto"/>
              </w:rPr>
            </w:pPr>
          </w:p>
        </w:tc>
        <w:tc>
          <w:tcPr>
            <w:tcW w:w="78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103</w:t>
            </w:r>
          </w:p>
        </w:tc>
        <w:tc>
          <w:tcPr>
            <w:tcW w:w="1460" w:type="dxa"/>
            <w:vAlign w:val="bottom"/>
            <w:tcBorders>
              <w:bottom w:val="single" w:sz="8" w:color="0000EE"/>
            </w:tcBorders>
            <w:gridSpan w:val="3"/>
          </w:tcPr>
          <w:p>
            <w:pPr>
              <w:spacing w:after="0" w:line="196" w:lineRule="exact"/>
              <w:rPr>
                <w:rFonts w:ascii="Arial" w:cs="Arial" w:eastAsia="Arial" w:hAnsi="Arial"/>
                <w:sz w:val="18"/>
                <w:szCs w:val="18"/>
                <w:color w:val="0000EE"/>
                <w:w w:val="96"/>
              </w:rPr>
            </w:pPr>
            <w:hyperlink w:anchor="page255">
              <w:r>
                <w:rPr>
                  <w:rFonts w:ascii="Arial" w:cs="Arial" w:eastAsia="Arial" w:hAnsi="Arial"/>
                  <w:sz w:val="18"/>
                  <w:szCs w:val="18"/>
                  <w:color w:val="0000EE"/>
                  <w:w w:val="96"/>
                </w:rPr>
                <w:t>UNDERWRITERS</w:t>
              </w:r>
            </w:hyperlink>
          </w:p>
        </w:tc>
        <w:tc>
          <w:tcPr>
            <w:tcW w:w="3540" w:type="dxa"/>
            <w:vAlign w:val="bottom"/>
            <w:gridSpan w:val="1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252</w:t>
            </w:r>
          </w:p>
        </w:tc>
        <w:tc>
          <w:tcPr>
            <w:tcW w:w="0" w:type="dxa"/>
            <w:vAlign w:val="bottom"/>
          </w:tcPr>
          <w:p>
            <w:pPr>
              <w:spacing w:after="0"/>
              <w:rPr>
                <w:sz w:val="1"/>
                <w:szCs w:val="1"/>
                <w:color w:val="auto"/>
              </w:rPr>
            </w:pPr>
          </w:p>
        </w:tc>
      </w:tr>
      <w:tr>
        <w:trPr>
          <w:trHeight w:val="196"/>
        </w:trPr>
        <w:tc>
          <w:tcPr>
            <w:tcW w:w="4840" w:type="dxa"/>
            <w:vAlign w:val="bottom"/>
            <w:gridSpan w:val="16"/>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SELECTED FINANCIAL DATA</w:t>
              </w:r>
            </w:hyperlink>
          </w:p>
        </w:tc>
        <w:tc>
          <w:tcPr>
            <w:tcW w:w="78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106</w:t>
            </w:r>
          </w:p>
        </w:tc>
        <w:tc>
          <w:tcPr>
            <w:tcW w:w="5000" w:type="dxa"/>
            <w:vAlign w:val="bottom"/>
            <w:gridSpan w:val="13"/>
          </w:tcPr>
          <w:p>
            <w:pPr>
              <w:spacing w:after="0" w:line="196" w:lineRule="exact"/>
              <w:rPr>
                <w:rFonts w:ascii="Arial" w:cs="Arial" w:eastAsia="Arial" w:hAnsi="Arial"/>
                <w:sz w:val="18"/>
                <w:szCs w:val="18"/>
                <w:color w:val="0000EE"/>
              </w:rPr>
            </w:pPr>
            <w:hyperlink w:anchor="page266">
              <w:r>
                <w:rPr>
                  <w:rFonts w:ascii="Arial" w:cs="Arial" w:eastAsia="Arial" w:hAnsi="Arial"/>
                  <w:sz w:val="18"/>
                  <w:szCs w:val="18"/>
                  <w:color w:val="0000EE"/>
                </w:rPr>
                <w:t>LEGAL MATTERS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263</w:t>
            </w:r>
          </w:p>
        </w:tc>
        <w:tc>
          <w:tcPr>
            <w:tcW w:w="0" w:type="dxa"/>
            <w:vAlign w:val="bottom"/>
          </w:tcPr>
          <w:p>
            <w:pPr>
              <w:spacing w:after="0"/>
              <w:rPr>
                <w:sz w:val="1"/>
                <w:szCs w:val="1"/>
                <w:color w:val="auto"/>
              </w:rPr>
            </w:pPr>
          </w:p>
        </w:tc>
      </w:tr>
      <w:tr>
        <w:trPr>
          <w:trHeight w:val="20"/>
        </w:trPr>
        <w:tc>
          <w:tcPr>
            <w:tcW w:w="8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gridSpan w:val="6"/>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0" w:type="dxa"/>
            <w:vAlign w:val="bottom"/>
            <w:gridSpan w:val="15"/>
          </w:tcPr>
          <w:p>
            <w:pPr>
              <w:spacing w:after="0" w:line="196" w:lineRule="exact"/>
              <w:rPr>
                <w:rFonts w:ascii="Arial" w:cs="Arial" w:eastAsia="Arial" w:hAnsi="Arial"/>
                <w:sz w:val="18"/>
                <w:szCs w:val="18"/>
                <w:color w:val="0000EE"/>
                <w:w w:val="97"/>
              </w:rPr>
            </w:pPr>
            <w:hyperlink w:anchor="page111">
              <w:r>
                <w:rPr>
                  <w:rFonts w:ascii="Arial" w:cs="Arial" w:eastAsia="Arial" w:hAnsi="Arial"/>
                  <w:sz w:val="18"/>
                  <w:szCs w:val="18"/>
                  <w:color w:val="0000EE"/>
                  <w:w w:val="97"/>
                </w:rPr>
                <w:t>MANAGEMENT’S DISCUSSION AND ANALYSIS OF</w:t>
              </w:r>
            </w:hyperlink>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0" w:type="dxa"/>
            <w:vAlign w:val="bottom"/>
            <w:gridSpan w:val="13"/>
          </w:tcPr>
          <w:p>
            <w:pPr>
              <w:spacing w:after="0" w:line="196" w:lineRule="exact"/>
              <w:rPr>
                <w:rFonts w:ascii="Arial" w:cs="Arial" w:eastAsia="Arial" w:hAnsi="Arial"/>
                <w:sz w:val="18"/>
                <w:szCs w:val="18"/>
                <w:color w:val="0000EE"/>
              </w:rPr>
            </w:pPr>
            <w:hyperlink w:anchor="page266">
              <w:r>
                <w:rPr>
                  <w:rFonts w:ascii="Arial" w:cs="Arial" w:eastAsia="Arial" w:hAnsi="Arial"/>
                  <w:sz w:val="18"/>
                  <w:szCs w:val="18"/>
                  <w:color w:val="0000EE"/>
                </w:rPr>
                <w:t>EXPERTS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263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20" w:type="dxa"/>
            <w:vAlign w:val="bottom"/>
            <w:gridSpan w:val="8"/>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540" w:type="dxa"/>
            <w:vAlign w:val="bottom"/>
            <w:tcBorders>
              <w:bottom w:val="single" w:sz="8" w:color="0000EE"/>
            </w:tcBorders>
            <w:gridSpan w:val="13"/>
          </w:tcPr>
          <w:p>
            <w:pPr>
              <w:spacing w:after="0" w:line="196" w:lineRule="exact"/>
              <w:rPr>
                <w:rFonts w:ascii="Arial" w:cs="Arial" w:eastAsia="Arial" w:hAnsi="Arial"/>
                <w:sz w:val="18"/>
                <w:szCs w:val="18"/>
                <w:color w:val="0000EE"/>
                <w:w w:val="97"/>
              </w:rPr>
            </w:pPr>
            <w:hyperlink w:anchor="page111">
              <w:r>
                <w:rPr>
                  <w:rFonts w:ascii="Arial" w:cs="Arial" w:eastAsia="Arial" w:hAnsi="Arial"/>
                  <w:sz w:val="18"/>
                  <w:szCs w:val="18"/>
                  <w:color w:val="0000EE"/>
                  <w:w w:val="97"/>
                </w:rPr>
                <w:t>FINANCIAL CONDITION AND RESULTS OF</w:t>
              </w:r>
            </w:hyperlink>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20" w:type="dxa"/>
            <w:vAlign w:val="bottom"/>
            <w:tcBorders>
              <w:bottom w:val="single" w:sz="8" w:color="0000EE"/>
            </w:tcBorders>
            <w:gridSpan w:val="12"/>
          </w:tcPr>
          <w:p>
            <w:pPr>
              <w:spacing w:after="0" w:line="196" w:lineRule="exact"/>
              <w:rPr>
                <w:rFonts w:ascii="Arial" w:cs="Arial" w:eastAsia="Arial" w:hAnsi="Arial"/>
                <w:sz w:val="18"/>
                <w:szCs w:val="18"/>
                <w:color w:val="0000EE"/>
                <w:w w:val="98"/>
              </w:rPr>
            </w:pPr>
            <w:hyperlink w:anchor="page266">
              <w:r>
                <w:rPr>
                  <w:rFonts w:ascii="Arial" w:cs="Arial" w:eastAsia="Arial" w:hAnsi="Arial"/>
                  <w:sz w:val="18"/>
                  <w:szCs w:val="18"/>
                  <w:color w:val="0000EE"/>
                  <w:w w:val="98"/>
                </w:rPr>
                <w:t>WHERE YOU CAN FIND ADDITIONAL INFORMATION</w:t>
              </w:r>
            </w:hyperlink>
          </w:p>
        </w:tc>
        <w:tc>
          <w:tcPr>
            <w:tcW w:w="58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263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1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111">
              <w:r>
                <w:rPr>
                  <w:rFonts w:ascii="Arial" w:cs="Arial" w:eastAsia="Arial" w:hAnsi="Arial"/>
                  <w:sz w:val="18"/>
                  <w:szCs w:val="18"/>
                  <w:color w:val="0000EE"/>
                  <w:w w:val="91"/>
                </w:rPr>
                <w:t>OPERATIONS</w:t>
              </w:r>
            </w:hyperlink>
          </w:p>
        </w:tc>
        <w:tc>
          <w:tcPr>
            <w:tcW w:w="3560" w:type="dxa"/>
            <w:vAlign w:val="bottom"/>
            <w:gridSpan w:val="11"/>
          </w:tcPr>
          <w:p>
            <w:pPr>
              <w:spacing w:after="0"/>
              <w:rPr>
                <w:sz w:val="17"/>
                <w:szCs w:val="17"/>
                <w:color w:val="auto"/>
              </w:rPr>
            </w:pPr>
          </w:p>
        </w:tc>
        <w:tc>
          <w:tcPr>
            <w:tcW w:w="78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108</w:t>
            </w:r>
          </w:p>
        </w:tc>
        <w:tc>
          <w:tcPr>
            <w:tcW w:w="3040" w:type="dxa"/>
            <w:vAlign w:val="bottom"/>
            <w:tcBorders>
              <w:bottom w:val="single" w:sz="8" w:color="0000EE"/>
            </w:tcBorders>
            <w:gridSpan w:val="7"/>
          </w:tcPr>
          <w:p>
            <w:pPr>
              <w:spacing w:after="0" w:line="196" w:lineRule="exact"/>
              <w:rPr>
                <w:rFonts w:ascii="Arial" w:cs="Arial" w:eastAsia="Arial" w:hAnsi="Arial"/>
                <w:sz w:val="18"/>
                <w:szCs w:val="18"/>
                <w:color w:val="0000EE"/>
                <w:w w:val="97"/>
              </w:rPr>
            </w:pPr>
            <w:hyperlink w:anchor="page267">
              <w:r>
                <w:rPr>
                  <w:rFonts w:ascii="Arial" w:cs="Arial" w:eastAsia="Arial" w:hAnsi="Arial"/>
                  <w:sz w:val="18"/>
                  <w:szCs w:val="18"/>
                  <w:color w:val="0000EE"/>
                  <w:w w:val="97"/>
                </w:rPr>
                <w:t>INDEX TO FINANCIAL STATEMENTS</w:t>
              </w:r>
            </w:hyperlink>
          </w:p>
        </w:tc>
        <w:tc>
          <w:tcPr>
            <w:tcW w:w="196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196"/>
        </w:trPr>
        <w:tc>
          <w:tcPr>
            <w:tcW w:w="86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125">
              <w:r>
                <w:rPr>
                  <w:rFonts w:ascii="Arial" w:cs="Arial" w:eastAsia="Arial" w:hAnsi="Arial"/>
                  <w:sz w:val="18"/>
                  <w:szCs w:val="18"/>
                  <w:color w:val="0000EE"/>
                  <w:w w:val="92"/>
                </w:rPr>
                <w:t>BUSINESS</w:t>
              </w:r>
            </w:hyperlink>
          </w:p>
        </w:tc>
        <w:tc>
          <w:tcPr>
            <w:tcW w:w="3980" w:type="dxa"/>
            <w:vAlign w:val="bottom"/>
            <w:gridSpan w:val="14"/>
          </w:tcPr>
          <w:p>
            <w:pPr>
              <w:spacing w:after="0"/>
              <w:rPr>
                <w:sz w:val="17"/>
                <w:szCs w:val="17"/>
                <w:color w:val="auto"/>
              </w:rPr>
            </w:pPr>
          </w:p>
        </w:tc>
        <w:tc>
          <w:tcPr>
            <w:tcW w:w="78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122</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0000EE"/>
            </w:tcBorders>
            <w:gridSpan w:val="6"/>
          </w:tcPr>
          <w:p>
            <w:pPr>
              <w:spacing w:after="0" w:line="196" w:lineRule="exact"/>
              <w:rPr>
                <w:rFonts w:ascii="Arial" w:cs="Arial" w:eastAsia="Arial" w:hAnsi="Arial"/>
                <w:sz w:val="18"/>
                <w:szCs w:val="18"/>
                <w:color w:val="0000EE"/>
                <w:w w:val="99"/>
              </w:rPr>
            </w:pPr>
            <w:hyperlink w:anchor="page213">
              <w:r>
                <w:rPr>
                  <w:rFonts w:ascii="Arial" w:cs="Arial" w:eastAsia="Arial" w:hAnsi="Arial"/>
                  <w:sz w:val="18"/>
                  <w:szCs w:val="18"/>
                  <w:color w:val="0000EE"/>
                  <w:w w:val="99"/>
                </w:rPr>
                <w:t>MANAGEMENT</w:t>
              </w:r>
            </w:hyperlink>
          </w:p>
        </w:tc>
        <w:tc>
          <w:tcPr>
            <w:tcW w:w="3540" w:type="dxa"/>
            <w:vAlign w:val="bottom"/>
            <w:gridSpan w:val="10"/>
          </w:tcPr>
          <w:p>
            <w:pPr>
              <w:spacing w:after="0"/>
              <w:rPr>
                <w:sz w:val="17"/>
                <w:szCs w:val="17"/>
                <w:color w:val="auto"/>
              </w:rPr>
            </w:pPr>
          </w:p>
        </w:tc>
        <w:tc>
          <w:tcPr>
            <w:tcW w:w="78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210</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334645</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Neither we nor the underwriters have authorized anyone to provide you any information or make any representations other than that contained in this prospectus or in any free writing prospectus prepared by or on behalf of us or to which we have referred you. We and the underwriters take no responsibility for, and can provide no assurance as to the reliability of, any other information that others may give you. We and the underwriters are not making an offer to sell these securities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225425</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120" w:firstLine="440"/>
        <w:spacing w:after="0" w:line="266" w:lineRule="auto"/>
        <w:rPr>
          <w:sz w:val="20"/>
          <w:szCs w:val="20"/>
          <w:color w:val="auto"/>
        </w:rPr>
      </w:pPr>
      <w:r>
        <w:rPr>
          <w:rFonts w:ascii="Arial" w:cs="Arial" w:eastAsia="Arial" w:hAnsi="Arial"/>
          <w:sz w:val="18"/>
          <w:szCs w:val="18"/>
          <w:b w:val="1"/>
          <w:bCs w:val="1"/>
          <w:color w:val="auto"/>
        </w:rPr>
        <w:t>Through and including , 2021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80"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4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84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61849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60" w:firstLine="426"/>
        <w:spacing w:after="0" w:line="257"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does not contain all of the information you should consider before investing in our common stock. You should read this entire prospectus carefully, especially the section titled “Risk Factors” and our financial statements and the related notes appearing elsewhere in this prospectus, before making an investment decision. As used in this prospectus, unless the context otherwise requires, references to “we,” “us,” “our,” “our company,” and “Tenaya” refer to Tenaya Therapeutics, Inc.</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00" w:right="20" w:firstLine="426"/>
        <w:spacing w:after="0" w:line="257" w:lineRule="auto"/>
        <w:rPr>
          <w:sz w:val="20"/>
          <w:szCs w:val="20"/>
          <w:color w:val="auto"/>
        </w:rPr>
      </w:pPr>
      <w:r>
        <w:rPr>
          <w:rFonts w:ascii="Arial" w:cs="Arial" w:eastAsia="Arial" w:hAnsi="Arial"/>
          <w:sz w:val="18"/>
          <w:szCs w:val="18"/>
          <w:color w:val="auto"/>
        </w:rPr>
        <w:t>We are a biotechnology company committed to a bold mission: to discover, develop and deliver curative therapies that address the underlying drivers of heart disease. Our vision is to change the treatment paradigm for heart disease, the leading cause of death in the world, and in doing so improve and extend the lives of millions of individuals and families. We are advancing a pipeline of disease-modifying therapies developed using our product platforms and core internal capabilities to target defined sub-populations of patients with both rare and highly prevalent forms of heart disease.</w:t>
      </w:r>
    </w:p>
    <w:p>
      <w:pPr>
        <w:spacing w:after="0" w:line="188" w:lineRule="exact"/>
        <w:rPr>
          <w:sz w:val="20"/>
          <w:szCs w:val="20"/>
          <w:color w:val="auto"/>
        </w:rPr>
      </w:pPr>
    </w:p>
    <w:p>
      <w:pPr>
        <w:ind w:left="300" w:right="100" w:firstLine="426"/>
        <w:spacing w:after="0" w:line="257" w:lineRule="auto"/>
        <w:rPr>
          <w:sz w:val="20"/>
          <w:szCs w:val="20"/>
          <w:color w:val="auto"/>
        </w:rPr>
      </w:pPr>
      <w:r>
        <w:rPr>
          <w:rFonts w:ascii="Arial" w:cs="Arial" w:eastAsia="Arial" w:hAnsi="Arial"/>
          <w:sz w:val="18"/>
          <w:szCs w:val="18"/>
          <w:color w:val="auto"/>
        </w:rPr>
        <w:t>Founded by leading cardiovascular scientists from Gladstone Institutes and University of Texas Southwestern Medical Center (UTSW), we are developing therapies through scientific advancements in three distinct but interrelated product platforms: Gene Therapy, Cellular Regeneration and Precision Medicine. While our Gene Therapy and Cellular Regeneration platforms focus on the use of viral vectors for drug delivery, our Precision Medicine platform enables us to identify promising targets and product candidates in a modality-agnostic manner, including gene therapies, small molecules, and biologics.</w:t>
      </w:r>
    </w:p>
    <w:p>
      <w:pPr>
        <w:spacing w:after="0" w:line="188" w:lineRule="exact"/>
        <w:rPr>
          <w:sz w:val="20"/>
          <w:szCs w:val="20"/>
          <w:color w:val="auto"/>
        </w:rPr>
      </w:pPr>
    </w:p>
    <w:p>
      <w:pPr>
        <w:ind w:left="300" w:firstLine="426"/>
        <w:spacing w:after="0" w:line="268" w:lineRule="auto"/>
        <w:rPr>
          <w:sz w:val="20"/>
          <w:szCs w:val="20"/>
          <w:color w:val="auto"/>
        </w:rPr>
      </w:pPr>
      <w:r>
        <w:rPr>
          <w:rFonts w:ascii="Arial" w:cs="Arial" w:eastAsia="Arial" w:hAnsi="Arial"/>
          <w:sz w:val="17"/>
          <w:szCs w:val="17"/>
          <w:color w:val="auto"/>
        </w:rPr>
        <w:t>We are advancing a deep and diverse pipeline that includes both gene therapies and small molecules. In 2022, we intend to submit an investigational new drug application (IND) or a clinical trial application (CTA) to the U.S. Food and Drug Administration (FDA) or European Medicines Agency (EMA), respectively, for the most advanced product candidate from our Gene Therapy platform, TN-201, an adeno-associated virus (AAV)-based gene therapy to address genetic hypertrophic cardiomyopathy (gHCM) caused by Myosin Binding Protein C3 (</w:t>
      </w:r>
      <w:r>
        <w:rPr>
          <w:rFonts w:ascii="Arial" w:cs="Arial" w:eastAsia="Arial" w:hAnsi="Arial"/>
          <w:sz w:val="17"/>
          <w:szCs w:val="17"/>
          <w:i w:val="1"/>
          <w:iCs w:val="1"/>
          <w:color w:val="auto"/>
        </w:rPr>
        <w:t>MYBPC3</w:t>
      </w:r>
      <w:r>
        <w:rPr>
          <w:rFonts w:ascii="Arial" w:cs="Arial" w:eastAsia="Arial" w:hAnsi="Arial"/>
          <w:sz w:val="17"/>
          <w:szCs w:val="17"/>
          <w:color w:val="auto"/>
        </w:rPr>
        <w:t xml:space="preserve">) gene mutations. TN-201, currently in IND-enabling studies, is designed to deliver a fully functional </w:t>
      </w:r>
      <w:r>
        <w:rPr>
          <w:rFonts w:ascii="Arial" w:cs="Arial" w:eastAsia="Arial" w:hAnsi="Arial"/>
          <w:sz w:val="17"/>
          <w:szCs w:val="17"/>
          <w:i w:val="1"/>
          <w:iCs w:val="1"/>
          <w:color w:val="auto"/>
        </w:rPr>
        <w:t>MYBPC3</w:t>
      </w:r>
      <w:r>
        <w:rPr>
          <w:rFonts w:ascii="Arial" w:cs="Arial" w:eastAsia="Arial" w:hAnsi="Arial"/>
          <w:sz w:val="17"/>
          <w:szCs w:val="17"/>
          <w:color w:val="auto"/>
        </w:rPr>
        <w:t xml:space="preserve"> gene driven by our proprietary heart-specific promoter to restore normal levels of MYBPC3 protein. We also intend to submit an IND to the FDA in 2022 for the most advanced product candidate from our Precision Medicine platform, TYA-11631, a highly specific small molecule inhibitor of histone deacetylase 6 (HDAC6i). TYA-11631, currently in IND-enabling studies, has potentially broad utility in both heart failure (HF) with preserved ejection fraction (HFpEF) as well as genetic dilated cardiomyopathy (gDCM). Our PKP2 program involves using an AAV-based gene therapy to address genetic arrhythmogenic right ventricular cardiomyopathy (gARVC) caused by plakophilin 2 (</w:t>
      </w:r>
      <w:r>
        <w:rPr>
          <w:rFonts w:ascii="Arial" w:cs="Arial" w:eastAsia="Arial" w:hAnsi="Arial"/>
          <w:sz w:val="17"/>
          <w:szCs w:val="17"/>
          <w:i w:val="1"/>
          <w:iCs w:val="1"/>
          <w:color w:val="auto"/>
        </w:rPr>
        <w:t>PKP2</w:t>
      </w:r>
      <w:r>
        <w:rPr>
          <w:rFonts w:ascii="Arial" w:cs="Arial" w:eastAsia="Arial" w:hAnsi="Arial"/>
          <w:sz w:val="17"/>
          <w:szCs w:val="17"/>
          <w:color w:val="auto"/>
        </w:rPr>
        <w:t>) gene mutations, and is currently at the candidate selection stage. Our DWORF program, an AAV-based gene therapy designed to express the Dwarf Open Reading Frame (</w:t>
      </w:r>
      <w:r>
        <w:rPr>
          <w:rFonts w:ascii="Arial" w:cs="Arial" w:eastAsia="Arial" w:hAnsi="Arial"/>
          <w:sz w:val="17"/>
          <w:szCs w:val="17"/>
          <w:i w:val="1"/>
          <w:iCs w:val="1"/>
          <w:color w:val="auto"/>
        </w:rPr>
        <w:t>DWORF)</w:t>
      </w:r>
      <w:r>
        <w:rPr>
          <w:rFonts w:ascii="Arial" w:cs="Arial" w:eastAsia="Arial" w:hAnsi="Arial"/>
          <w:sz w:val="17"/>
          <w:szCs w:val="17"/>
          <w:color w:val="auto"/>
        </w:rPr>
        <w:t xml:space="preserve"> gene in the heart, has potentially broad utility in dilated cardiomyopathy (DCM) and HF with reduced ejection fraction (HFrEF), and is currently at the candidate selection stage. Our Reprogramming program for cardiac regeneration can potentially replace heart cells lost in patients experiencing HF due to prior myocardial infarction (MI), and is currently at the candidate selection stage. In addition, we have numerous earlier-stage programs emerging from our product platforms to address other forms of HF.</w:t>
      </w:r>
    </w:p>
    <w:p>
      <w:pPr>
        <w:spacing w:after="0" w:line="290"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Our Product Platforms</w:t>
      </w:r>
    </w:p>
    <w:p>
      <w:pPr>
        <w:spacing w:after="0" w:line="117" w:lineRule="exact"/>
        <w:rPr>
          <w:sz w:val="20"/>
          <w:szCs w:val="20"/>
          <w:color w:val="auto"/>
        </w:rPr>
      </w:pPr>
    </w:p>
    <w:p>
      <w:pPr>
        <w:ind w:left="300" w:right="80" w:firstLine="426"/>
        <w:spacing w:after="0" w:line="263" w:lineRule="auto"/>
        <w:rPr>
          <w:sz w:val="20"/>
          <w:szCs w:val="20"/>
          <w:color w:val="auto"/>
        </w:rPr>
      </w:pPr>
      <w:r>
        <w:rPr>
          <w:rFonts w:ascii="Arial" w:cs="Arial" w:eastAsia="Arial" w:hAnsi="Arial"/>
          <w:sz w:val="18"/>
          <w:szCs w:val="18"/>
          <w:color w:val="auto"/>
        </w:rPr>
        <w:t>We have established three distinct but interrelated product platforms to discover novel therapies for various forms of heart disease. These platforms bring together differentiated science, capabilities, and intellectual property to enable multi-modality drug discovery. As displayed below, each of our product platforms is designed</w:t>
      </w:r>
    </w:p>
    <w:p>
      <w:pPr>
        <w:spacing w:after="0" w:line="37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420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64420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40"/>
        <w:spacing w:after="0" w:line="263" w:lineRule="auto"/>
        <w:rPr>
          <w:sz w:val="20"/>
          <w:szCs w:val="20"/>
          <w:color w:val="auto"/>
        </w:rPr>
      </w:pPr>
      <w:r>
        <w:rPr>
          <w:rFonts w:ascii="Arial" w:cs="Arial" w:eastAsia="Arial" w:hAnsi="Arial"/>
          <w:sz w:val="18"/>
          <w:szCs w:val="18"/>
          <w:color w:val="auto"/>
        </w:rPr>
        <w:t>to address different problems that have historically plagued the development of therapies for heart disease. We believe these three product platforms together yield better insight into disease processes, create more opportunities for successful drug development, mitigate scientific risks, and differentiate our efforts relative to competitors.</w:t>
      </w:r>
    </w:p>
    <w:p>
      <w:pPr>
        <w:spacing w:after="0" w:line="18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Our Product Platforms Powering Multi-Modality Drug Discovery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240" w:right="100" w:hanging="347"/>
        <w:spacing w:after="0" w:line="255"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Our </w:t>
      </w:r>
      <w:r>
        <w:rPr>
          <w:rFonts w:ascii="Arial" w:cs="Arial" w:eastAsia="Arial" w:hAnsi="Arial"/>
          <w:sz w:val="18"/>
          <w:szCs w:val="18"/>
          <w:b w:val="1"/>
          <w:bCs w:val="1"/>
          <w:i w:val="1"/>
          <w:iCs w:val="1"/>
          <w:color w:val="auto"/>
        </w:rPr>
        <w:t>Gene Therapy</w:t>
      </w:r>
      <w:r>
        <w:rPr>
          <w:rFonts w:ascii="Arial" w:cs="Arial" w:eastAsia="Arial" w:hAnsi="Arial"/>
          <w:sz w:val="18"/>
          <w:szCs w:val="18"/>
          <w:color w:val="auto"/>
        </w:rPr>
        <w:t xml:space="preserve"> platform uses AAVs to deliver genes to specific cells in the heart to correct or compensate for functional defects. We have the ability to use both known AAV capsids as well as novel capsids identified through our internal capsid engineering capabilities to target cardiomyocytes (CMs), cardiac fibroblasts (CFs) or other cells important to the proper functioning of the heart. The product candidates arising from this platform are intended to overcome the shortcomings of traditional therapies that are not able to address the underlying problems that contribute to heart disease. We believe this platform has potentially broad utility for both genetic and non-genetic forms of heart disease.</w:t>
      </w:r>
    </w:p>
    <w:p>
      <w:pPr>
        <w:spacing w:after="0" w:line="97" w:lineRule="exact"/>
        <w:rPr>
          <w:rFonts w:ascii="Arial" w:cs="Arial" w:eastAsia="Arial" w:hAnsi="Arial"/>
          <w:sz w:val="18"/>
          <w:szCs w:val="18"/>
          <w:color w:val="auto"/>
        </w:rPr>
      </w:pPr>
    </w:p>
    <w:p>
      <w:pPr>
        <w:ind w:left="1240" w:right="220" w:hanging="347"/>
        <w:spacing w:after="0" w:line="257"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Our </w:t>
      </w:r>
      <w:r>
        <w:rPr>
          <w:rFonts w:ascii="Arial" w:cs="Arial" w:eastAsia="Arial" w:hAnsi="Arial"/>
          <w:sz w:val="18"/>
          <w:szCs w:val="18"/>
          <w:b w:val="1"/>
          <w:bCs w:val="1"/>
          <w:i w:val="1"/>
          <w:iCs w:val="1"/>
          <w:color w:val="auto"/>
        </w:rPr>
        <w:t>Cellular Regeneration</w:t>
      </w:r>
      <w:r>
        <w:rPr>
          <w:rFonts w:ascii="Arial" w:cs="Arial" w:eastAsia="Arial" w:hAnsi="Arial"/>
          <w:sz w:val="18"/>
          <w:szCs w:val="18"/>
          <w:color w:val="auto"/>
        </w:rPr>
        <w:t xml:space="preserve"> platform uses viral vectors to deliver specific combinations of genes to existing cells in the heart to regenerate CMs </w:t>
      </w:r>
      <w:r>
        <w:rPr>
          <w:rFonts w:ascii="Arial" w:cs="Arial" w:eastAsia="Arial" w:hAnsi="Arial"/>
          <w:sz w:val="18"/>
          <w:szCs w:val="18"/>
          <w:i w:val="1"/>
          <w:iCs w:val="1"/>
          <w:color w:val="auto"/>
        </w:rPr>
        <w:t>in vivo</w:t>
      </w:r>
      <w:r>
        <w:rPr>
          <w:rFonts w:ascii="Arial" w:cs="Arial" w:eastAsia="Arial" w:hAnsi="Arial"/>
          <w:sz w:val="18"/>
          <w:szCs w:val="18"/>
          <w:color w:val="auto"/>
        </w:rPr>
        <w:t>. The product candidates arising from this platform are intended to overcome the shortcomings of traditional therapies that address symptoms but are not able to address the irreversible loss of CMs. We believe this platform has potentially broad utility across a range of heart conditions that result in the loss of CMs, including MI, chemotherapy-related toxicity, and viral infection.</w:t>
      </w:r>
    </w:p>
    <w:p>
      <w:pPr>
        <w:spacing w:after="0" w:line="93" w:lineRule="exact"/>
        <w:rPr>
          <w:rFonts w:ascii="Arial" w:cs="Arial" w:eastAsia="Arial" w:hAnsi="Arial"/>
          <w:sz w:val="18"/>
          <w:szCs w:val="18"/>
          <w:color w:val="auto"/>
        </w:rPr>
      </w:pPr>
    </w:p>
    <w:p>
      <w:pPr>
        <w:ind w:left="1240" w:hanging="347"/>
        <w:spacing w:after="0" w:line="254"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Our </w:t>
      </w:r>
      <w:r>
        <w:rPr>
          <w:rFonts w:ascii="Arial" w:cs="Arial" w:eastAsia="Arial" w:hAnsi="Arial"/>
          <w:sz w:val="18"/>
          <w:szCs w:val="18"/>
          <w:b w:val="1"/>
          <w:bCs w:val="1"/>
          <w:i w:val="1"/>
          <w:iCs w:val="1"/>
          <w:color w:val="auto"/>
        </w:rPr>
        <w:t>Precision Medicine</w:t>
      </w:r>
      <w:r>
        <w:rPr>
          <w:rFonts w:ascii="Arial" w:cs="Arial" w:eastAsia="Arial" w:hAnsi="Arial"/>
          <w:sz w:val="18"/>
          <w:szCs w:val="18"/>
          <w:color w:val="auto"/>
        </w:rPr>
        <w:t xml:space="preserve"> platform uses human induced pluripotent stem cell-derived CMs (hiPSC-CMs) as proprietary disease models combined with analysis of human genetics and the use of machine learning algorithms for the identification of new targets, validation of known targets, and high-throughput screening for drug discovery. This platform is intended to overcome the shortcomings of traditional drug development efforts that rely more heavily on insights from animal models to identify targets and to develop therapies intended for human heart disease. We believe this platform has potentially broad utility for the identification of targets and therapies in a modality-agnostic manner—including gene therapy, small molecules, and biologics—for both genetic and non-genetic forms of heart disease.</w:t>
      </w:r>
    </w:p>
    <w:p>
      <w:pPr>
        <w:spacing w:after="0" w:line="38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320" w:top="459" w:right="6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9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63906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Our Approach and Capabilities</w:t>
      </w:r>
    </w:p>
    <w:p>
      <w:pPr>
        <w:spacing w:after="0" w:line="117" w:lineRule="exact"/>
        <w:rPr>
          <w:sz w:val="20"/>
          <w:szCs w:val="20"/>
          <w:color w:val="auto"/>
        </w:rPr>
      </w:pPr>
    </w:p>
    <w:p>
      <w:pPr>
        <w:ind w:left="300" w:right="80" w:firstLine="426"/>
        <w:spacing w:after="0" w:line="279" w:lineRule="auto"/>
        <w:rPr>
          <w:sz w:val="20"/>
          <w:szCs w:val="20"/>
          <w:color w:val="auto"/>
        </w:rPr>
      </w:pPr>
      <w:r>
        <w:rPr>
          <w:rFonts w:ascii="Arial" w:cs="Arial" w:eastAsia="Arial" w:hAnsi="Arial"/>
          <w:sz w:val="17"/>
          <w:szCs w:val="17"/>
          <w:color w:val="auto"/>
        </w:rPr>
        <w:t>We have internalized and integrated core capabilities, as displayed below, to support our product platforms and our pipeline programs. We believe these capabilities provide us with several advantages and differentiate our efforts relative to competitors, particularly for our AAV-based drug development efforts. We believe these capabilities can collectively support rapid product development, precise product delivery, and efficient production, which ultimately improves the probability of technical and regulatory success of our product candidates.</w:t>
      </w:r>
    </w:p>
    <w:p>
      <w:pPr>
        <w:spacing w:after="0" w:line="167"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Our Core Capabilities Supporting Our Differentiated Product Platforms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five core capabilities include:</w:t>
      </w:r>
    </w:p>
    <w:p>
      <w:pPr>
        <w:spacing w:after="0" w:line="131" w:lineRule="exact"/>
        <w:rPr>
          <w:sz w:val="20"/>
          <w:szCs w:val="20"/>
          <w:color w:val="auto"/>
        </w:rPr>
      </w:pPr>
    </w:p>
    <w:p>
      <w:pPr>
        <w:ind w:left="1240" w:hanging="347"/>
        <w:spacing w:after="0" w:line="273" w:lineRule="auto"/>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Disease Models</w:t>
      </w:r>
      <w:r>
        <w:rPr>
          <w:rFonts w:ascii="Arial" w:cs="Arial" w:eastAsia="Arial" w:hAnsi="Arial"/>
          <w:sz w:val="17"/>
          <w:szCs w:val="17"/>
          <w:color w:val="auto"/>
        </w:rPr>
        <w:t>. We have internalized the ability to create and integrate proprietary</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in vitro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in vivo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models within our research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organization. For our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hiPSC-CM disease models, we use multiple methods to induce phenotypes within cell lines that simulate human diseases and then use these models for high throughput target identification and drug discovery. For our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disease models, we have a dedicated onsite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pharmacology group and vivarium, where we have established approximately 15 rodent heart disease models, both genetic and non-genetic, and can dose animals, perform heart surgeries, and use non-invasive imaging to assess the impact of our therapies under development.</w:t>
      </w:r>
    </w:p>
    <w:p>
      <w:pPr>
        <w:spacing w:after="0" w:line="83" w:lineRule="exact"/>
        <w:rPr>
          <w:rFonts w:ascii="Arial" w:cs="Arial" w:eastAsia="Arial" w:hAnsi="Arial"/>
          <w:sz w:val="17"/>
          <w:szCs w:val="17"/>
          <w:color w:val="auto"/>
        </w:rPr>
      </w:pPr>
    </w:p>
    <w:p>
      <w:pPr>
        <w:ind w:left="1240" w:right="140" w:hanging="347"/>
        <w:spacing w:after="0" w:line="273" w:lineRule="auto"/>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Capsid Engineering</w:t>
      </w:r>
      <w:r>
        <w:rPr>
          <w:rFonts w:ascii="Arial" w:cs="Arial" w:eastAsia="Arial" w:hAnsi="Arial"/>
          <w:sz w:val="17"/>
          <w:szCs w:val="17"/>
          <w:color w:val="auto"/>
        </w:rPr>
        <w:t>. We have established in-house AAV capsid engineering capabilities and have successfully screened over one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billion variants from more than 30 diverse, proprietary AAV libraries in multiple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silico</w:t>
      </w:r>
      <w:r>
        <w:rPr>
          <w:rFonts w:ascii="Arial" w:cs="Arial" w:eastAsia="Arial" w:hAnsi="Arial"/>
          <w:sz w:val="17"/>
          <w:szCs w:val="17"/>
          <w:color w:val="auto"/>
        </w:rPr>
        <w:t xml:space="preserve"> models to discover novel AAV capsids that can target the different types of cells in the heart. These capsids are designed to have desirable properties including the ability to more selectively target the heart versus other organs as well as lower susceptibility to neutralizing antibodies. We believe our capsid engineering efforts will be critical in supporting the successful clinical development of our product candidates and enabling those product candidates, if approved, to reach more patients.</w:t>
      </w:r>
    </w:p>
    <w:p>
      <w:pPr>
        <w:spacing w:after="0" w:line="83" w:lineRule="exact"/>
        <w:rPr>
          <w:rFonts w:ascii="Arial" w:cs="Arial" w:eastAsia="Arial" w:hAnsi="Arial"/>
          <w:sz w:val="17"/>
          <w:szCs w:val="17"/>
          <w:color w:val="auto"/>
        </w:rPr>
      </w:pPr>
    </w:p>
    <w:p>
      <w:pPr>
        <w:ind w:left="1240" w:right="40" w:hanging="347"/>
        <w:spacing w:after="0" w:line="259"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Promoters and Regulatory Elements</w:t>
      </w:r>
      <w:r>
        <w:rPr>
          <w:rFonts w:ascii="Arial" w:cs="Arial" w:eastAsia="Arial" w:hAnsi="Arial"/>
          <w:sz w:val="18"/>
          <w:szCs w:val="18"/>
          <w:color w:val="auto"/>
        </w:rPr>
        <w:t>. We have created novel promoters and regulatory elements to support our gene therapy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cellular regeneration programs. We use these innovations to help ensure more precise and more robust expression of therapeutic payloads in the different cell types of the heart as compared to what can be achieved with currently available methods. We believe our innovations can</w:t>
      </w:r>
    </w:p>
    <w:p>
      <w:pPr>
        <w:spacing w:after="0" w:line="37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320" w:top="459" w:right="6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5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63563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support successful clinical development in part by improving the efficacy and safety profile of our product candidates.</w:t>
      </w:r>
    </w:p>
    <w:p>
      <w:pPr>
        <w:spacing w:after="0" w:line="131" w:lineRule="exact"/>
        <w:rPr>
          <w:sz w:val="20"/>
          <w:szCs w:val="20"/>
          <w:color w:val="auto"/>
        </w:rPr>
      </w:pPr>
    </w:p>
    <w:p>
      <w:pPr>
        <w:ind w:left="1240" w:right="60" w:hanging="347"/>
        <w:spacing w:after="0" w:line="279" w:lineRule="auto"/>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Drug Delivery</w:t>
      </w:r>
      <w:r>
        <w:rPr>
          <w:rFonts w:ascii="Arial" w:cs="Arial" w:eastAsia="Arial" w:hAnsi="Arial"/>
          <w:sz w:val="17"/>
          <w:szCs w:val="17"/>
          <w:color w:val="auto"/>
        </w:rPr>
        <w:t>. We are actively exploring different routes of administration (ROAs) as well as different infusion- and injection-based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methods for delivering our AAV-based therapies. We have designed a new catheter to support more targeted delivery and more efficient uptake of therapeutic payloads in the heart. We believe our discoveries in drug delivery can help widen the therapeutic index of our product candidates by reducing the dose required for a therapeutic benefit.</w:t>
      </w:r>
    </w:p>
    <w:p>
      <w:pPr>
        <w:spacing w:after="0" w:line="76" w:lineRule="exact"/>
        <w:rPr>
          <w:rFonts w:ascii="Arial" w:cs="Arial" w:eastAsia="Arial" w:hAnsi="Arial"/>
          <w:sz w:val="17"/>
          <w:szCs w:val="17"/>
          <w:color w:val="auto"/>
        </w:rPr>
      </w:pPr>
    </w:p>
    <w:p>
      <w:pPr>
        <w:ind w:left="1240" w:right="20" w:hanging="347"/>
        <w:spacing w:after="0" w:line="254"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Manufacturing</w:t>
      </w:r>
      <w:r>
        <w:rPr>
          <w:rFonts w:ascii="Arial" w:cs="Arial" w:eastAsia="Arial" w:hAnsi="Arial"/>
          <w:sz w:val="18"/>
          <w:szCs w:val="18"/>
          <w:color w:val="auto"/>
        </w:rPr>
        <w:t>. We have taken important steps towards internalizing both current Good Manufacturing Practice (cGMP) and non-GMP AAV manufacturing capabilities to support our emerging portfolio of gene therapy and cellular regeneration product candidates. This includes a growing in-house team of approximately 25 personnel that can support process development (PD), analytical development (AD), quality assurance (QA) and quality control (QC). We have produced non-clinical material involving both parental and novel AAV capsids at the 50L and 200L scales to support early research and IND-enabling studies in small and large animal models. We have initiated construction of a current cGMP facility in the San Francisco Bay Area near our research labs to enable smooth scale-up of production to support first-in-human (FIH) studies, initially at the 1000L scale. We expect this facility will be operational in the first half of 2022.</w:t>
      </w:r>
    </w:p>
    <w:p>
      <w:pPr>
        <w:spacing w:after="0" w:line="300"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Our Pipeline</w:t>
      </w:r>
    </w:p>
    <w:p>
      <w:pPr>
        <w:spacing w:after="0" w:line="117" w:lineRule="exact"/>
        <w:rPr>
          <w:sz w:val="20"/>
          <w:szCs w:val="20"/>
          <w:color w:val="auto"/>
        </w:rPr>
      </w:pPr>
    </w:p>
    <w:p>
      <w:pPr>
        <w:jc w:val="both"/>
        <w:ind w:left="300" w:right="80" w:firstLine="426"/>
        <w:spacing w:after="0" w:line="263" w:lineRule="auto"/>
        <w:rPr>
          <w:sz w:val="20"/>
          <w:szCs w:val="20"/>
          <w:color w:val="auto"/>
        </w:rPr>
      </w:pPr>
      <w:r>
        <w:rPr>
          <w:rFonts w:ascii="Arial" w:cs="Arial" w:eastAsia="Arial" w:hAnsi="Arial"/>
          <w:sz w:val="18"/>
          <w:szCs w:val="18"/>
          <w:color w:val="auto"/>
        </w:rPr>
        <w:t>We are advancing a deep and diverse pipeline of therapeutic programs intended for rare diseases, such as gHCM and gARVC, as well as for more prevalent forms of heart disease, such as DCM and HFpEF. We have exclusive worldwide rights to all of our programs. Our current pipeline is summarized in the diagram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820" w:hanging="427"/>
        <w:spacing w:after="0"/>
        <w:tabs>
          <w:tab w:leader="none" w:pos="820" w:val="left"/>
        </w:tabs>
        <w:numPr>
          <w:ilvl w:val="0"/>
          <w:numId w:val="6"/>
        </w:numPr>
        <w:rPr>
          <w:rFonts w:ascii="Arial" w:cs="Arial" w:eastAsia="Arial" w:hAnsi="Arial"/>
          <w:sz w:val="14"/>
          <w:szCs w:val="14"/>
          <w:color w:val="auto"/>
        </w:rPr>
      </w:pPr>
      <w:r>
        <w:rPr>
          <w:rFonts w:ascii="Arial" w:cs="Arial" w:eastAsia="Arial" w:hAnsi="Arial"/>
          <w:sz w:val="14"/>
          <w:szCs w:val="14"/>
          <w:color w:val="auto"/>
        </w:rPr>
        <w:t>USA Prevalence refers to the number of patients in the United States with the indication based on publicly available market data</w:t>
      </w:r>
    </w:p>
    <w:p>
      <w:pPr>
        <w:spacing w:after="0" w:line="109" w:lineRule="exact"/>
        <w:rPr>
          <w:rFonts w:ascii="Arial" w:cs="Arial" w:eastAsia="Arial" w:hAnsi="Arial"/>
          <w:sz w:val="14"/>
          <w:szCs w:val="14"/>
          <w:color w:val="auto"/>
        </w:rPr>
      </w:pPr>
    </w:p>
    <w:p>
      <w:pPr>
        <w:ind w:left="1240" w:hanging="523"/>
        <w:spacing w:after="0" w:line="271" w:lineRule="auto"/>
        <w:tabs>
          <w:tab w:leader="none" w:pos="1240" w:val="left"/>
        </w:tabs>
        <w:numPr>
          <w:ilvl w:val="1"/>
          <w:numId w:val="6"/>
        </w:numPr>
        <w:rPr>
          <w:rFonts w:ascii="Arial" w:cs="Arial" w:eastAsia="Arial" w:hAnsi="Arial"/>
          <w:sz w:val="17"/>
          <w:szCs w:val="17"/>
          <w:color w:val="auto"/>
        </w:rPr>
      </w:pPr>
      <w:r>
        <w:rPr>
          <w:rFonts w:ascii="Arial" w:cs="Arial" w:eastAsia="Arial" w:hAnsi="Arial"/>
          <w:sz w:val="17"/>
          <w:szCs w:val="17"/>
          <w:b w:val="1"/>
          <w:bCs w:val="1"/>
          <w:color w:val="auto"/>
        </w:rPr>
        <w:t>MYBPC3 Program for gHCM</w:t>
      </w:r>
      <w:r>
        <w:rPr>
          <w:rFonts w:ascii="Arial" w:cs="Arial" w:eastAsia="Arial" w:hAnsi="Arial"/>
          <w:sz w:val="17"/>
          <w:szCs w:val="17"/>
          <w:color w:val="auto"/>
        </w:rPr>
        <w:t>. We are developing an AAV-based gene therapy designed to deliver a functional</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MYBPC3</w:t>
      </w:r>
      <w:r>
        <w:rPr>
          <w:rFonts w:ascii="Arial" w:cs="Arial" w:eastAsia="Arial" w:hAnsi="Arial"/>
          <w:sz w:val="17"/>
          <w:szCs w:val="17"/>
          <w:b w:val="1"/>
          <w:bCs w:val="1"/>
          <w:color w:val="auto"/>
        </w:rPr>
        <w:t xml:space="preserve"> </w:t>
      </w:r>
      <w:r>
        <w:rPr>
          <w:rFonts w:ascii="Arial" w:cs="Arial" w:eastAsia="Arial" w:hAnsi="Arial"/>
          <w:sz w:val="17"/>
          <w:szCs w:val="17"/>
          <w:color w:val="auto"/>
        </w:rPr>
        <w:t>gene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adults and children with gHCM due to </w:t>
      </w:r>
      <w:r>
        <w:rPr>
          <w:rFonts w:ascii="Arial" w:cs="Arial" w:eastAsia="Arial" w:hAnsi="Arial"/>
          <w:sz w:val="17"/>
          <w:szCs w:val="17"/>
          <w:i w:val="1"/>
          <w:iCs w:val="1"/>
          <w:color w:val="auto"/>
        </w:rPr>
        <w:t>MYBPC3</w:t>
      </w:r>
      <w:r>
        <w:rPr>
          <w:rFonts w:ascii="Arial" w:cs="Arial" w:eastAsia="Arial" w:hAnsi="Arial"/>
          <w:sz w:val="17"/>
          <w:szCs w:val="17"/>
          <w:color w:val="auto"/>
        </w:rPr>
        <w:t xml:space="preserve"> gene mutations, estimated to affect more than 115,000 patients in the United States. These mutations can cause the heart walls of affected individuals to become significantly thickened, leading to fibrosis, abnormal heart rhythms, cardiac dysfunction, HF, and sudden cardiac death in some adults and children. Based on publicly available information to date, we believe there are currently no approved treatments that address the underlying genetic cause of this disease. Our product candidate, TN-201, uses a differentiated approach designed to enable robust expression of the </w:t>
      </w:r>
      <w:r>
        <w:rPr>
          <w:rFonts w:ascii="Arial" w:cs="Arial" w:eastAsia="Arial" w:hAnsi="Arial"/>
          <w:sz w:val="17"/>
          <w:szCs w:val="17"/>
          <w:i w:val="1"/>
          <w:iCs w:val="1"/>
          <w:color w:val="auto"/>
        </w:rPr>
        <w:t>MYBPC3</w:t>
      </w:r>
      <w:r>
        <w:rPr>
          <w:rFonts w:ascii="Arial" w:cs="Arial" w:eastAsia="Arial" w:hAnsi="Arial"/>
          <w:sz w:val="17"/>
          <w:szCs w:val="17"/>
          <w:color w:val="auto"/>
        </w:rPr>
        <w:t xml:space="preserve"> gene in the heart. We have demonstrated significant and durable disease reversal and survival benefit in a relevant murine model after a single dose, as well as tolerability in mice and non-human primates (NHPs). The program is currently in IND-enabling studies, and we have obtained feedback from multiple regulatory agencies,</w:t>
      </w:r>
    </w:p>
    <w:p>
      <w:pPr>
        <w:spacing w:after="0" w:line="36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320" w:top="459" w:right="6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705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56705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80"/>
        <w:spacing w:after="0" w:line="277" w:lineRule="auto"/>
        <w:rPr>
          <w:sz w:val="20"/>
          <w:szCs w:val="20"/>
          <w:color w:val="auto"/>
        </w:rPr>
      </w:pPr>
      <w:r>
        <w:rPr>
          <w:rFonts w:ascii="Arial" w:cs="Arial" w:eastAsia="Arial" w:hAnsi="Arial"/>
          <w:sz w:val="18"/>
          <w:szCs w:val="18"/>
          <w:color w:val="auto"/>
        </w:rPr>
        <w:t>including the FDA, to guide our path to clinical development. TN-201 has also been granted Orphan Drug Designation (ODD) by the FDA. We intend to submit an IND or CTA to the FDA or EMA, respectively, in 2022.</w:t>
      </w:r>
    </w:p>
    <w:p>
      <w:pPr>
        <w:spacing w:after="0" w:line="72" w:lineRule="exact"/>
        <w:rPr>
          <w:sz w:val="20"/>
          <w:szCs w:val="20"/>
          <w:color w:val="auto"/>
        </w:rPr>
      </w:pPr>
    </w:p>
    <w:p>
      <w:pPr>
        <w:ind w:left="1240" w:right="60" w:hanging="523"/>
        <w:spacing w:after="0" w:line="291" w:lineRule="auto"/>
        <w:tabs>
          <w:tab w:leader="none" w:pos="124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HDAC6i Program for HFpEF</w:t>
      </w:r>
      <w:r>
        <w:rPr>
          <w:rFonts w:ascii="Arial" w:cs="Arial" w:eastAsia="Arial" w:hAnsi="Arial"/>
          <w:sz w:val="16"/>
          <w:szCs w:val="16"/>
          <w:color w:val="auto"/>
        </w:rPr>
        <w:t>. We are developing an HDAC6i small molecule for various forms of HF, including HFpEF. This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disease involves systemic inflammation, left ventricular hypertrophy, fibrosis, and diastolic dysfunction resulting in high morbidity and mortality in affected individuals. HFpEF is one of the greatest areas of unmet need in heart disease with more than three million patients in the United States and currently no approved disease-modifying therapies. Our product candidate, TYA-11631, is a differentiated compound with unique chemical structures and high specificity for HDAC6. We have demonstrated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activity of our HDAC6i molecules in multiple animal models, including significant disease reversal in two different models of HFpEF as well as tolerability in mice and NHPs. Based on publicly available information to date, we believe TYA-11631 is the first HDAC6i being developed for heart disease. We have initiated IND-enabling activities and intend to submit an IND to the FDA in 2022.</w:t>
      </w:r>
    </w:p>
    <w:p>
      <w:pPr>
        <w:spacing w:after="0" w:line="64" w:lineRule="exact"/>
        <w:rPr>
          <w:rFonts w:ascii="Arial" w:cs="Arial" w:eastAsia="Arial" w:hAnsi="Arial"/>
          <w:sz w:val="16"/>
          <w:szCs w:val="16"/>
          <w:color w:val="auto"/>
        </w:rPr>
      </w:pPr>
    </w:p>
    <w:p>
      <w:pPr>
        <w:ind w:left="1240" w:right="60" w:hanging="523"/>
        <w:spacing w:after="0" w:line="289" w:lineRule="auto"/>
        <w:tabs>
          <w:tab w:leader="none" w:pos="124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PKP2 Program for gARVC</w:t>
      </w:r>
      <w:r>
        <w:rPr>
          <w:rFonts w:ascii="Arial" w:cs="Arial" w:eastAsia="Arial" w:hAnsi="Arial"/>
          <w:sz w:val="16"/>
          <w:szCs w:val="16"/>
          <w:color w:val="auto"/>
        </w:rPr>
        <w:t>. We are developing an AAV-based gene therapy designed to deliver a functional</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PKP2</w:t>
      </w:r>
      <w:r>
        <w:rPr>
          <w:rFonts w:ascii="Arial" w:cs="Arial" w:eastAsia="Arial" w:hAnsi="Arial"/>
          <w:sz w:val="16"/>
          <w:szCs w:val="16"/>
          <w:b w:val="1"/>
          <w:bCs w:val="1"/>
          <w:color w:val="auto"/>
        </w:rPr>
        <w:t xml:space="preserve"> </w:t>
      </w:r>
      <w:r>
        <w:rPr>
          <w:rFonts w:ascii="Arial" w:cs="Arial" w:eastAsia="Arial" w:hAnsi="Arial"/>
          <w:sz w:val="16"/>
          <w:szCs w:val="16"/>
          <w:color w:val="auto"/>
        </w:rPr>
        <w:t>gene in adults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with gARVC due to </w:t>
      </w:r>
      <w:r>
        <w:rPr>
          <w:rFonts w:ascii="Arial" w:cs="Arial" w:eastAsia="Arial" w:hAnsi="Arial"/>
          <w:sz w:val="16"/>
          <w:szCs w:val="16"/>
          <w:i w:val="1"/>
          <w:iCs w:val="1"/>
          <w:color w:val="auto"/>
        </w:rPr>
        <w:t>PKP2</w:t>
      </w:r>
      <w:r>
        <w:rPr>
          <w:rFonts w:ascii="Arial" w:cs="Arial" w:eastAsia="Arial" w:hAnsi="Arial"/>
          <w:sz w:val="16"/>
          <w:szCs w:val="16"/>
          <w:color w:val="auto"/>
        </w:rPr>
        <w:t xml:space="preserve"> gene mutation, estimated to affect more than 70,000 patients in the United States. These mutations can cause enlargement of the right ventricle (RV) in affected individuals, replacement of heart muscle with fibrotic tissue and fatty deposits, and severely abnormal heart rhythms (arrhythmia) that can make it harder for the heart to function properly and result in sudden cardiac death in some adults and children. Based on publicly available information to date, we believe there are currently no approved treatments that address the underlying genetic cause of this disease. We have demonstrated prevention of disease progression and survival benefit in a murine model after a single dose. Based on publicly available information to date, we believe these data are the first known demonstrations of durable disease modification, survival benefit, and prevention of arrhythmia using an AAV:PKP2 gene therapy construct. This program is currently at the candidate selection stage.</w:t>
      </w:r>
    </w:p>
    <w:p>
      <w:pPr>
        <w:spacing w:after="0" w:line="71" w:lineRule="exact"/>
        <w:rPr>
          <w:rFonts w:ascii="Arial" w:cs="Arial" w:eastAsia="Arial" w:hAnsi="Arial"/>
          <w:sz w:val="16"/>
          <w:szCs w:val="16"/>
          <w:color w:val="auto"/>
        </w:rPr>
      </w:pPr>
    </w:p>
    <w:p>
      <w:pPr>
        <w:ind w:left="1240" w:hanging="523"/>
        <w:spacing w:after="0" w:line="253"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DWORF Program for DCM</w:t>
      </w:r>
      <w:r>
        <w:rPr>
          <w:rFonts w:ascii="Arial" w:cs="Arial" w:eastAsia="Arial" w:hAnsi="Arial"/>
          <w:sz w:val="18"/>
          <w:szCs w:val="18"/>
          <w:color w:val="auto"/>
        </w:rPr>
        <w:t>. We are developing an AAV-based gene therapy designed to deliver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DWORF</w:t>
      </w:r>
      <w:r>
        <w:rPr>
          <w:rFonts w:ascii="Arial" w:cs="Arial" w:eastAsia="Arial" w:hAnsi="Arial"/>
          <w:sz w:val="18"/>
          <w:szCs w:val="18"/>
          <w:b w:val="1"/>
          <w:bCs w:val="1"/>
          <w:color w:val="auto"/>
        </w:rPr>
        <w:t xml:space="preserve"> </w:t>
      </w:r>
      <w:r>
        <w:rPr>
          <w:rFonts w:ascii="Arial" w:cs="Arial" w:eastAsia="Arial" w:hAnsi="Arial"/>
          <w:sz w:val="18"/>
          <w:szCs w:val="18"/>
          <w:color w:val="auto"/>
        </w:rPr>
        <w:t>gene for patients with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DCM, estimated to affect about one million patients in the United States. DCM is a progressive and life-threatening disease that causes left ventricle (LV) enlargement, LV wall thinning, insufficient contraction, reduced blood flow, ventricular arrhythmias, and can result in premature morbidity and need for heart transplant in affected individuals. DWORF is a muscle-specific micro-peptide first discovered by our co-founder Eric Olson, Ph.D. that acts on the sarcoplasmic/endoplasmic reticulum Ca2+ ATPase 2a (SERCA2a) pathway, widely considered to be a promising target in HF. We and our academic collaborators have accumulated significant preclinical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proof-of-concept evidence for the therapeutic benefit of over-expression of the </w:t>
      </w:r>
      <w:r>
        <w:rPr>
          <w:rFonts w:ascii="Arial" w:cs="Arial" w:eastAsia="Arial" w:hAnsi="Arial"/>
          <w:sz w:val="18"/>
          <w:szCs w:val="18"/>
          <w:i w:val="1"/>
          <w:iCs w:val="1"/>
          <w:color w:val="auto"/>
        </w:rPr>
        <w:t>DWORF</w:t>
      </w:r>
      <w:r>
        <w:rPr>
          <w:rFonts w:ascii="Arial" w:cs="Arial" w:eastAsia="Arial" w:hAnsi="Arial"/>
          <w:sz w:val="18"/>
          <w:szCs w:val="18"/>
          <w:color w:val="auto"/>
        </w:rPr>
        <w:t xml:space="preserve"> gene in multiple murine models, including models of gDCM and HFrEF, as well as tolerability in murine models. Based on publicly available information to date, we believe these are the first demonstrations of the potential benefit of AAV:DWORF. This program is currently at the candidate selection stage.</w:t>
      </w:r>
    </w:p>
    <w:p>
      <w:pPr>
        <w:spacing w:after="0" w:line="99" w:lineRule="exact"/>
        <w:rPr>
          <w:rFonts w:ascii="Arial" w:cs="Arial" w:eastAsia="Arial" w:hAnsi="Arial"/>
          <w:sz w:val="18"/>
          <w:szCs w:val="18"/>
          <w:color w:val="auto"/>
        </w:rPr>
      </w:pPr>
    </w:p>
    <w:p>
      <w:pPr>
        <w:ind w:left="1240" w:hanging="523"/>
        <w:spacing w:after="0" w:line="272" w:lineRule="auto"/>
        <w:tabs>
          <w:tab w:leader="none" w:pos="124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Reprogramming Program for HF due to prior MI</w:t>
      </w:r>
      <w:r>
        <w:rPr>
          <w:rFonts w:ascii="Arial" w:cs="Arial" w:eastAsia="Arial" w:hAnsi="Arial"/>
          <w:sz w:val="17"/>
          <w:szCs w:val="17"/>
          <w:color w:val="auto"/>
        </w:rPr>
        <w:t>. We are developing an AAV-based approach to cellular regeneration that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involves converting (or reprogramming) existing CFs within the heart to turn into new CMs and to replace cells permanently lost due to MI. There are estimated to be more than four million patients in the United States living with HF due to prior MI. The loss of CMs in affected individuals permanently impairs heart contraction, leading to HF and potentially fatal arrhythmias, and the death of approximately 5% to 10% of MI survivors within the first year. There are currently no approved treatments that address the underlying loss of heart tissue. The potential utility of our unique approach to creating new CMs was first demonstrated by our co-founder Deepak Srivastava, M.D. We have discovered a proprietary combination of three genes that can drive robust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reprogramming of CFs to CMs when delivered together in a single AAV capsid. We have demonstrated significant and</w:t>
      </w:r>
    </w:p>
    <w:p>
      <w:pPr>
        <w:spacing w:after="0" w:line="3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320" w:top="459" w:right="6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0302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30302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40"/>
        <w:spacing w:after="0" w:line="311" w:lineRule="auto"/>
        <w:rPr>
          <w:sz w:val="20"/>
          <w:szCs w:val="20"/>
          <w:color w:val="auto"/>
        </w:rPr>
      </w:pPr>
      <w:r>
        <w:rPr>
          <w:rFonts w:ascii="Arial" w:cs="Arial" w:eastAsia="Arial" w:hAnsi="Arial"/>
          <w:sz w:val="16"/>
          <w:szCs w:val="16"/>
          <w:color w:val="auto"/>
        </w:rPr>
        <w:t>durable disease reversal as well as tolerability in multiple small and large animal models. Based on publicly available information to date, we believe our results in a pig model of HF due to prior MI represent the first-ever successful demonstration of the potential benefit of this approach in a human-sized heart. This program is currently at the candidate selection stage.</w:t>
      </w:r>
    </w:p>
    <w:p>
      <w:pPr>
        <w:spacing w:after="0" w:line="257"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Overview of Heart Disease</w:t>
      </w:r>
    </w:p>
    <w:p>
      <w:pPr>
        <w:spacing w:after="0" w:line="117" w:lineRule="exact"/>
        <w:rPr>
          <w:sz w:val="20"/>
          <w:szCs w:val="20"/>
          <w:color w:val="auto"/>
        </w:rPr>
      </w:pPr>
    </w:p>
    <w:p>
      <w:pPr>
        <w:ind w:left="300" w:firstLine="426"/>
        <w:spacing w:after="0" w:line="271" w:lineRule="auto"/>
        <w:rPr>
          <w:sz w:val="20"/>
          <w:szCs w:val="20"/>
          <w:color w:val="auto"/>
        </w:rPr>
      </w:pPr>
      <w:r>
        <w:rPr>
          <w:rFonts w:ascii="Arial" w:cs="Arial" w:eastAsia="Arial" w:hAnsi="Arial"/>
          <w:sz w:val="17"/>
          <w:szCs w:val="17"/>
          <w:color w:val="auto"/>
        </w:rPr>
        <w:t>Heart disease is the leading cause of death in the world, accounting for more deaths than from all cancers combined. In the United States, more than 30 million adults, or approximately 12% of the adult population, are diagnosed with heart disease. In addition, an adult dies from a cardiovascular-related health condition, such as a heart attack every 36 seconds, a gruesome statistic that translates to 31% of all deaths in the United States each year. The picture is equally bleak at the other end of the age spectrum, as approximately 35,000 children are born in the United States every year with congenital heart disease (CHD), and CHD is the leading cause of birth defect-related morbidity and mortality. There are over 250 known genetically defined disorders where the primary source of morbidity and mortality involves the heart, but there are few approved products that target the underlying cause of such diseases. Recent analysis has shown that after decades of reduction in the mortality rate due to HF, these rates are once again rising, highlighting the need for improved treatments.</w:t>
      </w:r>
    </w:p>
    <w:p>
      <w:pPr>
        <w:spacing w:after="0" w:line="178" w:lineRule="exact"/>
        <w:rPr>
          <w:sz w:val="20"/>
          <w:szCs w:val="20"/>
          <w:color w:val="auto"/>
        </w:rPr>
      </w:pPr>
    </w:p>
    <w:p>
      <w:pPr>
        <w:ind w:left="300" w:right="80" w:firstLine="426"/>
        <w:spacing w:after="0" w:line="296" w:lineRule="auto"/>
        <w:rPr>
          <w:sz w:val="20"/>
          <w:szCs w:val="20"/>
          <w:color w:val="auto"/>
        </w:rPr>
      </w:pPr>
      <w:r>
        <w:rPr>
          <w:rFonts w:ascii="Arial" w:cs="Arial" w:eastAsia="Arial" w:hAnsi="Arial"/>
          <w:sz w:val="16"/>
          <w:szCs w:val="16"/>
          <w:color w:val="auto"/>
        </w:rPr>
        <w:t>The heart is a complex organ due to its biological structure as well as its tightly regulated and coordinated electrophysiological and biomechanical properties. Heart disease comes in many forms, affects individuals at many ages, and is a result of many factors. As depicted in the below table, heart disease can be generally categorized as either directly resulting from problems associated with the heart organ, for example, HF, arrhythmia, and heart valve disease, or indirectly resulting from problems associated with the vasculature, for example, coronary artery disease (CAD). In each case, the underlying cause could be genetic, or due to normal aging or due to environmental factors.</w:t>
      </w:r>
    </w:p>
    <w:p>
      <w:pPr>
        <w:spacing w:after="0" w:line="35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320" w:top="459" w:right="6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7075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67075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table below illustrates four broad categories of heart disease:</w:t>
      </w:r>
    </w:p>
    <w:p>
      <w:pPr>
        <w:spacing w:after="0" w:line="246" w:lineRule="exact"/>
        <w:rPr>
          <w:sz w:val="20"/>
          <w:szCs w:val="20"/>
          <w:color w:val="auto"/>
        </w:rPr>
      </w:pPr>
    </w:p>
    <w:tbl>
      <w:tblPr>
        <w:tblLayout w:type="fixed"/>
        <w:tblInd w:w="310" w:type="dxa"/>
        <w:tblCellMar>
          <w:top w:w="0" w:type="dxa"/>
          <w:left w:w="0" w:type="dxa"/>
          <w:bottom w:w="0" w:type="dxa"/>
          <w:right w:w="0" w:type="dxa"/>
        </w:tblCellMar>
      </w:tblPr>
      <w:tr>
        <w:trPr>
          <w:trHeight w:val="256"/>
        </w:trPr>
        <w:tc>
          <w:tcPr>
            <w:tcW w:w="3780" w:type="dxa"/>
            <w:vAlign w:val="bottom"/>
            <w:tcBorders>
              <w:top w:val="single" w:sz="8" w:color="auto"/>
              <w:left w:val="single" w:sz="8" w:color="auto"/>
              <w:bottom w:val="single" w:sz="8" w:color="auto"/>
              <w:right w:val="single" w:sz="8" w:color="auto"/>
            </w:tcBorders>
          </w:tcPr>
          <w:p>
            <w:pPr>
              <w:jc w:val="center"/>
              <w:ind w:left="34"/>
              <w:spacing w:after="0"/>
              <w:rPr>
                <w:sz w:val="20"/>
                <w:szCs w:val="20"/>
                <w:color w:val="auto"/>
              </w:rPr>
            </w:pPr>
            <w:r>
              <w:rPr>
                <w:rFonts w:ascii="Arial" w:cs="Arial" w:eastAsia="Arial" w:hAnsi="Arial"/>
                <w:sz w:val="14"/>
                <w:szCs w:val="14"/>
                <w:b w:val="1"/>
                <w:bCs w:val="1"/>
                <w:color w:val="auto"/>
              </w:rPr>
              <w:t>CATEGORIES</w:t>
            </w:r>
          </w:p>
        </w:tc>
        <w:tc>
          <w:tcPr>
            <w:tcW w:w="6880" w:type="dxa"/>
            <w:vAlign w:val="bottom"/>
            <w:tcBorders>
              <w:top w:val="single" w:sz="8" w:color="auto"/>
              <w:bottom w:val="single" w:sz="8" w:color="auto"/>
              <w:right w:val="single" w:sz="8" w:color="auto"/>
            </w:tcBorders>
          </w:tcPr>
          <w:p>
            <w:pPr>
              <w:ind w:left="30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411"/>
        </w:trPr>
        <w:tc>
          <w:tcPr>
            <w:tcW w:w="3780" w:type="dxa"/>
            <w:vAlign w:val="bottom"/>
            <w:tcBorders>
              <w:left w:val="single" w:sz="8" w:color="auto"/>
              <w:right w:val="single" w:sz="8" w:color="auto"/>
            </w:tcBorders>
          </w:tcPr>
          <w:p>
            <w:pPr>
              <w:spacing w:after="0"/>
              <w:rPr>
                <w:sz w:val="24"/>
                <w:szCs w:val="24"/>
                <w:color w:val="auto"/>
              </w:rPr>
            </w:pPr>
          </w:p>
        </w:tc>
        <w:tc>
          <w:tcPr>
            <w:tcW w:w="6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4"/>
              </w:rPr>
              <w:t>HF is a heart condition in which the heart’s pumping capacity is not adequate to meet the</w:t>
            </w:r>
          </w:p>
        </w:tc>
        <w:tc>
          <w:tcPr>
            <w:tcW w:w="0" w:type="dxa"/>
            <w:vAlign w:val="bottom"/>
          </w:tcPr>
          <w:p>
            <w:pPr>
              <w:spacing w:after="0"/>
              <w:rPr>
                <w:sz w:val="1"/>
                <w:szCs w:val="1"/>
                <w:color w:val="auto"/>
              </w:rPr>
            </w:pP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6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4"/>
              </w:rPr>
              <w:t>demands for blood and oxygen required by the rest of the body. HF can be the result of a</w:t>
            </w:r>
          </w:p>
        </w:tc>
        <w:tc>
          <w:tcPr>
            <w:tcW w:w="0" w:type="dxa"/>
            <w:vAlign w:val="bottom"/>
          </w:tcPr>
          <w:p>
            <w:pPr>
              <w:spacing w:after="0"/>
              <w:rPr>
                <w:sz w:val="1"/>
                <w:szCs w:val="1"/>
                <w:color w:val="auto"/>
              </w:rPr>
            </w:pP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6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7"/>
              </w:rPr>
              <w:t>range of conditions that lead to weakening of the heart muscle. Conditions that can be</w:t>
            </w:r>
          </w:p>
        </w:tc>
        <w:tc>
          <w:tcPr>
            <w:tcW w:w="0" w:type="dxa"/>
            <w:vAlign w:val="bottom"/>
          </w:tcPr>
          <w:p>
            <w:pPr>
              <w:spacing w:after="0"/>
              <w:rPr>
                <w:sz w:val="1"/>
                <w:szCs w:val="1"/>
                <w:color w:val="auto"/>
              </w:rPr>
            </w:pP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6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7"/>
              </w:rPr>
              <w:t>associated with the development of HF include a heart attack, uncontrolled high blood</w:t>
            </w:r>
          </w:p>
        </w:tc>
        <w:tc>
          <w:tcPr>
            <w:tcW w:w="0" w:type="dxa"/>
            <w:vAlign w:val="bottom"/>
          </w:tcPr>
          <w:p>
            <w:pPr>
              <w:spacing w:after="0"/>
              <w:rPr>
                <w:sz w:val="1"/>
                <w:szCs w:val="1"/>
                <w:color w:val="auto"/>
              </w:rPr>
            </w:pP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6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pressure, congenital heart disease (heart defects present at birth), and genetic</w:t>
            </w:r>
          </w:p>
        </w:tc>
        <w:tc>
          <w:tcPr>
            <w:tcW w:w="0" w:type="dxa"/>
            <w:vAlign w:val="bottom"/>
          </w:tcPr>
          <w:p>
            <w:pPr>
              <w:spacing w:after="0"/>
              <w:rPr>
                <w:sz w:val="1"/>
                <w:szCs w:val="1"/>
                <w:color w:val="auto"/>
              </w:rPr>
            </w:pPr>
          </w:p>
        </w:tc>
      </w:tr>
      <w:tr>
        <w:trPr>
          <w:trHeight w:val="230"/>
        </w:trPr>
        <w:tc>
          <w:tcPr>
            <w:tcW w:w="3780" w:type="dxa"/>
            <w:vAlign w:val="bottom"/>
            <w:tcBorders>
              <w:left w:val="single" w:sz="8" w:color="auto"/>
              <w:right w:val="single" w:sz="8" w:color="auto"/>
            </w:tcBorders>
            <w:vMerge w:val="restart"/>
          </w:tcPr>
          <w:p>
            <w:pPr>
              <w:jc w:val="center"/>
              <w:ind w:left="34"/>
              <w:spacing w:after="0"/>
              <w:rPr>
                <w:sz w:val="20"/>
                <w:szCs w:val="20"/>
                <w:color w:val="auto"/>
              </w:rPr>
            </w:pPr>
            <w:r>
              <w:rPr>
                <w:rFonts w:ascii="Arial" w:cs="Arial" w:eastAsia="Arial" w:hAnsi="Arial"/>
                <w:sz w:val="18"/>
                <w:szCs w:val="18"/>
                <w:color w:val="auto"/>
                <w:w w:val="92"/>
              </w:rPr>
              <w:t>Heart Failure (HF)</w:t>
            </w:r>
          </w:p>
        </w:tc>
        <w:tc>
          <w:tcPr>
            <w:tcW w:w="6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cardiomyopathies.</w:t>
            </w:r>
          </w:p>
        </w:tc>
        <w:tc>
          <w:tcPr>
            <w:tcW w:w="0" w:type="dxa"/>
            <w:vAlign w:val="bottom"/>
          </w:tcPr>
          <w:p>
            <w:pPr>
              <w:spacing w:after="0"/>
              <w:rPr>
                <w:sz w:val="1"/>
                <w:szCs w:val="1"/>
                <w:color w:val="auto"/>
              </w:rPr>
            </w:pPr>
          </w:p>
        </w:tc>
      </w:tr>
      <w:tr>
        <w:trPr>
          <w:trHeight w:val="169"/>
        </w:trPr>
        <w:tc>
          <w:tcPr>
            <w:tcW w:w="378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68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8"/>
        </w:trPr>
        <w:tc>
          <w:tcPr>
            <w:tcW w:w="3780" w:type="dxa"/>
            <w:vAlign w:val="bottom"/>
            <w:tcBorders>
              <w:left w:val="single" w:sz="8" w:color="auto"/>
              <w:right w:val="single" w:sz="8" w:color="auto"/>
            </w:tcBorders>
          </w:tcPr>
          <w:p>
            <w:pPr>
              <w:spacing w:after="0"/>
              <w:rPr>
                <w:sz w:val="24"/>
                <w:szCs w:val="24"/>
                <w:color w:val="auto"/>
              </w:rPr>
            </w:pPr>
          </w:p>
        </w:tc>
        <w:tc>
          <w:tcPr>
            <w:tcW w:w="6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2"/>
              </w:rPr>
              <w:t>Arrhythmia is one of the most common heart conditions and is described as any change in</w:t>
            </w:r>
          </w:p>
        </w:tc>
        <w:tc>
          <w:tcPr>
            <w:tcW w:w="0" w:type="dxa"/>
            <w:vAlign w:val="bottom"/>
          </w:tcPr>
          <w:p>
            <w:pPr>
              <w:spacing w:after="0"/>
              <w:rPr>
                <w:sz w:val="1"/>
                <w:szCs w:val="1"/>
                <w:color w:val="auto"/>
              </w:rPr>
            </w:pP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6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7"/>
              </w:rPr>
              <w:t>the heart’s normal electrical impulses. Electrical impulses from within the heart initiate</w:t>
            </w:r>
          </w:p>
        </w:tc>
        <w:tc>
          <w:tcPr>
            <w:tcW w:w="0" w:type="dxa"/>
            <w:vAlign w:val="bottom"/>
          </w:tcPr>
          <w:p>
            <w:pPr>
              <w:spacing w:after="0"/>
              <w:rPr>
                <w:sz w:val="1"/>
                <w:szCs w:val="1"/>
                <w:color w:val="auto"/>
              </w:rPr>
            </w:pP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6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1"/>
              </w:rPr>
              <w:t>each heartbeat and ensure its normal pumping function. Arrhythmias can cause the heart to</w:t>
            </w:r>
          </w:p>
        </w:tc>
        <w:tc>
          <w:tcPr>
            <w:tcW w:w="0" w:type="dxa"/>
            <w:vAlign w:val="bottom"/>
          </w:tcPr>
          <w:p>
            <w:pPr>
              <w:spacing w:after="0"/>
              <w:rPr>
                <w:sz w:val="1"/>
                <w:szCs w:val="1"/>
                <w:color w:val="auto"/>
              </w:rPr>
            </w:pP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6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1"/>
              </w:rPr>
              <w:t>beat too quickly, too slowly or irregularly, resulting in a broad range of symptoms as well as</w:t>
            </w:r>
          </w:p>
        </w:tc>
        <w:tc>
          <w:tcPr>
            <w:tcW w:w="0" w:type="dxa"/>
            <w:vAlign w:val="bottom"/>
          </w:tcPr>
          <w:p>
            <w:pPr>
              <w:spacing w:after="0"/>
              <w:rPr>
                <w:sz w:val="1"/>
                <w:szCs w:val="1"/>
                <w:color w:val="auto"/>
              </w:rPr>
            </w:pPr>
          </w:p>
        </w:tc>
      </w:tr>
      <w:tr>
        <w:trPr>
          <w:trHeight w:val="230"/>
        </w:trPr>
        <w:tc>
          <w:tcPr>
            <w:tcW w:w="3780" w:type="dxa"/>
            <w:vAlign w:val="bottom"/>
            <w:tcBorders>
              <w:left w:val="single" w:sz="8" w:color="auto"/>
              <w:right w:val="single" w:sz="8" w:color="auto"/>
            </w:tcBorders>
          </w:tcPr>
          <w:p>
            <w:pPr>
              <w:spacing w:after="0"/>
              <w:rPr>
                <w:sz w:val="20"/>
                <w:szCs w:val="20"/>
                <w:color w:val="auto"/>
              </w:rPr>
            </w:pPr>
          </w:p>
        </w:tc>
        <w:tc>
          <w:tcPr>
            <w:tcW w:w="6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sudden death and stroke.</w:t>
            </w:r>
          </w:p>
        </w:tc>
        <w:tc>
          <w:tcPr>
            <w:tcW w:w="0" w:type="dxa"/>
            <w:vAlign w:val="bottom"/>
          </w:tcPr>
          <w:p>
            <w:pPr>
              <w:spacing w:after="0"/>
              <w:rPr>
                <w:sz w:val="1"/>
                <w:szCs w:val="1"/>
                <w:color w:val="auto"/>
              </w:rPr>
            </w:pPr>
          </w:p>
        </w:tc>
      </w:tr>
      <w:tr>
        <w:trPr>
          <w:trHeight w:val="277"/>
        </w:trPr>
        <w:tc>
          <w:tcPr>
            <w:tcW w:w="3780" w:type="dxa"/>
            <w:vAlign w:val="bottom"/>
            <w:tcBorders>
              <w:left w:val="single" w:sz="8" w:color="auto"/>
              <w:bottom w:val="single" w:sz="8" w:color="auto"/>
              <w:right w:val="single" w:sz="8" w:color="auto"/>
            </w:tcBorders>
          </w:tcPr>
          <w:p>
            <w:pPr>
              <w:jc w:val="center"/>
              <w:ind w:left="54"/>
              <w:spacing w:after="0"/>
              <w:rPr>
                <w:sz w:val="20"/>
                <w:szCs w:val="20"/>
                <w:color w:val="auto"/>
              </w:rPr>
            </w:pPr>
            <w:r>
              <w:rPr>
                <w:rFonts w:ascii="Arial" w:cs="Arial" w:eastAsia="Arial" w:hAnsi="Arial"/>
                <w:sz w:val="18"/>
                <w:szCs w:val="18"/>
                <w:color w:val="auto"/>
                <w:w w:val="96"/>
              </w:rPr>
              <w:t>Arrhythmia</w:t>
            </w:r>
          </w:p>
        </w:tc>
        <w:tc>
          <w:tcPr>
            <w:tcW w:w="6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4"/>
        </w:trPr>
        <w:tc>
          <w:tcPr>
            <w:tcW w:w="3780" w:type="dxa"/>
            <w:vAlign w:val="bottom"/>
            <w:tcBorders>
              <w:left w:val="single" w:sz="8" w:color="auto"/>
              <w:right w:val="single" w:sz="8" w:color="auto"/>
            </w:tcBorders>
          </w:tcPr>
          <w:p>
            <w:pPr>
              <w:spacing w:after="0"/>
              <w:rPr>
                <w:sz w:val="24"/>
                <w:szCs w:val="24"/>
                <w:color w:val="auto"/>
              </w:rPr>
            </w:pPr>
          </w:p>
        </w:tc>
        <w:tc>
          <w:tcPr>
            <w:tcW w:w="6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1"/>
              </w:rPr>
              <w:t>Heart value disease occurs when there is a problem with one or more of the four valves that</w:t>
            </w:r>
          </w:p>
        </w:tc>
        <w:tc>
          <w:tcPr>
            <w:tcW w:w="0" w:type="dxa"/>
            <w:vAlign w:val="bottom"/>
          </w:tcPr>
          <w:p>
            <w:pPr>
              <w:spacing w:after="0"/>
              <w:rPr>
                <w:sz w:val="1"/>
                <w:szCs w:val="1"/>
                <w:color w:val="auto"/>
              </w:rPr>
            </w:pP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6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3"/>
              </w:rPr>
              <w:t>normally work in unison to make sure that blood is pumped in the proper direction through</w:t>
            </w:r>
          </w:p>
        </w:tc>
        <w:tc>
          <w:tcPr>
            <w:tcW w:w="0" w:type="dxa"/>
            <w:vAlign w:val="bottom"/>
          </w:tcPr>
          <w:p>
            <w:pPr>
              <w:spacing w:after="0"/>
              <w:rPr>
                <w:sz w:val="1"/>
                <w:szCs w:val="1"/>
                <w:color w:val="auto"/>
              </w:rPr>
            </w:pPr>
          </w:p>
        </w:tc>
      </w:tr>
      <w:tr>
        <w:trPr>
          <w:trHeight w:val="230"/>
        </w:trPr>
        <w:tc>
          <w:tcPr>
            <w:tcW w:w="3780" w:type="dxa"/>
            <w:vAlign w:val="bottom"/>
            <w:tcBorders>
              <w:left w:val="single" w:sz="8" w:color="auto"/>
              <w:right w:val="single" w:sz="8" w:color="auto"/>
            </w:tcBorders>
          </w:tcPr>
          <w:p>
            <w:pPr>
              <w:spacing w:after="0"/>
              <w:rPr>
                <w:sz w:val="20"/>
                <w:szCs w:val="20"/>
                <w:color w:val="auto"/>
              </w:rPr>
            </w:pPr>
          </w:p>
        </w:tc>
        <w:tc>
          <w:tcPr>
            <w:tcW w:w="6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the four chambers of the heart.</w:t>
            </w:r>
          </w:p>
        </w:tc>
        <w:tc>
          <w:tcPr>
            <w:tcW w:w="0" w:type="dxa"/>
            <w:vAlign w:val="bottom"/>
          </w:tcPr>
          <w:p>
            <w:pPr>
              <w:spacing w:after="0"/>
              <w:rPr>
                <w:sz w:val="1"/>
                <w:szCs w:val="1"/>
                <w:color w:val="auto"/>
              </w:rPr>
            </w:pPr>
          </w:p>
        </w:tc>
      </w:tr>
      <w:tr>
        <w:trPr>
          <w:trHeight w:val="493"/>
        </w:trPr>
        <w:tc>
          <w:tcPr>
            <w:tcW w:w="3780" w:type="dxa"/>
            <w:vAlign w:val="bottom"/>
            <w:tcBorders>
              <w:left w:val="single" w:sz="8" w:color="auto"/>
              <w:bottom w:val="single" w:sz="8" w:color="auto"/>
              <w:right w:val="single" w:sz="8" w:color="auto"/>
            </w:tcBorders>
          </w:tcPr>
          <w:p>
            <w:pPr>
              <w:jc w:val="center"/>
              <w:ind w:left="34"/>
              <w:spacing w:after="0"/>
              <w:rPr>
                <w:sz w:val="20"/>
                <w:szCs w:val="20"/>
                <w:color w:val="auto"/>
              </w:rPr>
            </w:pPr>
            <w:r>
              <w:rPr>
                <w:rFonts w:ascii="Arial" w:cs="Arial" w:eastAsia="Arial" w:hAnsi="Arial"/>
                <w:sz w:val="18"/>
                <w:szCs w:val="18"/>
                <w:color w:val="auto"/>
                <w:w w:val="88"/>
              </w:rPr>
              <w:t>Heart Valve Disease</w:t>
            </w:r>
          </w:p>
        </w:tc>
        <w:tc>
          <w:tcPr>
            <w:tcW w:w="6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4"/>
        </w:trPr>
        <w:tc>
          <w:tcPr>
            <w:tcW w:w="3780" w:type="dxa"/>
            <w:vAlign w:val="bottom"/>
            <w:tcBorders>
              <w:left w:val="single" w:sz="8" w:color="auto"/>
              <w:right w:val="single" w:sz="8" w:color="auto"/>
            </w:tcBorders>
          </w:tcPr>
          <w:p>
            <w:pPr>
              <w:spacing w:after="0"/>
              <w:rPr>
                <w:sz w:val="24"/>
                <w:szCs w:val="24"/>
                <w:color w:val="auto"/>
              </w:rPr>
            </w:pPr>
          </w:p>
        </w:tc>
        <w:tc>
          <w:tcPr>
            <w:tcW w:w="6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4"/>
              </w:rPr>
              <w:t>CAD is among the most common type of heart disease and occurs when plaque grows in</w:t>
            </w:r>
          </w:p>
        </w:tc>
        <w:tc>
          <w:tcPr>
            <w:tcW w:w="0" w:type="dxa"/>
            <w:vAlign w:val="bottom"/>
          </w:tcPr>
          <w:p>
            <w:pPr>
              <w:spacing w:after="0"/>
              <w:rPr>
                <w:sz w:val="1"/>
                <w:szCs w:val="1"/>
                <w:color w:val="auto"/>
              </w:rPr>
            </w:pP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6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5"/>
              </w:rPr>
              <w:t>the walls of the coronary arteries, limiting the blood flow to the heart’s muscle. CAD can</w:t>
            </w:r>
          </w:p>
        </w:tc>
        <w:tc>
          <w:tcPr>
            <w:tcW w:w="0" w:type="dxa"/>
            <w:vAlign w:val="bottom"/>
          </w:tcPr>
          <w:p>
            <w:pPr>
              <w:spacing w:after="0"/>
              <w:rPr>
                <w:sz w:val="1"/>
                <w:szCs w:val="1"/>
                <w:color w:val="auto"/>
              </w:rPr>
            </w:pPr>
          </w:p>
        </w:tc>
      </w:tr>
      <w:tr>
        <w:trPr>
          <w:trHeight w:val="230"/>
        </w:trPr>
        <w:tc>
          <w:tcPr>
            <w:tcW w:w="3780" w:type="dxa"/>
            <w:vAlign w:val="bottom"/>
            <w:tcBorders>
              <w:left w:val="single" w:sz="8" w:color="auto"/>
              <w:right w:val="single" w:sz="8" w:color="auto"/>
            </w:tcBorders>
          </w:tcPr>
          <w:p>
            <w:pPr>
              <w:spacing w:after="0"/>
              <w:rPr>
                <w:sz w:val="20"/>
                <w:szCs w:val="20"/>
                <w:color w:val="auto"/>
              </w:rPr>
            </w:pPr>
          </w:p>
        </w:tc>
        <w:tc>
          <w:tcPr>
            <w:tcW w:w="6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ultimately lead to a heart attack.</w:t>
            </w:r>
          </w:p>
        </w:tc>
        <w:tc>
          <w:tcPr>
            <w:tcW w:w="0" w:type="dxa"/>
            <w:vAlign w:val="bottom"/>
          </w:tcPr>
          <w:p>
            <w:pPr>
              <w:spacing w:after="0"/>
              <w:rPr>
                <w:sz w:val="1"/>
                <w:szCs w:val="1"/>
                <w:color w:val="auto"/>
              </w:rPr>
            </w:pPr>
          </w:p>
        </w:tc>
      </w:tr>
      <w:tr>
        <w:trPr>
          <w:trHeight w:val="493"/>
        </w:trPr>
        <w:tc>
          <w:tcPr>
            <w:tcW w:w="3780" w:type="dxa"/>
            <w:vAlign w:val="bottom"/>
            <w:tcBorders>
              <w:left w:val="single" w:sz="8" w:color="auto"/>
              <w:bottom w:val="single" w:sz="8" w:color="auto"/>
              <w:right w:val="single" w:sz="8" w:color="auto"/>
            </w:tcBorders>
          </w:tcPr>
          <w:p>
            <w:pPr>
              <w:jc w:val="center"/>
              <w:ind w:left="34"/>
              <w:spacing w:after="0"/>
              <w:rPr>
                <w:sz w:val="20"/>
                <w:szCs w:val="20"/>
                <w:color w:val="auto"/>
              </w:rPr>
            </w:pPr>
            <w:r>
              <w:rPr>
                <w:rFonts w:ascii="Arial" w:cs="Arial" w:eastAsia="Arial" w:hAnsi="Arial"/>
                <w:sz w:val="18"/>
                <w:szCs w:val="18"/>
                <w:color w:val="auto"/>
                <w:w w:val="92"/>
              </w:rPr>
              <w:t>Coronary Artery Disease (CAD)</w:t>
            </w:r>
          </w:p>
        </w:tc>
        <w:tc>
          <w:tcPr>
            <w:tcW w:w="6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Current Challenges in the Development of Novel Therapies for Heart Disease</w:t>
      </w:r>
    </w:p>
    <w:p>
      <w:pPr>
        <w:spacing w:after="0" w:line="117" w:lineRule="exact"/>
        <w:rPr>
          <w:sz w:val="20"/>
          <w:szCs w:val="20"/>
          <w:color w:val="auto"/>
        </w:rPr>
      </w:pPr>
    </w:p>
    <w:p>
      <w:pPr>
        <w:ind w:left="300" w:right="260" w:firstLine="426"/>
        <w:spacing w:after="0" w:line="277" w:lineRule="auto"/>
        <w:rPr>
          <w:sz w:val="20"/>
          <w:szCs w:val="20"/>
          <w:color w:val="auto"/>
        </w:rPr>
      </w:pPr>
      <w:r>
        <w:rPr>
          <w:rFonts w:ascii="Arial" w:cs="Arial" w:eastAsia="Arial" w:hAnsi="Arial"/>
          <w:sz w:val="18"/>
          <w:szCs w:val="18"/>
          <w:color w:val="auto"/>
        </w:rPr>
        <w:t>While there is significant unmet need in the field of heart disease, historically there have been challenges in developing novel therapies for the different forms of heart disease. These challenges include, but are not limited to:</w:t>
      </w:r>
    </w:p>
    <w:p>
      <w:pPr>
        <w:spacing w:after="0" w:line="76" w:lineRule="exact"/>
        <w:rPr>
          <w:sz w:val="20"/>
          <w:szCs w:val="20"/>
          <w:color w:val="auto"/>
        </w:rPr>
      </w:pPr>
    </w:p>
    <w:p>
      <w:pPr>
        <w:ind w:left="1240" w:hanging="523"/>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Most development efforts focus on treating symptoms rather than targeting the underlying causes of diseases;</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Identifying new disease-modifying targets is challenging;</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Genetic diagnosis and genetic counseling are limited;</w:t>
      </w:r>
    </w:p>
    <w:p>
      <w:pPr>
        <w:spacing w:after="0" w:line="200" w:lineRule="exact"/>
        <w:rPr>
          <w:sz w:val="20"/>
          <w:szCs w:val="20"/>
          <w:color w:val="auto"/>
        </w:rPr>
      </w:pPr>
    </w:p>
    <w:p>
      <w:pPr>
        <w:spacing w:after="0" w:line="2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320" w:top="459" w:right="6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896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68961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523"/>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Regenerative therapy science is still in its early stages;</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 therapy science for the heart is still maturing;</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requirements are stringent;</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of development are high; and</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Patient access barriers are challenging.</w:t>
      </w:r>
    </w:p>
    <w:p>
      <w:pPr>
        <w:spacing w:after="0" w:line="225" w:lineRule="exact"/>
        <w:rPr>
          <w:sz w:val="20"/>
          <w:szCs w:val="20"/>
          <w:color w:val="auto"/>
        </w:rPr>
      </w:pPr>
    </w:p>
    <w:p>
      <w:pPr>
        <w:ind w:left="300" w:firstLine="426"/>
        <w:spacing w:after="0" w:line="271" w:lineRule="auto"/>
        <w:rPr>
          <w:sz w:val="20"/>
          <w:szCs w:val="20"/>
          <w:color w:val="auto"/>
        </w:rPr>
      </w:pPr>
      <w:r>
        <w:rPr>
          <w:rFonts w:ascii="Arial" w:cs="Arial" w:eastAsia="Arial" w:hAnsi="Arial"/>
          <w:sz w:val="17"/>
          <w:szCs w:val="17"/>
          <w:color w:val="auto"/>
        </w:rPr>
        <w:t>These factors have contributed to a decline in successful heart disease drug development. However, there are recent signs of improvement. There is increasing insight into the genetic causes of heart disease and a greater push for more consistent genetic testing and family counseling supported by (1) updated clinical practice guidelines such as 2020 American College of Cardiology (ACC) and American Heart Association (AHA) recommendations for patients with hypertrophic cardiomyopathy (HCM), (2) the push by patient advocacy organizations for mandatory screening of young athletes, and (3) increased availability of accessible genetic testing covering more than 150 relevant genes associated with inherited arrhythmia and cardiomyopathy conditions. We believe with the evolving understanding of heart disease in the scientific community and general public, there are significant opportunities where we can benefit from and support the evolution towards more precise diagnosis, drug development, and treatment for heart disease, as depicted in the diagram below.</w:t>
      </w:r>
    </w:p>
    <w:p>
      <w:pPr>
        <w:spacing w:after="0" w:line="1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The Evolving Landscape of Heart Disease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Our Strategy</w:t>
      </w:r>
    </w:p>
    <w:p>
      <w:pPr>
        <w:spacing w:after="0" w:line="117" w:lineRule="exact"/>
        <w:rPr>
          <w:sz w:val="20"/>
          <w:szCs w:val="20"/>
          <w:color w:val="auto"/>
        </w:rPr>
      </w:pPr>
    </w:p>
    <w:p>
      <w:pPr>
        <w:ind w:left="300" w:right="260" w:firstLine="426"/>
        <w:spacing w:after="0" w:line="259" w:lineRule="auto"/>
        <w:rPr>
          <w:sz w:val="20"/>
          <w:szCs w:val="20"/>
          <w:color w:val="auto"/>
        </w:rPr>
      </w:pPr>
      <w:r>
        <w:rPr>
          <w:rFonts w:ascii="Arial" w:cs="Arial" w:eastAsia="Arial" w:hAnsi="Arial"/>
          <w:sz w:val="18"/>
          <w:szCs w:val="18"/>
          <w:color w:val="auto"/>
        </w:rPr>
        <w:t>Our goal is to become a leading, fully integrated biotechnology company delivering next-generation therapies that address the underlying causes of heart disease identified through our multi-modality product platforms. We are taking advantage of an expanded understanding of heart biology and scientific advancements to discover, develop, manufacture and ultimately commercialize a deep and diverse pipeline of novel therapies. The key components of our strategy to achieve these goals are:</w:t>
      </w:r>
    </w:p>
    <w:p>
      <w:pPr>
        <w:spacing w:after="0" w:line="92" w:lineRule="exact"/>
        <w:rPr>
          <w:sz w:val="20"/>
          <w:szCs w:val="20"/>
          <w:color w:val="auto"/>
        </w:rPr>
      </w:pPr>
    </w:p>
    <w:p>
      <w:pPr>
        <w:ind w:left="1240" w:hanging="523"/>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Focus exclusively on heart disease;</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 disease-modifying therapies;</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Discover novel therapies using three product platforms in parallel;</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Target defined sub-populations of patients most likely to respond to our therapies;</w:t>
      </w:r>
    </w:p>
    <w:p>
      <w:pPr>
        <w:spacing w:after="0" w:line="200" w:lineRule="exact"/>
        <w:rPr>
          <w:sz w:val="20"/>
          <w:szCs w:val="20"/>
          <w:color w:val="auto"/>
        </w:rPr>
      </w:pPr>
    </w:p>
    <w:p>
      <w:pPr>
        <w:spacing w:after="0" w:line="2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9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63906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523"/>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Advance a deep and diverse pipeline of therapies;</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Internalize and integrate core capabilities to support our innovation; and</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Become a fully integrated biopharmaceutical company with commercial capabilities.</w:t>
      </w:r>
    </w:p>
    <w:p>
      <w:pPr>
        <w:spacing w:after="0" w:line="333"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Our History and Team</w:t>
      </w:r>
    </w:p>
    <w:p>
      <w:pPr>
        <w:spacing w:after="0" w:line="117" w:lineRule="exact"/>
        <w:rPr>
          <w:sz w:val="20"/>
          <w:szCs w:val="20"/>
          <w:color w:val="auto"/>
        </w:rPr>
      </w:pPr>
    </w:p>
    <w:p>
      <w:pPr>
        <w:ind w:left="300" w:right="20" w:firstLine="426"/>
        <w:spacing w:after="0" w:line="286" w:lineRule="auto"/>
        <w:rPr>
          <w:sz w:val="20"/>
          <w:szCs w:val="20"/>
          <w:color w:val="auto"/>
        </w:rPr>
      </w:pPr>
      <w:r>
        <w:rPr>
          <w:rFonts w:ascii="Arial" w:cs="Arial" w:eastAsia="Arial" w:hAnsi="Arial"/>
          <w:sz w:val="17"/>
          <w:szCs w:val="17"/>
          <w:color w:val="auto"/>
        </w:rPr>
        <w:t>We were incorporated in August 2016 by The Column Group, in partnership with leading scientific and clinical researchers in cardiovascular genetics and muscle biology at Gladstone Institutes and UTSW. Since our founding, we have attracted a talented group of industry experts and scientists as part of a highly innovative organization that, as of June 30, 2021, comprises over 85 employees.</w:t>
      </w:r>
    </w:p>
    <w:p>
      <w:pPr>
        <w:spacing w:after="0" w:line="165" w:lineRule="exact"/>
        <w:rPr>
          <w:sz w:val="20"/>
          <w:szCs w:val="20"/>
          <w:color w:val="auto"/>
        </w:rPr>
      </w:pPr>
    </w:p>
    <w:p>
      <w:pPr>
        <w:ind w:left="300" w:right="20" w:firstLine="426"/>
        <w:spacing w:after="0" w:line="301" w:lineRule="auto"/>
        <w:rPr>
          <w:sz w:val="20"/>
          <w:szCs w:val="20"/>
          <w:color w:val="auto"/>
        </w:rPr>
      </w:pPr>
      <w:r>
        <w:rPr>
          <w:rFonts w:ascii="Arial" w:cs="Arial" w:eastAsia="Arial" w:hAnsi="Arial"/>
          <w:sz w:val="16"/>
          <w:szCs w:val="16"/>
          <w:color w:val="auto"/>
        </w:rPr>
        <w:t>We are led by a team of executives and directors with significant experience in the discovery, development, manufacture, and commercialization of novel therapeutics, specifically in the fields of rare diseases, gene therapies, and heart disease. Faraz Ali, M.B.A., our Chief Executive Officer since 2018, previously served as the Chief Business Officer at REGENXBIO, and prior to that accumulated relevant experiences at industry-leading companies in gene therapy and orphan drug development including at bluebird bio and Genzyme Corporation.</w:t>
      </w:r>
    </w:p>
    <w:p>
      <w:pPr>
        <w:spacing w:after="0" w:line="157"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Since inception, we have raised approximately $248 million in equity financing from leading venture, strategic and public investors, including The Column Group, Casdin Capital, SymBiosis II, LLC, Fidelity Management &amp; Research Company, RTW Investments, and others who share our vision to build a highly innovative, integrated biotechnology company delivering next-generation therapies that address the underlying causes of heart disease.</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jc w:val="both"/>
        <w:ind w:left="300" w:right="380" w:firstLine="426"/>
        <w:spacing w:after="0" w:line="263" w:lineRule="auto"/>
        <w:rPr>
          <w:sz w:val="20"/>
          <w:szCs w:val="20"/>
          <w:color w:val="auto"/>
        </w:rPr>
      </w:pPr>
      <w:r>
        <w:rPr>
          <w:rFonts w:ascii="Arial" w:cs="Arial" w:eastAsia="Arial" w:hAnsi="Arial"/>
          <w:sz w:val="18"/>
          <w:szCs w:val="18"/>
          <w:color w:val="auto"/>
        </w:rPr>
        <w:t>Our ability to execute on our business strategy is subject to a number of risks, which are discussed more fully in the section titled “Risk Factors.” You should carefully consider these risks before making an investment in our common stock. These risks include, among others, the following:</w:t>
      </w:r>
    </w:p>
    <w:p>
      <w:pPr>
        <w:spacing w:after="0" w:line="89" w:lineRule="exact"/>
        <w:rPr>
          <w:sz w:val="20"/>
          <w:szCs w:val="20"/>
          <w:color w:val="auto"/>
        </w:rPr>
      </w:pPr>
    </w:p>
    <w:p>
      <w:pPr>
        <w:ind w:left="1240" w:right="120" w:hanging="523"/>
        <w:spacing w:after="0" w:line="263"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early in our development efforts, with a limited operating history, have not initiated or completed any clinical trials, and have no products approved for commercial sale, which may make it difficult for you to evaluate our current business and likelihood of success and future viability.</w:t>
      </w:r>
    </w:p>
    <w:p>
      <w:pPr>
        <w:spacing w:after="0" w:line="89" w:lineRule="exact"/>
        <w:rPr>
          <w:rFonts w:ascii="Arial" w:cs="Arial" w:eastAsia="Arial" w:hAnsi="Arial"/>
          <w:sz w:val="18"/>
          <w:szCs w:val="18"/>
          <w:color w:val="auto"/>
        </w:rPr>
      </w:pPr>
    </w:p>
    <w:p>
      <w:pPr>
        <w:ind w:left="1240" w:right="60" w:hanging="523"/>
        <w:spacing w:after="0" w:line="277"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not generated any product revenue to date, have incurred significant net losses since our inception, and expect to continue to incur significant net losses for the foreseeable future.</w:t>
      </w:r>
    </w:p>
    <w:p>
      <w:pPr>
        <w:spacing w:after="0" w:line="75" w:lineRule="exact"/>
        <w:rPr>
          <w:rFonts w:ascii="Arial" w:cs="Arial" w:eastAsia="Arial" w:hAnsi="Arial"/>
          <w:sz w:val="18"/>
          <w:szCs w:val="18"/>
          <w:color w:val="auto"/>
        </w:rPr>
      </w:pPr>
    </w:p>
    <w:p>
      <w:pPr>
        <w:ind w:left="1240" w:right="140" w:hanging="523"/>
        <w:spacing w:after="0" w:line="277"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generate revenue and achieve profitability depends significantly on our ability to achieve several objectives relating to the discovery, development and commercialization of our product candidates, if approved.</w:t>
      </w:r>
    </w:p>
    <w:p>
      <w:pPr>
        <w:spacing w:after="0" w:line="75" w:lineRule="exact"/>
        <w:rPr>
          <w:rFonts w:ascii="Arial" w:cs="Arial" w:eastAsia="Arial" w:hAnsi="Arial"/>
          <w:sz w:val="18"/>
          <w:szCs w:val="18"/>
          <w:color w:val="auto"/>
        </w:rPr>
      </w:pPr>
    </w:p>
    <w:p>
      <w:pPr>
        <w:ind w:left="1240" w:hanging="523"/>
        <w:spacing w:after="0" w:line="263"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Even if this offering is successful, 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89" w:lineRule="exact"/>
        <w:rPr>
          <w:rFonts w:ascii="Arial" w:cs="Arial" w:eastAsia="Arial" w:hAnsi="Arial"/>
          <w:sz w:val="18"/>
          <w:szCs w:val="18"/>
          <w:color w:val="auto"/>
        </w:rPr>
      </w:pPr>
    </w:p>
    <w:p>
      <w:pPr>
        <w:ind w:left="1240" w:right="120" w:hanging="523"/>
        <w:spacing w:after="0" w:line="277"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operations and financial results could be adversely impacted by the COVID-19 pandemic in the United States and the rest of the world.</w:t>
      </w:r>
    </w:p>
    <w:p>
      <w:pPr>
        <w:spacing w:after="0" w:line="75" w:lineRule="exact"/>
        <w:rPr>
          <w:rFonts w:ascii="Arial" w:cs="Arial" w:eastAsia="Arial" w:hAnsi="Arial"/>
          <w:sz w:val="18"/>
          <w:szCs w:val="18"/>
          <w:color w:val="auto"/>
        </w:rPr>
      </w:pPr>
    </w:p>
    <w:p>
      <w:pPr>
        <w:ind w:left="1240" w:right="460" w:hanging="523"/>
        <w:spacing w:after="0" w:line="311" w:lineRule="auto"/>
        <w:tabs>
          <w:tab w:leader="none" w:pos="12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spacing w:after="0" w:line="33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0"/>
          </w:cols>
          <w:pgMar w:left="320" w:top="459" w:right="6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816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57816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523"/>
        <w:spacing w:after="0" w:line="311" w:lineRule="auto"/>
        <w:tabs>
          <w:tab w:leader="none" w:pos="12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54" w:lineRule="exact"/>
        <w:rPr>
          <w:rFonts w:ascii="Arial" w:cs="Arial" w:eastAsia="Arial" w:hAnsi="Arial"/>
          <w:sz w:val="16"/>
          <w:szCs w:val="16"/>
          <w:color w:val="auto"/>
        </w:rPr>
      </w:pPr>
    </w:p>
    <w:p>
      <w:pPr>
        <w:ind w:left="1240" w:right="140" w:hanging="523"/>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mechanisms of action of our product candidates are unproven, and we do not know whether we will be able to develop any drug of commercial value.</w:t>
      </w:r>
    </w:p>
    <w:p>
      <w:pPr>
        <w:spacing w:after="0" w:line="75" w:lineRule="exact"/>
        <w:rPr>
          <w:rFonts w:ascii="Arial" w:cs="Arial" w:eastAsia="Arial" w:hAnsi="Arial"/>
          <w:sz w:val="18"/>
          <w:szCs w:val="18"/>
          <w:color w:val="auto"/>
        </w:rPr>
      </w:pPr>
    </w:p>
    <w:p>
      <w:pPr>
        <w:ind w:left="1240" w:hanging="523"/>
        <w:spacing w:after="0" w:line="25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Preclinical and clinical drug development involves a lengthy and expensive process with an uncertain outcome. The clinical trials of our product candidates may not demonstrate safety and efficacy to the satisfaction of the FDA, EMA or other comparable foreign regulatory authorities or otherwise produce positive results and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93" w:lineRule="exact"/>
        <w:rPr>
          <w:rFonts w:ascii="Arial" w:cs="Arial" w:eastAsia="Arial" w:hAnsi="Arial"/>
          <w:sz w:val="18"/>
          <w:szCs w:val="18"/>
          <w:color w:val="auto"/>
        </w:rPr>
      </w:pPr>
    </w:p>
    <w:p>
      <w:pPr>
        <w:ind w:left="1240" w:hanging="523"/>
        <w:spacing w:after="0" w:line="286" w:lineRule="auto"/>
        <w:tabs>
          <w:tab w:leader="none" w:pos="12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product candidates may cause serious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70" w:lineRule="exact"/>
        <w:rPr>
          <w:rFonts w:ascii="Arial" w:cs="Arial" w:eastAsia="Arial" w:hAnsi="Arial"/>
          <w:sz w:val="17"/>
          <w:szCs w:val="17"/>
          <w:color w:val="auto"/>
        </w:rPr>
      </w:pPr>
    </w:p>
    <w:p>
      <w:pPr>
        <w:ind w:left="1240" w:hanging="523"/>
        <w:spacing w:after="0" w:line="259"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spacing w:after="0" w:line="92" w:lineRule="exact"/>
        <w:rPr>
          <w:rFonts w:ascii="Arial" w:cs="Arial" w:eastAsia="Arial" w:hAnsi="Arial"/>
          <w:sz w:val="18"/>
          <w:szCs w:val="18"/>
          <w:color w:val="auto"/>
        </w:rPr>
      </w:pPr>
    </w:p>
    <w:p>
      <w:pPr>
        <w:ind w:left="1240" w:right="120" w:hanging="523"/>
        <w:spacing w:after="0" w:line="263"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in the process of building out a manufacturing facility to support future production of certain of our product candidates. We have no experience in manufacturing, and there can be no assurance that we will be able to complete our manufacturing facility or, if completed, we will be able to successfully manufacture product candidates.</w:t>
      </w:r>
    </w:p>
    <w:p>
      <w:pPr>
        <w:spacing w:after="0" w:line="89" w:lineRule="exact"/>
        <w:rPr>
          <w:rFonts w:ascii="Arial" w:cs="Arial" w:eastAsia="Arial" w:hAnsi="Arial"/>
          <w:sz w:val="18"/>
          <w:szCs w:val="18"/>
          <w:color w:val="auto"/>
        </w:rPr>
      </w:pPr>
    </w:p>
    <w:p>
      <w:pPr>
        <w:jc w:val="both"/>
        <w:ind w:left="1240" w:right="20" w:hanging="523"/>
        <w:spacing w:after="0" w:line="263"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spacing w:after="0" w:line="89" w:lineRule="exact"/>
        <w:rPr>
          <w:rFonts w:ascii="Arial" w:cs="Arial" w:eastAsia="Arial" w:hAnsi="Arial"/>
          <w:sz w:val="18"/>
          <w:szCs w:val="18"/>
          <w:color w:val="auto"/>
        </w:rPr>
      </w:pPr>
    </w:p>
    <w:p>
      <w:pPr>
        <w:ind w:left="1240" w:right="40" w:hanging="523"/>
        <w:spacing w:after="0" w:line="25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of July 1, 2021, we have in-licensed one issued U.S. patent, own one issued U.S. patent, and own one allowed U.S. patent application relating to our technology and product candidates. 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spacing w:after="0" w:line="93" w:lineRule="exact"/>
        <w:rPr>
          <w:rFonts w:ascii="Arial" w:cs="Arial" w:eastAsia="Arial" w:hAnsi="Arial"/>
          <w:sz w:val="18"/>
          <w:szCs w:val="18"/>
          <w:color w:val="auto"/>
        </w:rPr>
      </w:pPr>
    </w:p>
    <w:p>
      <w:pPr>
        <w:ind w:left="1240" w:right="20" w:hanging="523"/>
        <w:spacing w:after="0" w:line="301" w:lineRule="auto"/>
        <w:tabs>
          <w:tab w:leader="none" w:pos="12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commercial success depends significantly on our ability to operate without infringing, misappropriating or otherwise violating the patents and other intellectual property and proprietary rights of third parties. Claims by third parties that we infringe, misappropriate or otherwise violate their intellectual property or proprietary rights may result in liability for damages or prevent or delay our developmental and commercialization efforts, and could have a material adverse effect on the success of our business.</w:t>
      </w:r>
    </w:p>
    <w:p>
      <w:pPr>
        <w:spacing w:after="0" w:line="62" w:lineRule="exact"/>
        <w:rPr>
          <w:rFonts w:ascii="Arial" w:cs="Arial" w:eastAsia="Arial" w:hAnsi="Arial"/>
          <w:sz w:val="16"/>
          <w:szCs w:val="16"/>
          <w:color w:val="auto"/>
        </w:rPr>
      </w:pPr>
    </w:p>
    <w:p>
      <w:pPr>
        <w:ind w:left="1240" w:right="140" w:hanging="523"/>
        <w:spacing w:after="0" w:line="263"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rely on third parties to conduct our preclinical studies, and plan to rely on third parties to conduct clinical trials, and those third parties may not perform satisfactorily, including failing to meet deadlines for the completion of such trials, research and studies or to comply with applicable regulatory requirements, which may harm our business.</w:t>
      </w:r>
    </w:p>
    <w:p>
      <w:pPr>
        <w:spacing w:after="0" w:line="37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320" w:top="459" w:right="6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79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right="20" w:firstLine="426"/>
        <w:spacing w:after="0" w:line="279" w:lineRule="auto"/>
        <w:rPr>
          <w:sz w:val="20"/>
          <w:szCs w:val="20"/>
          <w:color w:val="auto"/>
        </w:rPr>
      </w:pPr>
      <w:r>
        <w:rPr>
          <w:rFonts w:ascii="Arial" w:cs="Arial" w:eastAsia="Arial" w:hAnsi="Arial"/>
          <w:sz w:val="17"/>
          <w:szCs w:val="17"/>
          <w:color w:val="auto"/>
        </w:rPr>
        <w:t>We were incorporated in Delaware in August 2016. Our principal executive offices are located at 171 Oyster Point Boulevard, 5th Floor, South San Francisco, CA 94080. Our telephone number is (650) 825-6990. Our website address is www.tenayatherapeutics.com. Information contained on, or accessible through, our website is not incorporated by reference into this prospectus and should not be considered to be part of this prospectus. The inclusion of our website address in this prospectus is an inactive textual reference only.</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Trademarks</w:t>
      </w:r>
    </w:p>
    <w:p>
      <w:pPr>
        <w:spacing w:after="0" w:line="121" w:lineRule="exact"/>
        <w:rPr>
          <w:sz w:val="20"/>
          <w:szCs w:val="20"/>
          <w:color w:val="auto"/>
        </w:rPr>
      </w:pPr>
    </w:p>
    <w:p>
      <w:pPr>
        <w:ind w:left="300" w:right="40" w:firstLine="426"/>
        <w:spacing w:after="0" w:line="255" w:lineRule="auto"/>
        <w:rPr>
          <w:sz w:val="20"/>
          <w:szCs w:val="20"/>
          <w:color w:val="auto"/>
        </w:rPr>
      </w:pPr>
      <w:r>
        <w:rPr>
          <w:rFonts w:ascii="Arial" w:cs="Arial" w:eastAsia="Arial" w:hAnsi="Arial"/>
          <w:sz w:val="18"/>
          <w:szCs w:val="18"/>
          <w:color w:val="auto"/>
        </w:rPr>
        <w:t>We use the Tenaya logo and other marks as unregistered trademarks in the United States and certain other countries. This prospectus contains references to our trademarks and to those belonging to other entities. Solely for convenience, trademarks and trade names referred to in this prospectus, including logos, artwork and other visual displays, may appear without a trademark symbol, but such references are not intended to indicate in any way that we will not assert, to the fullest extent under applicable law, our rights or the rights of the applicable owner of these trademarks and trade names. We do not intend our use or display of other entities’ trade names or trademarks to imply a relationship with, or endorsement or sponsorship of us by, any other entity.</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 and a Smaller Reporting Company</w:t>
      </w:r>
    </w:p>
    <w:p>
      <w:pPr>
        <w:spacing w:after="0" w:line="121" w:lineRule="exact"/>
        <w:rPr>
          <w:sz w:val="20"/>
          <w:szCs w:val="20"/>
          <w:color w:val="auto"/>
        </w:rPr>
      </w:pPr>
    </w:p>
    <w:p>
      <w:pPr>
        <w:ind w:left="300" w:right="20" w:firstLine="426"/>
        <w:spacing w:after="0" w:line="286" w:lineRule="auto"/>
        <w:rPr>
          <w:sz w:val="20"/>
          <w:szCs w:val="20"/>
          <w:color w:val="auto"/>
        </w:rPr>
      </w:pPr>
      <w:r>
        <w:rPr>
          <w:rFonts w:ascii="Arial" w:cs="Arial" w:eastAsia="Arial" w:hAnsi="Arial"/>
          <w:sz w:val="16"/>
          <w:szCs w:val="16"/>
          <w:color w:val="auto"/>
        </w:rPr>
        <w:t>We are an “emerging growth company” as defined in the Jumpstart Our Business Startups Act of 2012, as amended (JOBS Act). 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more than $1.0 billion in non-convertible debt securities during the prior three-year period; and (iv) the last day of the fiscal year ending after the fifth anniversary of our initial public offering. As a result of this status, we have taken advantage of reduced reporting requirements in this prospectus and may elect to take advantage of other reduced reporting requirements in our future filings with the U.S. Securities and Exchange Commission. In particular, in this prospectus, we have provided only two years of audited financial statements and have not included all of the executive compensation related information that would be required if we were not an emerging growth company. In addition, 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the extended transition period to enable us to comply with new or revised accounting standards that have different effective dates for public and private companies until the earlier of the date on which we (1) are no longer an emerging growth company and (2)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71" w:lineRule="exact"/>
        <w:rPr>
          <w:sz w:val="20"/>
          <w:szCs w:val="20"/>
          <w:color w:val="auto"/>
        </w:rPr>
      </w:pPr>
    </w:p>
    <w:p>
      <w:pPr>
        <w:ind w:left="300" w:firstLine="426"/>
        <w:spacing w:after="0" w:line="270" w:lineRule="auto"/>
        <w:rPr>
          <w:sz w:val="20"/>
          <w:szCs w:val="20"/>
          <w:color w:val="auto"/>
        </w:rPr>
      </w:pPr>
      <w:r>
        <w:rPr>
          <w:rFonts w:ascii="Arial" w:cs="Arial" w:eastAsia="Arial" w:hAnsi="Arial"/>
          <w:sz w:val="17"/>
          <w:szCs w:val="17"/>
          <w:color w:val="auto"/>
        </w:rPr>
        <w:t>We are also a “smaller reporting company,” meaning that the market value of our stock held by non-affiliates plus the proposed aggregate amount of gross proceeds to us as a result of this offering is less than $700 million and our annual revenue was less than $100 million during the most recently completed fiscal year. We may continue to be a smaller reporting company after this offering if either (i) the market value of our stock held by non-affiliates is less than $250 million or (ii) our annual revenue was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37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32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47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57473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940"/>
          </w:cols>
          <w:pgMar w:left="320" w:top="459" w:right="639" w:bottom="1440" w:gutter="0" w:footer="0" w:header="0"/>
        </w:sectPr>
      </w:pPr>
    </w:p>
    <w:p>
      <w:pPr>
        <w:spacing w:after="0" w:line="25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Common stock offered by us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auto"/>
        </w:rPr>
        <w:t>10,000,000 shares.</w:t>
      </w:r>
    </w:p>
    <w:p>
      <w:pPr>
        <w:spacing w:after="0" w:line="138"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Option to purchase additional shares</w:t>
      </w:r>
    </w:p>
    <w:p>
      <w:pPr>
        <w:spacing w:after="0" w:line="20" w:lineRule="exact"/>
        <w:rPr>
          <w:sz w:val="20"/>
          <w:szCs w:val="20"/>
          <w:color w:val="auto"/>
        </w:rPr>
      </w:pPr>
      <w:r>
        <w:rPr>
          <w:sz w:val="20"/>
          <w:szCs w:val="20"/>
          <w:color w:val="auto"/>
        </w:rPr>
        <w:br w:type="column"/>
      </w:r>
    </w:p>
    <w:p>
      <w:pPr>
        <w:ind w:right="500"/>
        <w:spacing w:after="0" w:line="277" w:lineRule="auto"/>
        <w:rPr>
          <w:sz w:val="20"/>
          <w:szCs w:val="20"/>
          <w:color w:val="auto"/>
        </w:rPr>
      </w:pPr>
      <w:r>
        <w:rPr>
          <w:rFonts w:ascii="Arial" w:cs="Arial" w:eastAsia="Arial" w:hAnsi="Arial"/>
          <w:sz w:val="18"/>
          <w:szCs w:val="18"/>
          <w:color w:val="auto"/>
        </w:rPr>
        <w:t>We have granted the underwriters an option for a period of 30 days to purchase up to 1,500,000 additional shares of our common stock.</w:t>
      </w:r>
    </w:p>
    <w:p>
      <w:pPr>
        <w:spacing w:after="0" w:line="35"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Common stock to be outstanding immediately after this 37,324,727 shares (or 38,824,727 shares if the underwriters exercise in full their option to</w:t>
      </w:r>
    </w:p>
    <w:p>
      <w:pPr>
        <w:spacing w:after="0" w:line="46" w:lineRule="exact"/>
        <w:rPr>
          <w:sz w:val="20"/>
          <w:szCs w:val="20"/>
          <w:color w:val="auto"/>
        </w:rPr>
      </w:pPr>
    </w:p>
    <w:p>
      <w:pPr>
        <w:ind w:left="380"/>
        <w:spacing w:after="0"/>
        <w:tabs>
          <w:tab w:leader="none" w:pos="4320" w:val="left"/>
        </w:tabs>
        <w:rPr>
          <w:sz w:val="20"/>
          <w:szCs w:val="20"/>
          <w:color w:val="auto"/>
        </w:rPr>
      </w:pPr>
      <w:r>
        <w:rPr>
          <w:rFonts w:ascii="Arial" w:cs="Arial" w:eastAsia="Arial" w:hAnsi="Arial"/>
          <w:sz w:val="18"/>
          <w:szCs w:val="18"/>
          <w:color w:val="auto"/>
        </w:rPr>
        <w:t>offering</w:t>
      </w:r>
      <w:r>
        <w:rPr>
          <w:sz w:val="20"/>
          <w:szCs w:val="20"/>
          <w:color w:val="auto"/>
        </w:rPr>
        <w:tab/>
      </w:r>
      <w:r>
        <w:rPr>
          <w:rFonts w:ascii="Arial" w:cs="Arial" w:eastAsia="Arial" w:hAnsi="Arial"/>
          <w:sz w:val="18"/>
          <w:szCs w:val="18"/>
          <w:color w:val="auto"/>
        </w:rPr>
        <w:t>purchase additional shares).</w:t>
      </w:r>
    </w:p>
    <w:p>
      <w:pPr>
        <w:sectPr>
          <w:pgSz w:w="11900" w:h="16838" w:orient="portrait"/>
          <w:cols w:equalWidth="0" w:num="1">
            <w:col w:w="10940"/>
          </w:cols>
          <w:pgMar w:left="320" w:top="459" w:right="639" w:bottom="1440" w:gutter="0" w:footer="0" w:header="0"/>
          <w:type w:val="continuous"/>
        </w:sectPr>
      </w:pPr>
    </w:p>
    <w:p>
      <w:pPr>
        <w:spacing w:after="0" w:line="89" w:lineRule="exact"/>
        <w:rPr>
          <w:sz w:val="20"/>
          <w:szCs w:val="20"/>
          <w:color w:val="auto"/>
        </w:rPr>
      </w:pPr>
    </w:p>
    <w:p>
      <w:pPr>
        <w:ind w:left="3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estimate that the net proceeds from this offering will be approximately $135.8 million, or $156.7 million if the underwriters exercise in full their option to purchase additional shares of common stock, assuming an initial public offering price of $15.00 per share, which is the midpoint of the price range set forth on the cover page of this prospectus, and after deducting the underwriting discounts and commissions and estimated offering expenses payable by us.</w:t>
      </w:r>
    </w:p>
    <w:p>
      <w:pPr>
        <w:spacing w:after="0" w:line="57"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ind w:left="4340"/>
        <w:spacing w:after="0" w:line="272" w:lineRule="auto"/>
        <w:rPr>
          <w:sz w:val="20"/>
          <w:szCs w:val="20"/>
          <w:color w:val="auto"/>
        </w:rPr>
      </w:pPr>
      <w:r>
        <w:rPr>
          <w:rFonts w:ascii="Arial" w:cs="Arial" w:eastAsia="Arial" w:hAnsi="Arial"/>
          <w:sz w:val="17"/>
          <w:szCs w:val="17"/>
          <w:color w:val="auto"/>
        </w:rPr>
        <w:t>We currently intend to use the net proceeds from this offering, together with our existing cash and cash equivalents, to fund our ongoing and planned preclinical and clinical development of our most advanced product candidates in our MYBPC3 and HDAC6i programs, the continued development of our other programs, including our PKP2, DWORF and Reprogramming programs, the expansion of our manufacturing capabilities and facilities and the remainder, if any, for working capital and other general corporate purposes. See the section titled “Use of Proceeds.”</w:t>
      </w:r>
    </w:p>
    <w:p>
      <w:pPr>
        <w:sectPr>
          <w:pgSz w:w="11900" w:h="16838" w:orient="portrait"/>
          <w:cols w:equalWidth="0" w:num="1">
            <w:col w:w="10940"/>
          </w:cols>
          <w:pgMar w:left="320" w:top="459" w:right="639" w:bottom="1440" w:gutter="0" w:footer="0" w:header="0"/>
          <w:type w:val="continuous"/>
        </w:sectPr>
      </w:pPr>
    </w:p>
    <w:p>
      <w:pPr>
        <w:spacing w:after="0" w:line="4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See the section titled “Risk Factors” for a discussion of factors that you should carefully consider before deciding to invest in shares of our common stock.</w:t>
      </w:r>
    </w:p>
    <w:p>
      <w:pPr>
        <w:spacing w:after="0" w:line="35"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Proposed Nasdaq Stock Market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“TNYA”</w:t>
      </w:r>
    </w:p>
    <w:p>
      <w:pPr>
        <w:spacing w:after="0" w:line="200" w:lineRule="exact"/>
        <w:rPr>
          <w:sz w:val="20"/>
          <w:szCs w:val="20"/>
          <w:color w:val="auto"/>
        </w:rPr>
      </w:pPr>
    </w:p>
    <w:p>
      <w:pPr>
        <w:sectPr>
          <w:pgSz w:w="11900" w:h="16838" w:orient="portrait"/>
          <w:cols w:equalWidth="0" w:num="2">
            <w:col w:w="3700" w:space="640"/>
            <w:col w:w="6600"/>
          </w:cols>
          <w:pgMar w:left="320" w:top="459" w:right="639" w:bottom="1440" w:gutter="0" w:footer="0" w:header="0"/>
          <w:type w:val="continuous"/>
        </w:sectPr>
      </w:pPr>
    </w:p>
    <w:p>
      <w:pPr>
        <w:spacing w:after="0" w:line="39" w:lineRule="exact"/>
        <w:rPr>
          <w:sz w:val="20"/>
          <w:szCs w:val="20"/>
          <w:color w:val="auto"/>
        </w:rPr>
      </w:pPr>
    </w:p>
    <w:p>
      <w:pPr>
        <w:ind w:left="300" w:right="720" w:firstLine="426"/>
        <w:spacing w:after="0" w:line="342" w:lineRule="auto"/>
        <w:rPr>
          <w:sz w:val="20"/>
          <w:szCs w:val="20"/>
          <w:color w:val="auto"/>
        </w:rPr>
      </w:pPr>
      <w:r>
        <w:rPr>
          <w:rFonts w:ascii="Arial" w:cs="Arial" w:eastAsia="Arial" w:hAnsi="Arial"/>
          <w:sz w:val="16"/>
          <w:szCs w:val="16"/>
          <w:color w:val="auto"/>
        </w:rPr>
        <w:t>The number of shares of our common stock to be outstanding after this offering is based on 27,324,727 shares of our common stock outstanding as of March 31, 2021 (including our convertible preferred stock on an as-converted basis), and excludes:</w:t>
      </w:r>
    </w:p>
    <w:p>
      <w:pPr>
        <w:spacing w:after="0" w:line="29" w:lineRule="exact"/>
        <w:rPr>
          <w:sz w:val="20"/>
          <w:szCs w:val="20"/>
          <w:color w:val="auto"/>
        </w:rPr>
      </w:pPr>
    </w:p>
    <w:p>
      <w:pPr>
        <w:ind w:left="1240" w:right="500" w:hanging="523"/>
        <w:spacing w:after="0" w:line="277"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1,727,968 shares of common stock issuable upon exercise of options outstanding as of March 31, 2021 with a weighted-average exercise price of $3.06 per share;</w:t>
      </w:r>
    </w:p>
    <w:p>
      <w:pPr>
        <w:spacing w:after="0" w:line="75" w:lineRule="exact"/>
        <w:rPr>
          <w:rFonts w:ascii="Arial" w:cs="Arial" w:eastAsia="Arial" w:hAnsi="Arial"/>
          <w:sz w:val="18"/>
          <w:szCs w:val="18"/>
          <w:color w:val="auto"/>
        </w:rPr>
      </w:pPr>
    </w:p>
    <w:p>
      <w:pPr>
        <w:ind w:left="1240" w:right="260" w:hanging="523"/>
        <w:spacing w:after="0" w:line="277"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835,473 shares of common stock issuable upon exercise of options granted after March 31, 2021, with a weighted-average exercise price of $10.00 per share;</w:t>
      </w:r>
    </w:p>
    <w:p>
      <w:pPr>
        <w:spacing w:after="0" w:line="75" w:lineRule="exact"/>
        <w:rPr>
          <w:rFonts w:ascii="Arial" w:cs="Arial" w:eastAsia="Arial" w:hAnsi="Arial"/>
          <w:sz w:val="18"/>
          <w:szCs w:val="18"/>
          <w:color w:val="auto"/>
        </w:rPr>
      </w:pPr>
    </w:p>
    <w:p>
      <w:pPr>
        <w:ind w:left="1240" w:right="600" w:hanging="523"/>
        <w:spacing w:after="0" w:line="277"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379,271 shares of common stock reserved for future issuance under our Amended and Restated 2016 Equity Incentive Plan, as amended, as of March 31, 2021;</w:t>
      </w:r>
    </w:p>
    <w:p>
      <w:pPr>
        <w:spacing w:after="0" w:line="75" w:lineRule="exact"/>
        <w:rPr>
          <w:rFonts w:ascii="Arial" w:cs="Arial" w:eastAsia="Arial" w:hAnsi="Arial"/>
          <w:sz w:val="18"/>
          <w:szCs w:val="18"/>
          <w:color w:val="auto"/>
        </w:rPr>
      </w:pPr>
    </w:p>
    <w:p>
      <w:pPr>
        <w:ind w:left="1240" w:hanging="523"/>
        <w:spacing w:after="0" w:line="311" w:lineRule="auto"/>
        <w:tabs>
          <w:tab w:leader="none" w:pos="12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4,000,000 shares of common stock reserved for future issuance under our 2021 Equity Incentive Plan (2021 Plan),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 and</w:t>
      </w:r>
    </w:p>
    <w:p>
      <w:pPr>
        <w:spacing w:after="0" w:line="33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320" w:top="459" w:right="6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5927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25927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523"/>
        <w:spacing w:after="0" w:line="259" w:lineRule="auto"/>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800,000 shares of common stock reserved for future issuance under our 2021 Employee Stock Purchase Plan (2021 ESPP),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w:t>
      </w:r>
    </w:p>
    <w:p>
      <w:pPr>
        <w:spacing w:after="0" w:line="18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Unless otherwise indicated, this prospectus reflects and assumes the following:</w:t>
      </w:r>
    </w:p>
    <w:p>
      <w:pPr>
        <w:spacing w:after="0" w:line="131" w:lineRule="exact"/>
        <w:rPr>
          <w:sz w:val="20"/>
          <w:szCs w:val="20"/>
          <w:color w:val="auto"/>
        </w:rPr>
      </w:pPr>
    </w:p>
    <w:p>
      <w:pPr>
        <w:ind w:left="1240" w:hanging="523"/>
        <w:spacing w:after="0"/>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1-for-6 reverse stock split of our outstanding common and preferred stock effected on July 23, 2021;</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exercise of the outstanding options referred to above;</w:t>
      </w:r>
    </w:p>
    <w:p>
      <w:pPr>
        <w:spacing w:after="0" w:line="130" w:lineRule="exact"/>
        <w:rPr>
          <w:rFonts w:ascii="Arial" w:cs="Arial" w:eastAsia="Arial" w:hAnsi="Arial"/>
          <w:sz w:val="18"/>
          <w:szCs w:val="18"/>
          <w:color w:val="auto"/>
        </w:rPr>
      </w:pPr>
    </w:p>
    <w:p>
      <w:pPr>
        <w:ind w:left="1240" w:right="440" w:hanging="523"/>
        <w:spacing w:after="0" w:line="277"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up to an additional 1,500,000 shares of common stock from us in this offering;</w:t>
      </w:r>
    </w:p>
    <w:p>
      <w:pPr>
        <w:spacing w:after="0" w:line="75" w:lineRule="exact"/>
        <w:rPr>
          <w:rFonts w:ascii="Arial" w:cs="Arial" w:eastAsia="Arial" w:hAnsi="Arial"/>
          <w:sz w:val="18"/>
          <w:szCs w:val="18"/>
          <w:color w:val="auto"/>
        </w:rPr>
      </w:pPr>
    </w:p>
    <w:p>
      <w:pPr>
        <w:ind w:left="1240" w:right="540" w:hanging="523"/>
        <w:spacing w:after="0" w:line="277"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automatic conversion of all outstanding shares of our convertible preferred stock as of March 31, 2021 into an aggregate of 26,102,278 shares of our common stock immediately prior to the completion of this offering; and</w:t>
      </w:r>
    </w:p>
    <w:p>
      <w:pPr>
        <w:spacing w:after="0" w:line="75" w:lineRule="exact"/>
        <w:rPr>
          <w:rFonts w:ascii="Arial" w:cs="Arial" w:eastAsia="Arial" w:hAnsi="Arial"/>
          <w:sz w:val="18"/>
          <w:szCs w:val="18"/>
          <w:color w:val="auto"/>
        </w:rPr>
      </w:pPr>
    </w:p>
    <w:p>
      <w:pPr>
        <w:ind w:left="1240" w:right="340" w:hanging="523"/>
        <w:spacing w:after="0" w:line="277"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and the adoption of our amended and restated bylaws, each of which will occur immediately prior to the completion of this offering.</w:t>
      </w:r>
    </w:p>
    <w:p>
      <w:pPr>
        <w:spacing w:after="0" w:line="35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0"/>
          </w:cols>
          <w:pgMar w:left="320" w:top="459" w:right="6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93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58934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FINANCIAL DATA</w:t>
      </w:r>
    </w:p>
    <w:p>
      <w:pPr>
        <w:spacing w:after="0" w:line="229" w:lineRule="exact"/>
        <w:rPr>
          <w:sz w:val="20"/>
          <w:szCs w:val="20"/>
          <w:color w:val="auto"/>
        </w:rPr>
      </w:pPr>
    </w:p>
    <w:p>
      <w:pPr>
        <w:ind w:left="300" w:right="340" w:firstLine="426"/>
        <w:spacing w:after="0" w:line="272" w:lineRule="auto"/>
        <w:rPr>
          <w:sz w:val="20"/>
          <w:szCs w:val="20"/>
          <w:color w:val="auto"/>
        </w:rPr>
      </w:pPr>
      <w:r>
        <w:rPr>
          <w:rFonts w:ascii="Arial" w:cs="Arial" w:eastAsia="Arial" w:hAnsi="Arial"/>
          <w:sz w:val="17"/>
          <w:szCs w:val="17"/>
          <w:color w:val="auto"/>
        </w:rPr>
        <w:t>The following tables set forth our summary financial data for the periods and as of the dates indicated. We have derived the summary statements of operations data for the years ended December 31, 2019 and 2020 from our audited financial statements included elsewhere in this prospectus. The summary statements of operations data for the three months ended March 31, 2020 and 2021 and the summary balance sheet data as of March 31, 2021 are derived from our unaudited interim condensed financial statements included elsewhere in this prospectus. We have prepared the unaudited interim condensed financial statements on the same basis as the audited financial statements. We have included, in our opinion, all adjustments, consisting only of normal recurring adjustments that we consider necessary for a fair presentation of the financial information set forth in those unaudited interim condensed financial statements.</w:t>
      </w:r>
    </w:p>
    <w:p>
      <w:pPr>
        <w:spacing w:after="0" w:line="177" w:lineRule="exact"/>
        <w:rPr>
          <w:sz w:val="20"/>
          <w:szCs w:val="20"/>
          <w:color w:val="auto"/>
        </w:rPr>
      </w:pPr>
    </w:p>
    <w:p>
      <w:pPr>
        <w:ind w:left="300" w:right="360" w:firstLine="426"/>
        <w:spacing w:after="0" w:line="296" w:lineRule="auto"/>
        <w:rPr>
          <w:sz w:val="20"/>
          <w:szCs w:val="20"/>
          <w:color w:val="auto"/>
        </w:rPr>
      </w:pPr>
      <w:r>
        <w:rPr>
          <w:rFonts w:ascii="Arial" w:cs="Arial" w:eastAsia="Arial" w:hAnsi="Arial"/>
          <w:sz w:val="16"/>
          <w:szCs w:val="16"/>
          <w:color w:val="auto"/>
        </w:rPr>
        <w:t>You should read the following summary financial data together with the section titled “Management’s Discussion and Analysis of Financial Condition and Results of Operations” and our financial statements and the related notes included elsewhere in this prospectus. The summary financial data in this section are not intended to replace our financial statements and are qualified in their entirety by our financial statements and related notes included elsewhere in this prospectus. Our historical results are not necessarily indicative of the results that may be expected in the future, and our results for the three months ended March 31, 2021 are not necessarily indicative of results to be expected for the full year.</w:t>
      </w:r>
    </w:p>
    <w:p>
      <w:pPr>
        <w:spacing w:after="0" w:line="16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7"/>
          </w:tcPr>
          <w:p>
            <w:pPr>
              <w:jc w:val="center"/>
              <w:ind w:right="44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00" w:type="dxa"/>
            <w:vAlign w:val="bottom"/>
            <w:gridSpan w:val="6"/>
          </w:tcPr>
          <w:p>
            <w:pPr>
              <w:jc w:val="center"/>
              <w:ind w:right="100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w w:val="89"/>
              </w:rPr>
              <w:t>2020</w:t>
            </w: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20" w:type="dxa"/>
            <w:vAlign w:val="bottom"/>
            <w:gridSpan w:val="10"/>
          </w:tcPr>
          <w:p>
            <w:pPr>
              <w:jc w:val="right"/>
              <w:spacing w:after="0" w:line="142" w:lineRule="exact"/>
              <w:rPr>
                <w:sz w:val="20"/>
                <w:szCs w:val="20"/>
                <w:color w:val="auto"/>
              </w:rPr>
            </w:pPr>
            <w:r>
              <w:rPr>
                <w:rFonts w:ascii="Arial" w:cs="Arial" w:eastAsia="Arial" w:hAnsi="Arial"/>
                <w:sz w:val="14"/>
                <w:szCs w:val="14"/>
                <w:b w:val="1"/>
                <w:bCs w:val="1"/>
                <w:color w:val="auto"/>
                <w:w w:val="92"/>
              </w:rPr>
              <w:t>(in thousands, except share and per share data)</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23,148</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31,099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7,297</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9,590</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566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38,912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13,105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(27,712)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(38,912)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(9,266)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convertible preferred stock tranche liability</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60" w:type="dxa"/>
            <w:vAlign w:val="bottom"/>
          </w:tcPr>
          <w:p>
            <w:pPr>
              <w:ind w:left="36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181"/>
              <w:spacing w:after="0"/>
              <w:rPr>
                <w:sz w:val="20"/>
                <w:szCs w:val="20"/>
                <w:color w:val="auto"/>
              </w:rPr>
            </w:pPr>
            <w:r>
              <w:rPr>
                <w:rFonts w:ascii="Arial" w:cs="Arial" w:eastAsia="Arial" w:hAnsi="Arial"/>
                <w:sz w:val="18"/>
                <w:szCs w:val="18"/>
                <w:color w:val="auto"/>
              </w:rPr>
              <w:t>355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5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income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Net loss before income tax expense</w:t>
            </w: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(26,231)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(38,395)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(9,051)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(26,231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(38,395</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(9,051</w:t>
            </w:r>
          </w:p>
        </w:tc>
        <w:tc>
          <w:tcPr>
            <w:tcW w:w="280" w:type="dxa"/>
            <w:vAlign w:val="bottom"/>
          </w:tcPr>
          <w:p>
            <w:pPr>
              <w:jc w:val="right"/>
              <w:ind w:right="145"/>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(13,098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6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(39.50)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(10.15)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ind w:left="180"/>
              <w:spacing w:after="0"/>
              <w:rPr>
                <w:sz w:val="20"/>
                <w:szCs w:val="20"/>
                <w:color w:val="auto"/>
              </w:rPr>
            </w:pPr>
            <w:r>
              <w:rPr>
                <w:rFonts w:ascii="Arial" w:cs="Arial" w:eastAsia="Arial" w:hAnsi="Arial"/>
                <w:sz w:val="18"/>
                <w:szCs w:val="18"/>
                <w:color w:val="auto"/>
                <w:w w:val="95"/>
              </w:rPr>
              <w:t>Weighted-average shares used in computing net loss per share, basic and</w:t>
            </w: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5660" w:type="dxa"/>
            <w:vAlign w:val="bottom"/>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755,779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972,091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891,990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1,097,805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basic and diluted</w:t>
            </w:r>
            <w:r>
              <w:rPr>
                <w:rFonts w:ascii="Arial" w:cs="Arial" w:eastAsia="Arial" w:hAnsi="Arial"/>
                <w:sz w:val="15"/>
                <w:szCs w:val="15"/>
                <w:color w:val="auto"/>
              </w:rPr>
              <w:t>(1)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ind w:left="180"/>
              <w:spacing w:after="0"/>
              <w:rPr>
                <w:sz w:val="20"/>
                <w:szCs w:val="20"/>
                <w:color w:val="auto"/>
              </w:rPr>
            </w:pPr>
            <w:r>
              <w:rPr>
                <w:rFonts w:ascii="Arial" w:cs="Arial" w:eastAsia="Arial" w:hAnsi="Arial"/>
                <w:sz w:val="18"/>
                <w:szCs w:val="18"/>
                <w:color w:val="auto"/>
                <w:w w:val="95"/>
              </w:rPr>
              <w:t>Weighted-average shares used in computing pro forma net loss per share,</w:t>
            </w: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5660" w:type="dxa"/>
            <w:vAlign w:val="bottom"/>
          </w:tcPr>
          <w:p>
            <w:pPr>
              <w:ind w:left="180"/>
              <w:spacing w:after="0"/>
              <w:rPr>
                <w:sz w:val="20"/>
                <w:szCs w:val="20"/>
                <w:color w:val="auto"/>
              </w:rPr>
            </w:pPr>
            <w:r>
              <w:rPr>
                <w:rFonts w:ascii="Arial" w:cs="Arial" w:eastAsia="Arial" w:hAnsi="Arial"/>
                <w:sz w:val="18"/>
                <w:szCs w:val="18"/>
                <w:color w:val="auto"/>
              </w:rPr>
              <w:t>basic and diluted</w:t>
            </w:r>
            <w:r>
              <w:rPr>
                <w:rFonts w:ascii="Arial" w:cs="Arial" w:eastAsia="Arial" w:hAnsi="Arial"/>
                <w:sz w:val="15"/>
                <w:szCs w:val="15"/>
                <w:color w:val="auto"/>
              </w:rPr>
              <w:t>(1)</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4"/>
          </w:tcPr>
          <w:p>
            <w:pPr>
              <w:jc w:val="right"/>
              <w:ind w:right="181"/>
              <w:spacing w:after="0"/>
              <w:rPr>
                <w:sz w:val="20"/>
                <w:szCs w:val="20"/>
                <w:color w:val="auto"/>
              </w:rPr>
            </w:pPr>
            <w:r>
              <w:rPr>
                <w:rFonts w:ascii="Arial" w:cs="Arial" w:eastAsia="Arial" w:hAnsi="Arial"/>
                <w:sz w:val="18"/>
                <w:szCs w:val="18"/>
                <w:color w:val="auto"/>
              </w:rPr>
              <w:t>27,074,369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w w:val="88"/>
              </w:rPr>
              <w:t>27,200,083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56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1"/>
        </w:trPr>
        <w:tc>
          <w:tcPr>
            <w:tcW w:w="5840" w:type="dxa"/>
            <w:vAlign w:val="bottom"/>
            <w:gridSpan w:val="2"/>
          </w:tcPr>
          <w:p>
            <w:pPr>
              <w:jc w:val="right"/>
              <w:ind w:right="15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648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5464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20" w:right="40" w:hanging="422"/>
        <w:spacing w:after="0" w:line="259"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unaudited pro forma net loss per share for the year ended December 31, 2020 and the three months ended March 31, 2021 was computed using the weighted-average number of shares of common stock outstanding, including the pro forma effect of the conversion of all outstanding shares of our convertible preferred stock into shares of common stock, as if such conversion had occurred at the beginning of the most recently completed fiscal year.</w:t>
      </w:r>
    </w:p>
    <w:p>
      <w:pPr>
        <w:spacing w:after="0" w:line="205"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As of March 31, 2021</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8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Actual</w:t>
            </w:r>
          </w:p>
        </w:tc>
        <w:tc>
          <w:tcPr>
            <w:tcW w:w="144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12"/>
                <w:szCs w:val="12"/>
                <w:b w:val="1"/>
                <w:bCs w:val="1"/>
                <w:color w:val="auto"/>
              </w:rPr>
              <w:t>(1)</w:t>
            </w:r>
          </w:p>
        </w:tc>
        <w:tc>
          <w:tcPr>
            <w:tcW w:w="8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Pro Forma as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6"/>
              </w:rPr>
              <w:t>adjusted</w:t>
            </w:r>
            <w:r>
              <w:rPr>
                <w:rFonts w:ascii="Arial" w:cs="Arial" w:eastAsia="Arial" w:hAnsi="Arial"/>
                <w:sz w:val="12"/>
                <w:szCs w:val="12"/>
                <w:b w:val="1"/>
                <w:bCs w:val="1"/>
                <w:color w:val="auto"/>
                <w:w w:val="96"/>
              </w:rPr>
              <w:t>(2)(3)</w:t>
            </w: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(in thousands)</w:t>
            </w: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280" w:type="dxa"/>
            <w:vAlign w:val="bottom"/>
            <w:gridSpan w:val="2"/>
          </w:tcPr>
          <w:p>
            <w:pPr>
              <w:jc w:val="right"/>
              <w:ind w:right="88"/>
              <w:spacing w:after="0"/>
              <w:rPr>
                <w:sz w:val="20"/>
                <w:szCs w:val="20"/>
                <w:color w:val="auto"/>
              </w:rPr>
            </w:pPr>
            <w:r>
              <w:rPr>
                <w:rFonts w:ascii="Arial" w:cs="Arial" w:eastAsia="Arial" w:hAnsi="Arial"/>
                <w:sz w:val="18"/>
                <w:szCs w:val="18"/>
                <w:color w:val="auto"/>
              </w:rPr>
              <w:t>$128,439</w:t>
            </w:r>
          </w:p>
        </w:tc>
        <w:tc>
          <w:tcPr>
            <w:tcW w:w="1440" w:type="dxa"/>
            <w:vAlign w:val="bottom"/>
          </w:tcPr>
          <w:p>
            <w:pPr>
              <w:jc w:val="right"/>
              <w:ind w:right="275"/>
              <w:spacing w:after="0"/>
              <w:rPr>
                <w:sz w:val="20"/>
                <w:szCs w:val="20"/>
                <w:color w:val="auto"/>
              </w:rPr>
            </w:pPr>
            <w:r>
              <w:rPr>
                <w:rFonts w:ascii="Arial" w:cs="Arial" w:eastAsia="Arial" w:hAnsi="Arial"/>
                <w:sz w:val="18"/>
                <w:szCs w:val="18"/>
                <w:color w:val="auto"/>
              </w:rPr>
              <w:t>$  128,439</w:t>
            </w:r>
          </w:p>
        </w:tc>
        <w:tc>
          <w:tcPr>
            <w:tcW w:w="880" w:type="dxa"/>
            <w:vAlign w:val="bottom"/>
          </w:tcPr>
          <w:p>
            <w:pPr>
              <w:jc w:val="right"/>
              <w:spacing w:after="0"/>
              <w:rPr>
                <w:sz w:val="20"/>
                <w:szCs w:val="20"/>
                <w:color w:val="auto"/>
              </w:rPr>
            </w:pPr>
            <w:r>
              <w:rPr>
                <w:rFonts w:ascii="Arial" w:cs="Arial" w:eastAsia="Arial" w:hAnsi="Arial"/>
                <w:sz w:val="18"/>
                <w:szCs w:val="18"/>
                <w:color w:val="auto"/>
              </w:rPr>
              <w:t>$  264,239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(4)</w:t>
            </w:r>
          </w:p>
        </w:tc>
        <w:tc>
          <w:tcPr>
            <w:tcW w:w="32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123,840</w:t>
            </w:r>
          </w:p>
        </w:tc>
        <w:tc>
          <w:tcPr>
            <w:tcW w:w="144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123,840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Total assets</w:t>
            </w:r>
          </w:p>
        </w:tc>
        <w:tc>
          <w:tcPr>
            <w:tcW w:w="3280" w:type="dxa"/>
            <w:vAlign w:val="bottom"/>
            <w:gridSpan w:val="2"/>
          </w:tcPr>
          <w:p>
            <w:pPr>
              <w:jc w:val="right"/>
              <w:ind w:right="88"/>
              <w:spacing w:after="0"/>
              <w:rPr>
                <w:sz w:val="20"/>
                <w:szCs w:val="20"/>
                <w:color w:val="auto"/>
              </w:rPr>
            </w:pPr>
            <w:r>
              <w:rPr>
                <w:rFonts w:ascii="Arial" w:cs="Arial" w:eastAsia="Arial" w:hAnsi="Arial"/>
                <w:sz w:val="18"/>
                <w:szCs w:val="18"/>
                <w:color w:val="auto"/>
              </w:rPr>
              <w:t>159,757</w:t>
            </w:r>
          </w:p>
        </w:tc>
        <w:tc>
          <w:tcPr>
            <w:tcW w:w="1440" w:type="dxa"/>
            <w:vAlign w:val="bottom"/>
          </w:tcPr>
          <w:p>
            <w:pPr>
              <w:jc w:val="right"/>
              <w:ind w:right="275"/>
              <w:spacing w:after="0"/>
              <w:rPr>
                <w:sz w:val="20"/>
                <w:szCs w:val="20"/>
                <w:color w:val="auto"/>
              </w:rPr>
            </w:pPr>
            <w:r>
              <w:rPr>
                <w:rFonts w:ascii="Arial" w:cs="Arial" w:eastAsia="Arial" w:hAnsi="Arial"/>
                <w:sz w:val="18"/>
                <w:szCs w:val="18"/>
                <w:color w:val="auto"/>
              </w:rPr>
              <w:t>159,757</w:t>
            </w:r>
          </w:p>
        </w:tc>
        <w:tc>
          <w:tcPr>
            <w:tcW w:w="880" w:type="dxa"/>
            <w:vAlign w:val="bottom"/>
          </w:tcPr>
          <w:p>
            <w:pPr>
              <w:jc w:val="right"/>
              <w:spacing w:after="0"/>
              <w:rPr>
                <w:sz w:val="20"/>
                <w:szCs w:val="20"/>
                <w:color w:val="auto"/>
              </w:rPr>
            </w:pPr>
            <w:r>
              <w:rPr>
                <w:rFonts w:ascii="Arial" w:cs="Arial" w:eastAsia="Arial" w:hAnsi="Arial"/>
                <w:sz w:val="18"/>
                <w:szCs w:val="18"/>
                <w:color w:val="auto"/>
              </w:rPr>
              <w:t>295,483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32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240,735</w:t>
            </w:r>
          </w:p>
        </w:tc>
        <w:tc>
          <w:tcPr>
            <w:tcW w:w="144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3280" w:type="dxa"/>
            <w:vAlign w:val="bottom"/>
            <w:gridSpan w:val="2"/>
          </w:tcPr>
          <w:p>
            <w:pPr>
              <w:jc w:val="right"/>
              <w:ind w:right="88"/>
              <w:spacing w:after="0"/>
              <w:rPr>
                <w:sz w:val="20"/>
                <w:szCs w:val="20"/>
                <w:color w:val="auto"/>
              </w:rPr>
            </w:pPr>
            <w:r>
              <w:rPr>
                <w:rFonts w:ascii="Arial" w:cs="Arial" w:eastAsia="Arial" w:hAnsi="Arial"/>
                <w:sz w:val="18"/>
                <w:szCs w:val="18"/>
                <w:color w:val="auto"/>
              </w:rPr>
              <w:t>2,054</w:t>
            </w:r>
          </w:p>
        </w:tc>
        <w:tc>
          <w:tcPr>
            <w:tcW w:w="1440" w:type="dxa"/>
            <w:vAlign w:val="bottom"/>
          </w:tcPr>
          <w:p>
            <w:pPr>
              <w:jc w:val="right"/>
              <w:ind w:right="275"/>
              <w:spacing w:after="0"/>
              <w:rPr>
                <w:sz w:val="20"/>
                <w:szCs w:val="20"/>
                <w:color w:val="auto"/>
              </w:rPr>
            </w:pPr>
            <w:r>
              <w:rPr>
                <w:rFonts w:ascii="Arial" w:cs="Arial" w:eastAsia="Arial" w:hAnsi="Arial"/>
                <w:sz w:val="18"/>
                <w:szCs w:val="18"/>
                <w:color w:val="auto"/>
              </w:rPr>
              <w:t>242,786</w:t>
            </w:r>
          </w:p>
        </w:tc>
        <w:tc>
          <w:tcPr>
            <w:tcW w:w="880" w:type="dxa"/>
            <w:vAlign w:val="bottom"/>
          </w:tcPr>
          <w:p>
            <w:pPr>
              <w:jc w:val="right"/>
              <w:spacing w:after="0"/>
              <w:rPr>
                <w:sz w:val="20"/>
                <w:szCs w:val="20"/>
                <w:color w:val="auto"/>
              </w:rPr>
            </w:pPr>
            <w:r>
              <w:rPr>
                <w:rFonts w:ascii="Arial" w:cs="Arial" w:eastAsia="Arial" w:hAnsi="Arial"/>
                <w:sz w:val="18"/>
                <w:szCs w:val="18"/>
                <w:color w:val="auto"/>
              </w:rPr>
              <w:t>378,585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32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(95,910)</w:t>
            </w:r>
          </w:p>
        </w:tc>
        <w:tc>
          <w:tcPr>
            <w:tcW w:w="144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(95,910)</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(95,910)</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Total stockholders’ (deficit) equity</w:t>
            </w:r>
          </w:p>
        </w:tc>
        <w:tc>
          <w:tcPr>
            <w:tcW w:w="3280" w:type="dxa"/>
            <w:vAlign w:val="bottom"/>
            <w:gridSpan w:val="2"/>
          </w:tcPr>
          <w:p>
            <w:pPr>
              <w:jc w:val="right"/>
              <w:ind w:right="28"/>
              <w:spacing w:after="0"/>
              <w:rPr>
                <w:sz w:val="20"/>
                <w:szCs w:val="20"/>
                <w:color w:val="auto"/>
              </w:rPr>
            </w:pPr>
            <w:r>
              <w:rPr>
                <w:rFonts w:ascii="Arial" w:cs="Arial" w:eastAsia="Arial" w:hAnsi="Arial"/>
                <w:sz w:val="18"/>
                <w:szCs w:val="18"/>
                <w:color w:val="auto"/>
              </w:rPr>
              <w:t>(93,943)</w:t>
            </w:r>
          </w:p>
        </w:tc>
        <w:tc>
          <w:tcPr>
            <w:tcW w:w="1440" w:type="dxa"/>
            <w:vAlign w:val="bottom"/>
          </w:tcPr>
          <w:p>
            <w:pPr>
              <w:jc w:val="right"/>
              <w:ind w:right="275"/>
              <w:spacing w:after="0"/>
              <w:rPr>
                <w:sz w:val="20"/>
                <w:szCs w:val="20"/>
                <w:color w:val="auto"/>
              </w:rPr>
            </w:pPr>
            <w:r>
              <w:rPr>
                <w:rFonts w:ascii="Arial" w:cs="Arial" w:eastAsia="Arial" w:hAnsi="Arial"/>
                <w:sz w:val="18"/>
                <w:szCs w:val="18"/>
                <w:color w:val="auto"/>
              </w:rPr>
              <w:t>146,792</w:t>
            </w:r>
          </w:p>
        </w:tc>
        <w:tc>
          <w:tcPr>
            <w:tcW w:w="880" w:type="dxa"/>
            <w:vAlign w:val="bottom"/>
          </w:tcPr>
          <w:p>
            <w:pPr>
              <w:jc w:val="right"/>
              <w:spacing w:after="0"/>
              <w:rPr>
                <w:sz w:val="20"/>
                <w:szCs w:val="20"/>
                <w:color w:val="auto"/>
              </w:rPr>
            </w:pPr>
            <w:r>
              <w:rPr>
                <w:rFonts w:ascii="Arial" w:cs="Arial" w:eastAsia="Arial" w:hAnsi="Arial"/>
                <w:sz w:val="18"/>
                <w:szCs w:val="18"/>
                <w:color w:val="auto"/>
              </w:rPr>
              <w:t>282,592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720" w:right="60" w:hanging="422"/>
        <w:spacing w:after="0" w:line="286" w:lineRule="auto"/>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pro forma balance sheet data gives effect to: (i) the automatic conversion of all outstanding shares of our convertible preferred stock into an aggregate of 26,102,278 shares of our common stock immediately prior to the completion of this offering, as if such conversion had occurred on March 31, 2021; (ii) the related reclassification of our convertible preferred stock aggregate carrying value to permanent equity; and (iii) the filing and effectiveness of our amended and restated certificate of incorporation immediately prior to the closing of this offering.</w:t>
      </w:r>
    </w:p>
    <w:p>
      <w:pPr>
        <w:spacing w:after="0" w:line="1" w:lineRule="exact"/>
        <w:rPr>
          <w:rFonts w:ascii="Arial" w:cs="Arial" w:eastAsia="Arial" w:hAnsi="Arial"/>
          <w:sz w:val="16"/>
          <w:szCs w:val="16"/>
          <w:color w:val="auto"/>
        </w:rPr>
      </w:pPr>
    </w:p>
    <w:p>
      <w:pPr>
        <w:ind w:left="720" w:right="40" w:hanging="422"/>
        <w:spacing w:after="0" w:line="250"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 forma as adjusted balance sheet data gives effect to: (i) the pro forma adjustments set forth in footnote (1) above; and (ii) the issuance and sale of 10,000,000 shares of our common stock in this offering at an assumed initial public offering price of $15.00 per share (which is the midpoint of the estimated price range set forth on the cover page of this prospectus), and after deducting underwriting discounts and commissions and estimated offering expenses payable by us.</w:t>
      </w:r>
    </w:p>
    <w:p>
      <w:pPr>
        <w:spacing w:after="0" w:line="1" w:lineRule="exact"/>
        <w:rPr>
          <w:rFonts w:ascii="Arial" w:cs="Arial" w:eastAsia="Arial" w:hAnsi="Arial"/>
          <w:sz w:val="18"/>
          <w:szCs w:val="18"/>
          <w:color w:val="auto"/>
        </w:rPr>
      </w:pPr>
    </w:p>
    <w:p>
      <w:pPr>
        <w:ind w:left="720" w:right="20" w:hanging="422"/>
        <w:spacing w:after="0" w:line="265" w:lineRule="auto"/>
        <w:tabs>
          <w:tab w:leader="none" w:pos="7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pro forma as adjusted information discussed above is illustrative only and will depend on the actual initial public offering price and other terms of this offering determined at pricing. Each $1.00 increase (decrease) in the assumed initial public offering price of $15.00 per share (which is the midpoint of the estimated price range set forth on the cover page of this prospectus), would increase (decrease) each of cash and cash equivalents, working capital, total assets, additional paid-in capital and total stockholders’ (deficit) equity by $9.3 million, assuming that the number of shares of common stock offered by us, as set forth on the cover page of this prospectus, remains the same, and after deducting underwriting discounts and commissions and estimated offering expenses payable by us. Similarly, each increase (decrease) of 1,000,000 shares in the number of shares of common stock offered by us would increase (decrease) each of cash and cash equivalents, working capital, total assets, additional paid-in capital and total stockholders’ (deficit) equity by approximately $14.0 million, assuming the assumed initial public offering price of $15.00 per share remains the same, and after deducting underwriting discounts and commissions and estimated offering expenses payable by us.</w:t>
      </w:r>
    </w:p>
    <w:p>
      <w:pPr>
        <w:spacing w:after="0" w:line="1" w:lineRule="exact"/>
        <w:rPr>
          <w:rFonts w:ascii="Arial" w:cs="Arial" w:eastAsia="Arial" w:hAnsi="Arial"/>
          <w:sz w:val="17"/>
          <w:szCs w:val="17"/>
          <w:color w:val="auto"/>
        </w:rPr>
      </w:pPr>
    </w:p>
    <w:p>
      <w:pPr>
        <w:ind w:left="720" w:right="260" w:hanging="422"/>
        <w:spacing w:after="0" w:line="260"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define working capital as current assets less current liabilities. See our financial statements and the related notes included elsewhere in this prospectus for further details regarding our current assets and current liabilities.</w:t>
      </w:r>
    </w:p>
    <w:p>
      <w:pPr>
        <w:spacing w:after="0" w:line="38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320" w:top="459" w:right="6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as well as the other information in this prospectus, including our audited financial statements and the related notes included elsewhere in this prospectus and the section titled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Financial Position, Need for Additional Capital and Limited Operating History</w:t>
      </w:r>
    </w:p>
    <w:p>
      <w:pPr>
        <w:spacing w:after="0" w:line="229" w:lineRule="exact"/>
        <w:rPr>
          <w:sz w:val="20"/>
          <w:szCs w:val="20"/>
          <w:color w:val="auto"/>
        </w:rPr>
      </w:pPr>
    </w:p>
    <w:p>
      <w:pPr>
        <w:ind w:left="560" w:right="320"/>
        <w:spacing w:after="0" w:line="263" w:lineRule="auto"/>
        <w:rPr>
          <w:sz w:val="20"/>
          <w:szCs w:val="20"/>
          <w:color w:val="auto"/>
        </w:rPr>
      </w:pPr>
      <w:r>
        <w:rPr>
          <w:rFonts w:ascii="Arial" w:cs="Arial" w:eastAsia="Arial" w:hAnsi="Arial"/>
          <w:sz w:val="18"/>
          <w:szCs w:val="18"/>
          <w:b w:val="1"/>
          <w:bCs w:val="1"/>
          <w:i w:val="1"/>
          <w:iCs w:val="1"/>
          <w:color w:val="auto"/>
        </w:rPr>
        <w:t>We are early in our development efforts, with a limited operating history, have not initiated or completed any clinical trials, and have no products approved for commercial sale, which may make it difficult for you to evaluate our current business and likelihood of success and future viability.</w:t>
      </w:r>
    </w:p>
    <w:p>
      <w:pPr>
        <w:spacing w:after="0" w:line="76" w:lineRule="exact"/>
        <w:rPr>
          <w:sz w:val="20"/>
          <w:szCs w:val="20"/>
          <w:color w:val="auto"/>
        </w:rPr>
      </w:pPr>
    </w:p>
    <w:p>
      <w:pPr>
        <w:ind w:left="120" w:right="160" w:firstLine="440"/>
        <w:spacing w:after="0" w:line="271" w:lineRule="auto"/>
        <w:rPr>
          <w:sz w:val="20"/>
          <w:szCs w:val="20"/>
          <w:color w:val="auto"/>
        </w:rPr>
      </w:pPr>
      <w:r>
        <w:rPr>
          <w:rFonts w:ascii="Arial" w:cs="Arial" w:eastAsia="Arial" w:hAnsi="Arial"/>
          <w:sz w:val="17"/>
          <w:szCs w:val="17"/>
          <w:color w:val="auto"/>
        </w:rPr>
        <w:t>We are a preclinical stage biotechnology company with a limited operating history upon which you can evaluate our business and prospects. We commenced operations in 2016, have not initiated or completed any clinical trials, have no products approved for commercial sale and have not generated any revenue. We are developing therapies that address the underlying drivers of heart disease, which is an unproven and highly uncertain undertaking and involves a substantial degree of risk. All of our product candidates are still in preclinical development and have never been tested in humans. Since our inception in 2016, we have devoted substantially all of our focus and financial resources to developing our gene therapy, cellular regeneration and precision medicine platforms, identifying and developing product candidates, conducting preclinical studies, acquiring technology, organizing and recruiting management and technical staff, business planning, establishing our intellectual property portfolio, raising capital, and providing general and administrative support for these operations.</w:t>
      </w:r>
    </w:p>
    <w:p>
      <w:pPr>
        <w:spacing w:after="0" w:line="17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have not yet demonstrated our ability to successfully initiate and complete any clinical trials, obtain marketing approvals, manufacture a clinical- or commercial-scale product or arrange for a third party to do so on our behalf, or conduct sales and marketing activities necessary for successful product commercialization. As a result, it may be more difficult for investors to accurately predict our likelihood of success and viability than it could be if we had a longer operating history.</w:t>
      </w:r>
    </w:p>
    <w:p>
      <w:pPr>
        <w:spacing w:after="0" w:line="18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In addition, we may encounter unforeseen expenses, difficulties, complications, delays and other known and unknown factors and risks frequently experienced by early-stage biotechnology companies in rapidly evolving fields. We also may need to transition from a company with a research and development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296" w:lineRule="exact"/>
        <w:rPr>
          <w:sz w:val="20"/>
          <w:szCs w:val="20"/>
          <w:color w:val="auto"/>
        </w:rPr>
      </w:pPr>
    </w:p>
    <w:p>
      <w:pPr>
        <w:ind w:left="560" w:right="200"/>
        <w:spacing w:after="0" w:line="277" w:lineRule="auto"/>
        <w:rPr>
          <w:sz w:val="20"/>
          <w:szCs w:val="20"/>
          <w:color w:val="auto"/>
        </w:rPr>
      </w:pPr>
      <w:r>
        <w:rPr>
          <w:rFonts w:ascii="Arial" w:cs="Arial" w:eastAsia="Arial" w:hAnsi="Arial"/>
          <w:sz w:val="18"/>
          <w:szCs w:val="18"/>
          <w:b w:val="1"/>
          <w:bCs w:val="1"/>
          <w:i w:val="1"/>
          <w:iCs w:val="1"/>
          <w:color w:val="auto"/>
        </w:rPr>
        <w:t>We have not generated any product revenue to date, have incurred significant net losses since our inception, and expect to continue to incur significant net losses for the foreseeable future.</w:t>
      </w:r>
    </w:p>
    <w:p>
      <w:pPr>
        <w:spacing w:after="0" w:line="62"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We have incurred significant net losses since our inception, have not generated any product revenue to date and have financed our operations through private placements of our convertible preferred stock. Our net loss was $38.4 million for the year ended December 31, 2020 and $13.1 million for the three months ended March 31, 2021. As of March 31, 2021, we had an accumulated deficit of $95.9 million. Substantially all of our losses have resulted from expenses incurred in connection with our research and development programs and from general and administrative costs associated with our operations. We are still in the early stages of development of our</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96" w:lineRule="auto"/>
        <w:rPr>
          <w:sz w:val="20"/>
          <w:szCs w:val="20"/>
          <w:color w:val="auto"/>
        </w:rPr>
      </w:pPr>
      <w:r>
        <w:rPr>
          <w:rFonts w:ascii="Arial" w:cs="Arial" w:eastAsia="Arial" w:hAnsi="Arial"/>
          <w:sz w:val="16"/>
          <w:szCs w:val="16"/>
          <w:color w:val="auto"/>
        </w:rPr>
        <w:t>product candidates and have not yet initiated or completed any clinical trials. Our product candidates will require substantial additional development time and resources before we will be able to apply for regulatory approvals and, if approved, begin generating revenue from product sales. As a result, we expect that it will be several years, if ever, before we receive approval to commercialize a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spacing w:after="0" w:line="16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particularly since we expect our expenses to increase if and when our product candidates progress through clinical development as product candidates in later stages of clinical development generally have higher development costs than those in earlier stages, primarily due to the increased size and duration of later-stage clinical trials.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spacing w:after="0" w:line="300" w:lineRule="exact"/>
        <w:rPr>
          <w:sz w:val="20"/>
          <w:szCs w:val="20"/>
          <w:color w:val="auto"/>
        </w:rPr>
      </w:pPr>
    </w:p>
    <w:p>
      <w:pPr>
        <w:ind w:left="560" w:right="560"/>
        <w:spacing w:after="0" w:line="277" w:lineRule="auto"/>
        <w:rPr>
          <w:sz w:val="20"/>
          <w:szCs w:val="20"/>
          <w:color w:val="auto"/>
        </w:rPr>
      </w:pPr>
      <w:r>
        <w:rPr>
          <w:rFonts w:ascii="Arial" w:cs="Arial" w:eastAsia="Arial" w:hAnsi="Arial"/>
          <w:sz w:val="18"/>
          <w:szCs w:val="18"/>
          <w:b w:val="1"/>
          <w:bCs w:val="1"/>
          <w:i w:val="1"/>
          <w:iCs w:val="1"/>
          <w:color w:val="auto"/>
        </w:rPr>
        <w:t>Our ability to generate revenue and achieve profitability depends significantly on our ability to achieve several objectives relating to the discovery, development and commercialization of our product candidates, if approved.</w:t>
      </w:r>
    </w:p>
    <w:p>
      <w:pPr>
        <w:spacing w:after="0" w:line="6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rely on our multi-modality drug discovery platforms to identify and develop product candidates. Our business depends entirely on the success of these platforms and the successful development, regulatory approval, manufacturing and commercialization of product candidates that we discover with these platforms. Our ability to generate revenue and achieve profitability depends significantly on our ability, or any future collaborator’s ability, to achieve several objectives, including:</w:t>
      </w:r>
    </w:p>
    <w:p>
      <w:pPr>
        <w:spacing w:after="0" w:line="92" w:lineRule="exact"/>
        <w:rPr>
          <w:sz w:val="20"/>
          <w:szCs w:val="20"/>
          <w:color w:val="auto"/>
        </w:rPr>
      </w:pPr>
    </w:p>
    <w:p>
      <w:pPr>
        <w:ind w:left="1080" w:right="580" w:hanging="532"/>
        <w:spacing w:after="0" w:line="308" w:lineRule="auto"/>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successful and timely completion of preclinical and clinical development of product candidates and programs in our Gene Therapy, Cellular Regeneration and Precision Medicine platforms, and our other future product candidates and programs;</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regulatory approval to commence clinical trials of our product candidates;</w:t>
      </w:r>
    </w:p>
    <w:p>
      <w:pPr>
        <w:spacing w:after="0" w:line="130"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establishing and maintaining relationships with contract research organizations (CROs) and clinical sites for the clinical development of our product candidates and any other future product candidates;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initiation and successful patient enrollment and completion of clinical trials on a timely basis;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acceptable frequency and severity of adverse events in the clinical trials;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efficacy and safety profiles that are satisfactory to the U.S. Food and Drug Administration (FDA) or any comparable foreign regulatory authority for marketing approval;</w:t>
      </w:r>
    </w:p>
    <w:p>
      <w:pPr>
        <w:spacing w:after="0" w:line="75" w:lineRule="exact"/>
        <w:rPr>
          <w:rFonts w:ascii="Arial" w:cs="Arial" w:eastAsia="Arial" w:hAnsi="Arial"/>
          <w:sz w:val="18"/>
          <w:szCs w:val="18"/>
          <w:color w:val="auto"/>
        </w:rPr>
      </w:pPr>
    </w:p>
    <w:p>
      <w:pPr>
        <w:ind w:left="1080" w:right="680" w:hanging="532"/>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timely receipt of marketing approvals from applicable regulatory authorities for any product candidates for which we successfully complete clinical development;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complying with any required post-marketing approval commitments to applicable regulatory authorities;</w:t>
      </w:r>
    </w:p>
    <w:p>
      <w:pPr>
        <w:spacing w:after="0" w:line="130" w:lineRule="exact"/>
        <w:rPr>
          <w:rFonts w:ascii="Arial" w:cs="Arial" w:eastAsia="Arial" w:hAnsi="Arial"/>
          <w:sz w:val="18"/>
          <w:szCs w:val="18"/>
          <w:color w:val="auto"/>
        </w:rPr>
      </w:pPr>
    </w:p>
    <w:p>
      <w:pPr>
        <w:ind w:left="1080" w:right="620" w:hanging="532"/>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establishing and operating a manufacturing facility and developing an efficient and scalable manufacturing process for our product candidates;</w:t>
      </w:r>
    </w:p>
    <w:p>
      <w:pPr>
        <w:spacing w:after="0" w:line="75" w:lineRule="exact"/>
        <w:rPr>
          <w:rFonts w:ascii="Arial" w:cs="Arial" w:eastAsia="Arial" w:hAnsi="Arial"/>
          <w:sz w:val="18"/>
          <w:szCs w:val="18"/>
          <w:color w:val="auto"/>
        </w:rPr>
      </w:pPr>
    </w:p>
    <w:p>
      <w:pPr>
        <w:ind w:left="1080" w:right="80" w:hanging="532"/>
        <w:spacing w:after="0" w:line="263"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40" w:hanging="532"/>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commercial launch following any marketing approval, including the development of a commercial infrastructure, whether in-house or with one or more collaborators;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outputs from our capsid engineering and promotor and regulator elements efforts;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 of our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commercial acceptance of our product candidates by patients, the medical community and third-party payors;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satisfying any required post-marketing approval commitments to applicable regulatory authorities;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identifying, assessing and developing new product candidates;</w:t>
      </w:r>
    </w:p>
    <w:p>
      <w:pPr>
        <w:spacing w:after="0" w:line="130"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maintaining, and expanding patent and other intellectual property protection, trade secret protection and regulatory exclusivity, both in the United States and internationally;</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protecting and enforcing our rights in our intellectual property portfolio;</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defending against third-party infringement, misappropriation, or other claims, if any;</w:t>
      </w:r>
    </w:p>
    <w:p>
      <w:pPr>
        <w:spacing w:after="0" w:line="130" w:lineRule="exact"/>
        <w:rPr>
          <w:rFonts w:ascii="Arial" w:cs="Arial" w:eastAsia="Arial" w:hAnsi="Arial"/>
          <w:sz w:val="18"/>
          <w:szCs w:val="18"/>
          <w:color w:val="auto"/>
        </w:rPr>
      </w:pPr>
    </w:p>
    <w:p>
      <w:pPr>
        <w:ind w:left="1080" w:right="580" w:hanging="532"/>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entering into, on favorable terms, any collaboration, licensing or other arrangements that may be necessary or desirable to develop, manufacture or commercialize our product candidates;</w:t>
      </w:r>
    </w:p>
    <w:p>
      <w:pPr>
        <w:spacing w:after="0" w:line="75"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coverage and adequate reimbursement by third-party payors for our products and patients’ willingness to pay in the absence of such coverage and adequate reimbursement;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additional funding to develop, manufacture and commercialize our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addressing any competing therapies and technological and market developments;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managing costs, including any unforeseen costs, that we may incur as a result of nonclinical study or clinical trial delays due to COVID-19 or other causes;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 including clinical, scientific, management and administrative personnel.</w:t>
      </w:r>
    </w:p>
    <w:p>
      <w:pPr>
        <w:spacing w:after="0" w:line="225"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We may never be successful in achieving our objectives and, even if we are,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 continue our operations.</w:t>
      </w:r>
    </w:p>
    <w:p>
      <w:pPr>
        <w:spacing w:after="0" w:line="171"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We may also experience delays in establishing our manufacturing facility, developing a sustainable, reproducible and scalable manufacturing process or transferring that process to commercial partners, which may prevent us from initiating and completing our planned clinical trials or commercializing our product candidates on a timely or profitable basis, if at all.</w:t>
      </w:r>
    </w:p>
    <w:p>
      <w:pPr>
        <w:spacing w:after="0" w:line="292" w:lineRule="exact"/>
        <w:rPr>
          <w:sz w:val="20"/>
          <w:szCs w:val="20"/>
          <w:color w:val="auto"/>
        </w:rPr>
      </w:pPr>
    </w:p>
    <w:p>
      <w:pPr>
        <w:jc w:val="both"/>
        <w:ind w:left="560" w:right="480"/>
        <w:spacing w:after="0" w:line="263" w:lineRule="auto"/>
        <w:rPr>
          <w:sz w:val="20"/>
          <w:szCs w:val="20"/>
          <w:color w:val="auto"/>
        </w:rPr>
      </w:pPr>
      <w:r>
        <w:rPr>
          <w:rFonts w:ascii="Arial" w:cs="Arial" w:eastAsia="Arial" w:hAnsi="Arial"/>
          <w:sz w:val="18"/>
          <w:szCs w:val="18"/>
          <w:b w:val="1"/>
          <w:bCs w:val="1"/>
          <w:i w:val="1"/>
          <w:iCs w:val="1"/>
          <w:color w:val="auto"/>
        </w:rPr>
        <w:t>Even if this offering is successful, 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76"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As of March 31, 2021, we had $128.4 million in cash and cash equivalents. Based on our current operating plan, we believe that the net proceeds from this offering, together with our existing cash and cash equivalents, will be sufficient to fund our operations through at least the next 24 months from the date of our unaudited interim condensed financial statements included elsewhere in this prospectus. Our estimate as to how long we expect the net proceeds from this offering, together with our existing cash and cash equivalents,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initiate and conduct clinical trials of, and seek marketing approval for, our programs as well as develop our proprietary drug discovery platforms.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the EMA or other regulatory agencies to perform clinical trials or preclinical studies in addition to those that we currently anticipate. Other unanticipated costs may also arise. Because the design and outcome of our planned and anticipated preclinical studies and clinical trials are highly uncertain, we cannot reasonably estimate the actual amount of resources and funding that will be necessary to successfully complete the development and commercialization of any product candidate we develop. We are not permitted to market or promote any product candidate before we receive marketing approval from the FDA. Following this offering, we also expect to incur additional costs associated with operating as a public company. Accordingly, we will need to obtain substantial additional funding in order to continue our operations.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future capital requirements will depend on may factors, including, but not limited to:</w:t>
      </w:r>
    </w:p>
    <w:p>
      <w:pPr>
        <w:spacing w:after="0" w:line="131" w:lineRule="exact"/>
        <w:rPr>
          <w:sz w:val="20"/>
          <w:szCs w:val="20"/>
          <w:color w:val="auto"/>
        </w:rPr>
      </w:pPr>
    </w:p>
    <w:p>
      <w:pPr>
        <w:ind w:left="108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developing and testing our product candidates including conducting preclinical studies and clinical trials;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 or any future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and characteristics of other product candidates that we pursue or acquire;</w:t>
      </w:r>
    </w:p>
    <w:p>
      <w:pPr>
        <w:spacing w:after="0" w:line="130"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medical affairs, marketing, manufacturing and distribution, for any of our product candidates for which we receive marketing approval;</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of establishing and operating our own manufacturing facility;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of manufacturing commercial-grade products and sufficient inventory to support commercial launch;</w:t>
      </w:r>
    </w:p>
    <w:p>
      <w:pPr>
        <w:spacing w:after="0" w:line="130" w:lineRule="exact"/>
        <w:rPr>
          <w:rFonts w:ascii="Arial" w:cs="Arial" w:eastAsia="Arial" w:hAnsi="Arial"/>
          <w:sz w:val="18"/>
          <w:szCs w:val="18"/>
          <w:color w:val="auto"/>
        </w:rPr>
      </w:pPr>
    </w:p>
    <w:p>
      <w:pPr>
        <w:ind w:left="1080" w:right="66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commercialization activities, include the cost of building a sales force in anticipation of product commercialization and distribution costs;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revenue, if any, received from commercial sale of our products, should any of our product candidates receive marketing approval;</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and timing of hiring new employees to support our continued growth;</w:t>
      </w:r>
    </w:p>
    <w:p>
      <w:pPr>
        <w:spacing w:after="0" w:line="130"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protecting and enforcing our intellectual property rights and defending intellectual property-related claims;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 of competing products that may limit market penetration of our products;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to establish and maintain collaborations on favorable terms, if at all;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timing, receipt and amount of sales of, or milestone payments related to or royalties on, our current or future product candidates, if any;</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compliance and administrative costs associated with being a public company; and</w:t>
      </w:r>
    </w:p>
    <w:p>
      <w:pPr>
        <w:spacing w:after="0" w:line="130" w:lineRule="exact"/>
        <w:rPr>
          <w:rFonts w:ascii="Arial" w:cs="Arial" w:eastAsia="Arial" w:hAnsi="Arial"/>
          <w:sz w:val="18"/>
          <w:szCs w:val="18"/>
          <w:color w:val="auto"/>
        </w:rPr>
      </w:pPr>
    </w:p>
    <w:p>
      <w:pPr>
        <w:ind w:left="1080" w:right="76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or technologies, although we currently have no commitments or agreements relating to any of these types of transactions.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 change in the outcome of any of these or other factors with respect to the development of any of our product candidates could significantly change the costs and timing associated with the development of that product candidate, and many of these factors are outside of our control. Identifying potential product candidates and conducting preclinical studies and clinical trials is a time-consuming, expensive and uncertain process that takes years to complete, and we may never generate the necessary data or results required to obtain regulatory and marketing approval and achieve product sales. In addition, our product candidates, if approved, may not achieve commercial success. Accordingly, we will need to continue to rely on additional financing to achieve our business objectives.</w:t>
      </w:r>
    </w:p>
    <w:p>
      <w:pPr>
        <w:spacing w:after="0" w:line="192"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We currently plan to use the net proceeds from this offering, together with our existing resources, as described in the section titled “Use of Proceeds.” Advancing the development of our programs will require a significant amount of capital. The net proceeds from this offering, together with our cash and cash equivalents, will not be sufficient for us to fund any of our product candidates through regulatory approval, and we will need to raise additional capital to complete the development and commercialization of our product candidates.</w:t>
      </w:r>
    </w:p>
    <w:p>
      <w:pPr>
        <w:spacing w:after="0" w:line="171"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our product candidates. Our failure to raise capital as and when needed or on acceptable terms would have a negative impact on our financial condition and our ability to pursue our business strategy, and we may have to delay, reduce the scope of, suspend or eliminate one or more of our platforms, programs, planned clinical trials or future commercialization efforts.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Our operations and financial results could be adversely impacted by the COVID-19 pandemic in the United States and the rest of the world.</w:t>
      </w:r>
    </w:p>
    <w:p>
      <w:pPr>
        <w:spacing w:after="0" w:line="152" w:lineRule="exact"/>
        <w:rPr>
          <w:sz w:val="20"/>
          <w:szCs w:val="20"/>
          <w:color w:val="auto"/>
        </w:rPr>
      </w:pPr>
    </w:p>
    <w:p>
      <w:pPr>
        <w:ind w:left="120" w:right="200" w:firstLine="440"/>
        <w:spacing w:after="0" w:line="254" w:lineRule="auto"/>
        <w:rPr>
          <w:sz w:val="20"/>
          <w:szCs w:val="20"/>
          <w:color w:val="auto"/>
        </w:rPr>
      </w:pPr>
      <w:r>
        <w:rPr>
          <w:rFonts w:ascii="Arial" w:cs="Arial" w:eastAsia="Arial" w:hAnsi="Arial"/>
          <w:sz w:val="18"/>
          <w:szCs w:val="18"/>
          <w:color w:val="auto"/>
        </w:rPr>
        <w:t>In March 2020, the World Health Organization declared the novel coronavirus disease (COVID-19) outbreak a global pandemic. To limit the spread of COVID-19, governments have taken various actions including the issuance of stay-at-home orders and physical distancing guidelines. Accordingly, businesses have adjusted, reduced or suspended operating activities. Beginning in March 2020, the majority of our workforce began working from home. Disruptions caused by the COVID-19 pandemic, including the effects of the stay-at-home orders and work-from-home policies, have impacted productivity, have resulted in increased operational expenses, certain adjustments to our operations, delays in our development efforts, and delays in certain supply chain activities. We may experience further disruptions as a result of COVID-19 that could severely impact our business, including:</w:t>
      </w:r>
    </w:p>
    <w:p>
      <w:pPr>
        <w:spacing w:after="0" w:line="100" w:lineRule="exact"/>
        <w:rPr>
          <w:sz w:val="20"/>
          <w:szCs w:val="20"/>
          <w:color w:val="auto"/>
        </w:rPr>
      </w:pPr>
    </w:p>
    <w:p>
      <w:pPr>
        <w:ind w:left="1080" w:right="420" w:hanging="532"/>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interruptions, difficulties or delays arising in our existing operations and company culture as a result of all of our employees working remotely, including those hired during the COVID-19 pandemic;</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the build out of our manufacturing facility;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130"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or difficulties in enrolling and retaining patients in clinical trials and incurrence of additional costs as a result of preclinical study and clinical trial delays and adjustments;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challenges related to ongoing and increased operational expenses related to the COVID-19 pandemic;</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difficulties or increased costs to comply with COVID-19 protocols at our leased facilities and clinical sites;</w:t>
      </w:r>
    </w:p>
    <w:p>
      <w:pPr>
        <w:spacing w:after="0" w:line="130" w:lineRule="exact"/>
        <w:rPr>
          <w:rFonts w:ascii="Arial" w:cs="Arial" w:eastAsia="Arial" w:hAnsi="Arial"/>
          <w:sz w:val="18"/>
          <w:szCs w:val="18"/>
          <w:color w:val="auto"/>
        </w:rPr>
      </w:pPr>
    </w:p>
    <w:p>
      <w:pPr>
        <w:ind w:left="1080" w:right="540" w:hanging="532"/>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that may serve as our potential clinical trial sites and hospital staff supporting the conduct of clinical trials;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80"/>
          </w:cols>
          <w:pgMar w:left="320" w:top="459" w:right="4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4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w:t>
      </w:r>
    </w:p>
    <w:p>
      <w:pPr>
        <w:spacing w:after="0" w:line="75" w:lineRule="exact"/>
        <w:rPr>
          <w:rFonts w:ascii="Arial" w:cs="Arial" w:eastAsia="Arial" w:hAnsi="Arial"/>
          <w:sz w:val="18"/>
          <w:szCs w:val="18"/>
          <w:color w:val="auto"/>
        </w:rPr>
      </w:pPr>
    </w:p>
    <w:p>
      <w:pPr>
        <w:jc w:val="both"/>
        <w:ind w:left="1080" w:right="60" w:hanging="532"/>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limitations in resources that would otherwise be focused on the conduct of our business or our clinical trials, including because of sickness or the desire to avoid contact with large groups of people or as a result of government-imposed “Stay-at-Home” orders or similar working restrictions;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preclinical and clinical sites receiving the supplies and materials needed to conduct our planned clinical trials;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interruption in global shipping that may affect the transport of clinical trial materials, such as investigational drug product to be used in our clinical trials;</w:t>
      </w:r>
    </w:p>
    <w:p>
      <w:pPr>
        <w:spacing w:after="0" w:line="75" w:lineRule="exact"/>
        <w:rPr>
          <w:rFonts w:ascii="Arial" w:cs="Arial" w:eastAsia="Arial" w:hAnsi="Arial"/>
          <w:sz w:val="18"/>
          <w:szCs w:val="18"/>
          <w:color w:val="auto"/>
        </w:rPr>
      </w:pPr>
    </w:p>
    <w:p>
      <w:pPr>
        <w:ind w:left="1080" w:right="32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regulations as part of a response to the COVID-19 pandemic which may require us to change the ways in which our clinical trials are conducted, or to discontinue clinical trials altogether, or which may result in unexpected costs;</w:t>
      </w:r>
    </w:p>
    <w:p>
      <w:pPr>
        <w:spacing w:after="0" w:line="75" w:lineRule="exact"/>
        <w:rPr>
          <w:rFonts w:ascii="Arial" w:cs="Arial" w:eastAsia="Arial" w:hAnsi="Arial"/>
          <w:sz w:val="18"/>
          <w:szCs w:val="18"/>
          <w:color w:val="auto"/>
        </w:rPr>
      </w:pPr>
    </w:p>
    <w:p>
      <w:pPr>
        <w:ind w:left="1080" w:right="48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necessary interactions with regulators, ethics committees and other important agencies and contractors due to limitations in employee resources or forced furlough of government or contractor personnel;</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affected geographies outside the United States;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increased competition for CROs, contract development and manufacturing organizations (CDMOs), suppliers and vendors; and</w:t>
      </w:r>
    </w:p>
    <w:p>
      <w:pPr>
        <w:spacing w:after="0" w:line="142" w:lineRule="exact"/>
        <w:rPr>
          <w:rFonts w:ascii="Arial" w:cs="Arial" w:eastAsia="Arial" w:hAnsi="Arial"/>
          <w:sz w:val="17"/>
          <w:szCs w:val="17"/>
          <w:color w:val="auto"/>
        </w:rPr>
      </w:pPr>
    </w:p>
    <w:p>
      <w:pPr>
        <w:ind w:left="1080" w:right="240" w:hanging="532"/>
        <w:spacing w:after="0" w:line="342"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delays in collecting, receiving and analyzing data from patients enrolled in our clinical trials due to limited staff at potential clinical trial sites, limitation or suspension of on-site visits by patients, or patients’ reluctance to visit the clinical trial sites during the pandemic.</w:t>
      </w:r>
    </w:p>
    <w:p>
      <w:pPr>
        <w:spacing w:after="0" w:line="12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will continue to assess the impact that COVID-19 may have on our ability to effectively conduct our business operations as planned and there can be no assurance that we will be able to avoid a material impact on our business from the spread of COVID-19 or its consequences, including disruption to our business and downturns in business sentiment generally or in our industry.</w:t>
      </w:r>
    </w:p>
    <w:p>
      <w:pPr>
        <w:spacing w:after="0" w:line="184"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Additionally, certain third parties with whom we engage or may engage, including our collaborators, CROs, third-party manufacturers, suppliers, clinical trial sites, regulators and other third parties with whom we conduct business have similarly adjusted their operations and are assessing their capacity in light of the COVID-19 pandemic. If these third parties experience shutdowns or continued business disruptions, our ability to conduct our business in the manner and on the timelines presently planned could be materially and negatively impacted. For example, as a result of the COVID-19 pandemic, we experienced delays in the procurement of materials needed to conduct our preclinical studies. Additionally, certain preclinical studies are conducted by CROs, some of which were delayed as a result of the COVID-19 pandemic and which could be discontinued or further delayed as the pandemic continues. Research and development expenses and general and administrative expenses may vary significantly if there is an increased impact from COVID-19 on the costs and timing associated with the conduct of our business. As we continue to actively advance our programs, we are assessing the impact of the COVID-19 pandemic, our expected timelines and costs on an ongoing basis.</w:t>
      </w:r>
    </w:p>
    <w:p>
      <w:pPr>
        <w:spacing w:after="0" w:line="166" w:lineRule="exact"/>
        <w:rPr>
          <w:sz w:val="20"/>
          <w:szCs w:val="20"/>
          <w:color w:val="auto"/>
        </w:rPr>
      </w:pPr>
    </w:p>
    <w:p>
      <w:pPr>
        <w:jc w:val="both"/>
        <w:ind w:left="120" w:right="160" w:firstLine="440"/>
        <w:spacing w:after="0" w:line="279" w:lineRule="auto"/>
        <w:rPr>
          <w:sz w:val="20"/>
          <w:szCs w:val="20"/>
          <w:color w:val="auto"/>
        </w:rPr>
      </w:pPr>
      <w:r>
        <w:rPr>
          <w:rFonts w:ascii="Arial" w:cs="Arial" w:eastAsia="Arial" w:hAnsi="Arial"/>
          <w:sz w:val="17"/>
          <w:szCs w:val="17"/>
          <w:color w:val="auto"/>
        </w:rPr>
        <w:t>Three vaccines for COVID-19 have been granted Emergency Use Authorization by the FDA, and more are likely to be authorized in the coming months. The resultant demand for vaccines and potential for manufacturing facilities and materials to be commandeered under the Defense Production Act of 1950, or equivalent foreign legislation, has made it more difficult to obtain materials and manufacturing slots for our product candidates needed for our preclinical studies and clinical trials, which could lead to delays in these studies and trials.</w:t>
      </w:r>
    </w:p>
    <w:p>
      <w:pPr>
        <w:spacing w:after="0" w:line="17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global outbreak of COVID-19 continues to rapidly evolve. The extent to which the COVID-19 pandemic impacts our business will depend on future developments such as the rate of the spread of the disease,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travel restrictions and social distancing in the United States and other countries, business closures or business disruptions, supply of and demand for vaccines, and the effectiveness of actions taken in the United States and other countries to contain and treat the disease and to address its impact, including on financial markets or otherwise. Further, a lack of coordinated response on risk mitigation and vaccination deployment with respect to the COVID-19 pandemic could result in significant increases to the duration and severity of the pandemic and could have a corresponding negative impact on our business. While the extent of the impact of the current COVID-19 pandemic on our business and financial results is uncertain, a continued and prolonged public health crisis such as the COVID-19 pandemic could have a material negative impact on our business, financial condition and operating results.</w:t>
      </w:r>
    </w:p>
    <w:p>
      <w:pPr>
        <w:spacing w:after="0" w:line="195"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To the extent the COVID-19 pandemic adversely affects our business, financial condition and operating results, it may also have the effect of heightening many of the risks described in this “Risk Factors” section.</w:t>
      </w:r>
    </w:p>
    <w:p>
      <w:pPr>
        <w:spacing w:after="0" w:line="278" w:lineRule="exact"/>
        <w:rPr>
          <w:sz w:val="20"/>
          <w:szCs w:val="20"/>
          <w:color w:val="auto"/>
        </w:rPr>
      </w:pPr>
    </w:p>
    <w:p>
      <w:pPr>
        <w:ind w:left="560" w:right="440"/>
        <w:spacing w:after="0" w:line="277" w:lineRule="auto"/>
        <w:rPr>
          <w:sz w:val="20"/>
          <w:szCs w:val="20"/>
          <w:color w:val="auto"/>
        </w:rPr>
      </w:pPr>
      <w:r>
        <w:rPr>
          <w:rFonts w:ascii="Arial" w:cs="Arial" w:eastAsia="Arial" w:hAnsi="Arial"/>
          <w:sz w:val="18"/>
          <w:szCs w:val="18"/>
          <w:b w:val="1"/>
          <w:bCs w:val="1"/>
          <w:i w:val="1"/>
          <w:iCs w:val="1"/>
          <w:color w:val="auto"/>
        </w:rPr>
        <w:t>Raising additional capital will cause dilution to our stockholders, including purchasers of our common stock in this offering, restrict our operations or require us to relinquish rights to our technologies or product candidates.</w:t>
      </w:r>
    </w:p>
    <w:p>
      <w:pPr>
        <w:spacing w:after="0" w:line="62"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Until such time, if ever, as we can generate substantial revenues, we will be required to obtain further funding through public or private equity offerings, debt financings, collaborations and licensing arrangements or other sources, which may dilute our stockholders or restrict our operating activities. We do not have any committed external source of funds. Adequate additional financing may not be available to us on acceptable terms, or at all. To the extent that we raise additional capital through the sale of equity or convertible debt securities, your ownership interest will be diluted, and the terms may include liquidation or other preferences that adversely affect your rights as a stockholder. Debt financing and preferred equity financing, if available, may involve agreements that include covenants limiting or restricting our ability to take specific actions, such as incurring additional debt, making acquisitions, engaging in acquisition, merger or collaboration transactions, selling or licensing our assets, making capital expenditures, redeeming our stock, making certain investments, declaring dividends or encumbering our assets to secure future indebtedness. Such restrictions could adversely impact our ability to conduct our operations and execute our business plan.</w:t>
      </w:r>
    </w:p>
    <w:p>
      <w:pPr>
        <w:spacing w:after="0" w:line="166"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If we raise additional funds through upfront payments or milestone payments pursuant to strategic collaborations, strategic alliances or marketing, distribution or licensing arrangements with third parties, we may have to relinquish valuable rights to our technologies or intellectual property,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Our ability to utilize our net operating loss carryforwards and certain other tax attributes to offset future taxable income may be limited.</w:t>
      </w:r>
    </w:p>
    <w:p>
      <w:pPr>
        <w:spacing w:after="0" w:line="140" w:lineRule="exact"/>
        <w:rPr>
          <w:sz w:val="20"/>
          <w:szCs w:val="20"/>
          <w:color w:val="auto"/>
        </w:rPr>
      </w:pPr>
    </w:p>
    <w:p>
      <w:pPr>
        <w:ind w:left="120" w:right="80" w:firstLine="440"/>
        <w:spacing w:after="0" w:line="285" w:lineRule="auto"/>
        <w:rPr>
          <w:sz w:val="20"/>
          <w:szCs w:val="20"/>
          <w:color w:val="auto"/>
        </w:rPr>
      </w:pPr>
      <w:r>
        <w:rPr>
          <w:rFonts w:ascii="Arial" w:cs="Arial" w:eastAsia="Arial" w:hAnsi="Arial"/>
          <w:sz w:val="16"/>
          <w:szCs w:val="16"/>
          <w:color w:val="auto"/>
        </w:rPr>
        <w:t>Our net operating loss (NOL) carryforwards may be unavailable to offset future taxable income because of restrictions under U.S. tax law. Our NOLs generated in tax years ending on or prior to December 31, 2017 are only permitted to be carried forward for 20 taxable years under applicable U.S. federal tax law, and therefore could expire unused. Under tax legislation commonly referred to as the Tax Cuts and Jobs Act (Tax Act) as amended by the Coronavirus Aid, Relief, and Economic Security Act (CARES Act), our federal NOLs generated in tax years beginning after December 31, 2017 may be carried forward indefinitely, but for taxable years beginning after December 31, 2020, the deductibility of federal NOLs generated in</w:t>
      </w:r>
    </w:p>
    <w:p>
      <w:pPr>
        <w:spacing w:after="0" w:line="2"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tax years beginning after December 31, 2017 is limited to 80% of our current year taxable income. It is uncertain if and to what extent various states will conform to the Tax Act. As of December 31, 2020, we had available federal NOL carry forwards of approximately $78.5 million, of which $75.4 million do not expire.</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In addition, under Sections 382 and 383 of the Internal Revenue Code of 1986, as amended (Code), if a corporation undergoes an “ownership change” (generally defined as a cumulative change in the corporation’s ownership by “5-percent shareholders” that exceeds 50 percentage points over a rolling three-year period), the corporation’s ability to use its pre-change NOLs and certain other pre-change tax attributes to offset its post-change taxable income may be limited. Similar rules may apply under state tax laws. We have experienced such ownership changes in the past, and we may experience ownership changes in the future as a result of this offering or subsequent shifts in our stock ownership, some of which are outside our control. As of December 31, 2020, a formal study was conducted and concluded that we experienced an ownership change during 2020. As a result, we have removed $3.1 million of deferred tax assets related to NOLs and research tax credit carryforwards due to Section 382 limitations. Our ability to utilize our remaining NOLs and certain other tax attributes could be further limited by a future “ownership change” as described above and consequently, we may not be able to utilize a material portion of our NOLs and certain other tax attributes, which could have a material adverse effect on our cash flows and results of operations.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Discovery, Development, Manufacturing and Commercialization of Our Product Candidates</w:t>
      </w:r>
    </w:p>
    <w:p>
      <w:pPr>
        <w:spacing w:after="0" w:line="229" w:lineRule="exact"/>
        <w:rPr>
          <w:sz w:val="20"/>
          <w:szCs w:val="20"/>
          <w:color w:val="auto"/>
        </w:rPr>
      </w:pPr>
    </w:p>
    <w:p>
      <w:pPr>
        <w:jc w:val="both"/>
        <w:ind w:left="560" w:right="300"/>
        <w:spacing w:after="0" w:line="311" w:lineRule="auto"/>
        <w:rPr>
          <w:sz w:val="20"/>
          <w:szCs w:val="20"/>
          <w:color w:val="auto"/>
        </w:rPr>
      </w:pPr>
      <w:r>
        <w:rPr>
          <w:rFonts w:ascii="Arial" w:cs="Arial" w:eastAsia="Arial" w:hAnsi="Arial"/>
          <w:sz w:val="16"/>
          <w:szCs w:val="16"/>
          <w:b w:val="1"/>
          <w:bCs w:val="1"/>
          <w:i w:val="1"/>
          <w:iCs w:val="1"/>
          <w:color w:val="auto"/>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spacing w:after="0" w:line="41" w:lineRule="exact"/>
        <w:rPr>
          <w:sz w:val="20"/>
          <w:szCs w:val="20"/>
          <w:color w:val="auto"/>
        </w:rPr>
      </w:pPr>
    </w:p>
    <w:p>
      <w:pPr>
        <w:ind w:left="120" w:right="180" w:firstLine="440"/>
        <w:spacing w:after="0" w:line="291" w:lineRule="auto"/>
        <w:rPr>
          <w:sz w:val="20"/>
          <w:szCs w:val="20"/>
          <w:color w:val="auto"/>
        </w:rPr>
      </w:pPr>
      <w:r>
        <w:rPr>
          <w:rFonts w:ascii="Arial" w:cs="Arial" w:eastAsia="Arial" w:hAnsi="Arial"/>
          <w:sz w:val="16"/>
          <w:szCs w:val="16"/>
          <w:color w:val="auto"/>
        </w:rPr>
        <w:t>We are very early in our development efforts. We have not initiated clinical trials for any of our programs. We do not have any products that are approved for commercial sale, and we may never be able to develop or commercialize marketable products. Before we generate any revenue from product sales, each of our programs and product candidates will require additional preclinical and clinical development, expansion of manufacturing capabilities and expertise, regulatory approval, building a commercial organization or successfully outsourcing commercialization, substantial investment and significant marketing efforts. We are not permitted to market or promote any product candidates before we receive approval from the FDA or comparable foreign regulatory authorities, and we many never receive such approval. Because our product candidates are in an early stage of development, there is a high risk of failure and we may never succeed in developing marketable products.</w:t>
      </w:r>
    </w:p>
    <w:p>
      <w:pPr>
        <w:spacing w:after="0" w:line="16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If we do not successfully initiate and complete our planned clinical trials in a timely manner or fail to achieve favorable results from the trial, we may experience significant delays or other issues in advancing our programs. We cannot be certain that our clinical trials will be initiated and completed on time, if at all, or whether our planned clinical strategy will be acceptable to the FDA or comparable foreign regulatory authorities. There is a high failure rate for biopharmaceutical products proceeding through clinical trials. A number of companies in the pharmaceutical and biotechnology industries have suffered significant setbacks in later stage clinical trials even after achieving promising results in earlier stage clinical trials. Data obtained from preclinical studies and clinical trials are subject to varying interpretations, which may delay, limit or prevent regulatory approval. In addition, regulatory delays or rejections may be encountered as a result of many factors, including changes in regulatory policy during the period of product development.</w:t>
      </w:r>
    </w:p>
    <w:p>
      <w:pPr>
        <w:spacing w:after="0" w:line="192"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Because of the early stage of development of our programs, our ability to eventually generate significant revenues from our product candidates, which we do not expect will occur for several years, if ever, will depend on a number of factors, including:</w:t>
      </w:r>
    </w:p>
    <w:p>
      <w:pPr>
        <w:spacing w:after="0" w:line="76"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successful and timely completion of our ongoing preclinical studies;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generating sufficient data to support the initiation or continuation of clinical trials;</w:t>
      </w:r>
    </w:p>
    <w:p>
      <w:pPr>
        <w:spacing w:after="0" w:line="130"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addressing any delays, necessary adjustments and additional costs in preclinical studies and clinical trials resulting from factors related to the COVID-19 pandemic;</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80"/>
          </w:cols>
          <w:pgMar w:left="320" w:top="459" w:right="4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2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submission of INDs or other regulatory applications for our planned clinical trials and authorizations from regulators to initiate clinical trials;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contracting with the necessary parties to conduct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 on a timely basis;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achieving favorable results from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timely manufacture of sufficient quantities of a product candidate for use in clinical trials and, if approved, commercialization;</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 outputs from our capsid engineering and promotor and regulator elements efforts;</w:t>
      </w:r>
    </w:p>
    <w:p>
      <w:pPr>
        <w:spacing w:after="0" w:line="130" w:lineRule="exact"/>
        <w:rPr>
          <w:rFonts w:ascii="Arial" w:cs="Arial" w:eastAsia="Arial" w:hAnsi="Arial"/>
          <w:sz w:val="18"/>
          <w:szCs w:val="18"/>
          <w:color w:val="auto"/>
        </w:rPr>
      </w:pPr>
    </w:p>
    <w:p>
      <w:pPr>
        <w:ind w:left="1080" w:right="42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preclinical studies and clinical trials and commercialization activities;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frequency and severity of adverse events in clinical trials;</w:t>
      </w:r>
    </w:p>
    <w:p>
      <w:pPr>
        <w:spacing w:after="0" w:line="130" w:lineRule="exact"/>
        <w:rPr>
          <w:rFonts w:ascii="Arial" w:cs="Arial" w:eastAsia="Arial" w:hAnsi="Arial"/>
          <w:sz w:val="18"/>
          <w:szCs w:val="18"/>
          <w:color w:val="auto"/>
        </w:rPr>
      </w:pPr>
    </w:p>
    <w:p>
      <w:pPr>
        <w:ind w:left="1080" w:right="60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demonstrating efficacy, safety and tolerability profiles that are satisfactory to the FDA, EMA or any comparable foreign regulatory authority for marketing approval;</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timely receipt of marketing approvals from applicable regulatory authorities;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extent of any required post-marketing approval commitments to applicable regulatory authorities;</w:t>
      </w:r>
    </w:p>
    <w:p>
      <w:pPr>
        <w:spacing w:after="0" w:line="130"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operational, technical and clinical development challenges associated with pediatric indications that we may pursue, including challenges associated with recruiting and enrolling eligible pediatric patients in clinical trials;</w:t>
      </w:r>
    </w:p>
    <w:p>
      <w:pPr>
        <w:spacing w:after="0" w:line="75" w:lineRule="exact"/>
        <w:rPr>
          <w:rFonts w:ascii="Arial" w:cs="Arial" w:eastAsia="Arial" w:hAnsi="Arial"/>
          <w:sz w:val="18"/>
          <w:szCs w:val="18"/>
          <w:color w:val="auto"/>
        </w:rPr>
      </w:pPr>
    </w:p>
    <w:p>
      <w:pPr>
        <w:ind w:left="1080" w:right="500" w:hanging="532"/>
        <w:spacing w:after="0" w:line="263"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additional clinical trials and other requirements imposed by regulatory authorities for expanding drug labeling to include pediatric populations or for approval a pediatric product candidate, including formulation changes, additional bridging studies, manufacturing changes, dosage and administration changes, among others;</w:t>
      </w:r>
    </w:p>
    <w:p>
      <w:pPr>
        <w:spacing w:after="0" w:line="89"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maintenance of existing or the establishment of new supply arrangements with third-party drug product suppliers and manufacturers for clinical development and, if approved, commercialization;</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maintaining consistent quality, purity, and potency across clinical supplies and commercial supplies for any approved products;</w:t>
      </w:r>
    </w:p>
    <w:p>
      <w:pPr>
        <w:spacing w:after="0" w:line="142" w:lineRule="exact"/>
        <w:rPr>
          <w:rFonts w:ascii="Arial" w:cs="Arial" w:eastAsia="Arial" w:hAnsi="Arial"/>
          <w:sz w:val="17"/>
          <w:szCs w:val="17"/>
          <w:color w:val="auto"/>
        </w:rPr>
      </w:pPr>
    </w:p>
    <w:p>
      <w:pPr>
        <w:ind w:left="1080" w:right="20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obtaining and maintaining patent and other intellectual property protection, trade secret protection and regulatory exclusivity, both in the United States and internationally;</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protecting, enforcing and defending our rights in our intellectual property portfolio;</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expand into multiple indications;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successful launch of commercial sales following any marketing approval;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continued acceptable safety profile and sustained therapeutic effect of our therapies following any marketing approval;</w:t>
      </w:r>
    </w:p>
    <w:p>
      <w:pPr>
        <w:spacing w:after="0" w:line="130" w:lineRule="exact"/>
        <w:rPr>
          <w:rFonts w:ascii="Arial" w:cs="Arial" w:eastAsia="Arial" w:hAnsi="Arial"/>
          <w:sz w:val="18"/>
          <w:szCs w:val="18"/>
          <w:color w:val="auto"/>
        </w:rPr>
      </w:pPr>
    </w:p>
    <w:p>
      <w:pPr>
        <w:ind w:left="1080" w:right="46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actual market-size, ability to identify patients and the demographics of patients eligible for our product candidates, which may be different than expected;</w:t>
      </w:r>
    </w:p>
    <w:p>
      <w:pPr>
        <w:spacing w:after="0" w:line="75"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commercial acceptance by patients, the medical community and third-party payors, particularly since the product candidates we develop may be novel;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compete with other therapies.</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do not have control over many of these factors, including certain aspects of preclinical and clinical development and the regulatory submission process and potential threats to our intellectual property rights. If we are not successful with respect to one or more of these factors in a timely manner or at all, we could experience significant delays or an inability to successfully commercialize our product candidates, which would materially harm our business.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To become and remain profitable, we must develop, obtain approval for and eventually commercialize products candidates, if approved, that generate significant revenue. We do not expect to receive approval of any product candidates for many years and may never succeed in these activities. In addition, it is not uncommon for product candidates to exhibit unforeseen safety issues or inadequate efficacy when tested in humans despite promising results in preclinical animal models, and we may ultimately be unable to demonstrate adequate safety and efficacy of our product candidates to obtain marketing approval. Even if we obtain approval and begin commercializing one or more of our product candidates, we may never generate revenue that is significant or large enough to achieve profitability.</w:t>
      </w:r>
    </w:p>
    <w:p>
      <w:pPr>
        <w:spacing w:after="0" w:line="178"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Even if we succeed in commercializing one or more of our product candidates, we will continue to incur substantial research and development, manufacturing and other expenditures to develop and market additional product candidates. Our failure to become or remain profitable would decrease the value of the company and could impair our ability to raise capital, maintain our research and development efforts, expand our business or continue our operations.</w:t>
      </w:r>
    </w:p>
    <w:p>
      <w:pPr>
        <w:spacing w:after="0" w:line="187" w:lineRule="exact"/>
        <w:rPr>
          <w:sz w:val="20"/>
          <w:szCs w:val="20"/>
          <w:color w:val="auto"/>
        </w:rPr>
      </w:pPr>
    </w:p>
    <w:p>
      <w:pPr>
        <w:jc w:val="both"/>
        <w:ind w:left="120" w:right="380" w:firstLine="440"/>
        <w:spacing w:after="0" w:line="311" w:lineRule="auto"/>
        <w:rPr>
          <w:sz w:val="20"/>
          <w:szCs w:val="20"/>
          <w:color w:val="auto"/>
        </w:rPr>
      </w:pPr>
      <w:r>
        <w:rPr>
          <w:rFonts w:ascii="Arial" w:cs="Arial" w:eastAsia="Arial" w:hAnsi="Arial"/>
          <w:sz w:val="16"/>
          <w:szCs w:val="16"/>
          <w:color w:val="auto"/>
        </w:rPr>
        <w:t>Even if we successfully discover and advance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manufacture, commercialize or generate significant revenue from any product candidates.</w:t>
      </w:r>
    </w:p>
    <w:p>
      <w:pPr>
        <w:spacing w:after="0" w:line="257" w:lineRule="exact"/>
        <w:rPr>
          <w:sz w:val="20"/>
          <w:szCs w:val="20"/>
          <w:color w:val="auto"/>
        </w:rPr>
      </w:pPr>
    </w:p>
    <w:p>
      <w:pPr>
        <w:ind w:left="560" w:right="80"/>
        <w:spacing w:after="0" w:line="311" w:lineRule="auto"/>
        <w:rPr>
          <w:sz w:val="20"/>
          <w:szCs w:val="20"/>
          <w:color w:val="auto"/>
        </w:rPr>
      </w:pPr>
      <w:r>
        <w:rPr>
          <w:rFonts w:ascii="Arial" w:cs="Arial" w:eastAsia="Arial" w:hAnsi="Arial"/>
          <w:sz w:val="16"/>
          <w:szCs w:val="16"/>
          <w:b w:val="1"/>
          <w:bCs w:val="1"/>
          <w:i w:val="1"/>
          <w:iCs w:val="1"/>
          <w:color w:val="auto"/>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4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intend to discover, develop, manufacture, and commercialize gene therapy product candidates for the heart. Our product candidates may use both known capsids, such as AAV9, as well as proprietary capsids developed in-house through our own capsid engineering efforts or licensed from third parties. Furthermore, our product candidates may also use novel heart-specific promoters and we may explore different routes-of-administration involving infusion- or injection-based catheters to support targeted delivery and efficient uptake of gene therapies for the heart. We are also establishing proprietary manufacturing processes for our product candidates. Our future success depends on the successful development of these novel therapeutic approaches.</w:t>
      </w:r>
    </w:p>
    <w:p>
      <w:pPr>
        <w:spacing w:after="0" w:line="192" w:lineRule="exact"/>
        <w:rPr>
          <w:sz w:val="20"/>
          <w:szCs w:val="20"/>
          <w:color w:val="auto"/>
        </w:rPr>
      </w:pPr>
    </w:p>
    <w:p>
      <w:pPr>
        <w:ind w:left="120" w:right="300" w:firstLine="440"/>
        <w:spacing w:after="0" w:line="257" w:lineRule="auto"/>
        <w:rPr>
          <w:sz w:val="20"/>
          <w:szCs w:val="20"/>
          <w:color w:val="auto"/>
        </w:rPr>
      </w:pPr>
      <w:r>
        <w:rPr>
          <w:rFonts w:ascii="Arial" w:cs="Arial" w:eastAsia="Arial" w:hAnsi="Arial"/>
          <w:sz w:val="18"/>
          <w:szCs w:val="18"/>
          <w:color w:val="auto"/>
        </w:rPr>
        <w:t>To date, only three products that utilize AAV-mediated gene transfer have been approved in the United States or Europe, including Novartis Pharmaceuticals’ Zolgensma (developed by AveXis), Roche’s Luxturna (developed by Spark Therapeutics), and uniQure’s Glybera. No AAV-based gene therapies have yet been approved for the heart, much less therapies for the heart using novel capsids or promoters or delivery methods. It is therefore difficult to determine how long it will take or how much it will cost to obtain regulatory approvals for our product candidates in the United States, the European Union or other jurisdictions.</w:t>
      </w:r>
    </w:p>
    <w:p>
      <w:pPr>
        <w:spacing w:after="0" w:line="188"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The regulatory requirements that will govern any novel gene therapy product candidates we develop are not entirely clear, have changed over time and are subject to further change. Within the broader genetic medicine field, very few therapeutic products have received marketing authorization from the FDA, the EMA or comparable foreign regulatory authorities. Even with respect to more established products that fit into the categories of gene therapies or cell therapies, the regulatory landscape is still developing. Regulatory requirements governing gene therapy products and cell therapy products have changed frequently and will likely continue to change in the future. Changes in the regulatory authorities’ data requirements and risk mitigation methods, including requirements resulting from safety concerns raised by regulatory authorities in clinical programs of unrelated companies in the gene therapy and cardiovascular fields in general, could have a material impact on our clinical development, increase our costs, and delay regulatory approval of our product candidates. Moreover, there is substantial overlap in those responsible for regulation of existing gene therapy products and</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cell therapy products. For example, in the United States, the FDA has established the Office of Tissues and Advanced Therapies within its Center for Biologics Evaluation and Research (CBER) to consolidate the review of gene therapy and related products, and the Cellular, Tissue and Gene Therapies Advisory Committee to advise CBER on its review.</w:t>
      </w:r>
    </w:p>
    <w:p>
      <w:pPr>
        <w:spacing w:after="0" w:line="184"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Our product candidates will need to meet safety and efficacy standards applicable to any new biologic under the regulatory framework administered by the FDA. In addition to FDA oversight and oversight by institutional review boards (IRBs), under guidelines promulgated by the National Institutes of Health (NIH), gene therapy clinical trials are also subject to review and oversight by an institutional biosafety committee (IBC), a local institutional committee that reviews and oversees research utilizing recombinant or synthetic nucleic acid molecules at that institution. The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 Although the FDA decides whether individual gene therapy protocols may proceed, the review process and determinations of other reviewing bodies can impede or delay the initiation of a clinical trial, even if the FDA has reviewed the trial and approved its initiation.</w:t>
      </w:r>
    </w:p>
    <w:p>
      <w:pPr>
        <w:spacing w:after="0" w:line="166"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The same applies in the European Union. The EMA’s Committee for Advanced Therapies (CAT) is responsible for assessing the quality, safety, and efficacy of advanced-therapy medicinal products. Advanced-therapy medicinal products include gene therapy medicines, somatic-cell therapy medicines and tissue-engineered medicines. The role of the CAT is to prepare a draft opinion on an application for marketing authorization for a gene therapy medicinal candidate that is submitted to the EMA. In the European Union, the development and evaluation of a gene therapy product must be considered in the context of the relevant EU guidelines. The EMA may issue new guidelines concerning the development and marketing authorization for gene therapy products and require that we comply with these new guidelines. As a result, the procedures and standards applied to gene therapy products and cell therapy products may be applied to any gene therapy product candidate we may develop, but that remains uncertain at this point.</w:t>
      </w:r>
    </w:p>
    <w:p>
      <w:pPr>
        <w:spacing w:after="0" w:line="166"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Approvals by the EMA may not be indicative of what the FDA may require for approval. Delay or failure to obtain, or unexpected costs in obtaining, the regulatory approvals necessary to bring a potential product to market could decrease our ability to generate sufficient product revenue and our business, financial condition, results of operations and prospects could be materially harmed.</w:t>
      </w:r>
    </w:p>
    <w:p>
      <w:pPr>
        <w:spacing w:after="0" w:line="184"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Adverse developments in preclinical studies or clinical trials conducted by others in the field of gene therapy and gene regulation products may cause the FDA, the EMA, and other regulatory bodies to revise the requirements for the conduct of the clinical studies and approval of any product candidates we may develop or limit the use of products utilizing gene regulation technologies, either of which could harm our business. In addition, the clinical trial requirements of the FDA, the EMA,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product candidates such as ours can be more expensive and take longer than for other, better known, or more extensively studied pharmaceutical or other product candidates. Further, as we are developing novel potential treatments for diseases in which, in some cases, there is little clinical experience with potential new endpoints and methodologies, there is heightened risk that the FDA, the EMA or other regulatory bodies may not consider the clinical trial endpoints to provide clinically meaningful results, and the resulting clinical data and results may be more difficult to analyze. In addition, we may not be able to identify or develop appropriate animal disease models to enable or support planned clinical development. Any natural history studies that we may conduct or rely upon in our clinical development may not be accepted by the FDA, EMA or other regulatory authorities. Regulatory agencies administering existing or future regulations or legislation may not allow production and marketing of products utilizing gene regulation technology in a timely manner or under technically or commercially feasible conditions. In addition, regulatory action or private litigation could result in</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expenses, delays, or other impediments to our research programs or the commercialization of resulting products. Further, approvals by one regulatory agency may not be indicative of what other regulatory agencies may require for approval.</w:t>
      </w:r>
    </w:p>
    <w:p>
      <w:pPr>
        <w:spacing w:after="0" w:line="170"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regulatory review committees and advisory groups described above and the new guidelines they promulgate may lengthen the regulatory review process, require us to perform additional preclinical studies or clinical trials, increase our development costs, lead to changes in regulatory positions and interpretations, delay or prevent approval and commercialization of these treatment candidates, or lead to significant post-approval limitations or restrictions. As we advance our research programs and develop future product candidates, we will be required to consult with these regulatory and advisory groups and to comply with applicable guidelines. If we fail to do so, we may be required to delay or discontinue development of any product candidates we identify and develop.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289" w:lineRule="exact"/>
        <w:rPr>
          <w:sz w:val="20"/>
          <w:szCs w:val="20"/>
          <w:color w:val="auto"/>
        </w:rPr>
      </w:pPr>
    </w:p>
    <w:p>
      <w:pPr>
        <w:ind w:left="560" w:right="580"/>
        <w:spacing w:after="0" w:line="277" w:lineRule="auto"/>
        <w:rPr>
          <w:sz w:val="20"/>
          <w:szCs w:val="20"/>
          <w:color w:val="auto"/>
        </w:rPr>
      </w:pPr>
      <w:r>
        <w:rPr>
          <w:rFonts w:ascii="Arial" w:cs="Arial" w:eastAsia="Arial" w:hAnsi="Arial"/>
          <w:sz w:val="18"/>
          <w:szCs w:val="18"/>
          <w:b w:val="1"/>
          <w:bCs w:val="1"/>
          <w:i w:val="1"/>
          <w:iCs w:val="1"/>
          <w:color w:val="auto"/>
        </w:rPr>
        <w:t>The mechanisms of action of our product candidates are unproven, and we do not know whether we will be able to develop any drug of commercial value.</w:t>
      </w:r>
    </w:p>
    <w:p>
      <w:pPr>
        <w:spacing w:after="0" w:line="62"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We have discovered and are developing product candidates that have what we believe are novel mechanisms of action. Because no currently-approved drugs appear to operate via the same biochemical mechanisms as our compounds, we cannot be certain that our product candidates will result in commercially viable drugs that safely and effectively treat the indications for which we intend to develop them. The results we have seen for our compounds in preclinical models may not translate into similar results in humans, and results of early clinical trials in humans may not be predictive of the results of larger clinical trials that may later be conducted with our product candidates. As an example, patients may develop antibodies against the product candidates, or the product candidates may otherwise have a more limited duration of therapeutic effect than anticipated, resulting in decreased efficacy over time, which could delay approval and, if approved, limit the ultimate commercial value. Even if we are successful in developing and receiving regulatory approval for a product candidate for the treatment of a particular disease, we cannot be certain that it will be accepted by prescribers or be reimbursed by insurers or that we will also be able to develop and receive regulatory approval for that or other product candidates for the treatment of other diseases. If we are unable to successfully develop and commercialize our product candidates, our business will be materially harmed.</w:t>
      </w:r>
    </w:p>
    <w:p>
      <w:pPr>
        <w:spacing w:after="0" w:line="168"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Moreover, in the event any of our competitors were to develop their own product candidates that have a similar mechanism of action to any of our product candidates, any efficacy or safety concerns identified during the development of such similar product candidates may have an adverse impact on the development of our product candidates. For example, if our competitors’ product candidate having a similar mechanism of action as any of our product candidates is shown in clinical trials to give rise to serious safety concerns or have poor efficacy when administered to the target patient population, the FDA or other regulatory bodies may subject our product candidates to increased scrutiny, leading to additional delays in development and potentially decreasing the chance of ultimate approval of our product candidates.</w:t>
      </w:r>
    </w:p>
    <w:p>
      <w:pPr>
        <w:spacing w:after="0" w:line="286" w:lineRule="exact"/>
        <w:rPr>
          <w:sz w:val="20"/>
          <w:szCs w:val="20"/>
          <w:color w:val="auto"/>
        </w:rPr>
      </w:pPr>
    </w:p>
    <w:p>
      <w:pPr>
        <w:ind w:left="560" w:right="220"/>
        <w:spacing w:after="0" w:line="275" w:lineRule="auto"/>
        <w:rPr>
          <w:sz w:val="20"/>
          <w:szCs w:val="20"/>
          <w:color w:val="auto"/>
        </w:rPr>
      </w:pPr>
      <w:r>
        <w:rPr>
          <w:rFonts w:ascii="Arial" w:cs="Arial" w:eastAsia="Arial" w:hAnsi="Arial"/>
          <w:sz w:val="17"/>
          <w:szCs w:val="17"/>
          <w:b w:val="1"/>
          <w:bCs w:val="1"/>
          <w:i w:val="1"/>
          <w:iCs w:val="1"/>
          <w:color w:val="auto"/>
        </w:rPr>
        <w:t>Preclinical and clinical drug development involves a lengthy and expensive process with an uncertain outcome. The clinical trials of our product candidates may not demonstrate safety and efficacy to the satisfaction of the FDA, EMA or other comparable foreign regulatory authorities or otherwise produce positive results and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68"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It is impossible to predict when or if any product candidate that we develop will prove effective or safe in humans or will receive marketing approval. Before obtaining marketing approval from the FDA, EMA or other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comparable foreign regulatory authorities for the sale of our product candidates, we must complete preclinical development and extensive clinical trials to demonstrate with substantial evidence the safety and efficacy of such product candidates.</w:t>
      </w:r>
    </w:p>
    <w:p>
      <w:pPr>
        <w:spacing w:after="0" w:line="170"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Clinical testing is expensive, difficult to design and implement, can take many years to complete and its ultimate outcome is uncertain. We cannot guarantee that any of our clinical trials will be conducted as planned or completed on schedule, or at all. Clinical trials can fail at any stage of testing and failure may result from a multitude of factors, including, among other things, flaws in study design, dose selection issues, placebo effects, patient enrollment criteria and failure to demonstrate favorable safety or efficacy traits. The outcome of preclinical studies and early-stage clinical trials may not be predictive of the success of later clinical trials. For example, our product candidates may fail to show the desired safety and efficacy in clinical development despite positive results in preclinical studies or having successfully advanced through initial clinical trials. As a result, we cannot assure you that any clinical trials that we conduct will demonstrate consistent or adequate efficacy and safety to support marketing approval.</w:t>
      </w:r>
    </w:p>
    <w:p>
      <w:pPr>
        <w:spacing w:after="0" w:line="166"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To the extent we pursue any pediatric indications or expand any approved drug product labeling to include pediatric populations, we may face additional challenges associated with clinical testing in pediatric populations, which can increase our operational costs, delay regulatory approval and commercialization, or expose us to additional liability. For example, finding qualified clinical sites that have access to sufficient pediatric populations and that are interested in participating in our clinical trials may take additional time than adult indications. There may be fewer eligible patients with the target genetic disorder or heart disease or condition applicable to our product candidate for our planned clinical trials. This may increase the time needed to enroll patients for our planned pediatric clinical trials, increase our clinical development timelines, delay approval for such pediatric indications, and increase our operational costs. We may also be required to modify the formulation or other aspects of the product candidate, as compared to the comparable product candidate intended for adult patient populations, make manufacturing changes, modify route of administration, and conduct additional clinical studies, such as bridging studies and additional safety studies, before we can commence our clinical trials in pediatric populations. Any delays in our planned clinical development activities for pediatric patients could have an adverse effect on our business operations.</w:t>
      </w:r>
    </w:p>
    <w:p>
      <w:pPr>
        <w:spacing w:after="0" w:line="168"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 This is particularly true for clinical trials in very rare diseases, such as with certain indications we are pursuing, where the very small patient population makes it difficult or impossible to conduct two traditional, adequate and well-controlled studies, and therefore the FDA or comparable foreign regulatory authorities are often permitted to exercise flexibility in approving therapies for such diseases. Moreover, results acceptable to support approval in one jurisdiction may be deemed inadequate by another regulatory authority to support regulatory approval in that other jurisdiction. To the extent that the results of the trials are not satisfactory to the FDA or comparable foreign regulatory authorities for support of a marketing application, we may be required to expend significant resources, which may not be available to us, to conduct additional trials in support of potential approval of our product candidates. Furthermore, the failure of any of our product candidates to demonstrate safety and efficacy in any clinical trial could negatively impact the perception of our other product candidates and/or cause the FDA or comparable regulatory authorities to require additional testing before approving any of our product candidates.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To date, we have not initiated or completed any clinical trials required for the approval of our product candidates. We may experience numerous unforeseen events during, or as a result of, preclinical studies or clinical trials that could delay or prevent receipt of marketing approval or our ability to commercialize our product candidates, including:</w:t>
      </w:r>
    </w:p>
    <w:p>
      <w:pPr>
        <w:spacing w:after="0" w:line="89"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inability to generate sufficient preclinical,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of clinical trials;</w:t>
      </w:r>
    </w:p>
    <w:p>
      <w:pPr>
        <w:spacing w:after="0" w:line="130"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sufficiently developing, characterizing or controlling a manufacturing process suitable for advanced clinical trials, including our natural history studies;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receipt of feedback from regulatory authorities that requires us to modify the design of our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clinical trial observations or results that require us to modify the design of our clinical trials;</w:t>
      </w:r>
    </w:p>
    <w:p>
      <w:pPr>
        <w:spacing w:after="0" w:line="130"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negative or inconclusive clinical trial results that may require us to conduct additional clinical trials or abandon certain drug development programs;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obtaining approval from one or more IRBs;</w:t>
      </w:r>
    </w:p>
    <w:p>
      <w:pPr>
        <w:spacing w:after="0" w:line="130" w:lineRule="exact"/>
        <w:rPr>
          <w:rFonts w:ascii="Arial" w:cs="Arial" w:eastAsia="Arial" w:hAnsi="Arial"/>
          <w:sz w:val="18"/>
          <w:szCs w:val="18"/>
          <w:color w:val="auto"/>
        </w:rPr>
      </w:pPr>
    </w:p>
    <w:p>
      <w:pPr>
        <w:ind w:left="1080" w:right="660" w:hanging="532"/>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being larger than anticipated, enrollment in these clinical trials being slower than anticipated or participants dropping out of these clinical trials at a higher rate than anticipated;</w:t>
      </w:r>
    </w:p>
    <w:p>
      <w:pPr>
        <w:spacing w:after="0" w:line="75"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failure or delay in reaching an agreement with CROs and clinical trial sites, the terms of which can be subject to extensive negotiation and may vary significantly among different CROs and trial sites;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suspension or termination of our clinical trials for various reasons, including non-compliance with regulatory requirements or a finding that our product candidates have undesirable side effects or other unexpected characteristics or risks;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to clinical trial protocol;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being greater than anticipated;</w:t>
      </w:r>
    </w:p>
    <w:p>
      <w:pPr>
        <w:spacing w:after="0" w:line="130" w:lineRule="exact"/>
        <w:rPr>
          <w:rFonts w:ascii="Arial" w:cs="Arial" w:eastAsia="Arial" w:hAnsi="Arial"/>
          <w:sz w:val="18"/>
          <w:szCs w:val="18"/>
          <w:color w:val="auto"/>
        </w:rPr>
      </w:pPr>
    </w:p>
    <w:p>
      <w:pPr>
        <w:ind w:left="1080" w:right="480" w:hanging="532"/>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being insufficient or inadequate;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subjects experiencing severe or unexpected drug-related adverse effects;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selection of clinical end points that require prolonged periods of clinical observation or analysis of the resulting data;</w:t>
      </w:r>
    </w:p>
    <w:p>
      <w:pPr>
        <w:spacing w:after="0" w:line="130" w:lineRule="exact"/>
        <w:rPr>
          <w:rFonts w:ascii="Arial" w:cs="Arial" w:eastAsia="Arial" w:hAnsi="Arial"/>
          <w:sz w:val="18"/>
          <w:szCs w:val="18"/>
          <w:color w:val="auto"/>
        </w:rPr>
      </w:pPr>
    </w:p>
    <w:p>
      <w:pPr>
        <w:ind w:left="1080" w:right="260" w:hanging="532"/>
        <w:spacing w:after="0" w:line="311"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facility manufacturing our product candidates or any of their components being ordered by the FDA or comparable foreign regulatory authorities to temporarily or permanently shut down due to violations of current good manufacturing practice (cGMPs), regulations or other applicable requirements, or infections or cross-contaminations of product candidates in the manufacturing process;</w:t>
      </w:r>
    </w:p>
    <w:p>
      <w:pPr>
        <w:spacing w:after="0" w:line="54" w:lineRule="exact"/>
        <w:rPr>
          <w:rFonts w:ascii="Arial" w:cs="Arial" w:eastAsia="Arial" w:hAnsi="Arial"/>
          <w:sz w:val="16"/>
          <w:szCs w:val="16"/>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changes to our manufacturing process that may be necessary or desired;</w:t>
      </w:r>
    </w:p>
    <w:p>
      <w:pPr>
        <w:spacing w:after="0" w:line="130" w:lineRule="exact"/>
        <w:rPr>
          <w:rFonts w:ascii="Arial" w:cs="Arial" w:eastAsia="Arial" w:hAnsi="Arial"/>
          <w:sz w:val="18"/>
          <w:szCs w:val="18"/>
          <w:color w:val="auto"/>
        </w:rPr>
      </w:pPr>
    </w:p>
    <w:p>
      <w:pPr>
        <w:ind w:left="1080" w:right="80" w:hanging="532"/>
        <w:spacing w:after="0" w:line="342"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third-party clinical investigators losing the licenses or permits necessary to perform our clinical trials, not performing our clinical trials on our anticipated schedule or consistent with the clinical trial protocol, good clinical practices (GCP) or other regulatory requirements;</w:t>
      </w:r>
    </w:p>
    <w:p>
      <w:pPr>
        <w:spacing w:after="0" w:line="29" w:lineRule="exact"/>
        <w:rPr>
          <w:rFonts w:ascii="Arial" w:cs="Arial" w:eastAsia="Arial" w:hAnsi="Arial"/>
          <w:sz w:val="16"/>
          <w:szCs w:val="16"/>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third-party contractors not performing data collection or analysis in a timely or accurate manner;</w:t>
      </w:r>
    </w:p>
    <w:p>
      <w:pPr>
        <w:spacing w:after="0" w:line="130" w:lineRule="exact"/>
        <w:rPr>
          <w:rFonts w:ascii="Arial" w:cs="Arial" w:eastAsia="Arial" w:hAnsi="Arial"/>
          <w:sz w:val="18"/>
          <w:szCs w:val="18"/>
          <w:color w:val="auto"/>
        </w:rPr>
      </w:pPr>
    </w:p>
    <w:p>
      <w:pPr>
        <w:ind w:left="1080" w:hanging="532"/>
        <w:spacing w:after="0" w:line="26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regulators revising the requirements for approving our product candidates;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absence in some countries of established groups with sufficient regulatory expertise for review of AAV gene therapy protocols; and</w:t>
      </w:r>
    </w:p>
    <w:p>
      <w:pPr>
        <w:spacing w:after="0" w:line="142" w:lineRule="exact"/>
        <w:rPr>
          <w:rFonts w:ascii="Arial" w:cs="Arial" w:eastAsia="Arial" w:hAnsi="Arial"/>
          <w:sz w:val="17"/>
          <w:szCs w:val="17"/>
          <w:color w:val="auto"/>
        </w:rPr>
      </w:pPr>
    </w:p>
    <w:p>
      <w:pPr>
        <w:ind w:left="1080" w:right="140" w:hanging="532"/>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foreign laws, medical standards and regulatory requirements, including the regulation of pharmaceutical and biotechnology products and treatment.</w:t>
      </w:r>
    </w:p>
    <w:p>
      <w:pPr>
        <w:spacing w:after="0" w:line="170"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If we are required to conduct additional clinical trials or other testing of our product candidates beyond those that we currently contemplate, if we are unable to successfully complete clinical trials of our product candidates or other testing in a timely manner, if the results of these trials or tests are not positive or are only modestly positive or if there are safety concerns, we may incur unplanned costs, be delayed in seeking and obtaining marketing approval, if we receive such approval at all, receive more limited or restrictive marketing approval, be subject to additional post-marketing testing requirements or have the drug removed from the market after obtaining marketing approval.</w:t>
      </w:r>
    </w:p>
    <w:p>
      <w:pPr>
        <w:spacing w:after="0" w:line="17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Moreover, in the future,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66"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our product development costs will also increase if we experience delays in preclinical studies or clinical trials or in obtaining marketing approvals. We do not know whether any of our preclinical studies or clinical trials will begin as planned, will need to be restructured or will be completed on schedule, or at all. We may also determine to change the design or protocol of one or more of our clinical trials, which could result in increased costs and expenses and/or delays. Any delays in completing our clinical trials will increase our costs, slow down our product candidate development and approval process and jeopardize our ability to commence product sales and generate revenues.</w:t>
      </w:r>
    </w:p>
    <w:p>
      <w:pPr>
        <w:spacing w:after="0" w:line="177"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In addition, many of the factors that cause, or lead to, termination or suspension of, or a delay in the commencement or completion of, clinical trials may also ultimately lead to the denial of regulatory approval of a product candidate. Any delays to our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spacing w:after="0" w:line="296" w:lineRule="exact"/>
        <w:rPr>
          <w:sz w:val="20"/>
          <w:szCs w:val="20"/>
          <w:color w:val="auto"/>
        </w:rPr>
      </w:pPr>
    </w:p>
    <w:p>
      <w:pPr>
        <w:ind w:left="560" w:right="20"/>
        <w:spacing w:after="0" w:line="286" w:lineRule="auto"/>
        <w:rPr>
          <w:sz w:val="20"/>
          <w:szCs w:val="20"/>
          <w:color w:val="auto"/>
        </w:rPr>
      </w:pPr>
      <w:r>
        <w:rPr>
          <w:rFonts w:ascii="Arial" w:cs="Arial" w:eastAsia="Arial" w:hAnsi="Arial"/>
          <w:sz w:val="17"/>
          <w:szCs w:val="17"/>
          <w:b w:val="1"/>
          <w:bCs w:val="1"/>
          <w:i w:val="1"/>
          <w:iCs w:val="1"/>
          <w:color w:val="auto"/>
        </w:rPr>
        <w:t>Our product candidates may cause serious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57"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We are developing novel therapies for the treatment of heart disease. As a result, there is uncertainty as to the safety profile of product candidates we may develop. If our product candidates are associated with undesirable side effects or have unexpected characteristics in preclinical studies or clinical trials we may need to interrupt, delay or abandon their development or limit development to more narrow uses or subpopulations in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potential product liability claims. There is no guarantee that our product candidates will not have side effects similar to those seen in other gene therapies or that we will be able to prevent side effects from escalating to an unsafe level for our patients. Any of these occurrences may prevent us from achieving or maintaining market acceptance of the affected product candidate and may harm our business, financial condition and prospects significantly.</w:t>
      </w:r>
    </w:p>
    <w:p>
      <w:pPr>
        <w:spacing w:after="0" w:line="161"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Patients in our planned clinical trials may in the future suffer other serious adverse events or other side effects not observed in our preclinical studies or previous clinical trials. Patients treated with our other product candidates may also be undergoing other therapies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enrolled in our clinical trials will die or experience major clinical events either during the course of our clinical trials or after participating in such trials.</w:t>
      </w:r>
    </w:p>
    <w:p>
      <w:pPr>
        <w:spacing w:after="0" w:line="178"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If further serious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EMA,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and prospects. Further, if any of our product candidates obtains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trials.</w:t>
      </w:r>
    </w:p>
    <w:p>
      <w:pPr>
        <w:spacing w:after="0" w:line="276" w:lineRule="exact"/>
        <w:rPr>
          <w:sz w:val="20"/>
          <w:szCs w:val="20"/>
          <w:color w:val="auto"/>
        </w:rPr>
      </w:pPr>
    </w:p>
    <w:p>
      <w:pPr>
        <w:ind w:left="560" w:right="280"/>
        <w:spacing w:after="0" w:line="342" w:lineRule="auto"/>
        <w:rPr>
          <w:sz w:val="20"/>
          <w:szCs w:val="20"/>
          <w:color w:val="auto"/>
        </w:rPr>
      </w:pPr>
      <w:r>
        <w:rPr>
          <w:rFonts w:ascii="Arial" w:cs="Arial" w:eastAsia="Arial" w:hAnsi="Arial"/>
          <w:sz w:val="16"/>
          <w:szCs w:val="16"/>
          <w:b w:val="1"/>
          <w:bCs w:val="1"/>
          <w:i w:val="1"/>
          <w:iCs w:val="1"/>
          <w:color w:val="auto"/>
        </w:rPr>
        <w:t>The outcome of preclinical studies and early clinical trials may not be predictive of the success of later clinical trials, and the results of our clinical trials may not satisfy the requirements of the FDA, EMA or other comparable foreign regulatory authorities.</w:t>
      </w:r>
    </w:p>
    <w:p>
      <w:pPr>
        <w:spacing w:after="0" w:line="16"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We will be required to demonstrate with substantial evidence through well-controlled clinical trials that our product candidates are safe and effective for use in a diverse population before we can seek marketing approvals for their commercial sale. Success in preclinical studies and early-stage clinical trials does not mean that future clinical trials will be successful. For instance, we do not know whether any of our product candidates will perform in our current or future preclinical studies or future clinical trials as it has in prior preclinical studies or earlier clinical trials. Product candidates in clinical trials may fail to demonstrate sufficient safety and efficacy to the satisfaction of the FDA, EMA and other comparable foreign regulatory authorities despite having progressed through preclinical studies. Regulatory authorities may also limit the scope of later-stage trials until we have demonstrated satisfactory safety, which could delay regulatory approval, limit the size of the patient population to which we may market our product candidates, or prevent regulatory approval.</w:t>
      </w:r>
    </w:p>
    <w:p>
      <w:pPr>
        <w:spacing w:after="0" w:line="178"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In some instances, there can be significant variability in safety and efficacy results between different clinical trials of the same product candidate due to numerous factors, including changes in trial protocols, differences in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size and type of the patient populations, differences in and adherence to the dose and dosing regimen and other trial protocols and the rate of dropout among clinical trial participants. Patients treated with our product candidates may also be undergoing other therapies and may be using other approved products or investigational new drugs, which can cause side effects or adverse events that are unrelated to our product candidates. As a result, assessments of efficacy can vary widely for a particular patient, and from patient to patient and site to site within a clinical trial. This subjectivity can increase the uncertainty of, and adversely impact, our clinical trial outcomes.</w:t>
      </w:r>
    </w:p>
    <w:p>
      <w:pPr>
        <w:spacing w:after="0" w:line="176"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We do not know whether any clinical trials we may conduct will demonstrate consistent or adequate efficacy and safety sufficient to obtain approval to market any of our product candidates.</w:t>
      </w:r>
    </w:p>
    <w:p>
      <w:pPr>
        <w:spacing w:after="0" w:line="278"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and/or maintenance of patients in clinical trials, our regulatory submissions or receipt of necessary marketing approvals could be delayed or prevented.</w:t>
      </w:r>
    </w:p>
    <w:p>
      <w:pPr>
        <w:spacing w:after="0" w:line="62"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and enroll a sufficient number of eligible patients to participate in these trials to such trial’s conclusion as required by the FDA, EMA or other comparable foreign regulatory authorities. Patient enrollment is a significant factor in the timing of clinical trials. Our ability to enroll eligible patients may be limited or may result in slower enrollment than we anticipate.</w:t>
      </w:r>
    </w:p>
    <w:p>
      <w:pPr>
        <w:spacing w:after="0" w:line="187"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We may experience delays if our clinical trial sites limit their onsite staff or temporarily close as a result of the COVID-19 pandemic. In addition, patients may not be able to visit clinical trial sites for dosing or data collection purposes due to limitations on travel and physical distancing imposed or recommended by federal or state governments or patients’ reluctance to visit the clinical trial sites during the pandemic. These factors resulting from the COVID-19 pandemic could delay the anticipated readouts from our clinical trials and our regulatory submissions.</w:t>
      </w:r>
    </w:p>
    <w:p>
      <w:pPr>
        <w:spacing w:after="0" w:line="171" w:lineRule="exact"/>
        <w:rPr>
          <w:sz w:val="20"/>
          <w:szCs w:val="20"/>
          <w:color w:val="auto"/>
        </w:rPr>
      </w:pPr>
    </w:p>
    <w:p>
      <w:pPr>
        <w:ind w:left="120" w:right="360" w:firstLine="440"/>
        <w:spacing w:after="0" w:line="275" w:lineRule="auto"/>
        <w:rPr>
          <w:sz w:val="20"/>
          <w:szCs w:val="20"/>
          <w:color w:val="auto"/>
        </w:rPr>
      </w:pPr>
      <w:r>
        <w:rPr>
          <w:rFonts w:ascii="Arial" w:cs="Arial" w:eastAsia="Arial" w:hAnsi="Arial"/>
          <w:sz w:val="17"/>
          <w:szCs w:val="17"/>
          <w:color w:val="auto"/>
        </w:rPr>
        <w:t>We are developing product candidates for the treatment of heart disease, including for certain indications, such as rare genetic diseases, with limited patient pools from which to draw for clinical trials. We also may encounter difficulties in identifying and enrolling patients with a stage of disease appropriate for our planned clinical trials and monitoring such subjects adequately during and after treatment. The process of finding and diagnosing patients may prove costly. Further, the treating physicians in our clinical trials may also use their medical discretion in advising patients enrolled in our clinical trials to withdraw from our studies to try alternative therapies.</w:t>
      </w:r>
    </w:p>
    <w:p>
      <w:pPr>
        <w:spacing w:after="0" w:line="176"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We expect patient enrollment to be affected because our competitors have ongoing clinical trials for programs that are under development for the same indications as our product candidates, and patients who would otherwise be eligible for our clinical trials could instead enroll in clinical trials of our competitors’ programs. Patient enrollment for our current or any future clinical trials may be affected by other factors, including:</w:t>
      </w:r>
    </w:p>
    <w:p>
      <w:pPr>
        <w:spacing w:after="0" w:line="54"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30"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challenges associated with recruiting pediatric patient population, including, but not limited to, identifying clinical sites that are qualified to participate in pediatric clinical trials, smaller number of eligible pediatric patients who are interested in participating within the target age groups, or under-diagnosis or challenges associated with diagnosing pediatric populations with the applicable target disease or condition;</w:t>
      </w:r>
    </w:p>
    <w:p>
      <w:pPr>
        <w:spacing w:after="0" w:line="9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perceived risks and benefits of novel, unproven approaches;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availability and efficacy of approved drugs for the disease under investigation;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patient eligibility criteria for the trial in question as defined in the protocol;</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80"/>
          </w:cols>
          <w:pgMar w:left="320" w:top="459" w:right="4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30" w:lineRule="exact"/>
        <w:rPr>
          <w:rFonts w:ascii="Arial" w:cs="Arial" w:eastAsia="Arial" w:hAnsi="Arial"/>
          <w:sz w:val="18"/>
          <w:szCs w:val="18"/>
          <w:color w:val="auto"/>
        </w:rPr>
      </w:pPr>
    </w:p>
    <w:p>
      <w:pPr>
        <w:jc w:val="both"/>
        <w:ind w:left="1080" w:right="380" w:hanging="532"/>
        <w:spacing w:after="0" w:line="263"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of the product candidate being studied in relation to other available therapies, including any new products that may be approved or other product candidates being investigated for the indications we are investigating;</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activities of key opinion leaders (KOLs) and patient advocacy groups;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 and</w:t>
      </w:r>
    </w:p>
    <w:p>
      <w:pPr>
        <w:spacing w:after="0" w:line="130"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completion or, because they may have an advanced disease, will not survive the full terms of the clinical trials.</w:t>
      </w:r>
    </w:p>
    <w:p>
      <w:pPr>
        <w:spacing w:after="0" w:line="170"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265" w:lineRule="exact"/>
        <w:rPr>
          <w:sz w:val="20"/>
          <w:szCs w:val="20"/>
          <w:color w:val="auto"/>
        </w:rPr>
      </w:pPr>
    </w:p>
    <w:p>
      <w:pPr>
        <w:jc w:val="both"/>
        <w:ind w:left="560" w:right="100"/>
        <w:spacing w:after="0" w:line="259" w:lineRule="auto"/>
        <w:rPr>
          <w:sz w:val="20"/>
          <w:szCs w:val="20"/>
          <w:color w:val="auto"/>
        </w:rPr>
      </w:pPr>
      <w:r>
        <w:rPr>
          <w:rFonts w:ascii="Arial" w:cs="Arial" w:eastAsia="Arial" w:hAnsi="Arial"/>
          <w:sz w:val="18"/>
          <w:szCs w:val="18"/>
          <w:b w:val="1"/>
          <w:bCs w:val="1"/>
          <w:i w:val="1"/>
          <w:iCs w:val="1"/>
          <w:color w:val="auto"/>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spacing w:after="0" w:line="79"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Due to the significant resources required for the development of product candidates, in particular our product candidates in IND-enabling studies and those that begin clinical trials, we must decide which programs, product candidates and indications to pursue and advance and the amount of resources to allocate to each. Our decisions concerning the allocation of research, development, collaboration, management and financial resources toward particular programs, product candidates or therapeutic areas may not lead to the development of any viable commercial product and may divert resources away from better opportunities. Similarly, our potential decisions to delay, terminate or collaborate with third parties in respect of certain platforms, programs or product candidates may subsequently also prove to be less than optimal and could cause us to miss valuable opportunities. If we make incorrect determinations regarding the viability or market potential of any of our programs or product candidates or misread trends in the biotechnology industry, in particular in the field of cardiology, our business could be seriously harmed. As a result, we may fail to capitalize on viable commercial products or profitable market opportunities, be required to forego or delay pursuit of opportunities with other programs, product candidates or other diseases that may later prove to have greater commercial potential than those we choose to pursue, or relinquish valuable rights to our platforms or product candidates through collaboration, licensing or other royalty arrangements in cases in which it would have been advantageous for us to invest additional resources to retain sole development and commercialization rights.</w:t>
      </w:r>
    </w:p>
    <w:p>
      <w:pPr>
        <w:spacing w:after="0" w:line="276" w:lineRule="exact"/>
        <w:rPr>
          <w:sz w:val="20"/>
          <w:szCs w:val="20"/>
          <w:color w:val="auto"/>
        </w:rPr>
      </w:pPr>
    </w:p>
    <w:p>
      <w:pPr>
        <w:ind w:left="560" w:right="80"/>
        <w:spacing w:after="0" w:line="342" w:lineRule="auto"/>
        <w:rPr>
          <w:sz w:val="20"/>
          <w:szCs w:val="20"/>
          <w:color w:val="auto"/>
        </w:rPr>
      </w:pPr>
      <w:r>
        <w:rPr>
          <w:rFonts w:ascii="Arial" w:cs="Arial" w:eastAsia="Arial" w:hAnsi="Arial"/>
          <w:sz w:val="16"/>
          <w:szCs w:val="16"/>
          <w:b w:val="1"/>
          <w:bCs w:val="1"/>
          <w:i w:val="1"/>
          <w:iCs w:val="1"/>
          <w:color w:val="auto"/>
        </w:rPr>
        <w:t>We face significant competition and if our competitors develop and market technologies or products more rapidly than we do or that are more effective, safer or less expensive than the products we develop, our commercial opportunities will be negatively impacted.</w:t>
      </w:r>
    </w:p>
    <w:p>
      <w:pPr>
        <w:spacing w:after="0" w:line="16"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The biotechnology and biopharmaceutical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our product candidates. Any product candidates that we successfully develop and</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have competitors both in the United States and internationally, including major multinational pharmaceutical companies, established biotechnology companies, specialty pharmaceutical companies, emerging and start-up companies, universities and other research institutions. We also compete with other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spacing w:after="0" w:line="188"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We expect to face competition from existing products and products in development for each of our programs. We anticipate substantial direct competition from a variety of competitors, including:</w:t>
      </w:r>
    </w:p>
    <w:p>
      <w:pPr>
        <w:spacing w:after="0" w:line="76" w:lineRule="exact"/>
        <w:rPr>
          <w:sz w:val="20"/>
          <w:szCs w:val="20"/>
          <w:color w:val="auto"/>
        </w:rPr>
      </w:pPr>
    </w:p>
    <w:p>
      <w:pPr>
        <w:ind w:left="1080" w:right="640" w:hanging="532"/>
        <w:spacing w:after="0" w:line="263"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cardiovascular drug development: Companies known to have approved product and active drug development efforts for cardiovascular disease include but are not limited to AstraZeneca, Bayer, Bristol Myers Squibb, Cytokinetics, Eli Lilly, Johnson &amp; Johnson/Janssen, Maze Therapeutics, Merck, Novartis, and Novo Nordisk;</w:t>
      </w:r>
    </w:p>
    <w:p>
      <w:pPr>
        <w:spacing w:after="0" w:line="89" w:lineRule="exact"/>
        <w:rPr>
          <w:rFonts w:ascii="Arial" w:cs="Arial" w:eastAsia="Arial" w:hAnsi="Arial"/>
          <w:sz w:val="18"/>
          <w:szCs w:val="18"/>
          <w:color w:val="auto"/>
        </w:rPr>
      </w:pPr>
    </w:p>
    <w:p>
      <w:pPr>
        <w:ind w:left="1080" w:right="140" w:hanging="532"/>
        <w:spacing w:after="0" w:line="263"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 Therapy platform: Companies known to be pursuing gene therapy approaches for the heart include but are not limited to 4D Molecular Therapeutics, Bayer, Bristol Myers Squibb, BioMarin Pharmaceutical, DiNAQOR, Nuevocor, Precigen, Renova Therapeutics, Renovacor, Rocket Pharmaceuticals, Sardicor, Stride Bio, and uniQure;</w:t>
      </w:r>
    </w:p>
    <w:p>
      <w:pPr>
        <w:spacing w:after="0" w:line="89" w:lineRule="exact"/>
        <w:rPr>
          <w:rFonts w:ascii="Arial" w:cs="Arial" w:eastAsia="Arial" w:hAnsi="Arial"/>
          <w:sz w:val="18"/>
          <w:szCs w:val="18"/>
          <w:color w:val="auto"/>
        </w:rPr>
      </w:pPr>
    </w:p>
    <w:p>
      <w:pPr>
        <w:ind w:left="1080" w:right="120" w:hanging="532"/>
        <w:spacing w:after="0" w:line="263"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Cellular Regeneration platform: Companies known to be pursuing approaches to cellular regeneration for the heart include but are not limited to AstraZeneca, Bayer, BioCardia, Cardior Pharmaceuticals, Jaan Biotherapeutics, Khloris Biosciences, Mesoblast, Mogrify, Sana Biotechnologies and Xylocor Therapeutics; and</w:t>
      </w:r>
    </w:p>
    <w:p>
      <w:pPr>
        <w:spacing w:after="0" w:line="89"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Precision Medicine platform: Companies known to be pursuing approaches to drug discovery for the heart using disease models based on iPSC-CMs include but are not limited to DiNAQOR and Tara Biosystems.</w:t>
      </w:r>
    </w:p>
    <w:p>
      <w:pPr>
        <w:spacing w:after="0" w:line="170" w:lineRule="exact"/>
        <w:rPr>
          <w:sz w:val="20"/>
          <w:szCs w:val="20"/>
          <w:color w:val="auto"/>
        </w:rPr>
      </w:pPr>
    </w:p>
    <w:p>
      <w:pPr>
        <w:ind w:left="120" w:right="100" w:firstLine="440"/>
        <w:spacing w:after="0" w:line="288" w:lineRule="auto"/>
        <w:rPr>
          <w:sz w:val="20"/>
          <w:szCs w:val="20"/>
          <w:color w:val="auto"/>
        </w:rPr>
      </w:pPr>
      <w:r>
        <w:rPr>
          <w:rFonts w:ascii="Arial" w:cs="Arial" w:eastAsia="Arial" w:hAnsi="Arial"/>
          <w:sz w:val="16"/>
          <w:szCs w:val="16"/>
          <w:color w:val="auto"/>
        </w:rPr>
        <w:t>Many of these current and potential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our field before we do.</w:t>
      </w:r>
    </w:p>
    <w:p>
      <w:pPr>
        <w:spacing w:after="0" w:line="168"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side effects, are more convenient, have a broader label, are marketed more effectively, are more widely reimbursed or are less expensive than any products that we may develop. Our competitors also may obtain marketing approval from the FDA, EMA or other comparable foreign regulatory authorities for their products more rapidly than we may obtain approval for ours, which could result in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57" w:lineRule="auto"/>
        <w:rPr>
          <w:sz w:val="20"/>
          <w:szCs w:val="20"/>
          <w:color w:val="auto"/>
        </w:rPr>
      </w:pPr>
      <w:r>
        <w:rPr>
          <w:rFonts w:ascii="Arial" w:cs="Arial" w:eastAsia="Arial" w:hAnsi="Arial"/>
          <w:sz w:val="18"/>
          <w:szCs w:val="18"/>
          <w:color w:val="auto"/>
        </w:rPr>
        <w:t>our competitors establishing a strong market position before we are able to enter the market.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spacing w:after="0" w:line="296" w:lineRule="exact"/>
        <w:rPr>
          <w:sz w:val="20"/>
          <w:szCs w:val="20"/>
          <w:color w:val="auto"/>
        </w:rPr>
      </w:pPr>
    </w:p>
    <w:p>
      <w:pPr>
        <w:ind w:left="560" w:right="100"/>
        <w:spacing w:after="0" w:line="308"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may change as more patient data become available and are subject to audit and verification procedures that could result in material changes in the final data.</w:t>
      </w:r>
    </w:p>
    <w:p>
      <w:pPr>
        <w:spacing w:after="0" w:line="38" w:lineRule="exact"/>
        <w:rPr>
          <w:sz w:val="20"/>
          <w:szCs w:val="20"/>
          <w:color w:val="auto"/>
        </w:rPr>
      </w:pPr>
    </w:p>
    <w:p>
      <w:pPr>
        <w:ind w:left="120" w:right="100" w:firstLine="440"/>
        <w:spacing w:after="0" w:line="287" w:lineRule="auto"/>
        <w:rPr>
          <w:sz w:val="20"/>
          <w:szCs w:val="20"/>
          <w:color w:val="auto"/>
        </w:rPr>
      </w:pPr>
      <w:r>
        <w:rPr>
          <w:rFonts w:ascii="Arial" w:cs="Arial" w:eastAsia="Arial" w:hAnsi="Arial"/>
          <w:sz w:val="16"/>
          <w:szCs w:val="16"/>
          <w:color w:val="auto"/>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is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172"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preliminary or topline data that we report differ from late,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We may not be successful in our efforts to utilize our proprietary drug discovery platforms to develop a pipeline of product candidates.</w:t>
      </w:r>
    </w:p>
    <w:p>
      <w:pPr>
        <w:spacing w:after="0" w:line="140"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A key element of our strategy is to leverage our proprietary drug discovery platforms to develop a pipeline of product candidates to treat heart disease. In order to do so, we must continue to invest in our proprietary drug discovery platforms and development capabilities, including our internal disease modeling and capsid engineering efforts, our in-house cassette engineering capabilities to create novel promoters and regulatory elements to support our programs, and targeted drug delivery approaches for efficient uptake of gene therapies for the heart. Although our research and development efforts to date have resulted in a pipeline of product candidates, these product candidates may not be safe and effective. Our capsid engineering, promoter and regulatory elements may not be successful. In addition, although we expect that our proprietary drug discovery platforms and development capabilities will allow us to develop a diverse pipeline of product candidates, we may not prove to be successful at doing so. Furthermore, we may also find that the uses of our proprietary drug discovery platforms are limited because alternative uses of our therapeutics prove not to be safe or effective.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57" w:lineRule="auto"/>
        <w:rPr>
          <w:sz w:val="20"/>
          <w:szCs w:val="20"/>
          <w:color w:val="auto"/>
        </w:rPr>
      </w:pPr>
      <w:r>
        <w:rPr>
          <w:rFonts w:ascii="Arial" w:cs="Arial" w:eastAsia="Arial" w:hAnsi="Arial"/>
          <w:sz w:val="18"/>
          <w:szCs w:val="18"/>
          <w:color w:val="auto"/>
        </w:rPr>
        <w:t>Even if we are successful in building our pipeline, the potential product candidates that we identify may not be suitable for clinical development, including as a result of being shown to have harmful side effects or other characteristics that indicate that they are unlikely to be products that will receive marketing approval or achieve market acceptance. Further, because our product candidates and programs are based on our proprietary drug discovery platforms, adverse developments with respect to one of our programs may have a significant adverse impact on the actual or perceived likelihood of success and value of our other programs.</w:t>
      </w:r>
    </w:p>
    <w:p>
      <w:pPr>
        <w:spacing w:after="0" w:line="188"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In addition, the biotechnology and pharmaceutical industries are characterized by rapidly advancing technologies. Our future success will depend in part on our ability to maintain a competitive position with our approach. If we fail to stay at the forefront of technological change in utilizing our proprietary drug discovery platforms to create and develop programs and product candidates, we may be unable to compete effectively. Our competitors may render our approach obsolete or limit the commercial value of our product candidates, by advances in existing technological approaches or the development of new or different approaches, potentially eliminating the advantages in our drug discovery process that we believe we derive from our research approach and proprietary technologies. By contrast, adverse developments with respect to other companies that attempt to use a similar approach to our approach may adversely impact the actual or perceived value of our proprietary drug discovery platforms and potential of our programs and product candidates. If any of these events occur, we may be forced to abandon our development efforts for a program or programs, which would have a material adverse effect on our business and could potentially cause us to cease operations.</w:t>
      </w:r>
    </w:p>
    <w:p>
      <w:pPr>
        <w:spacing w:after="0" w:line="274" w:lineRule="exact"/>
        <w:rPr>
          <w:sz w:val="20"/>
          <w:szCs w:val="20"/>
          <w:color w:val="auto"/>
        </w:rPr>
      </w:pPr>
    </w:p>
    <w:p>
      <w:pPr>
        <w:jc w:val="both"/>
        <w:ind w:left="560" w:right="120"/>
        <w:spacing w:after="0" w:line="286" w:lineRule="auto"/>
        <w:rPr>
          <w:sz w:val="20"/>
          <w:szCs w:val="20"/>
          <w:color w:val="auto"/>
        </w:rPr>
      </w:pPr>
      <w:r>
        <w:rPr>
          <w:rFonts w:ascii="Arial" w:cs="Arial" w:eastAsia="Arial" w:hAnsi="Arial"/>
          <w:sz w:val="17"/>
          <w:szCs w:val="17"/>
          <w:b w:val="1"/>
          <w:bCs w:val="1"/>
          <w:i w:val="1"/>
          <w:iCs w:val="1"/>
          <w:color w:val="auto"/>
        </w:rPr>
        <w:t>The manufacture of drugs is complex, and we or our third-party manufacturers may encounter difficulties in production. If we or any of our third-party manufacturers encounter such difficulties, our ability to provide adequate supply of our product candidates for preclinical studies or clinical trials or our products for patients, if approved, could be delayed or prevented.</w:t>
      </w:r>
    </w:p>
    <w:p>
      <w:pPr>
        <w:spacing w:after="0" w:line="5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Manufacturing drugs, especially in large quantities, is complex and may require the use of innovative technologies. Each lot of an approved drug product must undergo thorough testing for safety identity, strength, quality, purity and potency. Manufacturing drugs requires key materials and facilities specifically designed for and validated for this purpose, as well as sophisticated QA and QC procedures. Slight deviations anywhere in the manufacturing process, including manufacturing drug substance, drug product filling, labeling, packaging, storage and shipping and quality control and testing, may result in lot failures or product recalls. When changes are made to the manufacturing process, we may be required to provide preclinical and clinical data showing the comparable quality and efficacy of the products before and after such changes. If we or our third-party manufacturers are unable to produce sufficient quantities for preclinical studies 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spacing w:after="0" w:line="289" w:lineRule="exact"/>
        <w:rPr>
          <w:sz w:val="20"/>
          <w:szCs w:val="20"/>
          <w:color w:val="auto"/>
        </w:rPr>
      </w:pPr>
    </w:p>
    <w:p>
      <w:pPr>
        <w:ind w:left="560"/>
        <w:spacing w:after="0" w:line="375" w:lineRule="auto"/>
        <w:rPr>
          <w:sz w:val="20"/>
          <w:szCs w:val="20"/>
          <w:color w:val="auto"/>
        </w:rPr>
      </w:pPr>
      <w:r>
        <w:rPr>
          <w:rFonts w:ascii="Arial" w:cs="Arial" w:eastAsia="Arial" w:hAnsi="Arial"/>
          <w:sz w:val="15"/>
          <w:szCs w:val="15"/>
          <w:b w:val="1"/>
          <w:bCs w:val="1"/>
          <w:i w:val="1"/>
          <w:iCs w:val="1"/>
          <w:color w:val="auto"/>
        </w:rPr>
        <w:t>Gene therapies are novel, complex and difficult to manufacture. We could experience production problems that result in delays in development or commercialization of our product candidates, limit the supply of our products, if approved, or otherwise seriously harm our business.</w:t>
      </w:r>
    </w:p>
    <w:p>
      <w:pPr>
        <w:spacing w:after="0" w:line="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Our gene therapy product candidates require processing steps that are more complex than those required for most chemical and protein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need to employ multiple steps to control our manufacturing process to assure that the process works and the product candidate is made strictly and consistently in compliance with the process. Problems with the manufacturing process, even minor deviations from the normal process, could result in product defects or manufacturing failures that result in lot failures, product recalls, product liability claims or insufficient inventory, which could delay or prevent the initiation of clinical trials or receipt of regulatory approvals. We may encounter problems achieving adequate quantities and quality of clinical-grade materials that meet FDA, or other</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comparable applicable foreign regulatory authorities standards or specifications with consistent and acceptable production yields and costs.</w:t>
      </w:r>
    </w:p>
    <w:p>
      <w:pPr>
        <w:spacing w:after="0" w:line="237" w:lineRule="exact"/>
        <w:rPr>
          <w:sz w:val="20"/>
          <w:szCs w:val="20"/>
          <w:color w:val="auto"/>
        </w:rPr>
      </w:pPr>
    </w:p>
    <w:p>
      <w:pPr>
        <w:ind w:left="120" w:right="300" w:firstLine="440"/>
        <w:spacing w:after="0" w:line="255" w:lineRule="auto"/>
        <w:rPr>
          <w:sz w:val="20"/>
          <w:szCs w:val="20"/>
          <w:color w:val="auto"/>
        </w:rPr>
      </w:pPr>
      <w:r>
        <w:rPr>
          <w:rFonts w:ascii="Arial" w:cs="Arial" w:eastAsia="Arial" w:hAnsi="Arial"/>
          <w:sz w:val="18"/>
          <w:szCs w:val="18"/>
          <w:color w:val="auto"/>
        </w:rPr>
        <w:t>In addition, the FDA and other comparable foreign regulatory authorities may require us to submit samples of any lot of any approved product together with the protocols showing the results of applicable tests at any time. Under some circumstances, the FDA or other comparable foreign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clinical trials or product launches which could be costly to us and otherwise seriously harm our business.</w:t>
      </w:r>
    </w:p>
    <w:p>
      <w:pPr>
        <w:spacing w:after="0" w:line="192"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We also may encounter problems hiring and retaining the experienced scientific, quality control and manufacturing personnel needed to operate our manufacturing process which could result in delays in our production or difficulties in maintaining compliance with applicable regulatory requirements.</w:t>
      </w:r>
    </w:p>
    <w:p>
      <w:pPr>
        <w:spacing w:after="0" w:line="184"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Any problems in our manufacturing process or facilities or the facilities with which we contract could make us a less attractive collaborator for potential partners, including larger pharmaceutical companies, which could limit our access to additional attractive development programs. Problems in manufacturing process or facilities also could restrict our ability to meet market demand for our products, if approved. Additionally, should our agreement or agreements with other parties with whom we have manufacturing agreements be terminated for any reason, there are a limited number of manufacturers who would be suitable replacements, and it would take a significant amount of time to transition the manufacturing to a replacement.</w:t>
      </w:r>
    </w:p>
    <w:p>
      <w:pPr>
        <w:spacing w:after="0" w:line="269" w:lineRule="exact"/>
        <w:rPr>
          <w:sz w:val="20"/>
          <w:szCs w:val="20"/>
          <w:color w:val="auto"/>
        </w:rPr>
      </w:pPr>
    </w:p>
    <w:p>
      <w:pPr>
        <w:jc w:val="both"/>
        <w:ind w:left="560" w:right="180"/>
        <w:spacing w:after="0" w:line="263" w:lineRule="auto"/>
        <w:rPr>
          <w:sz w:val="20"/>
          <w:szCs w:val="20"/>
          <w:color w:val="auto"/>
        </w:rPr>
      </w:pPr>
      <w:r>
        <w:rPr>
          <w:rFonts w:ascii="Arial" w:cs="Arial" w:eastAsia="Arial" w:hAnsi="Arial"/>
          <w:sz w:val="18"/>
          <w:szCs w:val="18"/>
          <w:b w:val="1"/>
          <w:bCs w:val="1"/>
          <w:i w:val="1"/>
          <w:iCs w:val="1"/>
          <w:color w:val="auto"/>
        </w:rPr>
        <w:t>We are in the process of building out a manufacturing facility to support future production of certain of our product candidates. We have no experience in manufacturing, and there can be no assurance that we will be able to complete our manufacturing facility or, if completed, we will be able to successfully manufacture product candidates.</w:t>
      </w:r>
    </w:p>
    <w:p>
      <w:pPr>
        <w:spacing w:after="0" w:line="76"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We have historically relied on third parties to manufacture supplies of our product candidates. We plan to fully integrate and internalize AAV manufacturing capabilities to support our Gene Therapy and Cellular Regeneration platforms. We have established an in-house Pilot Plant Operation facility that operates at the 200L scale to support all non-clinical studies including IND-enabling pharmacology (efficacy) and toxicology (safety) studies. We have initiated construction of a dedicated cGMP facility for drug product manufacturing in the San Francisco Bay Area that we expect will be operational in the first half of 2022. The facility will initially produce drug product at the 1000L scale to support FIH studies for TN-201, the most advanced product candidate from our MYBPC3 program. To optimize our use of resources and utilize extensive third-party experience in small molecule manufacturing, we intend to work with CDMOs for our small molecule programs. We intend to initiate cGMP manufacturing for our HDAC6 inhibitor program, TYA-11631, before the end of 2021.</w:t>
      </w:r>
    </w:p>
    <w:p>
      <w:pPr>
        <w:spacing w:after="0" w:line="178"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Although some of our employees have experience in the manufacturing of biopharmaceutical products from prior employment at other companies, we as a company have no prior experience in manufacturing. We may face delays or increased costs in the build out of our manufacturing facility or the production of clinical supply at our manufacturing facility, once operational, and cannot guarantee when our facility will be able to produce sufficient quantities of product candidates needed to support our preclinical studies and planned clinical trials. In addition, government approvals will be required for us to operate our manufacturing facility and can be time-consuming to obtain, and there can be no assurance that such approval will be obtained. As a manufacturer of pharmaceutical products, we also will be required to demonstrate and maintain compliance with cGMP requirements related to production processes, quality control and assurance and recordkeeping. Furthermore, establishing and maintaining manufacturing operations may require a reallocation of other resources and management time, as well as potentially significant capital expenditures, particularly in areas relating to operations, quality, regulatory, facilities and information technology. We also may encounter problems hiring and retaining the experienced scientific, quality control and manufacturing personnel needed to operate our manufacturing processes. If we experience unanticipated</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employee shortage or turnover in any of these areas, we may not be able to effectively manage our ongoing manufacturing operations and we may not achieve the operating efficiencies that we anticipate from developing these capabilities, which may negatively affect our product development timelines or result in difficulties in maintaining compliance with applicable regulatory requirements.</w:t>
      </w:r>
    </w:p>
    <w:p>
      <w:pPr>
        <w:spacing w:after="0" w:line="18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Any delays in developing our internal manufacturing capabilities may disrupt or delay the supply of our product candidates if we have not maintained a sufficient back-up supply of such product candidates through third-party manufacturers. Moreover, changing manufacturing facilities during the clinical development process may also require that we conduct additional studies, make notifications to regulatory authorities, make additional filings to regulatory authorities, and obtain regulatory authority approval for the new facilities, which may be delayed or which we may never receive.</w:t>
      </w:r>
    </w:p>
    <w:p>
      <w:pPr>
        <w:spacing w:after="0" w:line="188"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Any failure or delay in the development of our manufacturing facility or capabilities may hamper our ability to further process improvement, maintain quality control, limit our reliance on contract manufacturers and protect our trade secrets and other intellectual property, and could adversely impact the development or commercialization of our product candidates.</w:t>
      </w:r>
    </w:p>
    <w:p>
      <w:pPr>
        <w:spacing w:after="0" w:line="292" w:lineRule="exact"/>
        <w:rPr>
          <w:sz w:val="20"/>
          <w:szCs w:val="20"/>
          <w:color w:val="auto"/>
        </w:rPr>
      </w:pPr>
    </w:p>
    <w:p>
      <w:pPr>
        <w:ind w:left="560" w:right="260"/>
        <w:spacing w:after="0" w:line="308" w:lineRule="auto"/>
        <w:rPr>
          <w:sz w:val="20"/>
          <w:szCs w:val="20"/>
          <w:color w:val="auto"/>
        </w:rPr>
      </w:pPr>
      <w:r>
        <w:rPr>
          <w:rFonts w:ascii="Arial" w:cs="Arial" w:eastAsia="Arial" w:hAnsi="Arial"/>
          <w:sz w:val="17"/>
          <w:szCs w:val="17"/>
          <w:b w:val="1"/>
          <w:bCs w:val="1"/>
          <w:i w:val="1"/>
          <w:iCs w:val="1"/>
          <w:color w:val="auto"/>
        </w:rPr>
        <w:t>Our manufacturing facilities will be subject to significant government regulations and approvals, which are often costly and could result in adverse consequences to our business if we fail to comply with the regulations or maintain the approvals.</w:t>
      </w:r>
    </w:p>
    <w:p>
      <w:pPr>
        <w:spacing w:after="0" w:line="38"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We will need to comply with the FDA’s and applicable foreign regulatory authorities’ cGMP requirements for the production of product candidates for clinical trials and, if approved, commercial supply. We may encounter difficulties in achieving QC and QA and may experience shortages in qualified personnel. We will be subject to inspections by the FDA and comparable agencies in other jurisdictions to confirm compliance with applicable regulatory requirements. These requirements include the qualification and validation of our manufacturing equipment and processes. Any failure to follow cGMP or other regulatory requirements or delay, interruption or other issues that arise in the manufacture of our product candidates as a result of a failure of our facilities or the facilities or operations of our third-party suppliers to comply with regulatory requirements or pass any regulatory authority inspection could significantly impair our ability to develop and commercialize our product candidates, including leading to significant delays in the availability of our product candidates for our clinical trials or the termination or hold on a clinical trial, or the delay or prevention of a filing or approval of marketing applications for our product candidates. Significant noncompliance could also result in the imposition of sanctions, including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If we are not able to maintain regulatory compliance, we may not be permitted to market our product candidates and/or may be subject to product recalls, seizures, injunctions, or criminal prosecution.</w:t>
      </w:r>
    </w:p>
    <w:p>
      <w:pPr>
        <w:spacing w:after="0" w:line="294" w:lineRule="exact"/>
        <w:rPr>
          <w:sz w:val="20"/>
          <w:szCs w:val="20"/>
          <w:color w:val="auto"/>
        </w:rPr>
      </w:pPr>
    </w:p>
    <w:p>
      <w:pPr>
        <w:ind w:left="560" w:right="300"/>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manufacture our product candidates in sufficient quality and quantity, which would delay or prevent us from developing our product candidates and commercializing resulting approved products, if any.</w:t>
      </w:r>
    </w:p>
    <w:p>
      <w:pPr>
        <w:spacing w:after="0" w:line="62"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To date, our product candidates have been manufactured in quantities adequate for preclinical studies. In order to conduct clinical trials for a product candidate and for commercialization of the resulting product if that product candidate is approved for sale, we will need to manufacture product candidates in larger quantities. We may not be able to successfully repeat or increase the manufacturing capacity for any of our product candidates in a timely or cost-effective manner or at all. Significant changes or scale-up of manufacturing may require additional validation studies, which are costly and which regulatory authorities must review and approve. In addition, quality issues may arise during those changes or scale-up activities. If we are unable to successfully manufacture of any of our product candidates in sufficient quality and quantity, the development of that product candidate and regulatory approval or commercial launch for any resulting products may be delayed or there may be a shortage in supply, which could significantly harm our business.</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117" w:lineRule="exact"/>
        <w:rPr>
          <w:sz w:val="20"/>
          <w:szCs w:val="20"/>
          <w:color w:val="auto"/>
        </w:rPr>
      </w:pPr>
    </w:p>
    <w:p>
      <w:pPr>
        <w:ind w:left="120" w:right="260" w:firstLine="440"/>
        <w:spacing w:after="0" w:line="272" w:lineRule="auto"/>
        <w:rPr>
          <w:sz w:val="20"/>
          <w:szCs w:val="20"/>
          <w:color w:val="auto"/>
        </w:rPr>
      </w:pPr>
      <w:r>
        <w:rPr>
          <w:rFonts w:ascii="Arial" w:cs="Arial" w:eastAsia="Arial" w:hAnsi="Arial"/>
          <w:sz w:val="17"/>
          <w:szCs w:val="17"/>
          <w:color w:val="auto"/>
        </w:rPr>
        <w:t>As product candidates progress through preclinical studies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Even if approved, we may not successfully commercialize our product candidates.</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Our product candidates are subject to the risks of failure inherent in the development of pharmaceutical products based on new technologies, and our failure to develop safe, commercially viable products would severely limit our ability to become profitable or to achieve significant revenues. Even if one or more of our product candidates is approved, we may be unable to successfully commercialize our product candidates for several reasons, including:</w:t>
      </w:r>
    </w:p>
    <w:p>
      <w:pPr>
        <w:spacing w:after="0" w:line="92" w:lineRule="exact"/>
        <w:rPr>
          <w:sz w:val="20"/>
          <w:szCs w:val="20"/>
          <w:color w:val="auto"/>
        </w:rPr>
      </w:pPr>
    </w:p>
    <w:p>
      <w:pPr>
        <w:ind w:left="1080" w:right="100" w:hanging="532"/>
        <w:spacing w:after="0" w:line="263"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some or all of our product candidates may be found to be unsafe or ineffective or otherwise fail to meet applicable regulatory standards or receive necessary regulatory clearances; our product candidates, if safe and effective, may nonetheless not be able to be developed into commercially viable products;</w:t>
      </w:r>
    </w:p>
    <w:p>
      <w:pPr>
        <w:spacing w:after="0" w:line="89" w:lineRule="exact"/>
        <w:rPr>
          <w:rFonts w:ascii="Arial" w:cs="Arial" w:eastAsia="Arial" w:hAnsi="Arial"/>
          <w:sz w:val="18"/>
          <w:szCs w:val="18"/>
          <w:color w:val="auto"/>
        </w:rPr>
      </w:pPr>
    </w:p>
    <w:p>
      <w:pPr>
        <w:ind w:left="1080" w:right="580" w:hanging="532"/>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it may be difficult to manufacture or market our product candidates on a scale that is necessary to ultimately deliver our products to end-users;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intellectual property and proprietary rights of third parties may preclude us from marketing our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nature of our indications as rare diseases means that the potential market size may be limited; and</w:t>
      </w:r>
    </w:p>
    <w:p>
      <w:pPr>
        <w:spacing w:after="0" w:line="130" w:lineRule="exact"/>
        <w:rPr>
          <w:rFonts w:ascii="Arial" w:cs="Arial" w:eastAsia="Arial" w:hAnsi="Arial"/>
          <w:sz w:val="18"/>
          <w:szCs w:val="18"/>
          <w:color w:val="auto"/>
        </w:rPr>
      </w:pPr>
    </w:p>
    <w:p>
      <w:pPr>
        <w:ind w:left="1080" w:right="320" w:hanging="532"/>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third parties may market superior or equivalent drugs which could adversely affect the commercial viability and success of our product candidates.</w:t>
      </w:r>
    </w:p>
    <w:p>
      <w:pPr>
        <w:spacing w:after="0" w:line="278"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62"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third-party payors and others in the medical community. If we are unable to demonstrate sufficient safety to permit a broader use of our product candidates, we may not generate significant product revenue and we may not become profitable. The degree of market acceptance of any of our approved product candidates will depend on a number of factors, including:</w:t>
      </w:r>
    </w:p>
    <w:p>
      <w:pPr>
        <w:spacing w:after="0" w:line="92"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clinical trials compared to alternative treatments;</w:t>
      </w:r>
    </w:p>
    <w:p>
      <w:pPr>
        <w:spacing w:after="0" w:line="130"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size of the relevant pediatric patient population if approved for a pediatric indication, including challenges associated with diagnosing or identifying pediatric populations with the applicable target disease or condition;</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perceive safety and efficacy profile and ease of use for pediatric patient population if approved for a pediatric indication;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clinical indications for which a product candidate is approved;</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20" w:hanging="532"/>
        <w:spacing w:after="0" w:line="263"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restrictions on the use of product candidates in the labeling approved by regulatory authorities, such as boxed warnings or contraindications in labeling, or a risk evaluation and mitigation strategy, if any, which may not be required of alternative treatments and competitor products;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physicians, hospitals, treatment centers and patients considering our product candidates as a safe, pure and effective treatment;</w:t>
      </w:r>
    </w:p>
    <w:p>
      <w:pPr>
        <w:spacing w:after="0" w:line="142" w:lineRule="exact"/>
        <w:rPr>
          <w:rFonts w:ascii="Arial" w:cs="Arial" w:eastAsia="Arial" w:hAnsi="Arial"/>
          <w:sz w:val="17"/>
          <w:szCs w:val="17"/>
          <w:color w:val="auto"/>
        </w:rPr>
      </w:pPr>
    </w:p>
    <w:p>
      <w:pPr>
        <w:ind w:left="1080" w:right="160" w:hanging="532"/>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perceived prevalence and severity of any side effects for our product candidates compared to the prevalence and severity of any side effects for conventional products and other gene therapies;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willingness of the target patient population or their caregivers to try new therapies and of physicians to prescribe these therapies;</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by third-party payors, including government authorities;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patients’ willingness to pay for these therapies in the absence of such coverage and adequate reimbursement;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effectiveness of sales and marketing efforts;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support from KOLs and patient advocacy groups;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unfavorable publicity relating to our product candidates;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approval of other new therapies for the same indications.</w:t>
      </w:r>
    </w:p>
    <w:p>
      <w:pPr>
        <w:spacing w:after="0" w:line="225"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If any of our product candidates are approved but do not achieve an adequate level of acceptance by physicians, hospitals, healthcare payors and patients, we may not generate or derive sufficient revenue from that product candidate and our financial results could be negatively impacted.</w:t>
      </w:r>
    </w:p>
    <w:p>
      <w:pPr>
        <w:spacing w:after="0" w:line="232" w:lineRule="exact"/>
        <w:rPr>
          <w:sz w:val="20"/>
          <w:szCs w:val="20"/>
          <w:color w:val="auto"/>
        </w:rPr>
      </w:pPr>
    </w:p>
    <w:p>
      <w:pPr>
        <w:ind w:left="560" w:right="280"/>
        <w:spacing w:after="0" w:line="308" w:lineRule="auto"/>
        <w:rPr>
          <w:sz w:val="20"/>
          <w:szCs w:val="20"/>
          <w:color w:val="auto"/>
        </w:rPr>
      </w:pPr>
      <w:r>
        <w:rPr>
          <w:rFonts w:ascii="Arial" w:cs="Arial" w:eastAsia="Arial" w:hAnsi="Arial"/>
          <w:sz w:val="17"/>
          <w:szCs w:val="17"/>
          <w:b w:val="1"/>
          <w:bCs w:val="1"/>
          <w:i w:val="1"/>
          <w:iCs w:val="1"/>
          <w:color w:val="auto"/>
        </w:rPr>
        <w:t>Adverse public perception or regulatory scrutiny of gene therapy technology or precision medicine for the treatment of heart diseases may negatively impact the developmental progress or commercial success of product candidates that we develop.</w:t>
      </w:r>
    </w:p>
    <w:p>
      <w:pPr>
        <w:spacing w:after="0" w:line="3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developmental and commercial success of product candidates that we develop will depend in part on public acceptance of the use of gene therapy technology, including the use of AAVs, and precision medicine for the prevention or treatment of human diseases. Adverse public perception of gene therapies or precision medicine may negatively impact our ability to raise capital or enter into strategic agreements for the development of product candidates.</w:t>
      </w:r>
    </w:p>
    <w:p>
      <w:pPr>
        <w:spacing w:after="0" w:line="18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Gene therapy and precision medicine remain novel technologies. The commercial success of our products, if successfully developed and approved, may be adversely affected by claims that gene therapy or precision medicine is unsafe, unethical or immoral. This may lead to unfavorable public perception and the inability of any of our product candidates to gain the acceptance of the public or the medical community. Unfavorable public perceptions may also adversely impact our ability to enroll clinical trials for our product candidates. Moreover, success in commercializing any product candidates that receive regulatory approval will depend upon physicians prescribing, and their patients being willing to receive, treatments that involve the use of such product candidates in lieu of, or in addition to, existing treatments with which they are already familiar and for which greater clinical data may be available.</w:t>
      </w:r>
    </w:p>
    <w:p>
      <w:pPr>
        <w:spacing w:after="0" w:line="195"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Publicity of any adverse events in, or unfavorable results of, preclinical studies or clinical trials for any current or future product candidates, or with respect to the studies or trials of our competitors or of academic</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40"/>
          </w:cols>
          <w:pgMar w:left="320" w:top="459" w:right="5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researchers utilizing similar technologies, even if not ultimately attributable to our technology or product candidates, could negatively influence public opinion. Negative public perception about the use of AAV technology in human therapeutics or precision medicine, whether related to our technology or our competitor’s technology, could result in increased governmental regulation, delays in the development and commercialization of product candidates or decreased demand for the resulting products, any of which may seriously harm our business.</w:t>
      </w:r>
    </w:p>
    <w:p>
      <w:pPr>
        <w:spacing w:after="0" w:line="279" w:lineRule="exact"/>
        <w:rPr>
          <w:sz w:val="20"/>
          <w:szCs w:val="20"/>
          <w:color w:val="auto"/>
        </w:rPr>
      </w:pPr>
    </w:p>
    <w:p>
      <w:pPr>
        <w:ind w:left="560" w:right="80"/>
        <w:spacing w:after="0" w:line="275" w:lineRule="auto"/>
        <w:rPr>
          <w:sz w:val="20"/>
          <w:szCs w:val="20"/>
          <w:color w:val="auto"/>
        </w:rPr>
      </w:pPr>
      <w:r>
        <w:rPr>
          <w:rFonts w:ascii="Arial" w:cs="Arial" w:eastAsia="Arial" w:hAnsi="Arial"/>
          <w:sz w:val="17"/>
          <w:szCs w:val="17"/>
          <w:b w:val="1"/>
          <w:bCs w:val="1"/>
          <w:i w:val="1"/>
          <w:iCs w:val="1"/>
          <w:color w:val="auto"/>
        </w:rPr>
        <w:t>The limited number of patients who have the diseases for which our product candidates are being developed may make it more difficult for us to enroll or complete clinical trials or may result in findings in our clinical trials that do not reach levels of statistical significance sufficient for marketing approval. Even if such product candidates achieve marketing approval, because such target patient populations are small and the addressable patient population may be even smaller, we must be able to successfully identify patients and capture a significant market share to achieve profitability and growth.</w:t>
      </w:r>
    </w:p>
    <w:p>
      <w:pPr>
        <w:spacing w:after="0" w:line="68"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Some of the indications for which we plan to evaluate our product candidates in clinical trials are rare genetic diseases. Accordingly, there are limited patient pools from which to draw for clinical trials. In addition to the rarity of these diseases, the eligibility criteria of our planned clinical trials will further limit the pool of available study participants as we will require that patients have specific characteristics that we can measure to assure their disease is either severe enough or not too advanced to include them in a trial. Moreover, the effort to identify patients with diseases we seek to treat is in early stages, and we cannot accurately predict the number of patients for whom treatment might be possible. We may not be able to initiate or continue clinical trials on a timely basis or at all for our product candidates if we are unable to locate and enroll a sufficient number of eligible patients to participate in the trials as required by applicable regulations or as needed to provide appropriate statistical power for a given trial. Similarly, because some of the conditions we intend to treat are rare in nature, we plan to design and conduct clinical trials utilizing a small number of patients in order to evaluate the safety and therapeutic activity of our product candidates. Conducting trials in smaller subject populations increases the risk that any safety or efficacy issues observed in only a few patients could prevent such trials from reaching statistical significance or otherwise meeting their specified endpoints, which could require us to conduct additional clinical trials, or delay or prevent our product candidates from receiving regulatory approval, which would seriously harm our business.</w:t>
      </w:r>
    </w:p>
    <w:p>
      <w:pPr>
        <w:spacing w:after="0" w:line="179"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Additionally, the potentially addressable patient population for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are very small, we may never achieve profitability despite obtaining such significant market share.</w:t>
      </w:r>
    </w:p>
    <w:p>
      <w:pPr>
        <w:spacing w:after="0" w:line="279" w:lineRule="exact"/>
        <w:rPr>
          <w:sz w:val="20"/>
          <w:szCs w:val="20"/>
          <w:color w:val="auto"/>
        </w:rPr>
      </w:pPr>
    </w:p>
    <w:p>
      <w:pPr>
        <w:ind w:left="560" w:right="180"/>
        <w:spacing w:after="0" w:line="277" w:lineRule="auto"/>
        <w:rPr>
          <w:sz w:val="20"/>
          <w:szCs w:val="20"/>
          <w:color w:val="auto"/>
        </w:rPr>
      </w:pPr>
      <w:r>
        <w:rPr>
          <w:rFonts w:ascii="Arial" w:cs="Arial" w:eastAsia="Arial" w:hAnsi="Arial"/>
          <w:sz w:val="18"/>
          <w:szCs w:val="18"/>
          <w:b w:val="1"/>
          <w:bCs w:val="1"/>
          <w:i w:val="1"/>
          <w:iCs w:val="1"/>
          <w:color w:val="auto"/>
        </w:rPr>
        <w:t>Any product candidates we develop may become subject to unfavorable third-party coverage and reimbursement practices, as well as pricing regulations.</w:t>
      </w:r>
    </w:p>
    <w:p>
      <w:pPr>
        <w:spacing w:after="0" w:line="6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The indications we are initially pursuing have small patient populations. For product candidates that are designed to treat smaller patient populations to be commercially viable, the reimbursement for such product candidates must be higher, on a relative basis, to account for the lack of volume. Accordingly, we will need to implement a coverage and reimbursement strategy for any approved product candidate that accounts for the smaller potential market size.</w:t>
      </w:r>
    </w:p>
    <w:p>
      <w:pPr>
        <w:spacing w:after="0" w:line="192"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Sales of any of our product candidates that receive marketing approval will depend substantially, both in the United States and internationally, on the extent to which the costs of such product candidates will be covered and reimbursed by third-party payors. If reimbursement is not available, or is available only to limited levels, we may not be able to successfully commercialize our product candidates. Even if coverage is provided, the approved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00"/>
          </w:cols>
          <w:pgMar w:left="320" w:top="459"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8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There is significant uncertainty related to third-party payor coverage and reimbursement of newly approved products. In the United States, for example, principal decisions about reimbursement for new products are typically made by the Centers for 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or at the same level of reimbursement.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165"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178"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Outside the United States,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6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80"/>
          </w:cols>
          <w:pgMar w:left="320" w:top="459" w:right="4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80"/>
        <w:spacing w:after="0" w:line="263"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if we are unable to obtain sufficient insurance coverage, such inability could have an adverse effect on our business and financial condition. If product liability lawsuits are brought against us, we may incur substantial liabilities and may be required to limit commercialization of our products.</w:t>
      </w:r>
    </w:p>
    <w:p>
      <w:pPr>
        <w:spacing w:after="0" w:line="76"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Our business exposes us to significant product liability risks inherent in the development, testing, manufacturing and marketing of therapeutic treatments. We currently have no product liability insurance.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 Also,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collaborators entitle us to indemnification against losses, such indemnification may not be available or adequate should any claim arise.</w:t>
      </w:r>
    </w:p>
    <w:p>
      <w:pPr>
        <w:spacing w:after="0" w:line="165"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We may be sued if any of our product candidates cause or are perceived to cause injury or are found to be otherwise unsuitable during clinical testing, manufacturing, marketing, or sale post-approval. Any such product liability claims may include allegations of defects in manufacturing, defects in design, a failure to warn of dangers inherent in the product, negligence, strict liability, or a breach of warranties. Claims could also be asserted under state consumer protection laws. If we cannot successfully defend ourselves against product liability claims, we may incur substantial liabilities or be required to limit testing and commercialization of our products. Even successful defense would require significant financial and management resources.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Regardless of the merits or eventual outcome, liability claims may result in:</w:t>
      </w:r>
    </w:p>
    <w:p>
      <w:pPr>
        <w:spacing w:after="0" w:line="131"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the development of our product candidates;</w:t>
      </w:r>
    </w:p>
    <w:p>
      <w:pPr>
        <w:spacing w:after="0" w:line="130"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FDA, EMA or other regulatory authority investigation of the safety and effectiveness of our products, our manufacturing processes and facilities or our marketing programs;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decreased or interrupted demand for our products;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withdrawal of clinical trial participants and inability to continue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inability to commercialize any products.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229" w:lineRule="exact"/>
        <w:rPr>
          <w:sz w:val="20"/>
          <w:szCs w:val="20"/>
          <w:color w:val="auto"/>
        </w:rPr>
      </w:pPr>
    </w:p>
    <w:p>
      <w:pPr>
        <w:jc w:val="both"/>
        <w:ind w:left="560" w:right="240"/>
        <w:spacing w:after="0" w:line="263" w:lineRule="auto"/>
        <w:rPr>
          <w:sz w:val="20"/>
          <w:szCs w:val="20"/>
          <w:color w:val="auto"/>
        </w:rPr>
      </w:pPr>
      <w:r>
        <w:rPr>
          <w:rFonts w:ascii="Arial" w:cs="Arial" w:eastAsia="Arial" w:hAnsi="Arial"/>
          <w:sz w:val="18"/>
          <w:szCs w:val="18"/>
          <w:b w:val="1"/>
          <w:bCs w:val="1"/>
          <w:i w:val="1"/>
          <w:iCs w:val="1"/>
          <w:color w:val="auto"/>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spacing w:after="0" w:line="76"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Our product candidates are and will continue to be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United States and in many foreign jurisdictions before a new drug can be approved for marketing. Obtaining approval by the FDA, EMA and other comparable foreign regulatory authorities is costly,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for our product candidates, the FDA, EMA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 We cannot provide any assurance that any product candidate we may develop will progress through required clinical testing and obtain the regulatory approvals necessary for us to begin selling them.</w:t>
      </w:r>
    </w:p>
    <w:p>
      <w:pPr>
        <w:spacing w:after="0" w:line="176"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We have not initiated, conducted, managed or completed any clinical trials nor managed the regulatory approval process with the FDA or any other regulatory authority. Applications for our product candidates could fail to receive regulatory approval for many reasons, including the following:</w:t>
      </w:r>
    </w:p>
    <w:p>
      <w:pPr>
        <w:spacing w:after="0" w:line="29" w:lineRule="exact"/>
        <w:rPr>
          <w:sz w:val="20"/>
          <w:szCs w:val="20"/>
          <w:color w:val="auto"/>
        </w:rPr>
      </w:pPr>
    </w:p>
    <w:p>
      <w:pPr>
        <w:ind w:left="1080" w:right="140" w:hanging="532"/>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FDA, EMA or other comparable foreign regulatory authorities may disagree with the design, implementation or results of our clinical trials;</w:t>
      </w:r>
    </w:p>
    <w:p>
      <w:pPr>
        <w:spacing w:after="0" w:line="75" w:lineRule="exact"/>
        <w:rPr>
          <w:rFonts w:ascii="Arial" w:cs="Arial" w:eastAsia="Arial" w:hAnsi="Arial"/>
          <w:sz w:val="18"/>
          <w:szCs w:val="18"/>
          <w:color w:val="auto"/>
        </w:rPr>
      </w:pPr>
    </w:p>
    <w:p>
      <w:pPr>
        <w:ind w:left="1080" w:hanging="532"/>
        <w:spacing w:after="0" w:line="263"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FDA, EMA or other comparable foreign regulatory authorities may determine that our product candidates are not safe and effective, are only moderately effective or have undesirable or unintended side effects, toxicities or other characteristics that preclude our obtaining marketing approval or prevent or limit commercial use;</w:t>
      </w:r>
    </w:p>
    <w:p>
      <w:pPr>
        <w:spacing w:after="0" w:line="89"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population studied in the clinical trial may not be sufficiently broad or representative to assure efficacy and safety in the full population for which we seek approval;</w:t>
      </w:r>
    </w:p>
    <w:p>
      <w:pPr>
        <w:spacing w:after="0" w:line="75"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FDA, EMA or other comparable foreign regulatory authorities may disagree with our interpretation of data from preclinical studies or clinical trials;</w:t>
      </w:r>
    </w:p>
    <w:p>
      <w:pPr>
        <w:spacing w:after="0" w:line="75"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be unable to demonstrate to the FDA, EMA or other comparable foreign regulatory authorities that our product candidate’s risk-benefit ratio for its proposed indication is acceptable;</w:t>
      </w:r>
    </w:p>
    <w:p>
      <w:pPr>
        <w:spacing w:after="0" w:line="75" w:lineRule="exact"/>
        <w:rPr>
          <w:rFonts w:ascii="Arial" w:cs="Arial" w:eastAsia="Arial" w:hAnsi="Arial"/>
          <w:sz w:val="18"/>
          <w:szCs w:val="18"/>
          <w:color w:val="auto"/>
        </w:rPr>
      </w:pPr>
    </w:p>
    <w:p>
      <w:pPr>
        <w:ind w:left="1080" w:right="240" w:hanging="532"/>
        <w:spacing w:after="0" w:line="342"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FDA, EMA or other comparable foreign regulatory authorities may fail to approve the manufacturing processes, test procedures and specifications or facilities of third-party manufacturers with which we contract for clinical and commercial supplies; and</w:t>
      </w:r>
    </w:p>
    <w:p>
      <w:pPr>
        <w:spacing w:after="0" w:line="29" w:lineRule="exact"/>
        <w:rPr>
          <w:rFonts w:ascii="Arial" w:cs="Arial" w:eastAsia="Arial" w:hAnsi="Arial"/>
          <w:sz w:val="16"/>
          <w:szCs w:val="16"/>
          <w:color w:val="auto"/>
        </w:rPr>
      </w:pPr>
    </w:p>
    <w:p>
      <w:pPr>
        <w:ind w:left="1080" w:right="320" w:hanging="532"/>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approval policies or regulations of the FDA, EMA or other comparable foreign regulatory authorities may significantly change in a manner rendering our clinical data insufficient for approval.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Any delay or failure in seeking or obtaining required approvals would have a material and adverse effect on our ability to generate revenue from any particular product candidates we are developing and for which we are seeking approval. Furthermore, any regulatory approval to market a drug may be subject to significant limitations on the approved uses or indications for which we may market, promote and advertise the drug or the labeling or other restrictions. In addition, the FDA has the authority to require a Risk Evaluation and Mitigation Strategy (REMS) plan as part of approving an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185"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and EMA approval described above as well as risks attributable to the satisfaction of local regulations in foreign jurisdictions. Moreover, the time required to obtain approval may differ from that required to obtain FDA approval.</w:t>
      </w:r>
    </w:p>
    <w:p>
      <w:pPr>
        <w:spacing w:after="0" w:line="265" w:lineRule="exact"/>
        <w:rPr>
          <w:sz w:val="20"/>
          <w:szCs w:val="20"/>
          <w:color w:val="auto"/>
        </w:rPr>
      </w:pPr>
    </w:p>
    <w:p>
      <w:pPr>
        <w:ind w:left="560" w:right="200"/>
        <w:spacing w:after="0" w:line="277" w:lineRule="auto"/>
        <w:rPr>
          <w:sz w:val="20"/>
          <w:szCs w:val="20"/>
          <w:color w:val="auto"/>
        </w:rPr>
      </w:pPr>
      <w:r>
        <w:rPr>
          <w:rFonts w:ascii="Arial" w:cs="Arial" w:eastAsia="Arial" w:hAnsi="Arial"/>
          <w:sz w:val="18"/>
          <w:szCs w:val="18"/>
          <w:b w:val="1"/>
          <w:bCs w:val="1"/>
          <w:i w:val="1"/>
          <w:iCs w:val="1"/>
          <w:color w:val="auto"/>
        </w:rPr>
        <w:t>The FDA, EMA and other comparable foreign regulatory authorities may not accept data from trials conducted in locations outside of their jurisdiction.</w:t>
      </w:r>
    </w:p>
    <w:p>
      <w:pPr>
        <w:spacing w:after="0" w:line="62"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are planning on undertaking clinical trials in the United States and additional clinical trials internationally. The acceptance of study data by the FDA, EMA or other comparable foreign regulatory authority from clinical trials conducted outside of their respective jurisdictions may be subject to certain conditions. In cases where data from U.S. clinical trials are intended to serve as the basis for marketing approval in the foreign countries outside the United States, the standards for clinical trials and approval may be different. There can be no assurance that any U.S. or foreign regulatory authority would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274" w:lineRule="exact"/>
        <w:rPr>
          <w:sz w:val="20"/>
          <w:szCs w:val="20"/>
          <w:color w:val="auto"/>
        </w:rPr>
      </w:pPr>
    </w:p>
    <w:p>
      <w:pPr>
        <w:ind w:left="560" w:right="42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62"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Obtaining and maintaining regulatory approval of our product candidates in one jurisdiction does not guarantee that we will be able to obtain or maintain regulatory approval in any other jurisdiction. For example, even if the FDA or EMA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96"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Obtaining foreign regulatory approvals and establishing and maintaining compliance with foreign regulatory requirements could result in significant delays, difficulties and costs for us and could delay or prevent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00"/>
          </w:cols>
          <w:pgMar w:left="32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spacing w:after="0" w:line="292" w:lineRule="exact"/>
        <w:rPr>
          <w:sz w:val="20"/>
          <w:szCs w:val="20"/>
          <w:color w:val="auto"/>
        </w:rPr>
      </w:pPr>
    </w:p>
    <w:p>
      <w:pPr>
        <w:ind w:left="560" w:right="180"/>
        <w:spacing w:after="0" w:line="342" w:lineRule="auto"/>
        <w:rPr>
          <w:sz w:val="20"/>
          <w:szCs w:val="20"/>
          <w:color w:val="auto"/>
        </w:rPr>
      </w:pPr>
      <w:r>
        <w:rPr>
          <w:rFonts w:ascii="Arial" w:cs="Arial" w:eastAsia="Arial" w:hAnsi="Arial"/>
          <w:sz w:val="16"/>
          <w:szCs w:val="16"/>
          <w:b w:val="1"/>
          <w:bCs w:val="1"/>
          <w:i w:val="1"/>
          <w:iCs w:val="1"/>
          <w:color w:val="auto"/>
        </w:rPr>
        <w:t>Even if we successfully complete the necessary preclinical studies and clinical trials, we cannot predict when, or if, we will obtain regulatory approval to commercialize a product candidate and the approval may be for a narrower indication than we seek.</w:t>
      </w:r>
    </w:p>
    <w:p>
      <w:pPr>
        <w:spacing w:after="0" w:line="16"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We cannot commercialize a product candidate until the appropriate regulatory authorities have reviewed and approved the product candidate. We have not received approval from regulatory authorities in any jurisdiction to market any of our product candidates. Even if our product candidates meet their safety and efficacy endpoints in clinical trials, the regulatory authorities may not complete their review processes in a timely manner, issue a complete response letter, or ultimately, we may not be able to obtain regulatory approval. In addition, we may experience delays or rejections if an FDA Advisory Committee recommends disapproval or restrictions on use. In addition, we may experience delays or rejections based upon additional government regulation from future legislation or administrative actions, or changes in regulatory authority policy during the period of product development, clinical trials and the review process. Regulatory authorities have substantial discretion in the approval process and may refuse to accept any application or may decide that our data are insufficient for approval and require additional preclinical, clinical or other studies. In addition, varying interpretations of data obtained from preclinical and clinical testing could delay, limit or prevent the receipt of marketing approval for a product candidate.</w:t>
      </w:r>
    </w:p>
    <w:p>
      <w:pPr>
        <w:spacing w:after="0" w:line="194"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Regulatory authorities also may approve a product candidate for more limited indications than requested or they may impose significant limitations in the form of narrow indications, warnings or other labeling changes. These regulatory authorities may require precautions or contra-indications with respect to conditions of use or they may grant approval subject to the performance of costly post-marketing clinical trials. Regulatory authorities may impose restrictions and conditions on product distribution, prescribing, or dispensing in the form of a REMS or equivalent requirement. In addition, regulatory authorities may not approve the labeling claims that are necessary or desirable for the successful commercialization of our product candidates. Any of the foregoing scenarios could materially harm the commercial prospects for our product candidates and materially harm our business, financial condition, results of operations and prospects.</w:t>
      </w:r>
    </w:p>
    <w:p>
      <w:pPr>
        <w:spacing w:after="0" w:line="285" w:lineRule="exact"/>
        <w:rPr>
          <w:sz w:val="20"/>
          <w:szCs w:val="20"/>
          <w:color w:val="auto"/>
        </w:rPr>
      </w:pPr>
    </w:p>
    <w:p>
      <w:pPr>
        <w:ind w:left="560" w:right="360"/>
        <w:spacing w:after="0" w:line="277" w:lineRule="auto"/>
        <w:rPr>
          <w:sz w:val="20"/>
          <w:szCs w:val="20"/>
          <w:color w:val="auto"/>
        </w:rPr>
      </w:pPr>
      <w:r>
        <w:rPr>
          <w:rFonts w:ascii="Arial" w:cs="Arial" w:eastAsia="Arial" w:hAnsi="Arial"/>
          <w:sz w:val="18"/>
          <w:szCs w:val="18"/>
          <w:b w:val="1"/>
          <w:bCs w:val="1"/>
          <w:i w:val="1"/>
          <w:iCs w:val="1"/>
          <w:color w:val="auto"/>
        </w:rPr>
        <w:t>Even if our product candidates receive regulatory approval, they will be subject to significant post-marketing regulatory requirements and oversight.</w:t>
      </w:r>
    </w:p>
    <w:p>
      <w:pPr>
        <w:spacing w:after="0" w:line="6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Any regulatory approvals that we may receive for our product candidates will require the submission of reports to regulatory authorities and on-going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and regulatory inspection.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cGMPs and GCPs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including:</w:t>
      </w:r>
    </w:p>
    <w:p>
      <w:pPr>
        <w:spacing w:after="0" w:line="54"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delays in or the rejection of product approvals;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or partial clinical holds on ongoing or planned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on the products, manufacturers or manufacturing process;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 seizures, detentions or import bans;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total or partial suspension of production;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imposition of restrictions on operations, including costly new manufacturing requirements.</w:t>
      </w:r>
    </w:p>
    <w:p>
      <w:pPr>
        <w:spacing w:after="0" w:line="225" w:lineRule="exact"/>
        <w:rPr>
          <w:sz w:val="20"/>
          <w:szCs w:val="20"/>
          <w:color w:val="auto"/>
        </w:rPr>
      </w:pPr>
    </w:p>
    <w:p>
      <w:pPr>
        <w:ind w:left="120" w:right="340" w:firstLine="440"/>
        <w:spacing w:after="0" w:line="311" w:lineRule="auto"/>
        <w:rPr>
          <w:sz w:val="20"/>
          <w:szCs w:val="20"/>
          <w:color w:val="auto"/>
        </w:rPr>
      </w:pPr>
      <w:r>
        <w:rPr>
          <w:rFonts w:ascii="Arial" w:cs="Arial" w:eastAsia="Arial" w:hAnsi="Arial"/>
          <w:sz w:val="16"/>
          <w:szCs w:val="16"/>
          <w:color w:val="auto"/>
        </w:rPr>
        <w:t>The occurrence of any event or penalty described above may inhibit our ability to commercialize our product candidates, if approved, and generate revenue. Furthermore, non-compliance by us or any future collaborator with regulatory requirements, including safety monitoring and with requirements related to the development of products for the pediatric population can also result in significant financial penalties.</w:t>
      </w:r>
    </w:p>
    <w:p>
      <w:pPr>
        <w:spacing w:after="0" w:line="257" w:lineRule="exact"/>
        <w:rPr>
          <w:sz w:val="20"/>
          <w:szCs w:val="20"/>
          <w:color w:val="auto"/>
        </w:rPr>
      </w:pPr>
    </w:p>
    <w:p>
      <w:pPr>
        <w:ind w:left="560" w:right="160"/>
        <w:spacing w:after="0" w:line="263" w:lineRule="auto"/>
        <w:rPr>
          <w:sz w:val="20"/>
          <w:szCs w:val="20"/>
          <w:color w:val="auto"/>
        </w:rPr>
      </w:pPr>
      <w:r>
        <w:rPr>
          <w:rFonts w:ascii="Arial" w:cs="Arial" w:eastAsia="Arial" w:hAnsi="Arial"/>
          <w:sz w:val="18"/>
          <w:szCs w:val="18"/>
          <w:b w:val="1"/>
          <w:bCs w:val="1"/>
          <w:i w:val="1"/>
          <w:iCs w:val="1"/>
          <w:color w:val="auto"/>
        </w:rPr>
        <w:t>We may not be able to obtain orphan drug designation or obtain or maintain orphan drug exclusivity for our product candidates and, even if we do, that exclusivity may not prevent the FDA, EMA or other comparable foreign regulatory authorities, from approving competing products.</w:t>
      </w:r>
    </w:p>
    <w:p>
      <w:pPr>
        <w:spacing w:after="0" w:line="7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Regulatory authorities in some jurisdictions, including the United States and the European Union,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Similarly, in Europe, the European Commission, upon the recommendation of the EMA’s Committee for Orphan Medicinal Products, grants orphan drug designation to promote the development of drugs that are intended for the diagnosis, prevention or treatment of life-threatening or chronically debilitating conditions affecting not more than five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financial incentives such as reduction of fees or fee waivers. However, there can be no assurances that we will be able to obtain orphan designations for our product candidates.</w:t>
      </w:r>
    </w:p>
    <w:p>
      <w:pPr>
        <w:spacing w:after="0" w:line="179"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The applicable exclusivity period is ten years in Europe. The European exclusivity period can be reduced to six years if a drug no longer meets the criteria for orphan drug designation or if the drug is sufficiently profitable so that market exclusivity is no longer justified.</w:t>
      </w:r>
    </w:p>
    <w:p>
      <w:pPr>
        <w:spacing w:after="0" w:line="17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FDA has granted orphan drug designation for TN-201, the most advanced product candidate from our MYBPC3 program, and we may seek orphan drug designation for other product candidates in the United States, Europe and other jurisdictions. Even if we obtain orphan drug designation for a product candidate, we may not be able to obtain or maintain orphan drug exclusivity for that product candidate. We may not be the first to obtain marketing approval of any product candidate for which we have obtained orphan drug designation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 or entitles the product candidate to priority review.</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face difficulties from changes to current FDA and healthcare regulations and future legislation.</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8"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color w:val="auto"/>
        </w:rPr>
        <w:t>We also cannot predict the likelihood, nature or extent of government regulation that may arise from future legislation or administrative or executive action, either in the United States or abroad. For example, certain policies of the current U.S. administration may impact our business and industry, which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current and future legislation, executive actions, and litigation, including the executive orders referenced below, will be implemented, and the extent to which they will impact our business, our clinical development, and the FDA’s and other agencies’ ability to exercise their regulatory authority, including FDA’s pre-approval inspection and timely review of any regulatory filings or applications we submit to the FDA. If these executive actions impose constraints on FDA’s ability to engage in oversight and implementation activities in the normal course or constraints on our business operations, including operations of our contractors, our business may be negatively impacted.</w:t>
      </w:r>
    </w:p>
    <w:p>
      <w:pPr>
        <w:spacing w:after="0" w:line="181"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For example, in March 2010, the Patient Protection and Affordable Care Act of 2010, as amended by the Health Care and Education Reconciliation Act of 2010 (collectively, the ACA), was passed, which substantially changed the way healthcare is financed by both the government and private insurers, and continues to significantly impact the U.S. pharmaceutical industry. Since its enactment, there have been judicial and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Congressional challenges to certain aspects of the ACA. For example, various portions of the ACA have been the subject of legal and constitutional challenges in the U.S. Supreme Court. In June 2021, the U.S. Supreme Court held that Texas and other challengers had no legal standing to challenge the ACA, dismissing the case without specifically ruling on the constitutionality of the ACA. On January 28, 2021, President Biden issued an executive order to initiate a special enrollment period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We cannot predict how this Supreme Court decision or future litigation will impact our business, or what other healthcare measures and regulations will ultimately be implemented at the federal or state level or the effect of any future legislation or regulation may have on our business.</w:t>
      </w:r>
    </w:p>
    <w:p>
      <w:pPr>
        <w:spacing w:after="0" w:line="181" w:lineRule="exact"/>
        <w:rPr>
          <w:sz w:val="20"/>
          <w:szCs w:val="20"/>
          <w:color w:val="auto"/>
        </w:rPr>
      </w:pPr>
    </w:p>
    <w:p>
      <w:pPr>
        <w:ind w:left="120" w:right="200" w:firstLine="440"/>
        <w:spacing w:after="0" w:line="291"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These changes included aggregate reductions to Medicare payments to providers of up to 2% per fiscal year, effective April 1, 2013, which will remain in effect through 2030, with the exception of a temporary suspension implemented under various COVID-19 relief legislation from May 1, 2020 through the end of 2021, unless additional congressional action is taken.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which could have a material adverse effect on customers for our drugs, if approved, and accordingly, our financial operations.</w:t>
      </w:r>
    </w:p>
    <w:p>
      <w:pPr>
        <w:spacing w:after="0" w:line="166" w:lineRule="exact"/>
        <w:rPr>
          <w:sz w:val="20"/>
          <w:szCs w:val="20"/>
          <w:color w:val="auto"/>
        </w:rPr>
      </w:pPr>
    </w:p>
    <w:p>
      <w:pPr>
        <w:ind w:left="120" w:right="140" w:firstLine="440"/>
        <w:spacing w:after="0" w:line="285" w:lineRule="auto"/>
        <w:rPr>
          <w:sz w:val="20"/>
          <w:szCs w:val="20"/>
          <w:color w:val="auto"/>
        </w:rPr>
      </w:pPr>
      <w:r>
        <w:rPr>
          <w:rFonts w:ascii="Arial" w:cs="Arial" w:eastAsia="Arial" w:hAnsi="Arial"/>
          <w:sz w:val="16"/>
          <w:szCs w:val="16"/>
          <w:color w:val="auto"/>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in May 2019, CMS issued a final rule to allow Medicare Advantage Plans the option of using step therapy for Part B drugs beginning January 1, 2020. This final rule codified CMS’s policy change that was effective January 1,</w:t>
      </w:r>
    </w:p>
    <w:p>
      <w:pPr>
        <w:spacing w:after="0" w:line="2"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2019. At the federal level, the Trump administration used several means to propose or implement drug pricing reform, including through federal budget proposals, executive orders and policy initiatives. For example, in 2020, HHS and CMS issued various rules that are expected to impact, among others, price reductions from pharmaceutical manufacturers to plan sponsors under Part D, fee arrangements between pharmacy benefit managers and manufacturers, manufacturer price reporting requirements under the Medicaid Drug Rebate Program, including regulations that affect manufacturer-sponsored patient assistance programs subject to pharmacy benefit manager accumulator programs and Best Price reporting related to certain value-based purchasing arrangements. Multiple lawsuits have been brought against the HHS challenging various aspects of the rules. In January 2021, the Biden administration issued a “regulatory freeze” memorandum that directs department and agency heads to review new or pending rules of the prior administration. It is unclear whether these new regulations will be withdrawn or when they will become fully effective under the Biden administration. 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 The impact of these lawsuits as well as legislative, executive, and administrative actions of the Biden administration on us and the pharmaceutical industry as a whole is unclear.</w:t>
      </w:r>
    </w:p>
    <w:p>
      <w:pPr>
        <w:spacing w:after="0" w:line="172"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We are unable to predict the future course of federal or state healthcare legislation in the United States directed at broadening the availability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342" w:lineRule="auto"/>
        <w:rPr>
          <w:sz w:val="20"/>
          <w:szCs w:val="20"/>
          <w:color w:val="auto"/>
        </w:rPr>
      </w:pPr>
      <w:r>
        <w:rPr>
          <w:rFonts w:ascii="Arial" w:cs="Arial" w:eastAsia="Arial" w:hAnsi="Arial"/>
          <w:sz w:val="16"/>
          <w:szCs w:val="16"/>
          <w:color w:val="auto"/>
        </w:rPr>
        <w:t>of healthcare and containing or lowering the cost of healthcare. These and any further changes in the law or regulatory framework that reduce our revenue or increase our costs could also have a material and adverse effect on our business, financial condition and results of operations.</w:t>
      </w:r>
    </w:p>
    <w:p>
      <w:pPr>
        <w:spacing w:after="0" w:line="124"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It is also possible that additional governmental action is taken to address the COVID-19 pandemic.</w:t>
      </w:r>
    </w:p>
    <w:p>
      <w:pPr>
        <w:spacing w:after="0" w:line="176" w:lineRule="exact"/>
        <w:rPr>
          <w:sz w:val="20"/>
          <w:szCs w:val="20"/>
          <w:color w:val="auto"/>
        </w:rPr>
      </w:pPr>
    </w:p>
    <w:p>
      <w:pPr>
        <w:ind w:left="120" w:right="240" w:firstLine="440"/>
        <w:spacing w:after="0" w:line="275" w:lineRule="auto"/>
        <w:rPr>
          <w:sz w:val="20"/>
          <w:szCs w:val="20"/>
          <w:color w:val="auto"/>
        </w:rPr>
      </w:pPr>
      <w:r>
        <w:rPr>
          <w:rFonts w:ascii="Arial" w:cs="Arial" w:eastAsia="Arial" w:hAnsi="Arial"/>
          <w:sz w:val="17"/>
          <w:szCs w:val="17"/>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284" w:lineRule="exact"/>
        <w:rPr>
          <w:sz w:val="20"/>
          <w:szCs w:val="20"/>
          <w:color w:val="auto"/>
        </w:rPr>
      </w:pPr>
    </w:p>
    <w:p>
      <w:pPr>
        <w:ind w:left="560" w:right="500"/>
        <w:spacing w:after="0" w:line="279" w:lineRule="auto"/>
        <w:rPr>
          <w:sz w:val="20"/>
          <w:szCs w:val="20"/>
          <w:color w:val="auto"/>
        </w:rPr>
      </w:pPr>
      <w:r>
        <w:rPr>
          <w:rFonts w:ascii="Arial" w:cs="Arial" w:eastAsia="Arial" w:hAnsi="Arial"/>
          <w:sz w:val="17"/>
          <w:szCs w:val="17"/>
          <w:b w:val="1"/>
          <w:bCs w:val="1"/>
          <w:i w:val="1"/>
          <w:iCs w:val="1"/>
          <w:color w:val="auto"/>
        </w:rPr>
        <w:t>We are subject to stringent laws, rules, regulations, policies, industry standards and contractual obligations regarding data privacy and security and may be subject to additional related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p>
    <w:p>
      <w:pPr>
        <w:spacing w:after="0" w:line="63"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regulatory framework for privacy and personal information security issues worldwide is rapidly evolving and is likely to remain uncertain for the foreseeable future. The U.S. federal and various state, local and foreign government bodies and agencies have adopted or are considering adopting laws, rules, regulations and standards limiting, or laws, rules, regulations and standards regarding, the collection, distribution, use, disclosure, storage, security and other processing of personal information.</w:t>
      </w:r>
    </w:p>
    <w:p>
      <w:pPr>
        <w:spacing w:after="0" w:line="18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Outside of the United States, legal requirements relating to the collection, storage, processing and transfer of personal data continue to evolve. For example, the collection and use of health data and other personal data is governed in the European Union by the General Data Protection Regulation (GDPR), which extends the geographical scope of EU data protection law to entities and operations outside of the European Union under certain conditions and imposes substantial obligations upon companies and new rights for individuals, and by certain EU member state-level legislation. For example, the GDPR requires data controllers to implement stringent operational requirements for processors and controllers of personal data, including transparent and expanded disclosure to data subjects about how their personal data is to be used, limitations on retention of information, mandatory data breach notification requirements, and higher standards for data controllers to demonstrate that they have obtained valid consent for certain data processing activities. Failure to comply with the GDPR may result in fines up to €20,000,000 or 4% of the total worldwide annual turnover of the preceding financial year, whichever is higher, and other administrative penalties. The GDPR may increase our responsibility and liability in relation to personal data that we may process, and we may be required to implement additional measures in an effort to comply with the GDPR and with other laws, rules, regulations and standards in the European Union, including those of EU member states, relating to privacy and data protection. This may be onerous and if our efforts to comply with GDPR or other applicable EU laws, rules, regulations and standards are not successful, or are perceived to be unsuccessful, it could adversely affect our business. Further, in July 2020, the European Court of Justice (ECJ) invalidated the EU-U.S. Privacy Shield, which had enabled the transfer of personal data from the European Union to the United States for companies that had self-certified to the Privacy Shield. The ECJ decision also raised questions about the continued validity of one of the primary</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9" w:lineRule="auto"/>
        <w:rPr>
          <w:sz w:val="20"/>
          <w:szCs w:val="20"/>
          <w:color w:val="auto"/>
        </w:rPr>
      </w:pPr>
      <w:r>
        <w:rPr>
          <w:rFonts w:ascii="Arial" w:cs="Arial" w:eastAsia="Arial" w:hAnsi="Arial"/>
          <w:sz w:val="16"/>
          <w:szCs w:val="16"/>
          <w:color w:val="auto"/>
        </w:rPr>
        <w:t>alternatives to the EU-U.S. Privacy Shield, namely the European Commission’s Standard Contractual Clauses, and EU regulators have issued additional guidance regarding considerations and requirements that we and other companies must consider and undertake when using the Standard Contractual Clauses. Although the European Union has presented a new draft set of contractual clauses, at present, there are few, if any, viable alternatives to the EU-U.S. Privacy Shield and the Standard Contractual Clauses and it remains to be seen whether additional means for lawful data transfers will become available. To the extent that we were to rely on the EU-U.S. or Swiss-U.S. Privacy Shield programs, we will not be able to do so in the future, and the ECJ’s decision and other regulatory guidance or developments otherwise may impose additional obligations with respect to the transfer of personal data from the European Union and Switzerland to the United States, each of which could restrict our activities in those jurisdictions, limit our ability to provide our products and services in those jurisdictions, or increase our costs and obligations and impose limitations upon our ability to efficiently transfer personal data from the European Union and Switzerland to the United States.</w:t>
      </w:r>
    </w:p>
    <w:p>
      <w:pPr>
        <w:spacing w:after="0" w:line="166"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Further, the exit of the United Kingdom from the European Union, often referred to as Brexit, has created uncertainty with regard to data protection regulation in the United Kingdom. Specifically, the United Kingdom exited the European Union on January 1, 2020, subject to a transition period that ended December 31, 2020. The United Kingdom has implemented legislation similar to the GDPR, referred to as the UK GDPR, which provides for significant fines of up to the greater of £17.5 million or 4% of global turnover and exposes us to two parallel regimes with potentially divergent enforcement actions for certain violations. With respect to transfers of personal data, on June 28, 2021, the European Commission issued an adequacy decision in respect of the United Kingdom’s data protection framework, enabling data transfers from EU member states to the United Kingdom to continue without requiring organizations to put in place contractual or other measures in order to lawfully transfer personal data between the territories. While it is intended to last for at least four years, the European Commission may unilaterally revoke the adequacy decision at any point, and if this occurs it could lead to additional costs and increase our overall risk exposure. The relationship between the United Kingdom and European Union in relation to aspects of data protection law in the medium and longer term remains unclear, including with respect to cross-border data transfers and the role of the UK Information Commissioner’s Office with respect to the European Union, which exposes us to further compliance risk. We may incur liabilities, expenses, costs, and other operational losses relating to the GDPR, the UK GDPR, and other laws and regulations in the European Union and United Kingdom relating to privacy and data protection, including those of applicable EU member states in connection with any measures we take to comply with them.</w:t>
      </w:r>
    </w:p>
    <w:p>
      <w:pPr>
        <w:spacing w:after="0" w:line="184"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Finally, federal, state and foreign laws, rules, regulations and standards may apply generally to the privacy and security of information we maintain, and may differ from each other in significant ways, thus complicating compliance efforts and potentially requiring us to undertake additional measures to comply with them. In the United States, there are a broad variety of data privacy, protection and security laws, rules, regulations and standards that may apply to our activities, such as state data breach notification laws, state personal data privacy laws (for example, the California Consumer Privacy Act of 2018 (CCPA)), state health information privacy laws, and federal and state consumer protection laws (for example, Section 5(c) of the Federal Trade Commission Act). A range of enforcement agencies exist at both the state and federal levels that can enforce these laws, rules, regulations and standards. For example, the CCPA, which took effect on January 1, 2020, requires covered businesses that process personal information of California residents to disclose their data collection, use and sharing practices. Further, the CCPA provides California residents with new data privacy rights (including the ability to opt out of certain disclosures of personal information), imposes new operational requirements for covered businesses, provides for significant civil penalties for violations as well as a private right of action for certain data breaches and statutory damages (that is expected to increase data breach class action litigation and result in significant exposure to costly legal judgements and settlements). Aspects of the CCPA and its interpretation and enforcement remain uncertain. In addition, California voters passed the California Privacy Rights Act of 2020 (CPRA) in November 2020, which becomes effective in most material respects on January 1, 2023. The CPRA will, among other things, give California residents the ability to limit use of certain sensitive personal information, further restrict the use of cross-contextual advertising, establish restrictions on the retention of personal information, expand the types of data breaches subject to the CCPA’s private right of action, provide</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for increased penalties for CPRA violations concerning California residents under the age of 16, and establish a new California Privacy Protection Agency to implement and enforce the new CCPA and CPRA. Although there are limited exemptions for clinical trial data under the CCPA, the CCPA and other similar laws could impact our business activities, depending on their interpretation. Further, laws in all 50 states require businesses to provide notice to customers whose personal data has been disclosed as a result of a data breach.</w:t>
      </w:r>
    </w:p>
    <w:p>
      <w:pPr>
        <w:spacing w:after="0" w:line="187"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With the GDPR, CCPA, CRPA and other laws, regulations and other obligations relating to privacy and data protection imposing new and relatively burdensome obligations, and with substantial uncertainty over the interpretation and application of these and other obligations, we may face challenges in addressing their requirements and making necessary changes to our policies and practices, and may incur significant costs and expenses in an effort to do so. We are currently in the process of developing and updating our policies and procedures in accordance with requirements under the CCPA and the GDPR, as well as other applicable data privacy and protection laws and regulations. Additionally, the CPRA and the CCPA may lead other states to pass comparable legislation, with potentially greater penalties and more rigorous compliance requirements relevant to our business. Additionally, if third parties we work with, such as vendors or service providers, violate applicable laws, rules or regulations or our policies, such violations may also put our or our customers’ data, including personal data, at risk, which could in turn have an adverse effect on our business.</w:t>
      </w:r>
    </w:p>
    <w:p>
      <w:pPr>
        <w:spacing w:after="0" w:line="165"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We make public statements about our use, collection, disclosure and other processing of personal data through our privacy policies, information provided on our website and press statements. Although we endeavor to comply with our public statements and documentation, we may at times fail to do so or be alleged to have failed to do so. The publication of our privacy policies and other statements that provide promises and assurances about data privacy and security can subject us to potential government or legal action if they are found to be deceptive, unfair or misrepresentative of our actual practices. Any failure or perceived failure by us or our vendors or service providers to comply with our applicable policies or notices relating to privacy or data protection, our contractual or other obligations to third parties, or any of our other legal obligations, laws, rules, regulations and standards relating to privacy or data protection, may result in governmental investigations or enforcement actions, litigation, claims and other proceedings, harm our reputation, and could result in significant liability.</w:t>
      </w:r>
    </w:p>
    <w:p>
      <w:pPr>
        <w:spacing w:after="0" w:line="286" w:lineRule="exact"/>
        <w:rPr>
          <w:sz w:val="20"/>
          <w:szCs w:val="20"/>
          <w:color w:val="auto"/>
        </w:rPr>
      </w:pPr>
    </w:p>
    <w:p>
      <w:pPr>
        <w:ind w:left="560" w:right="300"/>
        <w:spacing w:after="0" w:line="259" w:lineRule="auto"/>
        <w:rPr>
          <w:sz w:val="20"/>
          <w:szCs w:val="20"/>
          <w:color w:val="auto"/>
        </w:rPr>
      </w:pPr>
      <w:r>
        <w:rPr>
          <w:rFonts w:ascii="Arial" w:cs="Arial" w:eastAsia="Arial" w:hAnsi="Arial"/>
          <w:sz w:val="18"/>
          <w:szCs w:val="18"/>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9"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U.S. Securities and Exchange Commission (SEC) and other government agencies on which our operations may rely, including those that fund research and development activities is subject to the political process, which is inherently fluid and unpredictable.</w:t>
      </w:r>
    </w:p>
    <w:p>
      <w:pPr>
        <w:spacing w:after="0" w:line="18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If a prolonged government shutdown occurs, it could significantly impact the ability of the FDA to timely review and process our regulatory submissions, which could have a material adverse effect on our business. Further, upon completion of this offering and in our operations as a public company, future government shutdowns could impact our ability to access the public markets and obtain necessary capital in order to properly capitalize and continue our operations.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75" w:lineRule="auto"/>
        <w:rPr>
          <w:sz w:val="20"/>
          <w:szCs w:val="20"/>
          <w:color w:val="auto"/>
        </w:rPr>
      </w:pPr>
      <w:r>
        <w:rPr>
          <w:rFonts w:ascii="Arial" w:cs="Arial" w:eastAsia="Arial" w:hAnsi="Arial"/>
          <w:sz w:val="17"/>
          <w:szCs w:val="17"/>
          <w:b w:val="1"/>
          <w:bCs w:val="1"/>
          <w:i w:val="1"/>
          <w:iCs w:val="1"/>
          <w:color w:val="auto"/>
        </w:rPr>
        <w:t>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spacing w:after="0" w:line="68"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as well as market, sell and distribute our products for which we obtain marketing approval. Restrictions under applicable federal and state healthcare laws and regulations may include the following:</w:t>
      </w:r>
    </w:p>
    <w:p>
      <w:pPr>
        <w:spacing w:after="0" w:line="82" w:lineRule="exact"/>
        <w:rPr>
          <w:sz w:val="20"/>
          <w:szCs w:val="20"/>
          <w:color w:val="auto"/>
        </w:rPr>
      </w:pPr>
    </w:p>
    <w:p>
      <w:pPr>
        <w:ind w:left="1080" w:right="140" w:hanging="532"/>
        <w:spacing w:after="0" w:line="259"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9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92" w:lineRule="exact"/>
        <w:rPr>
          <w:rFonts w:ascii="Arial" w:cs="Arial" w:eastAsia="Arial" w:hAnsi="Arial"/>
          <w:sz w:val="18"/>
          <w:szCs w:val="18"/>
          <w:color w:val="auto"/>
        </w:rPr>
      </w:pPr>
    </w:p>
    <w:p>
      <w:pPr>
        <w:ind w:left="1080" w:right="160" w:hanging="532"/>
        <w:spacing w:after="0" w:line="342" w:lineRule="auto"/>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(HIPAA), prohibits, among other things, executing or attempting to execute a scheme to defraud any healthcare benefit program or making false statements relating to healthcare matters;</w:t>
      </w:r>
    </w:p>
    <w:p>
      <w:pPr>
        <w:spacing w:after="0" w:line="29" w:lineRule="exact"/>
        <w:rPr>
          <w:rFonts w:ascii="Arial" w:cs="Arial" w:eastAsia="Arial" w:hAnsi="Arial"/>
          <w:sz w:val="16"/>
          <w:szCs w:val="16"/>
          <w:color w:val="auto"/>
        </w:rPr>
      </w:pPr>
    </w:p>
    <w:p>
      <w:pPr>
        <w:ind w:left="1080" w:right="40" w:hanging="532"/>
        <w:spacing w:after="0" w:line="275" w:lineRule="auto"/>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Civil Monetary Penalty Act of 1981 and implementing regulations, which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offered or transferred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81" w:lineRule="exact"/>
        <w:rPr>
          <w:rFonts w:ascii="Arial" w:cs="Arial" w:eastAsia="Arial" w:hAnsi="Arial"/>
          <w:sz w:val="17"/>
          <w:szCs w:val="17"/>
          <w:color w:val="auto"/>
        </w:rPr>
      </w:pPr>
    </w:p>
    <w:p>
      <w:pPr>
        <w:ind w:left="1080" w:right="160" w:hanging="532"/>
        <w:spacing w:after="0" w:line="301" w:lineRule="auto"/>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(HITECH) and their implementing regulations, also imposes obligations, including mandatory contractual terms, on covered entities, which are health plans, healthcare clearinghouses, and certain health care providers, as those terms are defined by HIPAA, and their respective business associates and their subcontractors, with respect to safeguarding the privacy, security and transmission of individually identifiable health information;</w:t>
      </w:r>
    </w:p>
    <w:p>
      <w:pPr>
        <w:spacing w:after="0" w:line="62" w:lineRule="exact"/>
        <w:rPr>
          <w:rFonts w:ascii="Arial" w:cs="Arial" w:eastAsia="Arial" w:hAnsi="Arial"/>
          <w:sz w:val="16"/>
          <w:szCs w:val="16"/>
          <w:color w:val="auto"/>
        </w:rPr>
      </w:pPr>
    </w:p>
    <w:p>
      <w:pPr>
        <w:ind w:left="1080" w:right="40" w:hanging="532"/>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75" w:lineRule="exact"/>
        <w:rPr>
          <w:rFonts w:ascii="Arial" w:cs="Arial" w:eastAsia="Arial" w:hAnsi="Arial"/>
          <w:sz w:val="18"/>
          <w:szCs w:val="18"/>
          <w:color w:val="auto"/>
        </w:rPr>
      </w:pPr>
    </w:p>
    <w:p>
      <w:pPr>
        <w:ind w:left="1080" w:hanging="532"/>
        <w:spacing w:after="0" w:line="255"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doctors, dentists, optometrists, podiatrists and chiropractors, and teaching hospitals as well as information regarding ownership and investment interests held by physicians and their immediate family members. Beginning with data reporting in 2022, reporting obligations with respect to covered recipients will be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780"/>
        <w:spacing w:after="0" w:line="342" w:lineRule="auto"/>
        <w:rPr>
          <w:sz w:val="20"/>
          <w:szCs w:val="20"/>
          <w:color w:val="auto"/>
        </w:rPr>
      </w:pPr>
      <w:r>
        <w:rPr>
          <w:rFonts w:ascii="Arial" w:cs="Arial" w:eastAsia="Arial" w:hAnsi="Arial"/>
          <w:sz w:val="16"/>
          <w:szCs w:val="16"/>
          <w:color w:val="auto"/>
        </w:rPr>
        <w:t>expanded to include physician assistants, nurse practitioners, clinical nurse specialists, certified registered nurse anesthetists and anesthesiologist assistants, and certified nurse midwives for payments and transfers of value made during the previous year; and</w:t>
      </w:r>
    </w:p>
    <w:p>
      <w:pPr>
        <w:spacing w:after="0" w:line="29" w:lineRule="exact"/>
        <w:rPr>
          <w:sz w:val="20"/>
          <w:szCs w:val="20"/>
          <w:color w:val="auto"/>
        </w:rPr>
      </w:pPr>
    </w:p>
    <w:p>
      <w:pPr>
        <w:ind w:left="1080" w:right="20" w:hanging="532"/>
        <w:spacing w:after="0" w:line="271" w:lineRule="auto"/>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state and local laws that require the registration of pharmaceutical sales and medical representatives; state laws that govern the privacy and security of health information in some circumstances, many of which differ from each other in significant ways and often are not preempted by HIPAA, thus complicating compliance efforts.</w:t>
      </w:r>
    </w:p>
    <w:p>
      <w:pPr>
        <w:spacing w:after="0" w:line="178"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Efforts to ensure that our current and future business arrangements with third parties will comply with applicable healthcare and data privacy and security laws and regulations will involve substantial ongoing costs, and may require us to undertake or implement additional policies or measures. We may face claims and proceedings by private parties, and claims, investigations and other proceedings by governmental authorities, relating to allegations that our business practices do not comply with current or future statutes, regulations or case law involving applicable fraud and abuse or other healthcare laws and regulations, and it is possible that courts or governmental authorities may conclude that we have not complied with them, or that we may find it necessary or appropriate to settle any such claims or other proceedings. In connection with any such claims, proceedings, or settlements,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282" w:lineRule="exact"/>
        <w:rPr>
          <w:sz w:val="20"/>
          <w:szCs w:val="20"/>
          <w:color w:val="auto"/>
        </w:rPr>
      </w:pPr>
    </w:p>
    <w:p>
      <w:pPr>
        <w:jc w:val="both"/>
        <w:ind w:left="560" w:right="580"/>
        <w:spacing w:after="0" w:line="375" w:lineRule="auto"/>
        <w:rPr>
          <w:sz w:val="20"/>
          <w:szCs w:val="20"/>
          <w:color w:val="auto"/>
        </w:rPr>
      </w:pPr>
      <w:r>
        <w:rPr>
          <w:rFonts w:ascii="Arial" w:cs="Arial" w:eastAsia="Arial" w:hAnsi="Arial"/>
          <w:sz w:val="15"/>
          <w:szCs w:val="15"/>
          <w:b w:val="1"/>
          <w:bCs w:val="1"/>
          <w:i w:val="1"/>
          <w:iCs w:val="1"/>
          <w:color w:val="auto"/>
        </w:rPr>
        <w:t>Our employees, independent contractors, consultants, commercial collaborators, principal investigators, CROs, CDMOs, suppliers and vendors may engage in misconduct or other improper activities, including noncompliance with regulatory standards and requirements.</w:t>
      </w:r>
    </w:p>
    <w:p>
      <w:pPr>
        <w:spacing w:after="0" w:line="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are exposed to the risk that our employees, independent contractors, consultants, commercial collaborators, principal investigators, CROs, CDMOs,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We will adopt a code of conduct, which will become effective as of the date of the effectiveness of the registration statement of which this prospectus forms a part, but it is not always possible to identify and deter misconduct by these parties, and the precautions we take to detect and prevent this activity may not be effective in controlling unknown or unmanaged risks or losses or in</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300" w:lineRule="exact"/>
        <w:rPr>
          <w:sz w:val="20"/>
          <w:szCs w:val="20"/>
          <w:color w:val="auto"/>
        </w:rPr>
      </w:pPr>
    </w:p>
    <w:p>
      <w:pPr>
        <w:ind w:left="560" w:right="26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w:t>
      </w:r>
    </w:p>
    <w:p>
      <w:pPr>
        <w:spacing w:after="0" w:line="62"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8" w:lineRule="exact"/>
        <w:rPr>
          <w:sz w:val="20"/>
          <w:szCs w:val="20"/>
          <w:color w:val="auto"/>
        </w:rPr>
      </w:pPr>
    </w:p>
    <w:p>
      <w:pPr>
        <w:ind w:left="120" w:right="380" w:firstLine="440"/>
        <w:spacing w:after="0" w:line="259"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18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292" w:lineRule="exact"/>
        <w:rPr>
          <w:sz w:val="20"/>
          <w:szCs w:val="20"/>
          <w:color w:val="auto"/>
        </w:rPr>
      </w:pPr>
    </w:p>
    <w:p>
      <w:pPr>
        <w:ind w:left="560" w:right="280"/>
        <w:spacing w:after="0" w:line="340" w:lineRule="auto"/>
        <w:rPr>
          <w:sz w:val="20"/>
          <w:szCs w:val="20"/>
          <w:color w:val="auto"/>
        </w:rPr>
      </w:pPr>
      <w:r>
        <w:rPr>
          <w:rFonts w:ascii="Arial" w:cs="Arial" w:eastAsia="Arial" w:hAnsi="Arial"/>
          <w:sz w:val="15"/>
          <w:szCs w:val="15"/>
          <w:b w:val="1"/>
          <w:bCs w:val="1"/>
          <w:i w:val="1"/>
          <w:iCs w:val="1"/>
          <w:color w:val="auto"/>
        </w:rPr>
        <w:t>Our business activities may be subject to the U.S. Foreign Corrupt Practices Act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spacing w:after="0" w:line="23"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Our business activities are subject to the U.S. Foreign Corrupt Practices Act of 1977, as amended (FCPA), the U.S. domestic bribery statute contained in 18 U.S.C. § 201, the U.S. Travel Act, and similar anti-bribery or anti-corruption laws, regulations or rules of other countries in which we operate. These laws generally prohibit companies and their employees, agents, representatives, business partners, and third-party intermediaries from, directly or indirectly, offering, promising, giving or authorizing others to give anything of value, either directly or indirectly, to recipients in the public or private sector in order to influence official action or otherwise obtain or retain business. Our business is heavily regulated and therefore involves significant interaction with public officials, including officials of non-U.S. governments. Additionally, in many other countries, hospitals are owned and operated by the government, and doctors and other hospital employees would be considered foreign officials under the FCPA. Recently, the SEC and Department of Justice (DOJ) have increased their FCPA enforcement activities with respect to biotechnology and pharmaceutical companies.</w:t>
      </w:r>
    </w:p>
    <w:p>
      <w:pPr>
        <w:spacing w:after="0" w:line="165"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We sometimes leverage third parties to assist with the conduct of our business abroad. We, our employees, agents, representatives, business partners and our third-party intermediaries may have direct or indirect interactions with officials and employees of government agencies or state-owned or affiliated entities and may be held liable for the corrupt or other illegal activities of these employees, agents, representatives, business partners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40"/>
          </w:cols>
          <w:pgMar w:left="32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or third-party intermediaries even if we do not explicitly authorize such activities. We cannot assure you that all of our employees, agents, representatives, business partners and third-party intermediaries will not take actions in violation of applicable law for which we may be ultimately held responsible. As we increase our international sales and business, our risks under these laws may increase.</w:t>
      </w:r>
    </w:p>
    <w:p>
      <w:pPr>
        <w:spacing w:after="0" w:line="184"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These laws also require that we make and keep books and records that accurately and fairly reflect the transactions of the corporation and to devise and maintain an adequate system of internal accounting controls and compliance procedures designed to prevent violations of anti-corruption laws. There is no certainty that all of our employees, agents, representatives, business partners and third-party intermediaries, or those of our affiliates, will comply with applicable laws and regulations, for which we may be ultimately held responsible.</w:t>
      </w:r>
    </w:p>
    <w:p>
      <w:pPr>
        <w:spacing w:after="0" w:line="171"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Violations of these laws and regulations could result in whistleblower complaints, fines, severe civil or criminal sanctions, settlements, prosecution, enforcement actions, damages, adverse media coverage, investigations, loss of export privileges, disgorgement, and other remedial measures and prohibitions on the conduct of our business including our ability to offer our products in one or more countries. Responding to any investigation or action will likely result in a materially significant diversion of management’s attention and resources and significant defense costs and other professional fees. As a general matter, investigations, enforcement actions and sanctions could damage our reputation, our brand, our international activities, our ability to attract and retain employees and our business, prospects, operating results and financial condition.</w:t>
      </w:r>
    </w:p>
    <w:p>
      <w:pPr>
        <w:spacing w:after="0" w:line="178"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spacing w:after="0" w:line="276"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b w:val="1"/>
          <w:bCs w:val="1"/>
          <w:i w:val="1"/>
          <w:iCs w:val="1"/>
          <w:color w:val="auto"/>
        </w:rPr>
        <w:t>Comprehensive U.S. tax reform legislation could increase the tax burden on our orphan drug programs and adversely affect our business and financial condition.</w:t>
      </w:r>
    </w:p>
    <w:p>
      <w:pPr>
        <w:spacing w:after="0" w:line="62"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In 2017, the U.S. government enacted the Tax Act, which as modified by the CARES Act, includes significant changes to the taxation of business entities. These changes include, among others, (i) a permanent reduction to the corporate income tax rate, (ii) a partial limitation on the deductibility of business interest expense and NOL carryforwards and (iii) a shift of the U.S. taxation of multinational corporations from a tax on worldwide income to a territorial system (along with certain rules designed to prevent erosion of the U.S. income tax base). Further, the comprehensive tax legislation reduces the orphan drug tax credit from 50% to 25% of qualifying expenditures. When and if we become profitable, this reduction in tax credits may result in an increased federal income tax burden on our orphan drug programs as it may cause us to pay federal income taxes earlier under the revised tax law than under the prior law and, despite being partially off-set by a reduction in the corporate tax rate from a top marginal rate of 35% to a flat rate of 21%, may increase our total federal tax liability attributable to such programs. Additionally, President Biden has proposed an increase of the corporate tax rate from 21% to 28%, which, if enacted would further increase our total federal tax liability when and if we become profitable.</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00"/>
          </w:cols>
          <w:pgMar w:left="32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Notwithstanding the changes in the corporate income tax rate, the overall impact of this comprehensive tax legislation resulted in an overall reduction in our deferred tax assets, and our business and financial condition could still be adversely affected as additional guidance and regulations are issued with respect to the original tax law change. In addition, it is uncertain if and to what extent various states will conform to this comprehensive tax legislation, and states may enact suspensions or limitations on the use of NOLs and tax credits (including, without limitation, California legislation enacted in 2020 that suspends the use of California NOLs and limits the use of certain California tax credits for certain periods). The impact of this comprehensive tax legislation on holders of our common stock is also uncertain and could be adverse. Investors should consult with their legal and tax advisors with respect to this comprehensive tax legislation and the potential tax consequences of investing in or holding our common stock.</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Employee Matters, Managing Our Growth and Other Risks Related to Our Business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success is highly dependent on our ability to attract and retain highly skilled executive officers and employees.</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To succeed, we must recruit, retain, manage and motivate qualified clinical, scientific, technical and management personnel, and we face significant competition for experienced personnel. We are highly dependent on the principal members of our management and scientific and medical staff, particularly Faraz Ali, M.B.A., our Chief Executive Officer. Additionally, the COVID-19 pandemic may interfere with our ability to hire or retain personnel.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We do not maintain “key person” insurance for any of our executives or other employees. We could in the future have difficulty attracting and retaining experienced personnel and may be required to expend significant financial resources in our employee recruitment and retention efforts.</w:t>
      </w:r>
    </w:p>
    <w:p>
      <w:pPr>
        <w:spacing w:after="0" w:line="178"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spacing w:after="0" w:line="176"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Additionally, we rely on our scientific founders and other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our scientific founders or if they provide services to our competitors, our development and commercialization efforts will be impaired and our business will be significantly harmed.</w:t>
      </w:r>
    </w:p>
    <w:p>
      <w:pPr>
        <w:spacing w:after="0" w:line="274" w:lineRule="exact"/>
        <w:rPr>
          <w:sz w:val="20"/>
          <w:szCs w:val="20"/>
          <w:color w:val="auto"/>
        </w:rPr>
      </w:pPr>
    </w:p>
    <w:p>
      <w:pPr>
        <w:ind w:left="560" w:right="700"/>
        <w:spacing w:after="0" w:line="277" w:lineRule="auto"/>
        <w:rPr>
          <w:sz w:val="20"/>
          <w:szCs w:val="20"/>
          <w:color w:val="auto"/>
        </w:rPr>
      </w:pPr>
      <w:r>
        <w:rPr>
          <w:rFonts w:ascii="Arial" w:cs="Arial" w:eastAsia="Arial" w:hAnsi="Arial"/>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62"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As of June 30, 2021, we had more than 85 full-time employees. Of these employees, approximately 47 are engaged in research and development activities and approximately 25 are engaged in manufacturing activities. In order to successfully implement our development and commercialization plans and strategies, and as we transition into operating as a public company, we expect to need additional managerial, operational, sales,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marketing, financial and other personnel. Future growth would impose significant added responsibilities on members of management, including:</w:t>
      </w:r>
    </w:p>
    <w:p>
      <w:pPr>
        <w:spacing w:after="0" w:line="142"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30" w:lineRule="exact"/>
        <w:rPr>
          <w:rFonts w:ascii="Arial" w:cs="Arial" w:eastAsia="Arial" w:hAnsi="Arial"/>
          <w:sz w:val="18"/>
          <w:szCs w:val="18"/>
          <w:color w:val="auto"/>
        </w:rPr>
      </w:pPr>
    </w:p>
    <w:p>
      <w:pPr>
        <w:ind w:left="1080" w:right="500" w:hanging="532"/>
        <w:spacing w:after="0" w:line="263"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FDA, EMA and other comparable foreign regulatory agencies’ review process for our product candidates, while complying with any contractual obligations to contractors and other third parties we may have; and</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25"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Our future financial performance and our ability to successfully develop and, if approved,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65"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We currently rely, and for the foreseeable future will continue to rely, in substantial part on certain independent organizations, advisors and consultants to provide certain services, including key aspects of our research and development, clinical development, manufacturing and operations.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preclinical studies and the initiation and conduct of our planned clinical trials may be extended, delayed or terminated, and we may not be able to obtain marketing approval of our product candidates or otherwise advance our programs and business. We cannot assure you that we will be able to manage our existing third-party service providers or find other competent outside contractors and consultants on economically reasonable terms, or at all.</w:t>
      </w:r>
    </w:p>
    <w:p>
      <w:pPr>
        <w:spacing w:after="0" w:line="16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If we are not able to effectively expand our organization by hiring new employees and/or engaging additional third-party service providers, we may not be able to successfully implement the tasks necessary to develop and commercialize our product candidates and, accordingly, may not achieve our research, development and commercialization goals.</w:t>
      </w:r>
    </w:p>
    <w:p>
      <w:pPr>
        <w:spacing w:after="0" w:line="292" w:lineRule="exact"/>
        <w:rPr>
          <w:sz w:val="20"/>
          <w:szCs w:val="20"/>
          <w:color w:val="auto"/>
        </w:rPr>
      </w:pPr>
    </w:p>
    <w:p>
      <w:pPr>
        <w:ind w:left="560" w:right="820"/>
        <w:spacing w:after="0" w:line="342" w:lineRule="auto"/>
        <w:rPr>
          <w:sz w:val="20"/>
          <w:szCs w:val="20"/>
          <w:color w:val="auto"/>
        </w:rPr>
      </w:pPr>
      <w:r>
        <w:rPr>
          <w:rFonts w:ascii="Arial" w:cs="Arial" w:eastAsia="Arial" w:hAnsi="Arial"/>
          <w:sz w:val="16"/>
          <w:szCs w:val="16"/>
          <w:b w:val="1"/>
          <w:bCs w:val="1"/>
          <w:i w:val="1"/>
          <w:iCs w:val="1"/>
          <w:color w:val="auto"/>
        </w:rPr>
        <w:t>If we are unable to establish sales or marketing capabilities or enter into agreements with third parties to sell or market our product candidates, we may not be able to successfully sell or market our product candidates that obtain regulatory approval.</w:t>
      </w:r>
    </w:p>
    <w:p>
      <w:pPr>
        <w:spacing w:after="0" w:line="16"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our product candidates. We may not be successful in accomplishing these required tasks.</w:t>
      </w:r>
    </w:p>
    <w:p>
      <w:pPr>
        <w:spacing w:after="0" w:line="18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Establishing an internal sales or marketing team with technical expertise and supporting distribution capabilities to commercialize our product candidates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and such arrangements may prove to be less profitable than commercializing the product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9" w:lineRule="auto"/>
        <w:rPr>
          <w:sz w:val="20"/>
          <w:szCs w:val="20"/>
          <w:color w:val="auto"/>
        </w:rPr>
      </w:pPr>
      <w:r>
        <w:rPr>
          <w:rFonts w:ascii="Arial" w:cs="Arial" w:eastAsia="Arial" w:hAnsi="Arial"/>
          <w:sz w:val="17"/>
          <w:szCs w:val="17"/>
          <w:color w:val="auto"/>
        </w:rPr>
        <w:t>on our own.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spacing w:after="0" w:line="279" w:lineRule="exact"/>
        <w:rPr>
          <w:sz w:val="20"/>
          <w:szCs w:val="20"/>
          <w:color w:val="auto"/>
        </w:rPr>
      </w:pPr>
    </w:p>
    <w:p>
      <w:pPr>
        <w:ind w:left="560" w:right="40"/>
        <w:spacing w:after="0" w:line="279" w:lineRule="auto"/>
        <w:rPr>
          <w:sz w:val="20"/>
          <w:szCs w:val="20"/>
          <w:color w:val="auto"/>
        </w:rPr>
      </w:pPr>
      <w:r>
        <w:rPr>
          <w:rFonts w:ascii="Arial" w:cs="Arial" w:eastAsia="Arial" w:hAnsi="Arial"/>
          <w:sz w:val="17"/>
          <w:szCs w:val="17"/>
          <w:b w:val="1"/>
          <w:bCs w:val="1"/>
          <w:i w:val="1"/>
          <w:iCs w:val="1"/>
          <w:color w:val="auto"/>
        </w:rPr>
        <w:t>Our computer systems, or those of any of our CROs, manufacturers, contractors, consultants or other third parties or potential future collaborators, may fail or suffer security incidents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63"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Despite the implementation of security measures in an effort to protect systems that store our information, given their size and complexity and the increasing amounts of information maintained on our internal information technology systems, and those of our third-party CROs, other contractors (including sites performing our clinical trials), consultants and other third parties, such systems are vulnerable to breakdown or other damage or interruption from, among other things, service interruptions, system malfunctions, natural disasters, terrorism, war, telecommunication and electrical failures, security breaches from inadvertent or intentional actions by our employees, contractors, consultants, business partners, and other third parties, cyber-attacks by malicious third parties (including supply chain cyber-attacks or attacks by nation-state or nation-state supported actors, or the deployment of harmful malware, ransomware, denial-of-service attacks, phishing attacks, social engineering and other means to affect service reliability and threaten the confidentiality, integrity and availability of information), which may compromise our system infrastructure or lead to the loss, destruction, alteration, prevention of access to, disclosure, dissemination of, or damage or unauthorized access to, our data (including trade secrets or other confidential information, intellectual property, proprietary business information and personal data) or data that is processed or maintained on our behalf, or other assets, which could result in financial, legal, business and reputational harm to us.</w:t>
      </w:r>
    </w:p>
    <w:p>
      <w:pPr>
        <w:spacing w:after="0" w:line="18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have in the past and may in the future experience phishing attempts, and companies have, in general, experienced an increase in phishing and social engineering attacks from third parties in connection with the COVID-19 pandemic, and the increase in remote working further increases security threats. To the extent that any data breach, disruption or security incident were to result in any loss, destruction, unavailability, alteration, disclosure, dissemination of, or damage or unauthorized access to, our personal data, applications, assets or any other data processed or maintained on our behalf, or for it to be believed or reported that any of the foregoing occurred, we could incur significant liability, financial harm and reputational damage and the development and commercialization of our product candidates could be delayed. We cannot ensure that our data protection efforts and our investment in information technology, or the efforts or investments of CROs, consultants or other third parties, will prevent breakdowns or breaches in our or their systems or other cybersecurity incidents that cause loss, destruction, unavailability, alteration, dissemination of, or damage or unauthorized access to, our data, including personal data, assets and other data processed or maintained on our behalf, that could have a material adverse effect upon our reputation, business, operations or financial condition. We also rely on third parties to manufacture our product candidates, and any data breaches or other security events relating to their computer systems could also have a material adverse effect on our business. Controls employed by our information technology department and our CROs, consultants and other third parties could prove inadequate, and our ability to monitor such third parties’ data security practices is limited. Due to applicable laws, rules, regulations and standards or contractual obligations, we may be held responsible for any information security failure or cyber-attack attributed to our third-party service providers as they relate to the information we share with them.</w:t>
      </w:r>
    </w:p>
    <w:p>
      <w:pPr>
        <w:spacing w:after="0" w:line="171"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If any data breach or other security incident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 Further, any such event that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leads to loss, damage, or unauthorized access to, or use, alteration, disclosure or dissemination of, personal data, including personal data regarding our clinical trial subjects or employees, could harm our reputation directly, compel us to comply with federal and state breach notification laws and foreign law equivalents, subject us to mandatory corrective action, and otherwise subject us to substantial liability under laws, rules, regulations and standards that protect the privacy and security of personal data, which could result in significant legal and financial exposure and reputational damages that could potentially have an adverse effect on our business. Additionally, we do not currently maintain cybersecurity insurance and therefore the successful assertion of one or more large claims against us in connection with a breach or other cybersecurity-related matter could adversely affect our business, financial condition, results of operations and prospects.</w:t>
      </w:r>
    </w:p>
    <w:p>
      <w:pPr>
        <w:spacing w:after="0" w:line="17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Notifications and follow-up actions related to a data breach or other security incident could impact our reputation and cause us to incur significant costs, including significant legal expenses and remediation costs. For example, the loss of clinical trial data from completed or future clinical trials could result in delays in our regulatory approval efforts and significantly increase our costs to recover or reproduce the lost data. We expect to incur significant costs in an effort to detect and prevent security incidents, and we may face increased costs and requirements to expend substantial resources in the event of an actual or perceived security incident. However, we cannot guarantee that we will be able to detect or prevent any such incidents, or that we can remediate any such incidents in an effective or timely manner. Our efforts to improve security and protect data from compromise may also identify previously undiscovered instances of data breaches or other cybersecurity incidents. To the extent that any data breach, disruption or security incident were to result in any loss, destruction, or alteration of, damage, unauthorized access to or inappropriate or unauthorized disclosure of or dissemination of, our data, including personal data, or other information that is processed or maintained on our behalf, we could be exposed to litigation and governmental investigations and inquiries, the further development and commercialization of our product candidates could be delayed, and we could be subject to significant fines or penalties for any noncompliance with certain state, federal and international privacy and security laws, rules, regulations and standards.</w:t>
      </w:r>
    </w:p>
    <w:p>
      <w:pPr>
        <w:spacing w:after="0" w:line="287" w:lineRule="exact"/>
        <w:rPr>
          <w:sz w:val="20"/>
          <w:szCs w:val="20"/>
          <w:color w:val="auto"/>
        </w:rPr>
      </w:pPr>
    </w:p>
    <w:p>
      <w:pPr>
        <w:ind w:left="560" w:right="220"/>
        <w:spacing w:after="0" w:line="277" w:lineRule="auto"/>
        <w:rPr>
          <w:sz w:val="20"/>
          <w:szCs w:val="20"/>
          <w:color w:val="auto"/>
        </w:rPr>
      </w:pPr>
      <w:r>
        <w:rPr>
          <w:rFonts w:ascii="Arial" w:cs="Arial" w:eastAsia="Arial" w:hAnsi="Arial"/>
          <w:sz w:val="18"/>
          <w:szCs w:val="18"/>
          <w:b w:val="1"/>
          <w:bCs w:val="1"/>
          <w:i w:val="1"/>
          <w:iCs w:val="1"/>
          <w:color w:val="auto"/>
        </w:rPr>
        <w:t>Our operations are vulnerable to interruption by fire, earthquakes, power loss, telecommunications failure, terrorist activity, pandemics and other events beyond our control, which could harm our business.</w:t>
      </w:r>
    </w:p>
    <w:p>
      <w:pPr>
        <w:spacing w:after="0" w:line="6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facilities are located in the San Francisco Bay Area. We have not undertaken a systematic analysis of the potential consequences to our business and financial results from a major flood, blizzard, wildfire, earthquake, power loss, terrorist activity, pandemics or other disasters and do not have a recovery plan for such disasters. In addition, we do not carry sufficient insurance to compensate us for actual losses from interruption of our business that may occur, and any losses or damages incurred by us could harm our business. Also, our CDMOs and suppliers’ facilities are located in multiple locations where other natural disasters or similar events which could severely disrupt our operations, could expose us to liability and could have a material adverse effect on our business. The occurrence of any of these business disruptions could seriously harm our operations and financial condition and increase our costs and expenses.</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A variety of risks associated with marketing our product candidates internationally could materially adversely affect our business.</w:t>
      </w:r>
    </w:p>
    <w:p>
      <w:pPr>
        <w:spacing w:after="0" w:line="129"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We may seek regulatory approval of our product candidates outside of the United States and, accordingly, we expect that we will be subject to additional risks related to operating in foreign countries if we obtain the necessary approvals, including:</w:t>
      </w:r>
    </w:p>
    <w:p>
      <w:pPr>
        <w:spacing w:after="0" w:line="76"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differing regulatory requirements and reimbursement regimes in foreign countries;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30" w:lineRule="exact"/>
        <w:rPr>
          <w:rFonts w:ascii="Arial" w:cs="Arial" w:eastAsia="Arial" w:hAnsi="Arial"/>
          <w:sz w:val="18"/>
          <w:szCs w:val="18"/>
          <w:color w:val="auto"/>
        </w:rPr>
      </w:pPr>
    </w:p>
    <w:p>
      <w:pPr>
        <w:ind w:left="5540" w:right="2260" w:hanging="4992"/>
        <w:spacing w:after="0" w:line="449" w:lineRule="auto"/>
        <w:tabs>
          <w:tab w:leader="none" w:pos="1094" w:val="left"/>
        </w:tabs>
        <w:numPr>
          <w:ilvl w:val="0"/>
          <w:numId w:val="40"/>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 60</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30"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potential liability under the FCPA or comparable foreign regulations;</w:t>
      </w:r>
    </w:p>
    <w:p>
      <w:pPr>
        <w:spacing w:after="0" w:line="130" w:lineRule="exact"/>
        <w:rPr>
          <w:rFonts w:ascii="Arial" w:cs="Arial" w:eastAsia="Arial" w:hAnsi="Arial"/>
          <w:sz w:val="18"/>
          <w:szCs w:val="18"/>
          <w:color w:val="auto"/>
        </w:rPr>
      </w:pPr>
    </w:p>
    <w:p>
      <w:pPr>
        <w:ind w:left="1080" w:hanging="532"/>
        <w:spacing w:after="0" w:line="308" w:lineRule="auto"/>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challenges obtaining, maintaining, protecting, defending and enforcing our contractual and intellectual property rights, especially in those foreign countries that do not respect and protect intellectual property rights to the same extent as the United States;</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25"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These and other risks associated with our international operations may materially adversely affect our ability to attain or maintain profitable operations.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left="560" w:right="180"/>
        <w:spacing w:after="0" w:line="327" w:lineRule="auto"/>
        <w:rPr>
          <w:sz w:val="20"/>
          <w:szCs w:val="20"/>
          <w:color w:val="auto"/>
        </w:rPr>
      </w:pPr>
      <w:r>
        <w:rPr>
          <w:rFonts w:ascii="Arial" w:cs="Arial" w:eastAsia="Arial" w:hAnsi="Arial"/>
          <w:sz w:val="15"/>
          <w:szCs w:val="15"/>
          <w:b w:val="1"/>
          <w:bCs w:val="1"/>
          <w:i w:val="1"/>
          <w:iCs w:val="1"/>
          <w:color w:val="auto"/>
        </w:rPr>
        <w:t>We have in-licensed one issued U.S. patent, own one issued U.S. patent, and own one allowed U.S. patent application relating to our technology and product candidates. 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spacing w:after="0" w:line="32"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Our commercial success depends in large part on our ability to obtain, maintain, protect, defend and enforce patents, trade secrets and other intellectual property for our product candidates and proprietary technologies and their uses, as well as our ability to operate without infringing, misappropriating or otherwise violating the intellectual property and proprietary rights of others. We rely on patent, copyright, trade secret and trademark laws in the United States and certain other countries to protect our proprietary technology, and we generally seek to protect our proprietary position by filing patent applications in the United States and abroad related to our product candidates, proprietary technologies and their uses that are important to our business. We also seek to protect our proprietary position by acquiring or in-licensing relevant issued patents or pending applications from third parties, but the efforts we and our licensors take to protect our intellectual property may provide only limited protection. In particular, the development of our product candidates and technology is at an early stage and consequently, our patent portfolio is also at an early stage. Presently, we own one issued U.S. patent, one allowed U.S. patent application and one other pending non-provisional U.S. patent application, seven non-expired Patent Cooperation Treaty (PCT) applications, nine pending foreign patent applications and at least five pending provisional U.S. patent applications. There can be no assurance that we or our licensors will obtain any additional issued patents or that any issued patents we or our licensors obtain will provide us with any competitive advantage. Any failure to obtain adequate patent protection for our product candidates and technology would have a material adverse effect on our business, financial condition, results of operations and prospects.</w:t>
      </w:r>
    </w:p>
    <w:p>
      <w:pPr>
        <w:spacing w:after="0" w:line="174"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Pending patent applications cannot be enforced against third parties practicing the technology claimed in such applications unless, and until, patents issue from such applications, and then only to the extent the issued</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0"/>
          </w:cols>
          <w:pgMar w:left="320" w:top="459" w:right="5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60"/>
        <w:spacing w:after="0" w:line="286" w:lineRule="auto"/>
        <w:rPr>
          <w:sz w:val="20"/>
          <w:szCs w:val="20"/>
          <w:color w:val="auto"/>
        </w:rPr>
      </w:pPr>
      <w:r>
        <w:rPr>
          <w:rFonts w:ascii="Arial" w:cs="Arial" w:eastAsia="Arial" w:hAnsi="Arial"/>
          <w:sz w:val="17"/>
          <w:szCs w:val="17"/>
          <w:color w:val="auto"/>
        </w:rPr>
        <w:t>claims cover the technology. There can be no assurance that our patent applications or the patent applications of our licensors will result in additional patents being issued or that any such issued patents will afford sufficient protection against competitors with similar technology, nor can there be any assurance that the patents issued will not be infringed, designed around, or invalidated by third parties.</w:t>
      </w:r>
    </w:p>
    <w:p>
      <w:pPr>
        <w:spacing w:after="0" w:line="16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Even issued patents may later be found invalid or unenforceable or may be modified, narrowed in scope, or revoked in proceedings instituted by third parties before various patent offices or in courts in the United States and abroad. The degree of future protection for our and our licensor’s intellectual property and proprietary rights is uncertain. Only limited protection may be available and may not adequately protect our rights or permit us to gain or keep any competitive advantage. These uncertainties and limitations in our ability to properly protect the intellectual property rights relating to our product candidates could have a material adverse effect on our financial condition and results of operations.</w:t>
      </w:r>
    </w:p>
    <w:p>
      <w:pPr>
        <w:spacing w:after="0" w:line="176"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We cannot be certain that the claims in our U.S. pending patent applications, corresponding international patent applications and patent applications in certain foreign jurisdictions, or those of our licensors, will be considered patentable by the United States Patent and Trademark Office (USPTO), courts in the United States or by the patent offices and courts in foreign countries, nor can we be certain that any issued claims will not be found invalid or unenforceable if challenged. Additionally, our provisional applications may never result in issued patents. A U.S. provisional patent application expires twelve months from its filing date, and its subject matter can only be claimed in an issued patent if, among other things, we file a non-provisional patent application making a valid priority claim to that provisional patent application before it expires. If we do not timely file a non-provisional patent application, we may lose the benefit of the priority dates of our provisional patent application, and intervening prior art may jeopardize patent protection on the inventions disclosed in such a provisional patent application. While we intend to timely file non-provisional patent applications claiming the benefit of the priority dates of our provisional patent applications, and otherwise diligently prosecute our patent rights, we cannot predict whether any of our future patent applications for our technology and product candidates will result in the issuance of patents that effectively protect our technology and product candidates. Additionally, our owned pending PCT patent applications are not eligible to become issued patents until, among other things, we file a national stage patent application within 30 months in the countries in which we seek patent protection. If we do not timely file any national stage patent applications, we may lose our priority date with respect to our PCT patent applications and any patent protection on the inventions disclosed in such PCT patent applications. If we or our licensors do not successfully obtain patent protection, or if the scope of the patent protection we or our licensors obtain is not sufficiently broad, valid, and enforceable, we may be unable to prevent others from using our technology, developing or commercializing similar or identical technology and products, or marketing competing products and technologies. Any failure to obtain or maintain patent protection with respect to our technology and product candidates would have a material adverse effect on our business, financial condition, results of operations and prospects.</w:t>
      </w:r>
    </w:p>
    <w:p>
      <w:pPr>
        <w:spacing w:after="0" w:line="190"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potential future licensors or collaborators will be successful in protecting our product candidates by obtaining and defending adequate patent coverage. These risks and uncertainties include the following:</w:t>
      </w:r>
    </w:p>
    <w:p>
      <w:pPr>
        <w:spacing w:after="0" w:line="89" w:lineRule="exact"/>
        <w:rPr>
          <w:sz w:val="20"/>
          <w:szCs w:val="20"/>
          <w:color w:val="auto"/>
        </w:rPr>
      </w:pPr>
    </w:p>
    <w:p>
      <w:pPr>
        <w:ind w:left="1080" w:right="60" w:hanging="532"/>
        <w:spacing w:after="0" w:line="286" w:lineRule="auto"/>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70" w:lineRule="exact"/>
        <w:rPr>
          <w:rFonts w:ascii="Arial" w:cs="Arial" w:eastAsia="Arial" w:hAnsi="Arial"/>
          <w:sz w:val="17"/>
          <w:szCs w:val="17"/>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130"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patents may be challenged, invalidated, modified, revoked, circumvented, found to be unenforceable, narrowed in scope or otherwise may not provide any competitive advantage;</w:t>
      </w:r>
    </w:p>
    <w:p>
      <w:pPr>
        <w:spacing w:after="0" w:line="75"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competitors, many of whom have substantially greater resources than we do and many of whom have made significant investments in competing technologies, may seek or may have already obtained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patents that will limit, interfere with or eliminate our ability to make, use and sell our potential product candidates;</w:t>
      </w:r>
    </w:p>
    <w:p>
      <w:pPr>
        <w:spacing w:after="0" w:line="131" w:lineRule="exact"/>
        <w:rPr>
          <w:sz w:val="20"/>
          <w:szCs w:val="20"/>
          <w:color w:val="auto"/>
        </w:rPr>
      </w:pPr>
    </w:p>
    <w:p>
      <w:pPr>
        <w:jc w:val="both"/>
        <w:ind w:left="1080" w:right="320" w:hanging="532"/>
        <w:spacing w:after="0" w:line="263"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89" w:lineRule="exact"/>
        <w:rPr>
          <w:rFonts w:ascii="Arial" w:cs="Arial" w:eastAsia="Arial" w:hAnsi="Arial"/>
          <w:sz w:val="18"/>
          <w:szCs w:val="18"/>
          <w:color w:val="auto"/>
        </w:rPr>
      </w:pPr>
    </w:p>
    <w:p>
      <w:pPr>
        <w:ind w:left="1080" w:right="120" w:hanging="532"/>
        <w:spacing w:after="0" w:line="263"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those upheld by U.S. courts, allowing foreign competitors a better opportunity to create, develop and market competing product candidates and limiting the scope of our protection in countries outside the United States.</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patent prosecution process is also expensive and time-consuming, and we and our licensors may not be able to file and prosecute all necessary or desirable patent applications at a reasonable cost or in a timely manner or in all jurisdictions where protection may be commercially advantageous. It is also possible that we or our licensors will fail to identify patentable aspects of our research and development output before it is too late to obtain patent protection. We may not be able to obtain or maintain patent applications and patents due to the subject matter claimed in such patent applications and patents being in disclosures in the public domain.</w:t>
      </w:r>
    </w:p>
    <w:p>
      <w:pPr>
        <w:spacing w:after="0" w:line="188"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In addition, although we enter into non-disclosure and confidentiality agreements with parties who have access to confidential or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 Consequently, we may not be able to prevent any third parties, including our competitors, from using any of our technology that is in the public domain to compete with our technology and product candidates.</w:t>
      </w:r>
    </w:p>
    <w:p>
      <w:pPr>
        <w:spacing w:after="0" w:line="161" w:lineRule="exact"/>
        <w:rPr>
          <w:sz w:val="20"/>
          <w:szCs w:val="20"/>
          <w:color w:val="auto"/>
        </w:rPr>
      </w:pPr>
    </w:p>
    <w:p>
      <w:pPr>
        <w:ind w:left="120" w:right="540" w:firstLine="440"/>
        <w:spacing w:after="0" w:line="263" w:lineRule="auto"/>
        <w:rPr>
          <w:sz w:val="20"/>
          <w:szCs w:val="20"/>
          <w:color w:val="auto"/>
        </w:rPr>
      </w:pPr>
      <w:r>
        <w:rPr>
          <w:rFonts w:ascii="Arial" w:cs="Arial" w:eastAsia="Arial" w:hAnsi="Arial"/>
          <w:sz w:val="18"/>
          <w:szCs w:val="18"/>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292" w:lineRule="exact"/>
        <w:rPr>
          <w:sz w:val="20"/>
          <w:szCs w:val="20"/>
          <w:color w:val="auto"/>
        </w:rPr>
      </w:pPr>
    </w:p>
    <w:p>
      <w:pPr>
        <w:ind w:left="560" w:right="300"/>
        <w:spacing w:after="0" w:line="308" w:lineRule="auto"/>
        <w:rPr>
          <w:sz w:val="20"/>
          <w:szCs w:val="20"/>
          <w:color w:val="auto"/>
        </w:rPr>
      </w:pPr>
      <w:r>
        <w:rPr>
          <w:rFonts w:ascii="Arial" w:cs="Arial" w:eastAsia="Arial" w:hAnsi="Arial"/>
          <w:sz w:val="17"/>
          <w:szCs w:val="17"/>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38"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The patent position of biotechnology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or which effectively prevent others from commercializing competitive product candidates or otherwise provide any commercial advantage.</w:t>
      </w:r>
    </w:p>
    <w:p>
      <w:pPr>
        <w:spacing w:after="0" w:line="15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Our competitors or other third parties may avail themselves of safe harbor under the Drug Price Competition and Patent Term Restoration Act of 1984 (Hatch-Waxman Amendments) to conduct research and clinical trials and may be able to circumvent our patent rights by developing similar or alternative technologies or products in a non-infringing manner. Any patents that we may own or in-license may be challenged or circumvented by third parties or may be narrowed, rendered unenforceable, or invalidated as a result of challenges by third parties. Consequently, we do not know whether our product candidates will be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protectable or remain protected by valid and enforceable patents. Our competitors or other third parties may be able to circumvent our potential future patents or the patents of our licensors by developing similar or alternative technologies or products in a non-infringing manner which could materially adversely affect our business, financial condition, results of operations and prospects.</w:t>
      </w:r>
    </w:p>
    <w:p>
      <w:pPr>
        <w:spacing w:after="0" w:line="184"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While we believe our intellectual property allows us to pursue our current development programs, several companies and academic institutions are pursuing alternate approaches to gene therapy and have built intellectual property around these approaches and methods. In addition, we may not be aware of all third-party intellectual property rights potentially relating to our technology and product candidates. Publications of discoveries in the scientific literature often lag the actual discoveries, and patent applications in the United States and other jurisdictions are typically not published until 18 months after filing or, in some cases, not at all. Therefore, we cannot be certain that we were the first to make the inventions claimed in any owned or any licensed patents or pending patent applications, or that we were the first to file for patent protection of such inventions. If a third party can establish that we or our licensors were not the first to make or the first to file for patent protection of such inventions, our owned or licensed patent applications may not issue as patents and even if issued, may be challenged and invalidated or rendered unenforceable. Furthermore, applications filed before November 29, 2000 and certain applications filed after that date that will not be filed outside the United States may remain confidential until a patent issues.</w:t>
      </w:r>
    </w:p>
    <w:p>
      <w:pPr>
        <w:spacing w:after="0" w:line="194"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The issuance of a patent is not conclusive as to its inventorship, scope, validity or enforceability, and the inventorship, scope, validity or enforceability of our potential future patents or the patents of our licensors may be challenged in the courts or patent offices in the United States and abroad. For example, we may be subject to a third-party pre-issuance submission of prior art to the USPTO, or become involved in opposition, derivation, revocation, reexamination, post-grant review (PGR) and inter partes review (IPR), or other similar proceedings challenging any patents that we may own or in-license. Such submissions may also be made prior to a patent’s issuance, precluding the granting of a patent based on one of our owned or licensed pending patent applications. A third party may also claim that our potential future owned patents or licensed patent rights are invalid or unenforceable in a litigation. The outcome following legal assertions of invalidity and unenforceability is unpredictable. An adverse determination in any such submission, proceeding or litigation could reduce the scope of, or invalidate or render unenforceable, our potential future owned patents or licensed patent rights, allow third parties to commercialize our product candidates and compete directly with us, without payment to us, or result in our inability to manufacture or commercialize products without infringing third-party patent rights. Moreover, our potential future patents or the patents of our licensors may become subject to post-grant challenge proceedings, such as oppositions in a foreign patent office, that challenge our priority of invention or other features of patentability with respect to our potential future patents and patent applications and those of our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potential future patents and patent applications or the patents and patent applications of our licensors is threatened, regardless of the outcome, it could dissuade companies from collaborating with us to license, develop or commercialize current or future product candidates.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17" w:lineRule="exact"/>
        <w:rPr>
          <w:sz w:val="20"/>
          <w:szCs w:val="20"/>
          <w:color w:val="auto"/>
        </w:rPr>
      </w:pPr>
    </w:p>
    <w:p>
      <w:pPr>
        <w:ind w:left="120" w:right="500" w:firstLine="440"/>
        <w:spacing w:after="0" w:line="308" w:lineRule="auto"/>
        <w:rPr>
          <w:sz w:val="20"/>
          <w:szCs w:val="20"/>
          <w:color w:val="auto"/>
        </w:rPr>
      </w:pPr>
      <w:r>
        <w:rPr>
          <w:rFonts w:ascii="Arial" w:cs="Arial" w:eastAsia="Arial" w:hAnsi="Arial"/>
          <w:sz w:val="17"/>
          <w:szCs w:val="17"/>
          <w:color w:val="auto"/>
        </w:rPr>
        <w:t>The degree of current and future protection afforded by our intellectual property rights is uncertain because intellectual property rights have limitations and may not adequately protect our business or permit us to maintain our competitive advantage. For example:</w:t>
      </w:r>
    </w:p>
    <w:p>
      <w:pPr>
        <w:spacing w:after="0" w:line="52" w:lineRule="exact"/>
        <w:rPr>
          <w:sz w:val="20"/>
          <w:szCs w:val="20"/>
          <w:color w:val="auto"/>
        </w:rPr>
      </w:pPr>
    </w:p>
    <w:p>
      <w:pPr>
        <w:ind w:left="1080" w:right="520" w:hanging="532"/>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others may be able to develop products that are similar to our product candidates but that are not covered by the claims of the patent applications that we own or license;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880" w:hanging="532"/>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make the inventions covered by the patent applications that we own or license now or may own or license in the future;</w:t>
      </w:r>
    </w:p>
    <w:p>
      <w:pPr>
        <w:spacing w:after="0" w:line="75" w:lineRule="exact"/>
        <w:rPr>
          <w:rFonts w:ascii="Arial" w:cs="Arial" w:eastAsia="Arial" w:hAnsi="Arial"/>
          <w:sz w:val="18"/>
          <w:szCs w:val="18"/>
          <w:color w:val="auto"/>
        </w:rPr>
      </w:pPr>
    </w:p>
    <w:p>
      <w:pPr>
        <w:ind w:left="1080" w:right="580" w:hanging="532"/>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file patent applications covering certain of our inventions;</w:t>
      </w:r>
    </w:p>
    <w:p>
      <w:pPr>
        <w:spacing w:after="0" w:line="75" w:lineRule="exact"/>
        <w:rPr>
          <w:rFonts w:ascii="Arial" w:cs="Arial" w:eastAsia="Arial" w:hAnsi="Arial"/>
          <w:sz w:val="18"/>
          <w:szCs w:val="18"/>
          <w:color w:val="auto"/>
        </w:rPr>
      </w:pPr>
    </w:p>
    <w:p>
      <w:pPr>
        <w:ind w:left="1080" w:right="780" w:hanging="532"/>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it is possible that the pending patent applications we own or license will not lead to issued patents;</w:t>
      </w:r>
    </w:p>
    <w:p>
      <w:pPr>
        <w:spacing w:after="0" w:line="130"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issued patents that we may hold rights to may be held invalid or unenforceable, including as a result of legal challenges by our competitors or other third parties;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others may have access to the same intellectual property rights licensed to us in the future on a nonexclusive basis;</w:t>
      </w:r>
    </w:p>
    <w:p>
      <w:pPr>
        <w:spacing w:after="0" w:line="130" w:lineRule="exact"/>
        <w:rPr>
          <w:rFonts w:ascii="Arial" w:cs="Arial" w:eastAsia="Arial" w:hAnsi="Arial"/>
          <w:sz w:val="18"/>
          <w:szCs w:val="18"/>
          <w:color w:val="auto"/>
        </w:rPr>
      </w:pPr>
    </w:p>
    <w:p>
      <w:pPr>
        <w:ind w:left="1080" w:right="540" w:hanging="532"/>
        <w:spacing w:after="0" w:line="308" w:lineRule="auto"/>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130"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third-party may subsequently file a patent covering such intellectual property.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Should any of these events occur, it could significantly harm our business, results of operations and prospects.</w:t>
      </w:r>
    </w:p>
    <w:p>
      <w:pPr>
        <w:spacing w:after="0" w:line="333" w:lineRule="exact"/>
        <w:rPr>
          <w:sz w:val="20"/>
          <w:szCs w:val="20"/>
          <w:color w:val="auto"/>
        </w:rPr>
      </w:pPr>
    </w:p>
    <w:p>
      <w:pPr>
        <w:ind w:left="560" w:right="40"/>
        <w:spacing w:after="0" w:line="301" w:lineRule="auto"/>
        <w:rPr>
          <w:sz w:val="20"/>
          <w:szCs w:val="20"/>
          <w:color w:val="auto"/>
        </w:rPr>
      </w:pPr>
      <w:r>
        <w:rPr>
          <w:rFonts w:ascii="Arial" w:cs="Arial" w:eastAsia="Arial" w:hAnsi="Arial"/>
          <w:sz w:val="16"/>
          <w:szCs w:val="16"/>
          <w:b w:val="1"/>
          <w:bCs w:val="1"/>
          <w:i w:val="1"/>
          <w:iCs w:val="1"/>
          <w:color w:val="auto"/>
        </w:rPr>
        <w:t>Our commercial success depends significantly on our ability to operate without infringing, misappropriating or otherwise violating the patents and other intellectual property and proprietary rights of third parties. Claims by third parties that we infringe, misappropriate or otherwise violate their intellectual property or proprietary rights may result in liability for damages or prevent or delay our developmental and commercialization efforts, and could have a material adverse effect on the success of our business.</w:t>
      </w:r>
    </w:p>
    <w:p>
      <w:pPr>
        <w:spacing w:after="0" w:line="4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commercial success depends in part on avoiding infringement, misappropriation or other violation of the patents, intellectual property and proprietary rights of third parties. However, our research, development and commercialization activities may be subject to claims that we infringe, misappropriate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biotechnology industry, including patent infringement lawsuits, oppositions, reexaminations, IPR proceedings and PGR proceedings before the USPTO and corresponding foreign patent offices. Numerous third-party U.S. and foreign issued patents and pending patent applications exist in the fields in which we are developing product candidates. There are and in the future may be third-party patents or patent applications with claims to materials, formulations, methods of manufacture or methods for treatment related to the use or manufacture of our product candidates. Given the vast number of patents in our field of technology, we cannot be certain or guarantee that we do not infringe existing patents or that we will not infringe patents that may be granted in the future.</w:t>
      </w:r>
    </w:p>
    <w:p>
      <w:pPr>
        <w:spacing w:after="0" w:line="18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For example, we are aware of third-party patent rights that could be construed to cover the use of our TN-201 product candidate. We believe that if these third-party patent rights were to be asserted against us, we would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have valid defenses against such assertions, including that such patent rights are invalid and not infringed. However, if such third-party patent rights were asserted against us and found to be valid, enforceable and infringed, we could be liable for damages and be required to obtain a license to such patent rights prior to commercializing TN-201 in the United States, and such license may not be available on commercially reasonable terms or at all. Additionally, we are aware of third-party patent rights related to the use of certain AAV vectors, which have been asserted against others, including in at least one instance against a company for pre-approval activities. If these patent rights were to be asserted against us, we believe we would have valid defenses to such assertions, however such defenses may not be successful and we could be liable for damages and need to secure a license to such patent rights, which may not be available on commercially reasonable terms or at all. In the event any of the foregoing were to occur, we may be prevented from further developing and commercializing any affected product candidates, including TN-201.</w:t>
      </w:r>
    </w:p>
    <w:p>
      <w:pPr>
        <w:spacing w:after="0" w:line="165" w:lineRule="exact"/>
        <w:rPr>
          <w:sz w:val="20"/>
          <w:szCs w:val="20"/>
          <w:color w:val="auto"/>
        </w:rPr>
      </w:pPr>
    </w:p>
    <w:p>
      <w:pPr>
        <w:jc w:val="both"/>
        <w:ind w:left="120" w:right="380" w:firstLine="440"/>
        <w:spacing w:after="0" w:line="286" w:lineRule="auto"/>
        <w:rPr>
          <w:sz w:val="20"/>
          <w:szCs w:val="20"/>
          <w:color w:val="auto"/>
        </w:rPr>
      </w:pPr>
      <w:r>
        <w:rPr>
          <w:rFonts w:ascii="Arial" w:cs="Arial" w:eastAsia="Arial" w:hAnsi="Arial"/>
          <w:sz w:val="17"/>
          <w:szCs w:val="17"/>
          <w:color w:val="auto"/>
        </w:rPr>
        <w:t>As the biotechnology industry expands and more patents are issued, the risk increases that our product candidates may be subject to claims of infringement, misappropriation or other violation of the patent or other intellectual property rights of third parties. If any third-party claims that we infringe any of the above-referenced patent rights or any other patent rights, such claims would be time consuming and could:</w:t>
      </w:r>
    </w:p>
    <w:p>
      <w:pPr>
        <w:spacing w:after="0" w:line="71"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result in costly litigation that may cause negative publicity;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divert the time and attention of our technical personnel and management;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cause development delays;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prevent us from commercializing any of our product candidates until the asserted patent expires or is held finally invalid or not infringed in a court of law;</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require us to develop non-infringing technology, which may not be possible on a cost-effective basis;</w:t>
      </w:r>
    </w:p>
    <w:p>
      <w:pPr>
        <w:spacing w:after="0" w:line="130" w:lineRule="exact"/>
        <w:rPr>
          <w:rFonts w:ascii="Arial" w:cs="Arial" w:eastAsia="Arial" w:hAnsi="Arial"/>
          <w:sz w:val="18"/>
          <w:szCs w:val="18"/>
          <w:color w:val="auto"/>
        </w:rPr>
      </w:pPr>
    </w:p>
    <w:p>
      <w:pPr>
        <w:ind w:left="1080" w:right="340" w:hanging="532"/>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subject us to significant liability and damages to third parties, including treble damages if we are found to willfully infringe third-party intellectual property; or</w:t>
      </w:r>
    </w:p>
    <w:p>
      <w:pPr>
        <w:spacing w:after="0" w:line="75"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170"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Although no third party has asserted a claim of patent infringement against us as of the date of this prospectus, there can be no assurance that we will not be subject to claims of patent or other intellectual property infringement in the future that could prevent our product candidates from being marketed. Furthermore, we may fail to identify relevant patents or patent applications or may identify pending patent applications of potential interest but incorrectly predict the likelihood that such patent applications may issue with claims of relevance to our technology. In addition, we may incorrectly conclude that a third-party patent is invalid, unenforceable or not infringed by our activities. Additionally, pending patent applications that have been published can, subject to certain limitations, be later amended in a manner that could cover our technology and product candidates.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Third parties may assert claims of patent infringement against us directed at any of our product candidates based on our existing patent applications or patents that may be granted in the future, regardless of their merit. Any patent-related legal action against us claiming damages and seeking to enjoin commercial activities relating to our products, treatment indications, or processes could subject us to significant liability for damages, including treble damages if we were determined to willfully infringe, and require us to obtain a license to manufacture or market our product candidates. Defense of these claims, regardless of their merit, would involve substantial litigation expense and would be a substantial diversion of management and employee resources from our business. We cannot predict whether we would prevail in any such actions or that any license required under any of these patents would be made available on commercially acceptable terms, if at all. Moreover, even if we or our future strategic partners were able to obtain a license, the rights may be nonexclusive, which could result in our competitors gaining access to the same intellectual property. In addition, we cannot be certain that we could redesign our product candidates, treatment indications, or processes to avoid infringement, if necessary, and we could encounter delays in our product introductions while we attempt to develop alternative technology and product candidates to avoid infringing third-party intellectual property rights.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spacing w:after="0" w:line="184"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176"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Because of the inevitable uncertainty in intellectual property litigation, we could lose a patent infringement or other action asserted against us regardless of our perception of the merits of the case. Patent and other types of intellectual property litigation can involve complex factual and legal questions, and their outcome is uncertain. There is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to commercialize any future products we may develop and any other future products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or find that our technology did not infringe any such claims. Further, even if we were successful in defending against any such claims, such claims could require us to divert substantial financial and management resources that we would otherwise be able to devote to our business.</w:t>
      </w:r>
    </w:p>
    <w:p>
      <w:pPr>
        <w:spacing w:after="0" w:line="185"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from the initiation and continuation of patent proceedings could compromise our ability to compete in the marketplace. If we do not prevail in the patent proceedings the third parties may assert a claim of patent infringement directed at our product candidates.</w:t>
      </w:r>
    </w:p>
    <w:p>
      <w:pPr>
        <w:spacing w:after="0" w:line="170"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In addition, our agreements with some of our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We may not be successful in obtaining or maintaining necessary rights to our product candidates through acquisitions and in-licenses.</w:t>
      </w:r>
    </w:p>
    <w:p>
      <w:pPr>
        <w:spacing w:after="0" w:line="140"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Many pharmaceutical companies, biotechnology companies, and academic institutions may have patents and patent applications potentially relevant to our business. We may find it necessary or prudent to obtain licenses to such patents from such third-party intellectual property holders, for example, in order to avoid infringing these third-party patents. We may also require licenses from third parties for certain technologies for use with future product candidates.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expect that competition for the in-licensing or acquisition of third-party intellectual property rights for future products that are attractive to us may increase in the future, which may mean fewer suitable opportunities for us as well as higher acquisition or licensing costs. We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279" w:lineRule="exact"/>
        <w:rPr>
          <w:sz w:val="20"/>
          <w:szCs w:val="20"/>
          <w:color w:val="auto"/>
        </w:rPr>
      </w:pPr>
    </w:p>
    <w:p>
      <w:pPr>
        <w:ind w:left="560" w:right="420"/>
        <w:spacing w:after="0" w:line="263" w:lineRule="auto"/>
        <w:rPr>
          <w:sz w:val="20"/>
          <w:szCs w:val="20"/>
          <w:color w:val="auto"/>
        </w:rPr>
      </w:pPr>
      <w:r>
        <w:rPr>
          <w:rFonts w:ascii="Arial" w:cs="Arial" w:eastAsia="Arial" w:hAnsi="Arial"/>
          <w:sz w:val="18"/>
          <w:szCs w:val="18"/>
          <w:b w:val="1"/>
          <w:bCs w:val="1"/>
          <w:i w:val="1"/>
          <w:iCs w:val="1"/>
          <w:color w:val="auto"/>
        </w:rPr>
        <w:t>We may be involved in lawsuits to protect or enforce our potential future patents or our licensors’ patents, which could be expensive, time consuming and unsuccessful. Further, our potential future patents or our licensors’ patents could be found invalid or unenforceable if challenged in court.</w:t>
      </w:r>
    </w:p>
    <w:p>
      <w:pPr>
        <w:spacing w:after="0" w:line="76"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Competitors and other third parties may infringe, misappropriate or otherwise violate our intellectual property rights. To prevent infringement, misappropriation, unauthorized use or other violation, we may be required to file infringement claims, which can be expensive and time-consuming. In addition, our potential future patents also may become involved in inventorship, priority or validity disputes. In a patent infringement proceeding, a court may decide that a patent we may own or in-license is not valid, is unenforceable or is not infringed, or may refuse to stop the other party from using the technology at issue on the grounds that our potential future patents do not cover such technology. If we or any of our potential future collaborators were to initiate legal proceedings against a third party to enforce a patent directed at one of our product candidates, the defendant could counterclaim that our potential future patent or the patent of our licensor is invalid or unenforceable in whole or in part. In patent litigation in the United States, defendant counterclaims alleging invalidity or unenforceability are commonplace. Grounds for a validity challenge include an alleged failure to meet any of several statutory requirements, including lack of novelty, obviousness, lack of sufficient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Such proceedings could result in the revocation or cancellation of or amendment to our potential future patents in such a way that they no longer cover our technology or product candidates or prevent third parties from competing with our technology or product candidates. The outcome following legal assertions of invalidity and unenforceability is unpredictable. With respect to the validity question, for example, we cannot be certain that there is no invalidating prior art, of which we, our licensor, and the patent examiners are unaware during prosecution. There is also no assurance that there is not prior art of which we are aware, but which we do not believe affects the validity or enforceability of a claim in our potential future patents and patent applications or the patents and patent applications of our licensors, which may, nonetheless, ultimately be found to affect the validity or enforceability of a claim. If a third party were to prevail on a legal assertion of invalidity or unenforceability, we would lose at least part, and perhaps all, of the patent protection on our technology or proprietary drug discovery platform, or any product candidates that we may develop. Such a loss of patent protection would have a material adverse impact on our business, financial condition, results of operations and prospects.</w:t>
      </w:r>
    </w:p>
    <w:p>
      <w:pPr>
        <w:spacing w:after="0" w:line="172" w:lineRule="exact"/>
        <w:rPr>
          <w:sz w:val="20"/>
          <w:szCs w:val="20"/>
          <w:color w:val="auto"/>
        </w:rPr>
      </w:pPr>
    </w:p>
    <w:p>
      <w:pPr>
        <w:ind w:left="120" w:right="320" w:firstLine="440"/>
        <w:spacing w:after="0" w:line="342" w:lineRule="auto"/>
        <w:rPr>
          <w:sz w:val="20"/>
          <w:szCs w:val="20"/>
          <w:color w:val="auto"/>
        </w:rPr>
      </w:pPr>
      <w:r>
        <w:rPr>
          <w:rFonts w:ascii="Arial" w:cs="Arial" w:eastAsia="Arial" w:hAnsi="Arial"/>
          <w:sz w:val="16"/>
          <w:szCs w:val="16"/>
          <w:color w:val="auto"/>
        </w:rPr>
        <w:t>In addition, if the breadth or strength of protection provided by our patent applications or the patents and patent applications of our licensors is threatened, it could dissuade companies from collaborating with us to license, develop or commercialize current or future product candidates.</w:t>
      </w:r>
    </w:p>
    <w:p>
      <w:pPr>
        <w:spacing w:after="0" w:line="124"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65" w:lineRule="exact"/>
        <w:rPr>
          <w:sz w:val="20"/>
          <w:szCs w:val="20"/>
          <w:color w:val="auto"/>
        </w:rPr>
      </w:pPr>
    </w:p>
    <w:p>
      <w:pPr>
        <w:ind w:left="120" w:right="440" w:firstLine="440"/>
        <w:spacing w:after="0" w:line="342" w:lineRule="auto"/>
        <w:rPr>
          <w:sz w:val="20"/>
          <w:szCs w:val="20"/>
          <w:color w:val="auto"/>
        </w:rPr>
      </w:pPr>
      <w:r>
        <w:rPr>
          <w:rFonts w:ascii="Arial" w:cs="Arial" w:eastAsia="Arial" w:hAnsi="Arial"/>
          <w:sz w:val="16"/>
          <w:szCs w:val="16"/>
          <w:color w:val="auto"/>
        </w:rPr>
        <w:t>In addition, the issuance of a patent does not give us the right to practice the patented invention. Third parties may have blocking patents that could prevent us from marketing our own potential future patented product and practicing our own potential future patented technology.</w:t>
      </w:r>
    </w:p>
    <w:p>
      <w:pPr>
        <w:spacing w:after="0" w:line="232"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shares to decline.</w:t>
      </w:r>
    </w:p>
    <w:p>
      <w:pPr>
        <w:spacing w:after="0" w:line="62"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296" w:lineRule="exact"/>
        <w:rPr>
          <w:sz w:val="20"/>
          <w:szCs w:val="20"/>
          <w:color w:val="auto"/>
        </w:rPr>
      </w:pPr>
    </w:p>
    <w:p>
      <w:pPr>
        <w:ind w:left="560" w:right="220"/>
        <w:spacing w:after="0" w:line="277" w:lineRule="auto"/>
        <w:rPr>
          <w:sz w:val="20"/>
          <w:szCs w:val="20"/>
          <w:color w:val="auto"/>
        </w:rPr>
      </w:pPr>
      <w:r>
        <w:rPr>
          <w:rFonts w:ascii="Arial" w:cs="Arial" w:eastAsia="Arial" w:hAnsi="Arial"/>
          <w:sz w:val="18"/>
          <w:szCs w:val="18"/>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62"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Derivation proceedings provoked by third parties or brought by us or declared by the USPTO may be necessary to determine the priority of inventions with respect to our patent applications or the patents or patent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40"/>
          </w:cols>
          <w:pgMar w:left="32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applications of our licensors. An unfavorable outcome could require us to cease using the related technology or to attempt to license rights to it from the prevailing party. Our business could be harmed if the prevailing party does not offer us a license on commercially reasonable terms or at all.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spacing w:after="0" w:line="300" w:lineRule="exact"/>
        <w:rPr>
          <w:sz w:val="20"/>
          <w:szCs w:val="20"/>
          <w:color w:val="auto"/>
        </w:rPr>
      </w:pPr>
    </w:p>
    <w:p>
      <w:pPr>
        <w:ind w:left="560" w:right="120"/>
        <w:spacing w:after="0" w:line="277"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62"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As is the case with other biotechnology and pharmaceutical companies, our success is heavily dependent on intellectual property, particularly patents. Obtaining and enforcing patents in the biotechnology and pharmaceutical industries involve a high degree of technological and legal complexity. Therefore, obtaining and enforcing biotechnology and 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potential future patents or in third-party patents. In addition, Congress or other foreign legislative bodies may pass patent reform legislation that is unfavorable to us.</w:t>
      </w:r>
    </w:p>
    <w:p>
      <w:pPr>
        <w:spacing w:after="0" w:line="166"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 xml:space="preserve">Patent reform legislation could increase the uncertainties and costs surrounding the prosecution of patent applications and the enforcement or defense of issued patents. In 2011, the Leahy-Smith America Invents Act (Leahy-Smith Act) was signed into law. The Leahy-Smith Act includes a number of significant changes to U.S. patent law. These include provisions that affect the way patent applications are prosecuted and also may affect patent litigation. These also include provisions that switched the United States from a first-to-invent system to a first inventor-to-file system, allow third-party submission of prior art to the USPTO during patent prosecution and set forth additional procedures to attack the validity of a patent by the USPTO administered post grant proceedings, including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Under a first-inventor-to-file system, assuming the other requirements for patentability are met, the first inventor to file a patent application generally will be entitled to the patent on an invention regardless of whether another inventor was the first to invent the claimed invention. The USPTO recently developed new regulations and procedures to govern administration of the Leahy- Smith Act, and many of the substantive changes to patent law associated with the Leahy-Smith Act, and in particular, the first-to-file provisions, became effective in 2013.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and results of operations. In addition, patent reform legislation may pass in the future that could lead to additional uncertainties and increased costs surrounding the prosecution, enforcement and defense of our patent applications.</w:t>
      </w:r>
    </w:p>
    <w:p>
      <w:pPr>
        <w:spacing w:after="0" w:line="174"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Furthermore, the U.S. Supreme Court and the U.S. Court of Appeals for the Federal Circuit have made, and will likely continue to make, changes in how patent laws in the United States are interpreted.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United States and foreign legislative bodies.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owned patent applications or in-licensed patent rights and other intellectual property.</w:t>
      </w:r>
    </w:p>
    <w:p>
      <w:pPr>
        <w:spacing w:after="0" w:line="62"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We or our licensors may be subject to claims that former employees or other third parties have an ownership interest in our owned patent applications or in-licensed patents, trade secrets or other intellectual property rights as an inventor or co-inventor. For example, we or our licensors may have inventorship disputes arise from conflicting obligations of employees, consultants or other third parties who are involved in developing our current or future products. Litigation may be necessary to defend against these and other claims challenging inventorship or ownership of our patent applications or our licensors’ owned or in-licensed patents, trade secrets or other intellectual property rights. If we or our licensors fail in defending any such claims, in addition to paying monetary damages, we may lose valuable intellectual property rights, such as exclusive ownership of, or right to use, intellectual property rights that are important to our current or future product candidates. It may be necessary or we may desire to enter into a license to settle any such claim; however, there can be no assurance that we would be able to obtain a license on commercially reasonable terms, if at all. Such an outcome could have a material adverse effect on our business. Even if we are successful in defending against such claims, litigation could result in substantial costs and distraction to management and other employees, and any litigation or the threat of litigation may adversely our reputation, or affect our ability to hire employees or contract with independent contractors.</w:t>
      </w:r>
    </w:p>
    <w:p>
      <w:pPr>
        <w:spacing w:after="0" w:line="172"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 addition, while it is our policy to require our employees, consultants, advisors, contractors and other third parties who may be involved in the conception or development of intellectual property rights to execute agreements assigning such intellectual property rights to us, we or our licensors may be unsuccessful in executing such agreements with each party who, in fact, conceives or develops intellectual property rights that we regard as our own. The assignment of intellectual property rights may not be self-executing or sufficient in scope, or the assignment agreements may be breached, and we or our licensors may be forced to bring claims against third parties, or defend claims that they may bring against us, to determine the ownership of what we regard as our intellectual property rights. Furthermore, individuals executing agreements with us may have preexisting or competing obligations to a third party, such as an academic institution, and thus an agreement with us or our licensors may be ineffective in perfecting ownership of inventions developed by that individual. Such claims could have a material adverse effect on our business, financial condition, results of operations, and prospects.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product candidates for an adequate amount of time.</w:t>
      </w:r>
    </w:p>
    <w:p>
      <w:pPr>
        <w:spacing w:after="0" w:line="129"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materially harmed.</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Depending upon the timing, duration and specifics of FDA marketing approval of our product candidates, one or more of our U.S. patents or those of our licensors may be eligible for limited patent term restoration under the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60"/>
        <w:spacing w:after="0" w:line="311" w:lineRule="auto"/>
        <w:rPr>
          <w:sz w:val="20"/>
          <w:szCs w:val="20"/>
          <w:color w:val="auto"/>
        </w:rPr>
      </w:pPr>
      <w:r>
        <w:rPr>
          <w:rFonts w:ascii="Arial" w:cs="Arial" w:eastAsia="Arial" w:hAnsi="Arial"/>
          <w:sz w:val="16"/>
          <w:szCs w:val="16"/>
          <w:color w:val="auto"/>
        </w:rPr>
        <w:t>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w:t>
      </w:r>
    </w:p>
    <w:p>
      <w:pPr>
        <w:spacing w:after="0" w:line="149"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We may not be granted any extensions for which we apply in the United States or any other jurisdiction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to the extent we wish to pursue patent term extension based on a patent that we in-license from a third party, we would need the cooperation of that third party. If we are unable to obtain patent term extension or restoration, or the foreign equivalent, or if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 Any of the foregoing could have a material adverse effect on our business, financial condition, results of operations and prospects.</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even in jurisdiction where we do pursue patent protection. Consequently, we may not be able to prevent third parties from practicing our or our licensors’ inventions in all countries outside the United States, even in jurisdictions where we or our licensors due pursue patent protection,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potential future patents, the patents of our licensors, or other intellectual property rights may not be effective or sufficient to prevent them from competing.</w:t>
      </w:r>
    </w:p>
    <w:p>
      <w:pPr>
        <w:spacing w:after="0" w:line="16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many foreign countries, particularly certain developing countries, do not favor the enforcement of patents, trade secrets and other intellectual property protection, which could make it difficult for us to stop the infringement of our potential future patents or our licensor’s patents, if pursued and obtained, or marketing of competing products in violation of our proprietary rights generally. Proceedings to enforce our or our licensors’ patent rights in foreign jurisdictions could result in substantial costs and divert our efforts and attention from other aspects of our business, could put our potential future patents or the patents of our licensors at risk of being invalidated or interpreted narrowly and our patent applications or the patent applications of our licensors at risk of not issuing and could provoke third parties to assert claims against us. We or our licensors may not prevail in any lawsuits that we or our licensors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54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7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and/or patent applications will be due to the USPTO and various foreign patent offices outside of the United States at various points over the lifetime of our potential future patents and patent applications and those of our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are also dependent on our licensors to take the necessary action to comply with these requirements with respect to our licensed intellectual property. An inadvertent lapse or non-compliance with such requirements can sometimes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 financial condition and results of operations.</w:t>
      </w:r>
    </w:p>
    <w:p>
      <w:pPr>
        <w:spacing w:after="0" w:line="293" w:lineRule="exact"/>
        <w:rPr>
          <w:sz w:val="20"/>
          <w:szCs w:val="20"/>
          <w:color w:val="auto"/>
        </w:rPr>
      </w:pPr>
    </w:p>
    <w:p>
      <w:pPr>
        <w:ind w:left="560" w:right="8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We intend to use registered or unregistered trademarks or trade names to brand and market ourselves and our products, but we do not yet own a U.S. registered trademark for our corporate name, “Tenaya”. Our future trademark applications in the United States and in foreign jurisdictions may not be allowed or may subsequently be opposed. Once filed and registered, our potential future trademarks or trade names may be challenged, infringed, circumvented or declared generic or determined to be infringing on other marks. We may not be able to protect our rights to these potential future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As a means to enforce our potential future trademark rights and prevent infringement, we may be required to file trademark claims against third parties or initiate trademark opposition proceedings, which can be expensive and time-consuming. In addition, there could be potential trade name or trademark infringement claims brought by owners of other registered trademarks or trademarks that incorporate variations of our potential future registered or unregistered trademarks or trade names. Over the long term, if we are unable to establish name recognition based on our trademarks and trade names, then we may not be able to compete effectively, and our business may be adversely affected.</w:t>
      </w:r>
    </w:p>
    <w:p>
      <w:pPr>
        <w:spacing w:after="0" w:line="172" w:lineRule="exact"/>
        <w:rPr>
          <w:sz w:val="20"/>
          <w:szCs w:val="20"/>
          <w:color w:val="auto"/>
        </w:rPr>
      </w:pPr>
    </w:p>
    <w:p>
      <w:pPr>
        <w:ind w:left="120" w:right="160" w:firstLine="440"/>
        <w:spacing w:after="0" w:line="290" w:lineRule="auto"/>
        <w:rPr>
          <w:sz w:val="20"/>
          <w:szCs w:val="20"/>
          <w:color w:val="auto"/>
        </w:rPr>
      </w:pPr>
      <w:r>
        <w:rPr>
          <w:rFonts w:ascii="Arial" w:cs="Arial" w:eastAsia="Arial" w:hAnsi="Arial"/>
          <w:sz w:val="16"/>
          <w:szCs w:val="16"/>
          <w:color w:val="auto"/>
        </w:rPr>
        <w:t>Additionally, our potential future registered trademarks may not be maintained or enforced.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potential future trademark applications and registrations, and our potential future trademarks may not survive such proceedings. If we do not secure registrations for our potential future trademarks, we may encounter more difficulty in enforcing them against third parties than we otherwise would. Our efforts to enforce or protect our proprietary rights related to trademarks, domain names or other intellectual property may be ineffective and could result in substantial costs and diversion of resources and could adversely affect our financial condition or results of operations.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In addition to seeking patent protection to protect the intellectual property underlying our technology and product candidates, we also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who have access to such information, and confidential information and invention assignment agreements with employees, consultants, advisors and other third parties involved in the development of intellectual property, we cannot guarantee that we and our licensors have entered into such agreements with each party that may have had access to our trade secrets or proprietary information or that has been involved in the development of intellectual property. Additionally, we cannot provide any assurances that all such agreements have been duly executed, and any of these parties may breach such agreements and disclose our proprietary information, including our trade secrets, and we may not be able to obtain adequate remedies for such breaches. We may not be able to prevent the unauthorized disclosure or use of our technical know-how or other trade secrets by the parties to these agreements. Monitoring unauthorized uses and disclosures is difficult and we do not know whether the steps we have taken to protect our proprietary technologies will be effective.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168"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Moreover, third parties may still obtain this information or may come upon this or similar information independently, and we would have no right to prevent them from using that technology or information to compete with us. Furthermore, we expect these trade secrets, know-how and proprietary information to over time be disseminated within the industry through independent development, the publication of journal articles describing the methodology and the movement of personnel from academic to industry scientific positions. Consequently, we may be unable to prevent our proprietary technology from being exploited in the United States and abroad, which could affect our ability to expand in domestic and international markets or require costly efforts to protect our technology. We also seek to preserve the integrity and confidentiality of our data and trade secrets by maintaining physical security of our premises and physical and electronic security of our information technology systems, but such security measures may be breached, and we may not have adequate remedies for any such breach.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280" w:lineRule="exact"/>
        <w:rPr>
          <w:sz w:val="20"/>
          <w:szCs w:val="20"/>
          <w:color w:val="auto"/>
        </w:rPr>
      </w:pPr>
    </w:p>
    <w:p>
      <w:pPr>
        <w:ind w:left="560" w:right="76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we or our employees, consultants, advisors or contractors have wrongfully used or disclosed alleged confidential information or trade secrets.</w:t>
      </w:r>
    </w:p>
    <w:p>
      <w:pPr>
        <w:spacing w:after="0" w:line="62"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We may become subject to litigation where a third party asserts that we or our employees or other third parties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operating results, financial condition and prospects.</w:t>
      </w:r>
    </w:p>
    <w:p>
      <w:pPr>
        <w:spacing w:after="0" w:line="284" w:lineRule="exact"/>
        <w:rPr>
          <w:sz w:val="20"/>
          <w:szCs w:val="20"/>
          <w:color w:val="auto"/>
        </w:rPr>
      </w:pPr>
    </w:p>
    <w:p>
      <w:pPr>
        <w:ind w:left="560" w:right="300"/>
        <w:spacing w:after="0" w:line="308" w:lineRule="auto"/>
        <w:rPr>
          <w:sz w:val="20"/>
          <w:szCs w:val="20"/>
          <w:color w:val="auto"/>
        </w:rPr>
      </w:pPr>
      <w:r>
        <w:rPr>
          <w:rFonts w:ascii="Arial" w:cs="Arial" w:eastAsia="Arial" w:hAnsi="Arial"/>
          <w:sz w:val="17"/>
          <w:szCs w:val="17"/>
          <w:b w:val="1"/>
          <w:bCs w:val="1"/>
          <w:i w:val="1"/>
          <w:iCs w:val="1"/>
          <w:color w:val="auto"/>
        </w:rPr>
        <w:t>We may be subject to claims that we have wrongfully hired an employee from our competitors or that we or our employees have wrongfully used or disclosed alleged confidential information or trade secrets of their former employers.</w:t>
      </w:r>
    </w:p>
    <w:p>
      <w:pPr>
        <w:spacing w:after="0" w:line="38"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As is common in the biotechnology and 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biotechnology and pharmaceutical companies including our competitors or potential competitors. We may become subject to claims that we, our employees or consultants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286" w:lineRule="exact"/>
        <w:rPr>
          <w:sz w:val="20"/>
          <w:szCs w:val="20"/>
          <w:color w:val="auto"/>
        </w:rPr>
      </w:pPr>
    </w:p>
    <w:p>
      <w:pPr>
        <w:ind w:left="560" w:right="620"/>
        <w:spacing w:after="0" w:line="277" w:lineRule="auto"/>
        <w:rPr>
          <w:sz w:val="20"/>
          <w:szCs w:val="20"/>
          <w:color w:val="auto"/>
        </w:rPr>
      </w:pPr>
      <w:r>
        <w:rPr>
          <w:rFonts w:ascii="Arial" w:cs="Arial" w:eastAsia="Arial" w:hAnsi="Arial"/>
          <w:sz w:val="18"/>
          <w:szCs w:val="18"/>
          <w:b w:val="1"/>
          <w:bCs w:val="1"/>
          <w:i w:val="1"/>
          <w:iCs w:val="1"/>
          <w:color w:val="auto"/>
        </w:rPr>
        <w:t>Our rights to develop and commercialize our technology and product candidates may be subject, in part, to the terms and conditions of licenses granted to us by others.</w:t>
      </w:r>
    </w:p>
    <w:p>
      <w:pPr>
        <w:spacing w:after="0" w:line="62" w:lineRule="exact"/>
        <w:rPr>
          <w:sz w:val="20"/>
          <w:szCs w:val="20"/>
          <w:color w:val="auto"/>
        </w:rPr>
      </w:pPr>
    </w:p>
    <w:p>
      <w:pPr>
        <w:ind w:left="120" w:right="360" w:firstLine="440"/>
        <w:spacing w:after="0" w:line="255" w:lineRule="auto"/>
        <w:rPr>
          <w:sz w:val="20"/>
          <w:szCs w:val="20"/>
          <w:color w:val="auto"/>
        </w:rPr>
      </w:pPr>
      <w:r>
        <w:rPr>
          <w:rFonts w:ascii="Arial" w:cs="Arial" w:eastAsia="Arial" w:hAnsi="Arial"/>
          <w:sz w:val="18"/>
          <w:szCs w:val="18"/>
          <w:color w:val="auto"/>
        </w:rPr>
        <w:t>We have entered into a license agreement with UTSW pursuant to which we have acquired the exclusive right to certain patents and patent applications relating to therapeutics overexpressing the peptide named Dwarf Open Reading Frame, and have entered into various other license agreements with other third parties. We may enter into additional license agreements in the future with other third parties to advance our research or allow commercialization of product candidates. These and other licenses may not provide exclusive rights to use such intellectual property and technology in all relevant fields of use and in all territories in which we may wish to develop or commercialize our technology and products in the future.</w:t>
      </w:r>
    </w:p>
    <w:p>
      <w:pPr>
        <w:spacing w:after="0" w:line="19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w:t>
      </w:r>
    </w:p>
    <w:p>
      <w:pPr>
        <w:spacing w:after="0" w:line="192"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Our licensors may have relied on third-party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8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Additionally, our licenses may be subject to certain rights of third parties, and, as a result, our current and future licenses may not provide us with exclusive rights to use the licensed intellectual property and technology.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For example, the intellectual property we license from UTSW is subject to certain non-commercial rights reserved by UTSW and certain rights retained by the U.S. government, including march-in rights.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w:t>
      </w:r>
    </w:p>
    <w:p>
      <w:pPr>
        <w:spacing w:after="0" w:line="176"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165"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Our current licenses impose, and our future licenses likely will impose, various diligence, royalty payment, milestone payment, insurance and other obligations on us. If we fail to comply with any of these or other obligations in our license agreements, we may be required to pay damages and the licensor may have the right to terminate the licenses. Termination by the licensor would cause us to lose valuable rights, and could prevent us from developing and commercializing our product candidates and proprietary technologies. Our business would be seriously harmed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Furthermore, if any current or future licenses terminate, or if the underlying patents fail to provide the intended exclusivity, competitors or other third parties may gain the freedom to seek regulatory approval of, and to market, products identical to ours. If our license agreements terminate, or we experience a reduction or elimination of licensed rights under these agreements, we may have to negotiate new or reinstated licenses with less favorable terms or we may not have sufficient intellectual property rights to operate our business.</w:t>
      </w:r>
    </w:p>
    <w:p>
      <w:pPr>
        <w:spacing w:after="0" w:line="185"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royalty obligations we would be required to pay on the sales of future products, if any, the amounts may be significant. The amount of our future royalty obligations will depend on the technology and intellectual property we use in product candidates that we successfully develop and commercialize, if any. Therefore, even if we successfully develop and commercialize any product candidates, we may be unable to achieve or maintain profitability.</w:t>
      </w:r>
    </w:p>
    <w:p>
      <w:pPr>
        <w:spacing w:after="0" w:line="300" w:lineRule="exact"/>
        <w:rPr>
          <w:sz w:val="20"/>
          <w:szCs w:val="20"/>
          <w:color w:val="auto"/>
        </w:rPr>
      </w:pPr>
    </w:p>
    <w:p>
      <w:pPr>
        <w:ind w:left="560" w:right="120"/>
        <w:spacing w:after="0" w:line="375" w:lineRule="auto"/>
        <w:rPr>
          <w:sz w:val="20"/>
          <w:szCs w:val="20"/>
          <w:color w:val="auto"/>
        </w:rPr>
      </w:pPr>
      <w:r>
        <w:rPr>
          <w:rFonts w:ascii="Arial" w:cs="Arial" w:eastAsia="Arial" w:hAnsi="Arial"/>
          <w:sz w:val="15"/>
          <w:szCs w:val="15"/>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Disputes may arise between us and our current or future licensors regarding intellectual property subject to a license agreement, including:</w:t>
      </w:r>
    </w:p>
    <w:p>
      <w:pPr>
        <w:spacing w:after="0" w:line="131"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30" w:lineRule="exact"/>
        <w:rPr>
          <w:rFonts w:ascii="Arial" w:cs="Arial" w:eastAsia="Arial" w:hAnsi="Arial"/>
          <w:sz w:val="18"/>
          <w:szCs w:val="18"/>
          <w:color w:val="auto"/>
        </w:rPr>
      </w:pPr>
    </w:p>
    <w:p>
      <w:pPr>
        <w:ind w:left="1080" w:right="380" w:hanging="532"/>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right to sublicense patents and other rights to third parties;</w:t>
      </w:r>
    </w:p>
    <w:p>
      <w:pPr>
        <w:spacing w:after="0" w:line="130" w:lineRule="exact"/>
        <w:rPr>
          <w:rFonts w:ascii="Arial" w:cs="Arial" w:eastAsia="Arial" w:hAnsi="Arial"/>
          <w:sz w:val="18"/>
          <w:szCs w:val="18"/>
          <w:color w:val="auto"/>
        </w:rPr>
      </w:pPr>
    </w:p>
    <w:p>
      <w:pPr>
        <w:ind w:left="1080" w:right="280" w:hanging="532"/>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whether third parties are entitled to compensation or equitable relief, such as an injunction, for our use of the intellectual property rights without their authorization;</w:t>
      </w:r>
    </w:p>
    <w:p>
      <w:pPr>
        <w:spacing w:after="0" w:line="75"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involvement or lack of involvement in the prosecution, defense, and enforcement of licensed patents and our licensors’ overall patent enforcement strategy;</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amounts of royalties, milestones or other payments due under the license agreement;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right to transfer or assign the license;</w:t>
      </w:r>
    </w:p>
    <w:p>
      <w:pPr>
        <w:spacing w:after="0" w:line="130" w:lineRule="exact"/>
        <w:rPr>
          <w:rFonts w:ascii="Arial" w:cs="Arial" w:eastAsia="Arial" w:hAnsi="Arial"/>
          <w:sz w:val="18"/>
          <w:szCs w:val="18"/>
          <w:color w:val="auto"/>
        </w:rPr>
      </w:pPr>
    </w:p>
    <w:p>
      <w:pPr>
        <w:ind w:left="1080" w:right="660" w:hanging="532"/>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or are insufficient to provide us the necessary rights to use the intellectual property rights, we may be unable to successfully develop and commercialize the affected product candidates, which could have a material adverse effect on our business, financial conditions, results of operations, and prospects.</w:t>
      </w:r>
    </w:p>
    <w:p>
      <w:pPr>
        <w:spacing w:after="0" w:line="178"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In spite of our efforts, our current and future licensors might conclude that we have materially breached our obligations under our license agreements and might therefore terminate such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have a material adverse effect on our competitive position, business, financial conditions, results of operations, and prospects.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may be dependent on third parties.</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While we normally seek to obtain the right to control prosecution, maintenance and enforcement of the patents relating to our product candidates, there may be times when the filing and prosecution activities for patents relating to our product candidates are controlled by our licensor, potential licensors or collaboration partners. If any of our licensor, potential licensors or collaboration partners fail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40"/>
          </w:cols>
          <w:pgMar w:left="32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80"/>
        <w:spacing w:after="0" w:line="263" w:lineRule="auto"/>
        <w:rPr>
          <w:sz w:val="20"/>
          <w:szCs w:val="20"/>
          <w:color w:val="auto"/>
        </w:rPr>
      </w:pPr>
      <w:r>
        <w:rPr>
          <w:rFonts w:ascii="Arial" w:cs="Arial" w:eastAsia="Arial" w:hAnsi="Arial"/>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76"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We have in-licensed certain patents and patent applications that were generated through the use of U.S. government funding or grants, and we may acquire or license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For example, the intellectual property we license from UTSW is subject to certain rights retained by the U.S. government, including march-in rights. If the U.S. government exercises its march-in rights in our current or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Any failure by us to comply with federal regulations regarding intellectual property rights that were developed through the use of U.S. government funding could have a material adverse effect on our business, financial condition, results of operations, and prospects.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jc w:val="both"/>
        <w:ind w:left="560" w:right="280"/>
        <w:spacing w:after="0" w:line="263" w:lineRule="auto"/>
        <w:rPr>
          <w:sz w:val="20"/>
          <w:szCs w:val="20"/>
          <w:color w:val="auto"/>
        </w:rPr>
      </w:pPr>
      <w:r>
        <w:rPr>
          <w:rFonts w:ascii="Arial" w:cs="Arial" w:eastAsia="Arial" w:hAnsi="Arial"/>
          <w:sz w:val="18"/>
          <w:szCs w:val="18"/>
          <w:b w:val="1"/>
          <w:bCs w:val="1"/>
          <w:i w:val="1"/>
          <w:iCs w:val="1"/>
          <w:color w:val="auto"/>
        </w:rPr>
        <w:t>We rely on third parties to conduct our preclinical studies, and plan to rely on third parties to conduct clinical trials, and those third parties may not perform satisfactorily, including failing to meet deadlines for the completion of such trials, research and studies or to comply with applicable regulatory requirements, which may harm our business.</w:t>
      </w:r>
    </w:p>
    <w:p>
      <w:pPr>
        <w:spacing w:after="0" w:line="76"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We utilize and depend upon independent investigators and collaborators, such as medical institutions, CROs and strategic partners to conduct and support our preclinical studies and plan to continue to do so for our future clinical trials. These third parties have had and will continue to have a significant role in the conduct of our preclinical studies and planned clinical trials and the subsequent collection and analysis of data.</w:t>
      </w:r>
    </w:p>
    <w:p>
      <w:pPr>
        <w:spacing w:after="0" w:line="149"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These third parties are not our employees, and except for remedies available to us under our agreements with such third parties, we have limited ability to control the amount or timing of resources that any such third party will devote to our preclinical studies or our planned clinical trials. Furthermore, the competition for third parties has increased as a result of COVID-19. The third parties we rely on for these services may also have relationships with other entities, some of which may be our competitors, for whom they may also be conducting</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clinical trials or other drug development activities, which could affect their performance on our behalf. Some of these third parties may terminate their engagements with us at any time. We also expect to have to negotiate budgets and contracts with CROs and clinical trial sites and we may not be able to do so on favorable terms, which may result in delays to our development timelines and increased costs. If we need to enter into alternative arrangements with, or replace or add any third parties, it would involve substantial cost and require extensive management time and focus, or involve a transition period, and may delay our drug development activities, as well as materially impact our ability to meet our desired clinical development timelines.</w:t>
      </w:r>
    </w:p>
    <w:p>
      <w:pPr>
        <w:spacing w:after="0" w:line="161"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Our heavy reliance on these third parties for such drug development activities will reduce our control over these activities. As a result, we will have less direct control over the conduct, timing and completion of preclinical studies and clinical trials and the management of data developed through preclinical studies and clinical trials than would be the case if we were relying entirely upon our own staff. Nevertheless, we are responsible for ensuring that each of our studies and trials is conducted in accordance with applicable protocol, legal and regulatory requirements and scientific standards, and our reliance on third parties does not relieve us of our regulatory responsibilities. For example, we will remain responsible for ensuring that each of our clinical trials is conducted in accordance with the general investigational plan and protocols for the trial. Moreover, the FDA requires us to comply with GCP standards, regulations for conducting, recording and reporting the results of clinical trials to assure that data and reported results are reliable and accurate and that the rights, integrity and confidentiality of trial participants are protected. The EMA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EMA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substantially comply with GCP regulations. In addition, our clinical trials must be conducted with product produced under current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191"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257" w:lineRule="exact"/>
        <w:rPr>
          <w:sz w:val="20"/>
          <w:szCs w:val="20"/>
          <w:color w:val="auto"/>
        </w:rPr>
      </w:pPr>
    </w:p>
    <w:p>
      <w:pPr>
        <w:ind w:left="560" w:right="80"/>
        <w:spacing w:after="0" w:line="279" w:lineRule="auto"/>
        <w:rPr>
          <w:sz w:val="20"/>
          <w:szCs w:val="20"/>
          <w:color w:val="auto"/>
        </w:rPr>
      </w:pPr>
      <w:r>
        <w:rPr>
          <w:rFonts w:ascii="Arial" w:cs="Arial" w:eastAsia="Arial" w:hAnsi="Arial"/>
          <w:sz w:val="17"/>
          <w:szCs w:val="17"/>
          <w:b w:val="1"/>
          <w:bCs w:val="1"/>
          <w:i w:val="1"/>
          <w:iCs w:val="1"/>
          <w:color w:val="auto"/>
        </w:rPr>
        <w:t>We contract with third parties for the production of our product candidates for preclinical studies and expect to continue to do so for additional preclinical studies, clinical trials and ultimately for commercialization for certain of our product candidates. This reliance on third parties increases the risk that we will not have sufficient quality and quantities of our product candidates or such quantities at an acceptable cost, which could delay, prevent or impair our development or commercialization efforts.</w:t>
      </w:r>
    </w:p>
    <w:p>
      <w:pPr>
        <w:spacing w:after="0" w:line="63"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do not currently have the infrastructure or internal capability to manufacture supplies of our product candidates for use in development and commercialization. We plan to fully integrate and internalize AAV manufacturing capabilities to support our Gene Therapy and Cellular Regeneration platforms, and have initiated construction of a cGMP manufacturing facility. Until our manufacturing facility is complete and operational, we will continue to rely on third-party manufacturers for our Gene Therapy and Cellular Regeneration platforms. Moreover, to optimize our use of resources and utilize extensive third-party experience in small molecule manufacturing, we intend to continue to rely on third-party manufacturers for our small molecule programs.</w:t>
      </w:r>
    </w:p>
    <w:p>
      <w:pPr>
        <w:spacing w:after="0" w:line="192"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Competition for third-party manufacturers and supplies has increased as a result of COVID-19. Changing third-party manufacturers could result in delays in our manufacturing supply chain which could delay or otherwise impact development of our programs and result in increased costs.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do not have long-term supply agreements, and we purchase our required drug product on a purchase order basis, which means that aside from any binding purchase orders we have from time to time, our supplier could cease supplying to us or change the terms on which it is willing to continue supplying to us at any time. If we were to experience an unexpected loss of supply of our product candidates for any reason, whether as a result of manufacturing, supply or storage issues or otherwise, we could experience delays, disruptions, suspensions or terminations of, or be required to restart or repeat, any pending or ongoing preclinical studies or clinical trials.</w:t>
      </w:r>
    </w:p>
    <w:p>
      <w:pPr>
        <w:spacing w:after="0" w:line="188" w:lineRule="exact"/>
        <w:rPr>
          <w:sz w:val="20"/>
          <w:szCs w:val="20"/>
          <w:color w:val="auto"/>
        </w:rPr>
      </w:pPr>
    </w:p>
    <w:p>
      <w:pPr>
        <w:ind w:left="120" w:right="320" w:firstLine="440"/>
        <w:spacing w:after="0" w:line="308" w:lineRule="auto"/>
        <w:rPr>
          <w:sz w:val="20"/>
          <w:szCs w:val="20"/>
          <w:color w:val="auto"/>
        </w:rPr>
      </w:pPr>
      <w:r>
        <w:rPr>
          <w:rFonts w:ascii="Arial" w:cs="Arial" w:eastAsia="Arial" w:hAnsi="Arial"/>
          <w:sz w:val="17"/>
          <w:szCs w:val="17"/>
          <w:color w:val="auto"/>
        </w:rPr>
        <w:t>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52" w:lineRule="exact"/>
        <w:rPr>
          <w:sz w:val="20"/>
          <w:szCs w:val="20"/>
          <w:color w:val="auto"/>
        </w:rPr>
      </w:pPr>
    </w:p>
    <w:p>
      <w:pPr>
        <w:ind w:left="1080" w:right="140" w:hanging="532"/>
        <w:spacing w:after="0" w:line="263"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schedule and specifications, or at all, including if our third-party contractors give greater priority to the supply of other products over our product candidates or otherwise do not satisfactorily perform according to the terms of the agreements between us and them;</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termination or nonrenewal of arrangements or agreements by our third-party contractors at a time that is costly or inconvenient for us;</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breach by the third-party contractors of our agreements with them;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failure of third-party contractors to comply with applicable regulatory requirements, including cGMPs;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specifications;</w:t>
      </w:r>
    </w:p>
    <w:p>
      <w:pPr>
        <w:spacing w:after="0" w:line="130" w:lineRule="exact"/>
        <w:rPr>
          <w:rFonts w:ascii="Arial" w:cs="Arial" w:eastAsia="Arial" w:hAnsi="Arial"/>
          <w:sz w:val="18"/>
          <w:szCs w:val="18"/>
          <w:color w:val="auto"/>
        </w:rPr>
      </w:pPr>
    </w:p>
    <w:p>
      <w:pPr>
        <w:ind w:left="1080" w:right="340" w:hanging="532"/>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mislabeling of clinical supplies, potentially resulting in the wrong dose amounts being supplied or active drug or placebo not being properly identified;</w:t>
      </w:r>
    </w:p>
    <w:p>
      <w:pPr>
        <w:spacing w:after="0" w:line="75"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infringement, misappropriation or other violation of our intellectual property or proprietary information, including our trade secrets and know-how.</w:t>
      </w:r>
    </w:p>
    <w:p>
      <w:pPr>
        <w:spacing w:after="0" w:line="170"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We do not have complete control over all aspects of the manufacturing process of our CDMOs and are dependent on these CDMOs for compliance with cGMP regulations for manufacturing active pharmaceutical ingredients (API), drug substance and finished drug products. We are in the process of developing our supply chain for each of our product candidates and intend to put in place framework agreements under which CDMOs will generally provide us with necessary quantities of API, drug substance and drug product on a project-by-project basis based on our development needs. As we advance our product candidates through development, we will consider our lack of redundant supply for the API, drug substance and drug product for each of our product candidates to protect against any potential supply disruptions. However, we may be unsuccessful in putting in place such framework agreements or protecting against potential supply disruptions.</w:t>
      </w:r>
    </w:p>
    <w:p>
      <w:pPr>
        <w:spacing w:after="0" w:line="17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Third-party manufacturers may not be able to comply with cGMP regulations or similar regulatory requirements outside of the United States. If our CDMOs cannot successfully manufacture material that conforms to our specifications and the strict regulatory requirements of the FDA, EMA or others, they will not be able to secure and/or maintain marketing approval for their manufacturing facilities. In addition, we do not have control over the ability of our CDMOs to maintain adequate QC, QA, facilities, equipment and qualified personnel. If the FDA, EMA or a comparable foreign regulatory authority does not approve these facilities for the manufacture of our product candidates or if it withdraws any such approval in the future, we will need to find alternative manufacturing facilities, and those new facilities would need to be inspected and approved by FDA, EMA or comparable regulatory authority prior to commencing manufacturing, which would significantly impact our ability to develop, obtain marketing approval for or market our product candidates, if approved. Our failure,</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187"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We rely on third-party suppliers for the raw materials required for the production of our product candidates for all of our programs. Our reliance on third-party supplies will continue even after we operationalize our cGMP manufacturing facility to support our Gene Therapy and Cellular Regeneration platforms. Our dependence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interruption in supply of raw materials could materially harm our ability to manufacture our product candidates until a new source of supply, if any, could be identified and qualified. We may be unable to find a sufficient alternative supplier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seriously harm our business.</w:t>
      </w:r>
    </w:p>
    <w:p>
      <w:pPr>
        <w:spacing w:after="0" w:line="168"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Our current and anticipated future dependence upon others for the manufacture of our product candidates may adversely affect our future profit margins and our ability to commercialize any product candidates that receive marketing approval on a timely and competitive basis.</w:t>
      </w:r>
    </w:p>
    <w:p>
      <w:pPr>
        <w:spacing w:after="0" w:line="232" w:lineRule="exact"/>
        <w:rPr>
          <w:sz w:val="20"/>
          <w:szCs w:val="20"/>
          <w:color w:val="auto"/>
        </w:rPr>
      </w:pPr>
    </w:p>
    <w:p>
      <w:pPr>
        <w:ind w:left="560" w:right="100"/>
        <w:spacing w:after="0" w:line="277" w:lineRule="auto"/>
        <w:rPr>
          <w:sz w:val="20"/>
          <w:szCs w:val="20"/>
          <w:color w:val="auto"/>
        </w:rPr>
      </w:pPr>
      <w:r>
        <w:rPr>
          <w:rFonts w:ascii="Arial" w:cs="Arial" w:eastAsia="Arial" w:hAnsi="Arial"/>
          <w:sz w:val="18"/>
          <w:szCs w:val="18"/>
          <w:b w:val="1"/>
          <w:bCs w:val="1"/>
          <w:i w:val="1"/>
          <w:iCs w:val="1"/>
          <w:color w:val="auto"/>
        </w:rPr>
        <w:t>Our reliance on third parties may require us to share our trade secrets, which increases the possibility that our competitors will discover them or that our trade secrets will be misappropriated or disclosed.</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Because we currently rely on third parties in the course of our business, we may share our proprietary technology and confidential information, including trade secrets, with them. We seek to protect our proprietary technology, in part, by entering into confidentiality agreements, and, if applicable, material transfer agreements, collaborative research agreements, consulting agreements, invention assignment or other similar agreements with our collaborators, advisors, employees, consultants and other third parties prior to beginning research or disclosing trade secrets or proprietary information. These agreements typically limit the rights of the third parties to use or disclose our trade secrets and confidential information. Despite the contractual provisions employed when working with third parties, the need to share trade secrets and other confidential information increases the risk that such trade secrets become known by our competitors, are intentionally or inadvertently incorporated into the technology of others or are disclosed or used in violation of these agreements. Given that our proprietary position is based, in part, on our know-how and trade secrets and despite our efforts to protect our trade secrets, our competitors’ discovery of our proprietary technology, trade secrets or confidential information or other unauthorized use or disclosure of such information would impair our competitive position and may have a material adverse effect on our business, financial condition, results of operations and prospects.</w:t>
      </w:r>
    </w:p>
    <w:p>
      <w:pPr>
        <w:spacing w:after="0" w:line="290" w:lineRule="exact"/>
        <w:rPr>
          <w:sz w:val="20"/>
          <w:szCs w:val="20"/>
          <w:color w:val="auto"/>
        </w:rPr>
      </w:pPr>
    </w:p>
    <w:p>
      <w:pPr>
        <w:ind w:left="560" w:right="180"/>
        <w:spacing w:after="0" w:line="277"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From time to time, we evaluate various acquisition opportunities and strategic partnerships, including licensing or acquiring complementary</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products, intellectual property rights, technologies or businesses. Any potential acquisition or strategic partnership may entail numerous risks, including:</w:t>
      </w:r>
    </w:p>
    <w:p>
      <w:pPr>
        <w:spacing w:after="0" w:line="139"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130"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integrating new personnel;</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diversion of our management’s attention from our existing programs and initiatives in pursuing such a strategic merger or acquisition;</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marketing approvals; and</w:t>
      </w:r>
    </w:p>
    <w:p>
      <w:pPr>
        <w:spacing w:after="0" w:line="75"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70" w:lineRule="exact"/>
        <w:rPr>
          <w:sz w:val="20"/>
          <w:szCs w:val="20"/>
          <w:color w:val="auto"/>
        </w:rPr>
      </w:pPr>
    </w:p>
    <w:p>
      <w:pPr>
        <w:ind w:left="120" w:right="220" w:firstLine="440"/>
        <w:spacing w:after="0" w:line="308" w:lineRule="auto"/>
        <w:rPr>
          <w:sz w:val="20"/>
          <w:szCs w:val="20"/>
          <w:color w:val="auto"/>
        </w:rPr>
      </w:pPr>
      <w:r>
        <w:rPr>
          <w:rFonts w:ascii="Arial" w:cs="Arial" w:eastAsia="Arial" w:hAnsi="Arial"/>
          <w:sz w:val="17"/>
          <w:szCs w:val="17"/>
          <w:color w:val="auto"/>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spacing w:after="0" w:line="254" w:lineRule="exact"/>
        <w:rPr>
          <w:sz w:val="20"/>
          <w:szCs w:val="20"/>
          <w:color w:val="auto"/>
        </w:rPr>
      </w:pPr>
    </w:p>
    <w:p>
      <w:pPr>
        <w:ind w:left="560" w:right="180"/>
        <w:spacing w:after="0" w:line="277" w:lineRule="auto"/>
        <w:rPr>
          <w:sz w:val="20"/>
          <w:szCs w:val="20"/>
          <w:color w:val="auto"/>
        </w:rPr>
      </w:pPr>
      <w:r>
        <w:rPr>
          <w:rFonts w:ascii="Arial" w:cs="Arial" w:eastAsia="Arial" w:hAnsi="Arial"/>
          <w:sz w:val="18"/>
          <w:szCs w:val="18"/>
          <w:b w:val="1"/>
          <w:bCs w:val="1"/>
          <w:i w:val="1"/>
          <w:iCs w:val="1"/>
          <w:color w:val="auto"/>
        </w:rPr>
        <w:t>If we decide to establish collaborations, but are not able to establish those collaborations on commercially reasonable terms, we may have to alter our development and commercialization plans.</w:t>
      </w:r>
    </w:p>
    <w:p>
      <w:pPr>
        <w:spacing w:after="0" w:line="62"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Our drug development programs and the potential commercialization of our product candidates will require substantial additional cash to fund expenses. We strategically evaluate collaborations and partnerships with biopharmaceutical companies that may have more robust and complementary capabilities and resources to accelerate the development and maximize the availability and potential of our product candidates, particularly for more prevalent indications. The relationships may require us to incur non-recurring and other charges, increase our near- and long-term expenditures, issue securities that dilute our existing stockholders, or disrupt our management and business.</w:t>
      </w:r>
    </w:p>
    <w:p>
      <w:pPr>
        <w:spacing w:after="0" w:line="176"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We would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product candidates because they may be deemed to be at too early of a stage of development for collaborative effort and third parties may not view them as having the requisite potential to demonstrate safety and efficacy.</w:t>
      </w:r>
    </w:p>
    <w:p>
      <w:pPr>
        <w:spacing w:after="0" w:line="168"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00"/>
          </w:cols>
          <w:pgMar w:left="320" w:top="459" w:right="4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If and when we seek to enter into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72" w:lineRule="exact"/>
        <w:rPr>
          <w:sz w:val="20"/>
          <w:szCs w:val="20"/>
          <w:color w:val="auto"/>
        </w:rPr>
      </w:pPr>
    </w:p>
    <w:p>
      <w:pPr>
        <w:ind w:left="560" w:right="140"/>
        <w:spacing w:after="0" w:line="308" w:lineRule="auto"/>
        <w:rPr>
          <w:sz w:val="20"/>
          <w:szCs w:val="20"/>
          <w:color w:val="auto"/>
        </w:rPr>
      </w:pPr>
      <w:r>
        <w:rPr>
          <w:rFonts w:ascii="Arial" w:cs="Arial" w:eastAsia="Arial" w:hAnsi="Arial"/>
          <w:sz w:val="17"/>
          <w:szCs w:val="17"/>
          <w:b w:val="1"/>
          <w:bCs w:val="1"/>
          <w:i w:val="1"/>
          <w:iCs w:val="1"/>
          <w:color w:val="auto"/>
        </w:rPr>
        <w:t>We may enter into collaborations with third parties for the development and commercialization of product candidates. If those collaborations are not successful, we may not be able to capitalize on the market potential of these product candidates.</w:t>
      </w:r>
    </w:p>
    <w:p>
      <w:pPr>
        <w:spacing w:after="0" w:line="3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If we enter into any collaboration arrangements with any third parties,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would pose numerous risks to us, including the following:</w:t>
      </w:r>
    </w:p>
    <w:p>
      <w:pPr>
        <w:spacing w:after="0" w:line="92" w:lineRule="exact"/>
        <w:rPr>
          <w:sz w:val="20"/>
          <w:szCs w:val="20"/>
          <w:color w:val="auto"/>
        </w:rPr>
      </w:pPr>
    </w:p>
    <w:p>
      <w:pPr>
        <w:ind w:left="1080" w:right="400" w:hanging="532"/>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and the manner in which they perform their obligations under, these collaborations and may not perform their obligations as expected;</w:t>
      </w:r>
    </w:p>
    <w:p>
      <w:pPr>
        <w:spacing w:after="0" w:line="75"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business combination or sale or disposition of a business unit or development function, or available funding or external factors such as an acquisition that diverts resources or creates competing priorities;</w:t>
      </w:r>
    </w:p>
    <w:p>
      <w:pPr>
        <w:spacing w:after="0" w:line="92" w:lineRule="exact"/>
        <w:rPr>
          <w:rFonts w:ascii="Arial" w:cs="Arial" w:eastAsia="Arial" w:hAnsi="Arial"/>
          <w:sz w:val="18"/>
          <w:szCs w:val="18"/>
          <w:color w:val="auto"/>
        </w:rPr>
      </w:pPr>
    </w:p>
    <w:p>
      <w:pPr>
        <w:ind w:left="1080" w:right="280" w:hanging="532"/>
        <w:spacing w:after="0" w:line="308" w:lineRule="auto"/>
        <w:tabs>
          <w:tab w:leader="none" w:pos="10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1" w:lineRule="exact"/>
        <w:rPr>
          <w:rFonts w:ascii="Arial" w:cs="Arial" w:eastAsia="Arial" w:hAnsi="Arial"/>
          <w:sz w:val="17"/>
          <w:szCs w:val="17"/>
          <w:color w:val="auto"/>
        </w:rPr>
      </w:pPr>
    </w:p>
    <w:p>
      <w:pPr>
        <w:ind w:left="1080" w:right="280" w:hanging="532"/>
        <w:spacing w:after="0" w:line="263"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89" w:lineRule="exact"/>
        <w:rPr>
          <w:rFonts w:ascii="Arial" w:cs="Arial" w:eastAsia="Arial" w:hAnsi="Arial"/>
          <w:sz w:val="18"/>
          <w:szCs w:val="18"/>
          <w:color w:val="auto"/>
        </w:rPr>
      </w:pPr>
    </w:p>
    <w:p>
      <w:pPr>
        <w:ind w:left="1080" w:right="580" w:hanging="532"/>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multiple products may not commit sufficient resources to the marketing and distribution of our product relative to other products;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may grant exclusive rights to our collaborators that would prevent us from collaborating with others;</w:t>
      </w:r>
    </w:p>
    <w:p>
      <w:pPr>
        <w:spacing w:after="0" w:line="130" w:lineRule="exact"/>
        <w:rPr>
          <w:rFonts w:ascii="Arial" w:cs="Arial" w:eastAsia="Arial" w:hAnsi="Arial"/>
          <w:sz w:val="18"/>
          <w:szCs w:val="18"/>
          <w:color w:val="auto"/>
        </w:rPr>
      </w:pPr>
    </w:p>
    <w:p>
      <w:pPr>
        <w:ind w:left="1080" w:right="440" w:hanging="532"/>
        <w:spacing w:after="0" w:line="259"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collaborators may not properly obtain, maintain, defend, protect or enforce our intellectual property rights or may use our proprietary information and intellectual property in such a way as to invite litigation or other intellectual property-related proceedings that could jeopardize or invalidate our proprietary information and intellectual property or expose us to potential litigation or other intellectual property related proceedings;</w:t>
      </w:r>
    </w:p>
    <w:p>
      <w:pPr>
        <w:spacing w:after="0" w:line="92" w:lineRule="exact"/>
        <w:rPr>
          <w:rFonts w:ascii="Arial" w:cs="Arial" w:eastAsia="Arial" w:hAnsi="Arial"/>
          <w:sz w:val="18"/>
          <w:szCs w:val="18"/>
          <w:color w:val="auto"/>
        </w:rPr>
      </w:pPr>
    </w:p>
    <w:p>
      <w:pPr>
        <w:ind w:left="1080" w:right="720" w:hanging="532"/>
        <w:spacing w:after="0" w:line="263"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89" w:lineRule="exact"/>
        <w:rPr>
          <w:rFonts w:ascii="Arial" w:cs="Arial" w:eastAsia="Arial" w:hAnsi="Arial"/>
          <w:sz w:val="18"/>
          <w:szCs w:val="18"/>
          <w:color w:val="auto"/>
        </w:rPr>
      </w:pPr>
    </w:p>
    <w:p>
      <w:pPr>
        <w:ind w:left="1080" w:right="820" w:hanging="532"/>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collaboration agreements may not lead to development or commercialization of product candidates in the most efficient manner or at all;</w:t>
      </w:r>
    </w:p>
    <w:p>
      <w:pPr>
        <w:spacing w:after="0" w:line="153" w:lineRule="exact"/>
        <w:rPr>
          <w:rFonts w:ascii="Arial" w:cs="Arial" w:eastAsia="Arial" w:hAnsi="Arial"/>
          <w:sz w:val="16"/>
          <w:szCs w:val="16"/>
          <w:color w:val="auto"/>
        </w:rPr>
      </w:pPr>
    </w:p>
    <w:p>
      <w:pPr>
        <w:ind w:left="1080" w:right="640" w:hanging="532"/>
        <w:spacing w:after="0" w:line="263"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collaborators may not provide us with timely and accurate information regarding development progress and activities under the collaboration or may limit our ability to share such information, which could adversely impact our ability to report progress to our investors and otherwise plan our own development of our product candidates;</w:t>
      </w:r>
    </w:p>
    <w:p>
      <w:pPr>
        <w:spacing w:after="0" w:line="89" w:lineRule="exact"/>
        <w:rPr>
          <w:rFonts w:ascii="Arial" w:cs="Arial" w:eastAsia="Arial" w:hAnsi="Arial"/>
          <w:sz w:val="18"/>
          <w:szCs w:val="18"/>
          <w:color w:val="auto"/>
        </w:rPr>
      </w:pPr>
    </w:p>
    <w:p>
      <w:pPr>
        <w:ind w:left="1080" w:right="280" w:hanging="532"/>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75" w:lineRule="exact"/>
        <w:rPr>
          <w:rFonts w:ascii="Arial" w:cs="Arial" w:eastAsia="Arial" w:hAnsi="Arial"/>
          <w:sz w:val="18"/>
          <w:szCs w:val="18"/>
          <w:color w:val="auto"/>
        </w:rPr>
      </w:pPr>
    </w:p>
    <w:p>
      <w:pPr>
        <w:ind w:left="1080" w:right="480" w:hanging="532"/>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170"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If we enter into collaborations to develop and potentially commercialize any product candidates, we may not be able to realize the benefit of such transactions if we or our collaborator elect not to exercise the rights granted under the agreement or if we or our collaborator are unable to successfully integrate a product candidate into existing operations and company culture.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spacing w:after="0" w:line="289" w:lineRule="exact"/>
        <w:rPr>
          <w:sz w:val="20"/>
          <w:szCs w:val="20"/>
          <w:color w:val="auto"/>
        </w:rPr>
      </w:pPr>
    </w:p>
    <w:p>
      <w:pPr>
        <w:ind w:left="560" w:right="100"/>
        <w:spacing w:after="0" w:line="375" w:lineRule="auto"/>
        <w:rPr>
          <w:sz w:val="20"/>
          <w:szCs w:val="20"/>
          <w:color w:val="auto"/>
        </w:rPr>
      </w:pPr>
      <w:r>
        <w:rPr>
          <w:rFonts w:ascii="Arial" w:cs="Arial" w:eastAsia="Arial" w:hAnsi="Arial"/>
          <w:sz w:val="15"/>
          <w:szCs w:val="15"/>
          <w:b w:val="1"/>
          <w:bCs w:val="1"/>
          <w:i w:val="1"/>
          <w:iCs w:val="1"/>
          <w:color w:val="auto"/>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1" w:lineRule="exact"/>
        <w:rPr>
          <w:sz w:val="20"/>
          <w:szCs w:val="20"/>
          <w:color w:val="auto"/>
        </w:rPr>
      </w:pPr>
    </w:p>
    <w:p>
      <w:pPr>
        <w:ind w:left="120" w:right="220" w:firstLine="440"/>
        <w:spacing w:after="0" w:line="301" w:lineRule="auto"/>
        <w:rPr>
          <w:sz w:val="20"/>
          <w:szCs w:val="20"/>
          <w:color w:val="auto"/>
        </w:rPr>
      </w:pPr>
      <w:r>
        <w:rPr>
          <w:rFonts w:ascii="Arial" w:cs="Arial" w:eastAsia="Arial" w:hAnsi="Arial"/>
          <w:sz w:val="16"/>
          <w:szCs w:val="16"/>
          <w:color w:val="auto"/>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collaborators for, some of our product candidates if and when they are approved.</w:t>
      </w:r>
    </w:p>
    <w:p>
      <w:pPr>
        <w:spacing w:after="0" w:line="15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Factors that may inhibit our efforts to commercialize any approved product on our own include:</w:t>
      </w:r>
    </w:p>
    <w:p>
      <w:pPr>
        <w:spacing w:after="0" w:line="131" w:lineRule="exact"/>
        <w:rPr>
          <w:sz w:val="20"/>
          <w:szCs w:val="20"/>
          <w:color w:val="auto"/>
        </w:rPr>
      </w:pPr>
    </w:p>
    <w:p>
      <w:pPr>
        <w:ind w:left="1080" w:right="180" w:hanging="532"/>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marketing, reimbursement, compliance, customer service, medical affairs and other support personnel;</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inability to recruit and build a commercial infrastructure due to the impacts of COVID-19;</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any future approved products;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00"/>
          </w:cols>
          <w:pgMar w:left="320" w:top="459" w:right="4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60" w:hanging="532"/>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inability of reimbursement professionals to negotiate arrangements for formulary access, reimbursement, and other acceptance by payors;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inability to price our products at a sufficient price point to ensure an adequate and attractive level of profitability;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restricted or closed distribution channels that make it difficult to distribute our products to segments of the patient population;</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commercialization organization.</w:t>
      </w:r>
    </w:p>
    <w:p>
      <w:pPr>
        <w:spacing w:after="0" w:line="225"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 and our business would be seriously harmed.</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229" w:lineRule="exact"/>
        <w:rPr>
          <w:sz w:val="20"/>
          <w:szCs w:val="20"/>
          <w:color w:val="auto"/>
        </w:rPr>
      </w:pPr>
    </w:p>
    <w:p>
      <w:pPr>
        <w:ind w:left="560" w:right="520"/>
        <w:spacing w:after="0" w:line="308" w:lineRule="auto"/>
        <w:rPr>
          <w:sz w:val="20"/>
          <w:szCs w:val="20"/>
          <w:color w:val="auto"/>
        </w:rPr>
      </w:pPr>
      <w:r>
        <w:rPr>
          <w:rFonts w:ascii="Arial" w:cs="Arial" w:eastAsia="Arial" w:hAnsi="Arial"/>
          <w:sz w:val="17"/>
          <w:szCs w:val="17"/>
          <w:b w:val="1"/>
          <w:bCs w:val="1"/>
          <w:i w:val="1"/>
          <w:iCs w:val="1"/>
          <w:color w:val="auto"/>
        </w:rPr>
        <w:t>We do not know whether an active, liquid and orderly trading market will develop for our common stock or what the market price of our common stock will be and as a result it may be difficult for you to sell your shares of our common stock.</w:t>
      </w:r>
    </w:p>
    <w:p>
      <w:pPr>
        <w:spacing w:after="0" w:line="38"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Prior to this offering, no market for shares of our common stock existed and an active trading market for our shares may never develop or be sustained following this offering. We will determine the initial public offering price for our common stock through negotiations with the representatives of the underwriters, and the negotiated price may not be indicative of the market price of our common stock after this offering. The market value of our common stock may decrease from the initial public offering price. As a result of these and other factors, you may be unable to resell your shares of our common stock at or above the initial public offering price.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technologies or other assets by using our shares of common stock as consideration.</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The price of our stock may be volatile, and you could lose all or part of your investment.</w:t>
      </w:r>
    </w:p>
    <w:p>
      <w:pPr>
        <w:spacing w:after="0" w:line="117"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The trading price of our common stock following this offering is likely to be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w:t>
      </w:r>
    </w:p>
    <w:p>
      <w:pPr>
        <w:spacing w:after="0" w:line="149"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Broad market and industry factors may negatively affect the market price of our common stock, regardless of our actual operating performance. In addition to the factors discussed in this “Risk Factors” section and elsewhere in this prospectus, these factors include:</w:t>
      </w:r>
    </w:p>
    <w:p>
      <w:pPr>
        <w:spacing w:after="0" w:line="76" w:lineRule="exact"/>
        <w:rPr>
          <w:sz w:val="20"/>
          <w:szCs w:val="20"/>
          <w:color w:val="auto"/>
        </w:rPr>
      </w:pPr>
    </w:p>
    <w:p>
      <w:pPr>
        <w:ind w:left="1080" w:right="300" w:hanging="532"/>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timing and results of preclinical studies and clinical trials of our product candidates, those conducted by third parties or those of our competitors;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40"/>
          </w:cols>
          <w:pgMar w:left="32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success of competitive products or announcements by potential competitors of their product development efforts;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intellectual property or proprietary rights;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30" w:lineRule="exact"/>
        <w:rPr>
          <w:rFonts w:ascii="Arial" w:cs="Arial" w:eastAsia="Arial" w:hAnsi="Arial"/>
          <w:sz w:val="18"/>
          <w:szCs w:val="18"/>
          <w:color w:val="auto"/>
        </w:rPr>
      </w:pPr>
    </w:p>
    <w:p>
      <w:pPr>
        <w:ind w:left="1080" w:right="540" w:hanging="532"/>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impact of any natural disasters or public health emergencies, such as the COVID-19 pandemic;</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availability of fiscal and monetary stimulus measures to counteract the impact of natural disasters or public health emergencies, such as the COVID-19 pandemic;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general economic, political, industry and market conditions.</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realization of any of the above risks or any of a broad range of other risks, including those described in this “Risk Factors” section, could have a dramatic and adverse impact on the market price of our common stock.</w:t>
      </w:r>
    </w:p>
    <w:p>
      <w:pPr>
        <w:spacing w:after="0" w:line="278" w:lineRule="exact"/>
        <w:rPr>
          <w:sz w:val="20"/>
          <w:szCs w:val="20"/>
          <w:color w:val="auto"/>
        </w:rPr>
      </w:pPr>
    </w:p>
    <w:p>
      <w:pPr>
        <w:ind w:left="560" w:right="12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62"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after the closing of this offering, our underlying stock price and stock price volatility, the magnitude of the expense that we must recognize may vary significantly.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Furthermore, our operating results may fluctuate due to a variety of other factors, many of which are outside of our control and may be difficult to predict, including the following:</w:t>
      </w:r>
    </w:p>
    <w:p>
      <w:pPr>
        <w:spacing w:after="0" w:line="76" w:lineRule="exact"/>
        <w:rPr>
          <w:sz w:val="20"/>
          <w:szCs w:val="20"/>
          <w:color w:val="auto"/>
        </w:rPr>
      </w:pPr>
    </w:p>
    <w:p>
      <w:pPr>
        <w:ind w:left="1080" w:hanging="532"/>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activities relating to our programs, product candidates and any future programs and product candidates, which will change from time to time;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ability to enroll patients in clinical trials and the timing of enrollment;</w:t>
      </w:r>
    </w:p>
    <w:p>
      <w:pPr>
        <w:spacing w:after="0" w:line="130" w:lineRule="exact"/>
        <w:rPr>
          <w:rFonts w:ascii="Arial" w:cs="Arial" w:eastAsia="Arial" w:hAnsi="Arial"/>
          <w:sz w:val="18"/>
          <w:szCs w:val="18"/>
          <w:color w:val="auto"/>
        </w:rPr>
      </w:pPr>
    </w:p>
    <w:p>
      <w:pPr>
        <w:ind w:left="1080" w:right="180" w:hanging="532"/>
        <w:spacing w:after="0" w:line="263"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cost of establishing and operating a manufacturing facility and manufacturing our product candidates and any future product candidates, which may vary depending on FDA, EMA or other comparable foreign regulatory authority guidelines and requirements, the quantity of production and the terms of our agreements with manufacturers;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expenditures that we will or may incur to acquire or develop additional product candidates and technologies or other assets;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timing and outcomes of clinical trials for our product candidates, or competing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need to conduct unanticipated clinical trials or trials that are larger or more complex than anticipated;</w:t>
      </w:r>
    </w:p>
    <w:p>
      <w:pPr>
        <w:spacing w:after="0" w:line="130" w:lineRule="exact"/>
        <w:rPr>
          <w:rFonts w:ascii="Arial" w:cs="Arial" w:eastAsia="Arial" w:hAnsi="Arial"/>
          <w:sz w:val="18"/>
          <w:szCs w:val="18"/>
          <w:color w:val="auto"/>
        </w:rPr>
      </w:pPr>
    </w:p>
    <w:p>
      <w:pPr>
        <w:ind w:left="1080" w:right="580" w:hanging="532"/>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competition from existing and potential future products that compete with our programs and product candidates, and changes in the competitive landscape of our industry, including consolidation among our competitors or partners;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delays in regulatory review or approval of our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level of demand for our product candidates, if approved, which may fluctuate significantly and be difficult to predict;</w:t>
      </w:r>
    </w:p>
    <w:p>
      <w:pPr>
        <w:spacing w:after="0" w:line="130"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risk/benefit profile, cost and reimbursement policies with respect to our product candidates, if approved, and existing and potential future products that compete with any of our product candidates;</w:t>
      </w:r>
    </w:p>
    <w:p>
      <w:pPr>
        <w:spacing w:after="0" w:line="75" w:lineRule="exact"/>
        <w:rPr>
          <w:rFonts w:ascii="Arial" w:cs="Arial" w:eastAsia="Arial" w:hAnsi="Arial"/>
          <w:sz w:val="18"/>
          <w:szCs w:val="18"/>
          <w:color w:val="auto"/>
        </w:rPr>
      </w:pPr>
    </w:p>
    <w:p>
      <w:pPr>
        <w:ind w:left="1080" w:right="280" w:hanging="532"/>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ability to commercialize any of our product candidates, if approved, inside and outside of the United States, either independently or working with third parties;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licensing or other arrangements;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ability to adequately support future growth;</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potential unforeseen business disruptions that increase our costs or expenses;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changing and volatile global economic and political environment; and</w:t>
      </w:r>
    </w:p>
    <w:p>
      <w:pPr>
        <w:spacing w:after="0" w:line="130" w:lineRule="exact"/>
        <w:rPr>
          <w:rFonts w:ascii="Arial" w:cs="Arial" w:eastAsia="Arial" w:hAnsi="Arial"/>
          <w:sz w:val="18"/>
          <w:szCs w:val="18"/>
          <w:color w:val="auto"/>
        </w:rPr>
      </w:pPr>
    </w:p>
    <w:p>
      <w:pPr>
        <w:ind w:left="1080" w:right="520" w:hanging="532"/>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increased impact from COVID-19 on the costs and timing associated with the conduct of our clinical trial and other related business activities.</w:t>
      </w:r>
    </w:p>
    <w:p>
      <w:pPr>
        <w:spacing w:after="0" w:line="17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56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As of June 30, 2021, our executive officers, directors, holders of 5% or more of our capital stock and their respective affiliates beneficially owned approximately 66.3% of our common stock and, upon the closing of this offering, that same group will beneficially own approximately 48.7% of our outstanding common stock (based on the number of shares of common stock outstanding as of June 30, 2021 assuming no exercise of the underwriters’ option to purchase additional shares, no exercise of outstanding options and no purchases of shares in this offering by any of this group), in each case assuming the conversion of all outstanding shares of our convertible preferred stock into shares of our common stock immediately prior to the closing of this offering. These stockholders, acting together, may be able to control matters requiring stockholder approval. For example, they may be able to control elections of directors, amendments of our organizational documents or approval of any merger, sale of assets or other major corporate transactions. This concentration of ownership control may delay, discourage or prevent a change of control, including unsolicited acquisition proposals or offers for our common stock that you may feel are in your best interest as one of our stockholders, entrench our management and board of directors or delay or prevent a merger, consolidation, takeover or other business combination involving us that other stockholders may desire.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29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Participation in this offering by our existing stockholders and/or their affiliated entities may reduce the public float for our common stock.</w:t>
      </w:r>
    </w:p>
    <w:p>
      <w:pPr>
        <w:spacing w:after="0" w:line="140"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To the extent certain of our existing stockholders who are our affiliates or their affiliated entities participate in this offering, such purchases would reduce the non-affiliate public float of our common stock after this offering, which is the number of shares of our common stock that are not held by officers, directors and affiliated stockholders. A reduction in the public float could reduce the number of shares that are available to be traded at any given time, thereby adversely impacting the liquidity of our common stock and depressing the price at which you may be able to sell shares of common stock purchased in this offering.</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You will incur immediate and substantial dilution as a result of this offering.</w:t>
      </w:r>
    </w:p>
    <w:p>
      <w:pPr>
        <w:spacing w:after="0" w:line="117"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If you purchase common stock in this offering, you will incur immediate and substantial dilution of approximately $7.43 per share, representing the difference between the assumed initial public offering price of $15.00 per share, which is the midpoint of the estimated offering price range set forth on the cover page of this prospectus, after deducting the underwriting discounts and commissions and estimated offering expenses payable by us, and our pro forma net tangible book value per share as of March 31, 2021 after giving effect to this offering and the automatic conversion of all outstanding shares of our convertible preferred stock immediately prior to the closing of this offering. As of March 31, 2021, there were 1,727,968 shares subject to outstanding options with a weighted-average exercise price of $3.06 per share. To the extent that these outstanding options or other options that we have issued or may issue in the future are ultimately exercised or the underwriters exercise their option to purchase additional shares, you will incur further dilution. See the section of this prospectus titled “Dilution” for a further description of the dilution you will experience immediately after this offering.</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After this offering, we will have 37,324,727 outstanding shares of common stock, based on the number of shares outstanding as of March 31, 2021, assuming: (1) no exercise of the underwriters’ option to purchase additional shares and (2) the conversion of all outstanding shares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90" w:lineRule="auto"/>
        <w:rPr>
          <w:sz w:val="20"/>
          <w:szCs w:val="20"/>
          <w:color w:val="auto"/>
        </w:rPr>
      </w:pPr>
      <w:r>
        <w:rPr>
          <w:rFonts w:ascii="Arial" w:cs="Arial" w:eastAsia="Arial" w:hAnsi="Arial"/>
          <w:sz w:val="16"/>
          <w:szCs w:val="16"/>
          <w:color w:val="auto"/>
        </w:rPr>
        <w:t>of our convertible preferred stock into shares of common stock immediately prior to the closing of this offering. This includes the shares that we sell in this offering, which may be resold in the public market immediately without restriction, unless purchased by our affiliates. Of the remaining shares, 27,324,727 shares of our common stock are currently restricted as a result of securities laws or market stand-off or lock-up agreements but will be able to be sold after this offering as described in the “Shares Eligible for Future Sale” section of this prospectus. Moreover, after this offering, holders of an aggregate of 26,102,278 shares of our common stock will have rights, subject to certain conditions, to require us to file registration statements covering their shares or to include their shares in registration statements that we may file for ourselves or other stockholders. We also intend to register all shares of common stock that we may issue under our equity incentive plans. Once we register these shares, they can be freely sold in the public market upon issuance, subject to volume limitations applicable to affiliates and the lock-up agreements described in the “Underwriters” section of this prospectus.</w:t>
      </w:r>
    </w:p>
    <w:p>
      <w:pPr>
        <w:spacing w:after="0" w:line="165"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Our executive officers, directors and the holders of substantially all of our capital stock and securities convertible into or exchangeable for our capital stock have entered into market stand-off agreements with us and lock-up agreements with the underwriters under which they have agreed, subject to specific exceptions described in the section titled “Underwriters,” not to sell, directly or indirectly, any shares of common stock without the permission of the underwriters for a period of 180 days following the date of this prospectus. We refer to such period as the lock-up period or restricted period. When the lock-up period expires, we and our securityholders subject to a lock-up agreement or market stand-off agreement will be able to sell our shares in the public market. In addition, the underwriters may, in their sole discretion, release all or some portion of the shares subject to lock-up agreements at any time and for any reason. See the description of the market stand-off agreement with us and the lock-up agreement with the underwriters in the section of this prospectus titled “Shares Eligible for Future Sale” for more information. Sales of a substantial number of such shares upon expiration of the lock-up and market stand-off agreements, the perception that such sales may occur, or early release of these agreements, could cause our market price to fall or make it more difficult for you to sell your common stock at a time and price that you deem appropriate.</w:t>
      </w:r>
    </w:p>
    <w:p>
      <w:pPr>
        <w:spacing w:after="0" w:line="276" w:lineRule="exact"/>
        <w:rPr>
          <w:sz w:val="20"/>
          <w:szCs w:val="20"/>
          <w:color w:val="auto"/>
        </w:rPr>
      </w:pPr>
    </w:p>
    <w:p>
      <w:pPr>
        <w:ind w:left="560" w:right="200"/>
        <w:spacing w:after="0" w:line="375" w:lineRule="auto"/>
        <w:rPr>
          <w:sz w:val="20"/>
          <w:szCs w:val="20"/>
          <w:color w:val="auto"/>
        </w:rPr>
      </w:pPr>
      <w:r>
        <w:rPr>
          <w:rFonts w:ascii="Arial" w:cs="Arial" w:eastAsia="Arial" w:hAnsi="Arial"/>
          <w:sz w:val="15"/>
          <w:szCs w:val="15"/>
          <w:b w:val="1"/>
          <w:bCs w:val="1"/>
          <w:i w:val="1"/>
          <w:iCs w:val="1"/>
          <w:color w:val="auto"/>
        </w:rPr>
        <w:t>We are an “emerging growth company” and a “smaller reporting company” and we cannot be certain if the reduced reporting requirements applicable to emerging growth companies and smaller reporting companies will make our common stock less attractive to investors.</w:t>
      </w:r>
    </w:p>
    <w:p>
      <w:pPr>
        <w:spacing w:after="0" w:line="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are an “emerging growth company,” as defined in the Jumpstart Our Business Startups Act of 2012 (JOBS Act). For as long as we continue to be an emerging growth company, we intend to take advantage of exemptions from various reporting requirements that are applicable to other public companies that are not emerging growth companies, including:</w:t>
      </w:r>
    </w:p>
    <w:p>
      <w:pPr>
        <w:spacing w:after="0" w:line="89" w:lineRule="exact"/>
        <w:rPr>
          <w:sz w:val="20"/>
          <w:szCs w:val="20"/>
          <w:color w:val="auto"/>
        </w:rPr>
      </w:pPr>
    </w:p>
    <w:p>
      <w:pPr>
        <w:ind w:left="1080" w:right="380" w:hanging="532"/>
        <w:spacing w:after="0" w:line="263"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89" w:lineRule="exact"/>
        <w:rPr>
          <w:rFonts w:ascii="Arial" w:cs="Arial" w:eastAsia="Arial" w:hAnsi="Arial"/>
          <w:sz w:val="18"/>
          <w:szCs w:val="18"/>
          <w:color w:val="auto"/>
        </w:rPr>
      </w:pPr>
    </w:p>
    <w:p>
      <w:pPr>
        <w:ind w:left="1080" w:right="420" w:hanging="532"/>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of 2002, as amended (Sarbanes-Oxley Act);</w:t>
      </w:r>
    </w:p>
    <w:p>
      <w:pPr>
        <w:spacing w:after="0" w:line="75" w:lineRule="exact"/>
        <w:rPr>
          <w:rFonts w:ascii="Arial" w:cs="Arial" w:eastAsia="Arial" w:hAnsi="Arial"/>
          <w:sz w:val="18"/>
          <w:szCs w:val="18"/>
          <w:color w:val="auto"/>
        </w:rPr>
      </w:pPr>
    </w:p>
    <w:p>
      <w:pPr>
        <w:ind w:left="1080" w:right="260" w:hanging="532"/>
        <w:spacing w:after="0" w:line="263"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reduced disclosure obligations regarding executive compensation in this prospectus and our periodic reports and proxy statements; and</w:t>
      </w:r>
    </w:p>
    <w:p>
      <w:pPr>
        <w:spacing w:after="0" w:line="153" w:lineRule="exact"/>
        <w:rPr>
          <w:rFonts w:ascii="Arial" w:cs="Arial" w:eastAsia="Arial" w:hAnsi="Arial"/>
          <w:sz w:val="16"/>
          <w:szCs w:val="16"/>
          <w:color w:val="auto"/>
        </w:rPr>
      </w:pPr>
    </w:p>
    <w:p>
      <w:pPr>
        <w:ind w:left="1080" w:right="60" w:hanging="532"/>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stockholder votes on executive compensation and stockholder approval of any golden parachute payments not previously approved.</w:t>
      </w:r>
    </w:p>
    <w:p>
      <w:pPr>
        <w:spacing w:after="0" w:line="170"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avail ourselves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this exemption from new or revised accounting standards and, therefore, will not be subject to the same new or revised accounting standards as other public companies that are not emerging growth companies. As a result, our financial statements may not be comparable to companies that comply with the new or revised accounting pronouncements as of public company effective dates.</w:t>
      </w:r>
    </w:p>
    <w:p>
      <w:pPr>
        <w:spacing w:after="0" w:line="184" w:lineRule="exact"/>
        <w:rPr>
          <w:sz w:val="20"/>
          <w:szCs w:val="20"/>
          <w:color w:val="auto"/>
        </w:rPr>
      </w:pPr>
    </w:p>
    <w:p>
      <w:pPr>
        <w:ind w:left="120" w:right="380" w:firstLine="440"/>
        <w:spacing w:after="0" w:line="259" w:lineRule="auto"/>
        <w:rPr>
          <w:sz w:val="20"/>
          <w:szCs w:val="20"/>
          <w:color w:val="auto"/>
        </w:rPr>
      </w:pPr>
      <w:r>
        <w:rPr>
          <w:rFonts w:ascii="Arial" w:cs="Arial" w:eastAsia="Arial" w:hAnsi="Arial"/>
          <w:sz w:val="18"/>
          <w:szCs w:val="18"/>
          <w:color w:val="auto"/>
        </w:rPr>
        <w:t>We will remain an emerging growth company until the earliest to occur of: (1) the last day of the fiscal year in which we have more than $1.07 billion in annual revenue; (2) the date we qualify as a “large accelerated filer,” with at least $700.0 million of equity securities held by non-affiliates; (3) the date on which we have issued more than $1.0 billion in non-convertible debt securities during the prior three-year period; and (4) the last day of the fiscal year ending after the fifth anniversary of our initial public offering.</w:t>
      </w:r>
    </w:p>
    <w:p>
      <w:pPr>
        <w:spacing w:after="0" w:line="187" w:lineRule="exact"/>
        <w:rPr>
          <w:sz w:val="20"/>
          <w:szCs w:val="20"/>
          <w:color w:val="auto"/>
        </w:rPr>
      </w:pPr>
    </w:p>
    <w:p>
      <w:pPr>
        <w:ind w:left="120" w:right="280" w:firstLine="440"/>
        <w:spacing w:after="0" w:line="301" w:lineRule="auto"/>
        <w:rPr>
          <w:sz w:val="20"/>
          <w:szCs w:val="20"/>
          <w:color w:val="auto"/>
        </w:rPr>
      </w:pPr>
      <w:r>
        <w:rPr>
          <w:rFonts w:ascii="Arial" w:cs="Arial" w:eastAsia="Arial" w:hAnsi="Arial"/>
          <w:sz w:val="16"/>
          <w:szCs w:val="16"/>
          <w:color w:val="auto"/>
        </w:rPr>
        <w:t>Even after we no longer qualify as an emerging growth company, we may still qualify as a “smaller reporting company,” as defined in the Securities Exchange Act of 1934, as amended (Exchange Act), which would allow us to continue to take advantage of many of the same exemptions from disclosure requirements, including not being required to comply with the auditor attestation requirements of Section 404 of the Sarbanes-Oxley Act and reduced disclosure obligations regarding executive compensation in this prospectus and our periodic reports and proxy statements.</w:t>
      </w:r>
    </w:p>
    <w:p>
      <w:pPr>
        <w:spacing w:after="0" w:line="157"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232" w:lineRule="exact"/>
        <w:rPr>
          <w:sz w:val="20"/>
          <w:szCs w:val="20"/>
          <w:color w:val="auto"/>
        </w:rPr>
      </w:pPr>
    </w:p>
    <w:p>
      <w:pPr>
        <w:ind w:left="560" w:right="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62"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The trading market for our common stock will be influenced by the research and reports that securities or industry analysts publish about us, our business or our market. We do not currently have and may never obtain research coverage by securities or industry analysts. If no or few securities or industry analysts commence coverage of us, the stock price would be negatively impacted. In the event we obtain securities or industry analyst coverage,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85" w:lineRule="exact"/>
        <w:rPr>
          <w:sz w:val="20"/>
          <w:szCs w:val="20"/>
          <w:color w:val="auto"/>
        </w:rPr>
      </w:pPr>
    </w:p>
    <w:p>
      <w:pPr>
        <w:ind w:left="560" w:right="420"/>
        <w:spacing w:after="0" w:line="263"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devote substantial time to related compliance initiatives. Additionally, if we fail to maintain proper and effective internal controls, our ability to produce accurate financial statements on a timely basis could be impaired.</w:t>
      </w:r>
    </w:p>
    <w:p>
      <w:pPr>
        <w:spacing w:after="0" w:line="76"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As a public company, we will incur significant legal, accounting and other expenses that we did not incur as a private company, and these expenses may increase even more after we are no longer an “emerging growth company.” We will be subject to the reporting requirements of the Exchange Act, the Sarbanes-Oxley Act, the Dodd-Frank Wall Street Reform and Protection Act, as well as rules adopted, and to be adopted, by the SEC and the Nasdaq Stock Market LLC (Nasdaq). Our management and other personnel will need to devote a substantial amount of time to these compliance initiatives. Moreover, we expect these rules, regulations and standards to substantially increase our legal and financial compliance costs and to make some activities more time-consuming and costly, which will increase our operating expenses. For example, we expect these rules, regulations and standards to make it more difficult and more expensive for us to obtain director and officer liability insurance and we may be required to incur substantial costs to maintain sufficient coverage, particularly in light of recent cost increases related to coverage. We cannot accurately predict or estimate the amount or timing of additional costs we may incur to respond to these requirements. The impact</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00"/>
          </w:cols>
          <w:pgMar w:left="320" w:top="459" w:right="4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of these requirements could also make it more difficult for us to attract and retain qualified persons to serve on our board of directors, our board committees or as executive officers.</w:t>
      </w:r>
    </w:p>
    <w:p>
      <w:pPr>
        <w:spacing w:after="0" w:line="170"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In addition, as a public company we will be required to incur additional costs and obligations in order to comply with SEC rules that implement Section 404 of the Sarbanes-Oxley Act. Under these rules, beginning with our second annual report on Form 10-K after we become a public company,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To achieve compliance with Section 404 within the prescribed period, we will be engaging in a process to document and evaluate our internal control over financial reporting, which is both costly and challenging. In this regard, we will need to continue to dedicate internal resources, potentially continue to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66"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w:t>
      </w:r>
    </w:p>
    <w:p>
      <w:pPr>
        <w:spacing w:after="0" w:line="18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Upon the closing of this offering, we will become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76"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will have broad discretion in the use of the net proceeds from this offering and may not use them effectively.</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Our management will have broad discretion in the application of the net proceeds from this offering, including for any of the purposes described in “Use of Proceeds,” and you will be relying on the judgment of our management regarding the application of these proceeds, who could spend the proceeds in ways that do not improve our results of operations or enhance the value of our common stock. You will not have the opportunity, as part of your investment decision, to assess whether we are using the proceeds appropriately. Our management might not apply the net proceeds in ways that ultimately increase the value of your investment. If we do not invest or apply the net proceeds from this offering in ways that enhance stockholder value, we may fail to achieve expected financial results, which could cause our stock price to decline.</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17" w:lineRule="exact"/>
        <w:rPr>
          <w:sz w:val="20"/>
          <w:szCs w:val="20"/>
          <w:color w:val="auto"/>
        </w:rPr>
      </w:pPr>
    </w:p>
    <w:p>
      <w:pPr>
        <w:ind w:left="120" w:right="280" w:firstLine="440"/>
        <w:spacing w:after="0" w:line="301" w:lineRule="auto"/>
        <w:rPr>
          <w:sz w:val="20"/>
          <w:szCs w:val="20"/>
          <w:color w:val="auto"/>
        </w:rPr>
      </w:pPr>
      <w:r>
        <w:rPr>
          <w:rFonts w:ascii="Arial" w:cs="Arial" w:eastAsia="Arial" w:hAnsi="Arial"/>
          <w:sz w:val="16"/>
          <w:szCs w:val="16"/>
          <w:color w:val="auto"/>
        </w:rPr>
        <w:t>The market price of our common stock may be volatile and, in the past, companies that have experienced volatility in the market price of their stock have been subject to securities class action litigation. This risk is especially relevant for us because biotechnology companies have experienced significant stock price volatility in recent years and we may be the target of this type of litigation in the future. Securities litigation against us could result in substantial costs and divert our management’s attention from other business concerns, which could seriously harm our business.</w:t>
      </w:r>
    </w:p>
    <w:p>
      <w:pPr>
        <w:spacing w:after="0" w:line="265" w:lineRule="exact"/>
        <w:rPr>
          <w:sz w:val="20"/>
          <w:szCs w:val="20"/>
          <w:color w:val="auto"/>
        </w:rPr>
      </w:pPr>
    </w:p>
    <w:p>
      <w:pPr>
        <w:ind w:left="560" w:right="24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on our common stock in the foreseeable future, so any returns will be limited to the value of our common stock.</w:t>
      </w:r>
    </w:p>
    <w:p>
      <w:pPr>
        <w:spacing w:after="0" w:line="62" w:lineRule="exact"/>
        <w:rPr>
          <w:sz w:val="20"/>
          <w:szCs w:val="20"/>
          <w:color w:val="auto"/>
        </w:rPr>
      </w:pPr>
    </w:p>
    <w:p>
      <w:pPr>
        <w:jc w:val="both"/>
        <w:ind w:left="120" w:right="420" w:firstLine="440"/>
        <w:spacing w:after="0" w:line="263" w:lineRule="auto"/>
        <w:rPr>
          <w:sz w:val="20"/>
          <w:szCs w:val="20"/>
          <w:color w:val="auto"/>
        </w:rPr>
      </w:pPr>
      <w:r>
        <w:rPr>
          <w:rFonts w:ascii="Arial" w:cs="Arial" w:eastAsia="Arial" w:hAnsi="Arial"/>
          <w:sz w:val="18"/>
          <w:szCs w:val="18"/>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their stock.</w:t>
      </w:r>
    </w:p>
    <w:p>
      <w:pPr>
        <w:spacing w:after="0" w:line="292" w:lineRule="exact"/>
        <w:rPr>
          <w:sz w:val="20"/>
          <w:szCs w:val="20"/>
          <w:color w:val="auto"/>
        </w:rPr>
      </w:pPr>
    </w:p>
    <w:p>
      <w:pPr>
        <w:ind w:left="560" w:right="60"/>
        <w:spacing w:after="0" w:line="263"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amended and restated bylaws, as they will be in effect upon closing of this offering, and Delaware law might discourage, delay or prevent a change in control of our company or changes in our management and, therefore, depress the market price of our common stock.</w:t>
      </w:r>
    </w:p>
    <w:p>
      <w:pPr>
        <w:spacing w:after="0" w:line="76"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Our amended and restated certificate of incorporation and amended and restated bylaws, as they will be in effect upon closing of this offering, will contain provisions that could depress the market price of our common stock by acting to discourage, delay or prevent a change in control of our company or changes in our management that the stockholders of our company may deem advantageous.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These provisions, among other things:</w:t>
      </w:r>
    </w:p>
    <w:p>
      <w:pPr>
        <w:spacing w:after="0" w:line="98" w:lineRule="exact"/>
        <w:rPr>
          <w:sz w:val="20"/>
          <w:szCs w:val="20"/>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30"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 (also known as a poison pill);</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prohibit stockholder action by written consent, which requires all stockholder actions to be taken at a meeting of our stockholders;</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prohibit cumulative voting;</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authorize our board of directors to amend the bylaws;</w:t>
      </w:r>
    </w:p>
    <w:p>
      <w:pPr>
        <w:spacing w:after="0" w:line="130" w:lineRule="exact"/>
        <w:rPr>
          <w:rFonts w:ascii="Arial" w:cs="Arial" w:eastAsia="Arial" w:hAnsi="Arial"/>
          <w:sz w:val="18"/>
          <w:szCs w:val="18"/>
          <w:color w:val="auto"/>
        </w:rPr>
      </w:pPr>
    </w:p>
    <w:p>
      <w:pPr>
        <w:ind w:left="1080" w:right="640" w:hanging="532"/>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 and</w:t>
      </w:r>
    </w:p>
    <w:p>
      <w:pPr>
        <w:spacing w:after="0" w:line="75" w:lineRule="exact"/>
        <w:rPr>
          <w:rFonts w:ascii="Arial" w:cs="Arial" w:eastAsia="Arial" w:hAnsi="Arial"/>
          <w:sz w:val="18"/>
          <w:szCs w:val="18"/>
          <w:color w:val="auto"/>
        </w:rPr>
      </w:pPr>
    </w:p>
    <w:p>
      <w:pPr>
        <w:ind w:left="1080" w:right="880" w:hanging="532"/>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require a super-majority vote of stockholders to amend or repeal specified provisions of our amended and restated certificate of incorporation and amended and restated bylaws, as they will be in effect upon closing of this offering.</w:t>
      </w:r>
    </w:p>
    <w:p>
      <w:pPr>
        <w:spacing w:after="0" w:line="170"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8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292" w:lineRule="exact"/>
        <w:rPr>
          <w:sz w:val="20"/>
          <w:szCs w:val="20"/>
          <w:color w:val="auto"/>
        </w:rPr>
      </w:pPr>
    </w:p>
    <w:p>
      <w:pPr>
        <w:ind w:left="560"/>
        <w:spacing w:after="0" w:line="259" w:lineRule="auto"/>
        <w:rPr>
          <w:sz w:val="20"/>
          <w:szCs w:val="20"/>
          <w:color w:val="auto"/>
        </w:rPr>
      </w:pPr>
      <w:r>
        <w:rPr>
          <w:rFonts w:ascii="Arial" w:cs="Arial" w:eastAsia="Arial" w:hAnsi="Arial"/>
          <w:sz w:val="18"/>
          <w:szCs w:val="18"/>
          <w:b w:val="1"/>
          <w:bCs w:val="1"/>
          <w:i w:val="1"/>
          <w:iCs w:val="1"/>
          <w:color w:val="auto"/>
        </w:rPr>
        <w:t>Our amended and restated bylaws that will become effective upon the closing of this offering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79"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Our amended and restated bylaws that will become effective upon the closing of this offering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98" w:lineRule="exact"/>
        <w:rPr>
          <w:sz w:val="20"/>
          <w:szCs w:val="20"/>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action asserting a claim of breach of fiduciary duty;</w:t>
      </w:r>
    </w:p>
    <w:p>
      <w:pPr>
        <w:spacing w:after="0" w:line="130"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DGCL, our amended and restated certificate of incorporation or our amended and restated bylaws;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This provision would not apply to suits brought to enforce a duty or liability created by the Exchange Act or any other claim for which the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federal courts have exclusive jurisdiction.</w:t>
      </w:r>
    </w:p>
    <w:p>
      <w:pPr>
        <w:spacing w:after="0" w:line="21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Our amended and restated bylaws further provide that the federal district courts of the United States of America will be the exclusive forum for resolving any complaint asserting a cause of action arising under the Securities Act.</w:t>
      </w:r>
    </w:p>
    <w:p>
      <w:pPr>
        <w:spacing w:after="0" w:line="170"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These exclusive-forum provisions may limit a stockholder’s ability to bring a claim in a judicial forum that it finds favorable for disputes with us or our directors, officers or other employees, which may discourage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lawsuits against us and our directors, officers and other employees. In addition, these exclusive-forum provisions may impose additional litigation costs for stockholders who determine to pursue any such lawsuits against us.</w:t>
      </w:r>
    </w:p>
    <w:p>
      <w:pPr>
        <w:spacing w:after="0" w:line="170"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40"/>
          </w:cols>
          <w:pgMar w:left="320" w:top="459" w:right="5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This prospectus contains forward-looking statements. All statements other than statements of historical facts contained in this prospectus,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 In some cases, investors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prospectus include, but are not limited to, statements about:</w:t>
      </w:r>
    </w:p>
    <w:p>
      <w:pPr>
        <w:spacing w:after="0" w:line="83" w:lineRule="exact"/>
        <w:rPr>
          <w:sz w:val="20"/>
          <w:szCs w:val="20"/>
          <w:color w:val="auto"/>
        </w:rPr>
      </w:pPr>
    </w:p>
    <w:p>
      <w:pPr>
        <w:ind w:left="1080" w:right="420" w:hanging="532"/>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ability of our preclinical studies and planned clinical trials to demonstrate safety and efficacy of our product candidates, and other positive results;</w:t>
      </w:r>
    </w:p>
    <w:p>
      <w:pPr>
        <w:spacing w:after="0" w:line="75" w:lineRule="exact"/>
        <w:rPr>
          <w:rFonts w:ascii="Arial" w:cs="Arial" w:eastAsia="Arial" w:hAnsi="Arial"/>
          <w:sz w:val="18"/>
          <w:szCs w:val="18"/>
          <w:color w:val="auto"/>
        </w:rPr>
      </w:pPr>
    </w:p>
    <w:p>
      <w:pPr>
        <w:ind w:left="1080" w:right="520" w:hanging="532"/>
        <w:spacing w:after="0" w:line="286" w:lineRule="auto"/>
        <w:tabs>
          <w:tab w:leader="none" w:pos="10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timing, progress and results of preclinical studies and planned clinical trials for our current product candidates and other product candidates we may develop, including statements regarding the timing of initiation and completion of studies or trials and related preparatory work, and the period during which the results of the studies or trials will become available;</w:t>
      </w:r>
    </w:p>
    <w:p>
      <w:pPr>
        <w:spacing w:after="0" w:line="70" w:lineRule="exact"/>
        <w:rPr>
          <w:rFonts w:ascii="Arial" w:cs="Arial" w:eastAsia="Arial" w:hAnsi="Arial"/>
          <w:sz w:val="17"/>
          <w:szCs w:val="17"/>
          <w:color w:val="auto"/>
        </w:rPr>
      </w:pPr>
    </w:p>
    <w:p>
      <w:pPr>
        <w:ind w:left="1080" w:right="80" w:hanging="532"/>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timing, scope and likelihood of regulatory filings and approvals, including timing of INDs, CTAs, FDA approvals, and final regulatory approval of our current product candidates and any other future product candidates;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our ability to develop and advance our current product candidates and programs into, and successfully complete, clinical studies;</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our manufacturing, commercialization, and marketing capabilities and strategy and the timing of our facilities becoming operational;</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need to hire additional personnel and our ability to attract and retain such personnel;</w:t>
      </w:r>
    </w:p>
    <w:p>
      <w:pPr>
        <w:spacing w:after="0" w:line="130" w:lineRule="exact"/>
        <w:rPr>
          <w:rFonts w:ascii="Arial" w:cs="Arial" w:eastAsia="Arial" w:hAnsi="Arial"/>
          <w:sz w:val="18"/>
          <w:szCs w:val="18"/>
          <w:color w:val="auto"/>
        </w:rPr>
      </w:pPr>
    </w:p>
    <w:p>
      <w:pPr>
        <w:ind w:left="1080" w:right="560" w:hanging="532"/>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size of the market opportunity for our product candidates, including our estimates of the number of patients who suffer from the diseases we are targeting;</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competitive position and the success of competing therapies that are or may become available;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beneficial characteristics, and the potential safety, efficacy and therapeutic effects of our product candidates and our approach;</w:t>
      </w:r>
    </w:p>
    <w:p>
      <w:pPr>
        <w:spacing w:after="0" w:line="142" w:lineRule="exact"/>
        <w:rPr>
          <w:rFonts w:ascii="Arial" w:cs="Arial" w:eastAsia="Arial" w:hAnsi="Arial"/>
          <w:sz w:val="17"/>
          <w:szCs w:val="17"/>
          <w:color w:val="auto"/>
        </w:rPr>
      </w:pPr>
    </w:p>
    <w:p>
      <w:pPr>
        <w:ind w:left="1080" w:right="120" w:hanging="532"/>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plans relating to the further development of our product candidates, including the biomarkers and endpoints that we may evaluate and additional indications and targets we may pursue;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impact of existing laws and regulations and regulatory developments in the United States, Europe and other jurisdictions;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our expectations regarding the impact of the COVID-19 pandemic on our business, including our preclinical studies and clinical trials;</w:t>
      </w:r>
    </w:p>
    <w:p>
      <w:pPr>
        <w:spacing w:after="0" w:line="142" w:lineRule="exact"/>
        <w:rPr>
          <w:rFonts w:ascii="Arial" w:cs="Arial" w:eastAsia="Arial" w:hAnsi="Arial"/>
          <w:sz w:val="17"/>
          <w:szCs w:val="17"/>
          <w:color w:val="auto"/>
        </w:rPr>
      </w:pPr>
    </w:p>
    <w:p>
      <w:pPr>
        <w:ind w:left="1080" w:right="40" w:hanging="532"/>
        <w:spacing w:after="0" w:line="259"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intellectual property position, including the scope of protection we are able to establish and maintain for intellectual property rights covering our current product candidates and other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spacing w:after="0" w:line="92"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continued reliance on third parties to conduct additional preclinical studies and planned clinical trials of our product candidates, and for the development and manufacture of our product candidates for preclinical studies and clinical trials;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40" w:hanging="532"/>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ability to obtain, and negotiate favorable terms of, any collaboration, partnership, licensing or other arrangements that may be necessary or desirable to develop, manufacture or commercialize our product candidates;</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pricing and reimbursement of our current product candidates and other product candidates we may develop, if approved, including any increase in demand as a result of the availability of reimbursement from the government and third-party payors;</w:t>
      </w:r>
    </w:p>
    <w:p>
      <w:pPr>
        <w:spacing w:after="0" w:line="75" w:lineRule="exact"/>
        <w:rPr>
          <w:rFonts w:ascii="Arial" w:cs="Arial" w:eastAsia="Arial" w:hAnsi="Arial"/>
          <w:sz w:val="18"/>
          <w:szCs w:val="18"/>
          <w:color w:val="auto"/>
        </w:rPr>
      </w:pPr>
    </w:p>
    <w:p>
      <w:pPr>
        <w:ind w:left="1080" w:right="520" w:hanging="532"/>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current product candidates and other product candidates we may develop;</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30" w:lineRule="exact"/>
        <w:rPr>
          <w:rFonts w:ascii="Arial" w:cs="Arial" w:eastAsia="Arial" w:hAnsi="Arial"/>
          <w:sz w:val="18"/>
          <w:szCs w:val="18"/>
          <w:color w:val="auto"/>
        </w:rPr>
      </w:pPr>
    </w:p>
    <w:p>
      <w:pPr>
        <w:ind w:left="1080" w:right="400" w:hanging="532"/>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period over which we estimate our existing cash and cash equivalents will be sufficient to fund our future operating expenses and capital expenditure requirements;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remain an emerging growth company under the JOBS Act;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anticipated use of our existing resources and the net proceeds from this offering.</w:t>
      </w:r>
    </w:p>
    <w:p>
      <w:pPr>
        <w:spacing w:after="0" w:line="225" w:lineRule="exact"/>
        <w:rPr>
          <w:sz w:val="20"/>
          <w:szCs w:val="20"/>
          <w:color w:val="auto"/>
        </w:rPr>
      </w:pPr>
    </w:p>
    <w:p>
      <w:pPr>
        <w:jc w:val="both"/>
        <w:ind w:left="120" w:right="40" w:firstLine="440"/>
        <w:spacing w:after="0" w:line="289" w:lineRule="auto"/>
        <w:rPr>
          <w:sz w:val="20"/>
          <w:szCs w:val="20"/>
          <w:color w:val="auto"/>
        </w:rPr>
      </w:pPr>
      <w:r>
        <w:rPr>
          <w:rFonts w:ascii="Arial" w:cs="Arial" w:eastAsia="Arial" w:hAnsi="Arial"/>
          <w:sz w:val="16"/>
          <w:szCs w:val="16"/>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and are subject to a number of risks, uncertainties and assumptions described in the section titled “Risk Factors” and elsewhere in this prospectus. Because forward-looking statements are inherently subject to risks and uncertainties, some of which cannot be predicted or quantified, investors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prospectus, whether as a result of any new information, future events or otherwise.</w:t>
      </w:r>
    </w:p>
    <w:p>
      <w:pPr>
        <w:spacing w:after="0" w:line="166"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60"/>
          </w:cols>
          <w:pgMar w:left="320" w:top="459" w:right="51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MARKET, INDUSTRY AND OTHER DATA</w:t>
      </w:r>
    </w:p>
    <w:p>
      <w:pPr>
        <w:spacing w:after="0" w:line="22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This prospectus contains estimates, projections and other information concerning our industry, our business and the markets for our product candidates, including data regarding the estimated size of such markets and the incidence of certain medical conditions. We obtained the industry, market and similar data set forth in this prospectus from our internal estimates and research and from academic and industry research, publications, surveys and studies conducted by third parties, including governmental agencies. In some cases, we do not expressly refer to the sources from which this data is derived. Information that is based on estimates, forecasts, projections, market research or similar methodologies is inherently subject to uncertainties and actual events or circumstances may differ materially from events and circumstances that are assumed in this information. Investors are cautioned not to give undue weight to any such information, projections and estimates.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We estimate that the net proceeds to us from the sale of the shares of our common stock in this offering will be approximately $135.8 million, or approximately $156.7 million if the underwriters exercise their option to purchase additional shares in full, based upon the assumed initial public offering price of $15.00 per share, which is the midpoint of the price range set forth on the cover page of this prospectus, and after deducting the underwriting discounts and commissions and estimated offering expenses payable by us.</w:t>
      </w:r>
    </w:p>
    <w:p>
      <w:pPr>
        <w:spacing w:after="0" w:line="187"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Each $1.00 increase or decrease in the assumed initial public offering price of $15.00 per share would increase or decrease, as applicable, the net proceeds to us from this offering by approximately $9.3 million, assuming the number of shares offered by us, as set forth on the cover page of this prospectus, remains the same, and after deducting the underwriting discounts and commissions and estimated offering expenses payable by us. Similarly, each increase or decrease of 1.0 million shares in the number of shares offered by us would increase or decrease, as applicable, the net proceeds to us from this offering by approximately $14.0 million, assuming the assumed initial public offering price remains the same, and after deducting the underwriting discounts and commissions and estimated offering expenses payable by us.</w:t>
      </w:r>
    </w:p>
    <w:p>
      <w:pPr>
        <w:spacing w:after="0" w:line="178"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The principal purposes of this offering are to obtain additional capital to support our operations, establish a public market for our common stock and facilitate our future access to the public capital markets. We currently intend to use the net proceeds from this offering, together with our existing cash and cash equivalents, as follows:</w:t>
      </w:r>
    </w:p>
    <w:p>
      <w:pPr>
        <w:spacing w:after="0" w:line="89" w:lineRule="exact"/>
        <w:rPr>
          <w:sz w:val="20"/>
          <w:szCs w:val="20"/>
          <w:color w:val="auto"/>
        </w:rPr>
      </w:pPr>
    </w:p>
    <w:p>
      <w:pPr>
        <w:ind w:left="1080" w:right="140" w:hanging="532"/>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approximately $35 million to $40 million to fund our ongoing and planned preclinical and clinical development of our product candidate TN-201 in our MYBPC3 program, including initiation of the planned Phase 1/2 clinical trial;</w:t>
      </w:r>
    </w:p>
    <w:p>
      <w:pPr>
        <w:spacing w:after="0" w:line="75"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approximately $10 million to $15 million to fund our ongoing and planned preclinical and clinical development of our product candidate TYA-11631 in our HDAC6i program through initiation of the planned Phase 1 clinical trial;</w:t>
      </w:r>
    </w:p>
    <w:p>
      <w:pPr>
        <w:spacing w:after="0" w:line="75" w:lineRule="exact"/>
        <w:rPr>
          <w:rFonts w:ascii="Arial" w:cs="Arial" w:eastAsia="Arial" w:hAnsi="Arial"/>
          <w:sz w:val="18"/>
          <w:szCs w:val="18"/>
          <w:color w:val="auto"/>
        </w:rPr>
      </w:pPr>
    </w:p>
    <w:p>
      <w:pPr>
        <w:ind w:left="1080" w:right="280" w:hanging="532"/>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approximately $25 million to $35 million to fund the continued development of our other programs, including our PKP2, DWORF and Reprogramming programs;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approximately $40 million to $50 million to fund the expansion of our manufacturing capabilities and facilities;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remaining amounts, if any, for working capital and other general corporate purposes.</w:t>
      </w:r>
    </w:p>
    <w:p>
      <w:pPr>
        <w:spacing w:after="0" w:line="22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expected use of the net proceeds from this offering represents our intentions based upon our current plans and business conditions. As of the date of this prospectus, we cannot predict with certainty all of the particular uses for the net proceeds to be received upon the completion of this offering or the amounts that we will actually spend on the uses set forth above and we may require additional funds in order to fully accomplish the specified uses listed above. We believe opportunities may exist from time to time to expand our current business through licenses with or acquisitions of, or investments in, complementary businesses, products, intellectual property or technologies. While we have no current agreements, commitments or understandings for any specific licenses, acquisitions or investments at this time, we may use a portion of the net proceeds for these purposes. As a result, our management will have broad discretion over the use of the net proceeds from this offering.</w:t>
      </w:r>
    </w:p>
    <w:p>
      <w:pPr>
        <w:spacing w:after="0" w:line="17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Based on our current operating plan, we believe that the net proceeds from this offering, together with our existing cash and cash equivalents, will be sufficient to fund our operating expenses and capital expenditures through at least the next 24 months from the date of our unaudited interim condensed financial statements included elsewhere in this prospectus. The net proceeds from this offering, together with our existing cash and cash equivalents, will not be sufficient to fund any of our product candidates through regulatory approval, and we anticipate needing to raise additional capital to complete the development of and commercialize our product candidates. It is difficult to predict the cost and timing required to complete development and obtain regulatory</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80"/>
          </w:cols>
          <w:pgMar w:left="320" w:top="459" w:right="4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approval of, and commercialize, our product candidates due to, among other factors, our lack of experience as a company with initiating, conducting and completing clinical trials, and uncertainty regarding the scope and design of clinical trials required to obtain regulatory approval for our product candidates, the rate of subject enrollment in our planned clinical trials, filing requirements with various regulatory agencies, clinical trial results, and the actual costs of manufacturing, supplying and commercializing our product candidates. The amounts and timing of our expenditures will depend upon numerous factors including the cost and results of our research and development efforts, the timing, cost and success of preclinical studies and any clinical trials we may commence in the future, the timing of regulatory submissions, our ability to obtain additional financing, the amount of cash obtained through our existing collaborations and future collaborations, if any, and any unforeseen cash needs. We also may elect to raise additional capital opportunistically.</w:t>
      </w:r>
    </w:p>
    <w:p>
      <w:pPr>
        <w:spacing w:after="0" w:line="192"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Pending their use, we intend to invest the net proceeds of this offering in short- and intermediate-term interest-bearing obligations, including U.S. government money market funds, U.S. Treasury obligations, U.S. agency and government-sponsored entity obligations, corporate debt obligations, and taxable and tax-exempt municipal obligations.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have never declared or paid any cash dividends on our capital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00"/>
          </w:cols>
          <w:pgMar w:left="320" w:top="459" w:right="4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cash and cash equivalents and capitalization as of March 31, 2021:</w:t>
      </w:r>
    </w:p>
    <w:p>
      <w:pPr>
        <w:spacing w:after="0" w:line="131" w:lineRule="exact"/>
        <w:rPr>
          <w:sz w:val="20"/>
          <w:szCs w:val="20"/>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1080" w:right="40" w:hanging="532"/>
        <w:spacing w:after="0" w:line="25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on a pro forma basis to give effect to: (i) the automatic conversion of all outstanding shares of our convertible preferred stock into an aggregate of 26,102,278 shares of our common stock immediately prior to the completion of this offering, as if such conversion had occurred on March 31, 2021; (ii) the related reclassification of our convertible preferred stock aggregate carrying value to permanent equity; and (iii) the filing and effectiveness of our amended and restated certificate of incorporation immediately prior to the closing of this offering; and</w:t>
      </w:r>
    </w:p>
    <w:p>
      <w:pPr>
        <w:spacing w:after="0" w:line="93" w:lineRule="exact"/>
        <w:rPr>
          <w:rFonts w:ascii="Arial" w:cs="Arial" w:eastAsia="Arial" w:hAnsi="Arial"/>
          <w:sz w:val="18"/>
          <w:szCs w:val="18"/>
          <w:color w:val="auto"/>
        </w:rPr>
      </w:pPr>
    </w:p>
    <w:p>
      <w:pPr>
        <w:ind w:left="1080" w:right="140" w:hanging="532"/>
        <w:spacing w:after="0" w:line="311" w:lineRule="auto"/>
        <w:tabs>
          <w:tab w:leader="none" w:pos="10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on a pro forma as adjusted basis to give further effect to the sale by us of 10,000,000 shares of our common stock in this offering, at an assumed initial public offering price of $15.00 per share (which is the midpoint of the estimated price range set forth on the cover page of this prospectus), and after deducting underwriting discounts and commissions and estimated offering expenses payable by us.</w:t>
      </w:r>
    </w:p>
    <w:p>
      <w:pPr>
        <w:spacing w:after="0" w:line="149"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Our capitalization following the closing of this offering will depend on the actual initial public offering price and other terms of this offering determined at pricing. You should read this information in conjunction with our financial statements and the related notes appearing elsewhere in this prospectus, the section titled “Management’s Discussion and Analysis of Financial Condition and Results of Operations”, and other financial information contained in this prospectus.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As of March 31, 2021</w:t>
            </w: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20" w:type="dxa"/>
            <w:vAlign w:val="bottom"/>
          </w:tcPr>
          <w:p>
            <w:pPr>
              <w:spacing w:after="0"/>
              <w:rPr>
                <w:sz w:val="10"/>
                <w:szCs w:val="10"/>
                <w:color w:val="auto"/>
              </w:rPr>
            </w:pPr>
          </w:p>
        </w:tc>
        <w:tc>
          <w:tcPr>
            <w:tcW w:w="6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80" w:type="dxa"/>
            <w:vAlign w:val="bottom"/>
            <w:gridSpan w:val="7"/>
          </w:tcPr>
          <w:p>
            <w:pPr>
              <w:jc w:val="center"/>
              <w:spacing w:after="0" w:line="119" w:lineRule="exact"/>
              <w:rPr>
                <w:sz w:val="20"/>
                <w:szCs w:val="20"/>
                <w:color w:val="auto"/>
              </w:rPr>
            </w:pPr>
            <w:r>
              <w:rPr>
                <w:rFonts w:ascii="Arial" w:cs="Arial" w:eastAsia="Arial" w:hAnsi="Arial"/>
                <w:sz w:val="13"/>
                <w:szCs w:val="13"/>
                <w:b w:val="1"/>
                <w:bCs w:val="1"/>
                <w:color w:val="auto"/>
                <w:w w:val="97"/>
              </w:rPr>
              <w:t>(in thousands, except share and per</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1220" w:type="dxa"/>
            <w:vAlign w:val="bottom"/>
          </w:tcPr>
          <w:p>
            <w:pPr>
              <w:spacing w:after="0"/>
              <w:rPr>
                <w:sz w:val="16"/>
                <w:szCs w:val="16"/>
                <w:color w:val="auto"/>
              </w:rPr>
            </w:pPr>
          </w:p>
        </w:tc>
        <w:tc>
          <w:tcPr>
            <w:tcW w:w="6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share data)</w:t>
            </w:r>
          </w:p>
        </w:tc>
        <w:tc>
          <w:tcPr>
            <w:tcW w:w="20" w:type="dxa"/>
            <w:vAlign w:val="bottom"/>
          </w:tcPr>
          <w:p>
            <w:pPr>
              <w:spacing w:after="0"/>
              <w:rPr>
                <w:sz w:val="16"/>
                <w:szCs w:val="16"/>
                <w:color w:val="auto"/>
              </w:rPr>
            </w:pPr>
          </w:p>
        </w:tc>
        <w:tc>
          <w:tcPr>
            <w:tcW w:w="8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Pro</w:t>
            </w:r>
          </w:p>
        </w:tc>
        <w:tc>
          <w:tcPr>
            <w:tcW w:w="0" w:type="dxa"/>
            <w:vAlign w:val="bottom"/>
          </w:tcPr>
          <w:p>
            <w:pPr>
              <w:spacing w:after="0"/>
              <w:rPr>
                <w:sz w:val="1"/>
                <w:szCs w:val="1"/>
                <w:color w:val="auto"/>
              </w:rPr>
            </w:pPr>
          </w:p>
        </w:tc>
      </w:tr>
      <w:tr>
        <w:trPr>
          <w:trHeight w:val="111"/>
        </w:trPr>
        <w:tc>
          <w:tcPr>
            <w:tcW w:w="1220" w:type="dxa"/>
            <w:vAlign w:val="bottom"/>
          </w:tcPr>
          <w:p>
            <w:pPr>
              <w:spacing w:after="0"/>
              <w:rPr>
                <w:sz w:val="9"/>
                <w:szCs w:val="9"/>
                <w:color w:val="auto"/>
              </w:rPr>
            </w:pPr>
          </w:p>
        </w:tc>
        <w:tc>
          <w:tcPr>
            <w:tcW w:w="698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3"/>
            <w:vMerge w:val="restart"/>
          </w:tcPr>
          <w:p>
            <w:pPr>
              <w:jc w:val="right"/>
              <w:ind w:right="388"/>
              <w:spacing w:after="0"/>
              <w:rPr>
                <w:sz w:val="20"/>
                <w:szCs w:val="20"/>
                <w:color w:val="auto"/>
              </w:rPr>
            </w:pPr>
            <w:r>
              <w:rPr>
                <w:rFonts w:ascii="Arial" w:cs="Arial" w:eastAsia="Arial" w:hAnsi="Arial"/>
                <w:sz w:val="14"/>
                <w:szCs w:val="14"/>
                <w:b w:val="1"/>
                <w:bCs w:val="1"/>
                <w:color w:val="auto"/>
              </w:rPr>
              <w:t>Actual</w:t>
            </w: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Pro Forma</w:t>
            </w:r>
          </w:p>
        </w:tc>
        <w:tc>
          <w:tcPr>
            <w:tcW w:w="2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Forma as</w:t>
            </w: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adjusted</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210"/>
        </w:trPr>
        <w:tc>
          <w:tcPr>
            <w:tcW w:w="82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128,439</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128,439</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264,239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8"/>
                <w:szCs w:val="18"/>
                <w:color w:val="auto"/>
              </w:rPr>
              <w:t>Convertible preferred stock, par value $0.0001; 26,102,301 shares authorized, 26,102,278 issued and</w:t>
            </w: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0" w:type="dxa"/>
            <w:vAlign w:val="bottom"/>
            <w:gridSpan w:val="2"/>
          </w:tcPr>
          <w:p>
            <w:pPr>
              <w:ind w:left="180"/>
              <w:spacing w:after="0"/>
              <w:rPr>
                <w:sz w:val="20"/>
                <w:szCs w:val="20"/>
                <w:color w:val="auto"/>
              </w:rPr>
            </w:pPr>
            <w:r>
              <w:rPr>
                <w:rFonts w:ascii="Arial" w:cs="Arial" w:eastAsia="Arial" w:hAnsi="Arial"/>
                <w:sz w:val="18"/>
                <w:szCs w:val="18"/>
                <w:color w:val="auto"/>
                <w:w w:val="96"/>
              </w:rPr>
              <w:t>outstanding, actual; no shares authorized, issued and outstanding, pro forma and pro forma as adjusted</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240,735</w:t>
            </w:r>
          </w:p>
        </w:tc>
        <w:tc>
          <w:tcPr>
            <w:tcW w:w="30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(deficit) equity:</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200" w:type="dxa"/>
            <w:vAlign w:val="bottom"/>
            <w:gridSpan w:val="2"/>
          </w:tcPr>
          <w:p>
            <w:pPr>
              <w:ind w:left="360"/>
              <w:spacing w:after="0" w:line="201" w:lineRule="exact"/>
              <w:rPr>
                <w:sz w:val="20"/>
                <w:szCs w:val="20"/>
                <w:color w:val="auto"/>
              </w:rPr>
            </w:pPr>
            <w:r>
              <w:rPr>
                <w:rFonts w:ascii="Arial" w:cs="Arial" w:eastAsia="Arial" w:hAnsi="Arial"/>
                <w:sz w:val="18"/>
                <w:szCs w:val="18"/>
                <w:color w:val="auto"/>
                <w:w w:val="95"/>
              </w:rPr>
              <w:t>Preferred stock, par value $0.0001; no shares authorized, issued and outstanding, actual; 200,000,000</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0" w:type="dxa"/>
            <w:vAlign w:val="bottom"/>
            <w:gridSpan w:val="2"/>
          </w:tcPr>
          <w:p>
            <w:pPr>
              <w:ind w:left="540"/>
              <w:spacing w:after="0"/>
              <w:rPr>
                <w:sz w:val="20"/>
                <w:szCs w:val="20"/>
                <w:color w:val="auto"/>
              </w:rPr>
            </w:pPr>
            <w:r>
              <w:rPr>
                <w:rFonts w:ascii="Arial" w:cs="Arial" w:eastAsia="Arial" w:hAnsi="Arial"/>
                <w:sz w:val="18"/>
                <w:szCs w:val="18"/>
                <w:color w:val="auto"/>
              </w:rPr>
              <w:t>shares authorized, no shares issued and outstanding, pro forma and pro forma as adjusted</w:t>
            </w:r>
          </w:p>
        </w:tc>
        <w:tc>
          <w:tcPr>
            <w:tcW w:w="20" w:type="dxa"/>
            <w:vAlign w:val="bottom"/>
          </w:tcPr>
          <w:p>
            <w:pPr>
              <w:spacing w:after="0"/>
              <w:rPr>
                <w:sz w:val="20"/>
                <w:szCs w:val="20"/>
                <w:color w:val="auto"/>
              </w:rPr>
            </w:pPr>
          </w:p>
        </w:tc>
        <w:tc>
          <w:tcPr>
            <w:tcW w:w="980" w:type="dxa"/>
            <w:vAlign w:val="bottom"/>
            <w:gridSpan w:val="3"/>
          </w:tcPr>
          <w:p>
            <w:pPr>
              <w:jc w:val="right"/>
              <w:ind w:right="248"/>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20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Common stock, par value $0.0001; 30,330,000 shares authorized, 1,222,449 shares issued and</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4"/>
              </w:rPr>
              <w:t>outstanding, actual; 1,000,000,000 shares authorized, 27,324,727 shares issued and outstanding, pro</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8"/>
              </w:rPr>
              <w:t>forma; 1,000,000,000 shares authorized, 37,324,727 shares issued and outstanding, pro forma as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adjusted</w:t>
            </w:r>
          </w:p>
        </w:tc>
        <w:tc>
          <w:tcPr>
            <w:tcW w:w="2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200" w:type="dxa"/>
            <w:vAlign w:val="bottom"/>
            <w:gridSpan w:val="2"/>
          </w:tcPr>
          <w:p>
            <w:pPr>
              <w:ind w:left="360"/>
              <w:spacing w:after="0"/>
              <w:rPr>
                <w:sz w:val="20"/>
                <w:szCs w:val="20"/>
                <w:color w:val="auto"/>
              </w:rPr>
            </w:pPr>
            <w:r>
              <w:rPr>
                <w:rFonts w:ascii="Arial" w:cs="Arial" w:eastAsia="Arial" w:hAnsi="Arial"/>
                <w:sz w:val="18"/>
                <w:szCs w:val="18"/>
                <w:color w:val="auto"/>
              </w:rPr>
              <w:t>Additional paid-in capital</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2,054</w:t>
            </w:r>
          </w:p>
        </w:tc>
        <w:tc>
          <w:tcPr>
            <w:tcW w:w="3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242,786</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378,585</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Notes receivable from stockholders</w:t>
            </w:r>
          </w:p>
        </w:tc>
        <w:tc>
          <w:tcPr>
            <w:tcW w:w="1000" w:type="dxa"/>
            <w:vAlign w:val="bottom"/>
            <w:gridSpan w:val="4"/>
            <w:shd w:val="clear" w:color="auto" w:fill="CCEEFF"/>
          </w:tcPr>
          <w:p>
            <w:pPr>
              <w:jc w:val="right"/>
              <w:ind w:right="188"/>
              <w:spacing w:after="0"/>
              <w:rPr>
                <w:sz w:val="20"/>
                <w:szCs w:val="20"/>
                <w:color w:val="auto"/>
              </w:rPr>
            </w:pPr>
            <w:r>
              <w:rPr>
                <w:rFonts w:ascii="Arial" w:cs="Arial" w:eastAsia="Arial" w:hAnsi="Arial"/>
                <w:sz w:val="18"/>
                <w:szCs w:val="18"/>
                <w:color w:val="auto"/>
              </w:rPr>
              <w:t>(87)</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8200" w:type="dxa"/>
            <w:vAlign w:val="bottom"/>
            <w:gridSpan w:val="2"/>
          </w:tcPr>
          <w:p>
            <w:pPr>
              <w:ind w:left="36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980" w:type="dxa"/>
            <w:vAlign w:val="bottom"/>
            <w:gridSpan w:val="3"/>
          </w:tcPr>
          <w:p>
            <w:pPr>
              <w:jc w:val="right"/>
              <w:ind w:right="188"/>
              <w:spacing w:after="0"/>
              <w:rPr>
                <w:sz w:val="20"/>
                <w:szCs w:val="20"/>
                <w:color w:val="auto"/>
              </w:rPr>
            </w:pPr>
            <w:r>
              <w:rPr>
                <w:rFonts w:ascii="Arial" w:cs="Arial" w:eastAsia="Arial" w:hAnsi="Arial"/>
                <w:sz w:val="18"/>
                <w:szCs w:val="18"/>
                <w:color w:val="auto"/>
              </w:rPr>
              <w:t>(95,910)</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(95,910)</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(95,910)</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stockholders’ (deficit) equity</w:t>
            </w:r>
          </w:p>
        </w:tc>
        <w:tc>
          <w:tcPr>
            <w:tcW w:w="1000" w:type="dxa"/>
            <w:vAlign w:val="bottom"/>
            <w:gridSpan w:val="4"/>
            <w:shd w:val="clear" w:color="auto" w:fill="CCEEFF"/>
          </w:tcPr>
          <w:p>
            <w:pPr>
              <w:jc w:val="right"/>
              <w:ind w:right="188"/>
              <w:spacing w:after="0"/>
              <w:rPr>
                <w:sz w:val="20"/>
                <w:szCs w:val="20"/>
                <w:color w:val="auto"/>
              </w:rPr>
            </w:pPr>
            <w:r>
              <w:rPr>
                <w:rFonts w:ascii="Arial" w:cs="Arial" w:eastAsia="Arial" w:hAnsi="Arial"/>
                <w:sz w:val="18"/>
                <w:szCs w:val="18"/>
                <w:color w:val="auto"/>
                <w:w w:val="87"/>
              </w:rPr>
              <w:t>$ (93,943)</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146,792</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282,592</w:t>
            </w:r>
          </w:p>
        </w:tc>
        <w:tc>
          <w:tcPr>
            <w:tcW w:w="0" w:type="dxa"/>
            <w:vAlign w:val="bottom"/>
          </w:tcPr>
          <w:p>
            <w:pPr>
              <w:spacing w:after="0"/>
              <w:rPr>
                <w:sz w:val="1"/>
                <w:szCs w:val="1"/>
                <w:color w:val="auto"/>
              </w:rPr>
            </w:pPr>
          </w:p>
        </w:tc>
      </w:tr>
      <w:tr>
        <w:trPr>
          <w:trHeight w:val="223"/>
        </w:trPr>
        <w:tc>
          <w:tcPr>
            <w:tcW w:w="8200" w:type="dxa"/>
            <w:vAlign w:val="bottom"/>
            <w:gridSpan w:val="2"/>
          </w:tcPr>
          <w:p>
            <w:pPr>
              <w:ind w:left="720"/>
              <w:spacing w:after="0"/>
              <w:rPr>
                <w:sz w:val="20"/>
                <w:szCs w:val="20"/>
                <w:color w:val="auto"/>
              </w:rPr>
            </w:pPr>
            <w:r>
              <w:rPr>
                <w:rFonts w:ascii="Arial" w:cs="Arial" w:eastAsia="Arial" w:hAnsi="Arial"/>
                <w:sz w:val="18"/>
                <w:szCs w:val="18"/>
                <w:color w:val="auto"/>
              </w:rPr>
              <w:t>Total capitalization</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146,792</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146,792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282,592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6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120" w:hanging="424"/>
        <w:spacing w:after="0" w:line="286" w:lineRule="auto"/>
        <w:tabs>
          <w:tab w:leader="none" w:pos="5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Each $1.00 increase (decrease) in the assumed initial public offering price of $15.00 per share would increase (decrease) pro forma as adjusted amount of each of our cash and cash equivalents, additional paid-in capital, total stockholders’ equity and total capitalization by $9.3 million, and after deducting underwriting discounts and commissions and estimated offering expenses payable by us.</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40"/>
          </w:cols>
          <w:pgMar w:left="32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660"/>
        <w:spacing w:after="0" w:line="263" w:lineRule="auto"/>
        <w:rPr>
          <w:sz w:val="20"/>
          <w:szCs w:val="20"/>
          <w:color w:val="auto"/>
        </w:rPr>
      </w:pPr>
      <w:r>
        <w:rPr>
          <w:rFonts w:ascii="Arial" w:cs="Arial" w:eastAsia="Arial" w:hAnsi="Arial"/>
          <w:sz w:val="18"/>
          <w:szCs w:val="18"/>
          <w:color w:val="auto"/>
        </w:rPr>
        <w:t>Similarly, each increase (decrease) of 1,000,000 shares in the number of shares offered by us would increase (decrease) our cash and cash equivalents, additional paid-in capital, total stockholders’ equity and total capitalization by approximately $14.0 million, after deducting underwriting discounts and commissions and estimated offering expenses payable by us.</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number of shares of our common stock issued and outstanding, pro forma and pro forma as adjusted, in the table above are based on 27,324,727 shares of our common stock outstanding as of March 31, 2021 (including conversion of all of our outstanding shares of convertible preferred stock into 26,102,278 shares of our common stock), and excludes:</w:t>
      </w:r>
    </w:p>
    <w:p>
      <w:pPr>
        <w:spacing w:after="0" w:line="89" w:lineRule="exact"/>
        <w:rPr>
          <w:sz w:val="20"/>
          <w:szCs w:val="20"/>
          <w:color w:val="auto"/>
        </w:rPr>
      </w:pPr>
    </w:p>
    <w:p>
      <w:pPr>
        <w:ind w:left="1080" w:right="220" w:hanging="532"/>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1,727,968 shares of our common stock issuable upon the exercise of options outstanding as of March 31, 2021, with a weighted-average exercise price of $3.06 per share;</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835,473 shares of our common stock issuable upon the exercise of options granted subsequent to March 31, 2021, with a weighted-average exercise price of $10.00 per share;</w:t>
      </w:r>
    </w:p>
    <w:p>
      <w:pPr>
        <w:spacing w:after="0" w:line="75"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379,271 shares of our common stock reserved for future grant or issuance under our Amended and Restated 2016 Equity Incentive Plan as of March 31, 2021;</w:t>
      </w:r>
    </w:p>
    <w:p>
      <w:pPr>
        <w:spacing w:after="0" w:line="75" w:lineRule="exact"/>
        <w:rPr>
          <w:rFonts w:ascii="Arial" w:cs="Arial" w:eastAsia="Arial" w:hAnsi="Arial"/>
          <w:sz w:val="18"/>
          <w:szCs w:val="18"/>
          <w:color w:val="auto"/>
        </w:rPr>
      </w:pPr>
    </w:p>
    <w:p>
      <w:pPr>
        <w:ind w:left="1080" w:right="100" w:hanging="532"/>
        <w:spacing w:after="0" w:line="311" w:lineRule="auto"/>
        <w:tabs>
          <w:tab w:leader="none" w:pos="10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4,000,000 shares of our common stock reserved for future issuance under our 2021 Equity Incentive Plan, which will become effective on the business day immediately prior to the date of effectiveness of the registration statement of which this prospectus forms a part, as well as any automatic increases in the number of shares of our common stock reserved for future issuance pursuant to this plan; and</w:t>
      </w:r>
    </w:p>
    <w:p>
      <w:pPr>
        <w:spacing w:after="0" w:line="54" w:lineRule="exact"/>
        <w:rPr>
          <w:rFonts w:ascii="Arial" w:cs="Arial" w:eastAsia="Arial" w:hAnsi="Arial"/>
          <w:sz w:val="16"/>
          <w:szCs w:val="16"/>
          <w:color w:val="auto"/>
        </w:rPr>
      </w:pPr>
    </w:p>
    <w:p>
      <w:pPr>
        <w:ind w:left="1080" w:right="140" w:hanging="532"/>
        <w:spacing w:after="0" w:line="286" w:lineRule="auto"/>
        <w:tabs>
          <w:tab w:leader="none" w:pos="10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800,000 shares of common stock reserved for future issuance under our 2021 ESPP,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220" w:firstLine="440"/>
        <w:spacing w:after="0" w:line="308" w:lineRule="auto"/>
        <w:rPr>
          <w:sz w:val="20"/>
          <w:szCs w:val="20"/>
          <w:color w:val="auto"/>
        </w:rPr>
      </w:pPr>
      <w:r>
        <w:rPr>
          <w:rFonts w:ascii="Arial" w:cs="Arial" w:eastAsia="Arial" w:hAnsi="Arial"/>
          <w:sz w:val="17"/>
          <w:szCs w:val="17"/>
          <w:color w:val="auto"/>
        </w:rPr>
        <w:t>If you invest in our common stock in this offering, your ownership will be immediately diluted to the extent of the difference between the initial public offering price per share and the pro forma as adjusted net tangible book value per share of our common stock after this offering.</w:t>
      </w:r>
    </w:p>
    <w:p>
      <w:pPr>
        <w:spacing w:after="0" w:line="146" w:lineRule="exact"/>
        <w:rPr>
          <w:sz w:val="20"/>
          <w:szCs w:val="20"/>
          <w:color w:val="auto"/>
        </w:rPr>
      </w:pPr>
    </w:p>
    <w:p>
      <w:pPr>
        <w:ind w:left="120" w:right="500" w:firstLine="440"/>
        <w:spacing w:after="0" w:line="311" w:lineRule="auto"/>
        <w:rPr>
          <w:sz w:val="20"/>
          <w:szCs w:val="20"/>
          <w:color w:val="auto"/>
        </w:rPr>
      </w:pPr>
      <w:r>
        <w:rPr>
          <w:rFonts w:ascii="Arial" w:cs="Arial" w:eastAsia="Arial" w:hAnsi="Arial"/>
          <w:sz w:val="16"/>
          <w:szCs w:val="16"/>
          <w:color w:val="auto"/>
        </w:rPr>
        <w:t>As of March 31, 2021, we had a historical net tangible book value (deficit) of $(94.0) million, or $(76.91) per share of common stock. Our historical net tangible book value (deficit) represents our total tangible assets, less our total liabilities and convertible preferred stock, which is not included within stockholders’ equity (deficit), divided by the total number of shares of our common stock outstanding as of March 31, 2021.</w:t>
      </w:r>
    </w:p>
    <w:p>
      <w:pPr>
        <w:spacing w:after="0" w:line="149"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Our pro forma net tangible book value as of March 31, 2021, was $146.7 million, or $5.37 per share. Pro forma net tangible book value per share represents our total tangible assets, less our total liabilities, divided by the total number of shares of common stock outstanding as of March 31, 2021, after giving effect to the conversion of our convertible preferred stock into an aggregate of 26,102,278 shares of our common stock.</w:t>
      </w:r>
    </w:p>
    <w:p>
      <w:pPr>
        <w:spacing w:after="0" w:line="149"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After giving further effect to the sale and issuance by us of the 10,000,000 shares of our common stock in this offering, at an assumed initial public offering price of $15.00 per share (which is the midpoint of the estimated price range set forth on the cover page of this prospectus), after deducting underwriting discounts and commissions and estimated offering expenses payable by us, our pro forma as adjusted net tangible book value as of March 31, 2021 would be $282.6 million, or $7.57 per share. This represents an immediate increase in pro forma net tangible book value to our existing stockholders of $2.20 per share and an immediate dilution to new investors of $7.43 per share. Dilution per share to new investors represents the difference between the price per share to be paid by new investors for the shares of common stock sold in this offering and the pro forma as adjusted net tangible book value per share immediately after this offering. The following table illustrates this per share dilution:</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5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15.00</w:t>
            </w: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Historical net tangible book value (deficit) per share as of March 31, 2021</w:t>
            </w:r>
          </w:p>
        </w:tc>
        <w:tc>
          <w:tcPr>
            <w:tcW w:w="1440" w:type="dxa"/>
            <w:vAlign w:val="bottom"/>
            <w:gridSpan w:val="3"/>
          </w:tcPr>
          <w:p>
            <w:pPr>
              <w:jc w:val="right"/>
              <w:ind w:right="260"/>
              <w:spacing w:after="0"/>
              <w:rPr>
                <w:sz w:val="20"/>
                <w:szCs w:val="20"/>
                <w:color w:val="auto"/>
              </w:rPr>
            </w:pPr>
            <w:r>
              <w:rPr>
                <w:rFonts w:ascii="Arial" w:cs="Arial" w:eastAsia="Arial" w:hAnsi="Arial"/>
                <w:sz w:val="18"/>
                <w:szCs w:val="18"/>
                <w:color w:val="auto"/>
              </w:rPr>
              <w:t>$(76.91)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 forma increase in historical net tangible book value (deficit) per share as of March 31, 2021</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82.28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9020" w:type="dxa"/>
            <w:vAlign w:val="bottom"/>
          </w:tcPr>
          <w:p>
            <w:pPr>
              <w:ind w:left="360"/>
              <w:spacing w:after="0"/>
              <w:rPr>
                <w:sz w:val="20"/>
                <w:szCs w:val="20"/>
                <w:color w:val="auto"/>
              </w:rPr>
            </w:pPr>
            <w:r>
              <w:rPr>
                <w:rFonts w:ascii="Arial" w:cs="Arial" w:eastAsia="Arial" w:hAnsi="Arial"/>
                <w:sz w:val="18"/>
                <w:szCs w:val="18"/>
                <w:color w:val="auto"/>
              </w:rPr>
              <w:t>Pro forma net tangible book value per share as of March 31, 2021</w:t>
            </w:r>
          </w:p>
        </w:tc>
        <w:tc>
          <w:tcPr>
            <w:tcW w:w="5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Increase in pro forma net tangible book value per share attributable to new investors participating in this offering</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9020" w:type="dxa"/>
            <w:vAlign w:val="bottom"/>
          </w:tcPr>
          <w:p>
            <w:pPr>
              <w:ind w:left="360"/>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54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60" w:type="dxa"/>
            <w:vAlign w:val="bottom"/>
          </w:tcPr>
          <w:p>
            <w:pPr>
              <w:spacing w:after="0"/>
              <w:rPr>
                <w:sz w:val="20"/>
                <w:szCs w:val="20"/>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Dilution in pro forma as adjusted net tangible book value per share to new investors participating in this offering</w:t>
            </w:r>
          </w:p>
        </w:tc>
        <w:tc>
          <w:tcPr>
            <w:tcW w:w="15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7.43</w:t>
            </w:r>
          </w:p>
        </w:tc>
      </w:tr>
      <w:tr>
        <w:trPr>
          <w:trHeight w:val="20"/>
        </w:trPr>
        <w:tc>
          <w:tcPr>
            <w:tcW w:w="9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The dilution information discussed above is illustrative only and will change based on the actual initial public offering price and other terms of this offering determined at pricing. Each $1.00 increase (decrease) in the assumed initial public offering price of $15.00 per share (which is the midpoint of the estimated price range set forth on the cover page of this prospectus) would increase (decrease) pro forma as adjusted net tangible book value per share to new investors by $0.25 $(0.25), and would increase (decrease) dilution per share to new investors in this offering by $0.75 $(0.75), assuming that the number of shares offered by us, as set forth on the cover page of this prospectus, remains the same, and after deducting underwriting discounts and commissions and estimated offering expenses payable by us. Similarly, each increase (decrease) of 1,000,000 shares in the number of shares offered by us would increase (decrease) our pro forma as adjusted net tangible book value by approximately $0.17 $(0.18) per share and (decrease) increase the dilution to new investors by $(0.17) $0.18 per share, assuming the assumed initial public offering price remains the same, and after deducting underwriting discounts and commissions and estimated offering expenses payable by us.</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40"/>
          </w:cols>
          <w:pgMar w:left="32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If the underwriters’ over-allotment option is exercised in full, the pro forma as adjusted net tangible book value per share of our common stock would be $7.82 per share, and the dilution in pro forma net tangible book value per share to new investors in this offering would be $7.18 per share, in each case assuming an initial public offering price of $15.00 per share, which is the midpoint of the price range set forth on the cover page of this prospectus.</w:t>
      </w:r>
    </w:p>
    <w:p>
      <w:pPr>
        <w:spacing w:after="0" w:line="18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The following table summarizes, as of March 31, 2021, on a pro forma as adjusted basis, the number of shares of common stock purchased from us, the total consideration paid, or to be paid, and the average price per share paid, or to be paid, by existing stockholders and by the new investors, at an assumed initial public offering price of $15.00 per share, the midpoint of the estimated initial public offering range set forth on the cover page of this prospectus, before deducting underwriting discounts and commissions and offering expenses payable by us:</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120" w:type="dxa"/>
            <w:vAlign w:val="bottom"/>
            <w:gridSpan w:val="2"/>
          </w:tcPr>
          <w:p>
            <w:pPr>
              <w:jc w:val="center"/>
              <w:ind w:left="379"/>
              <w:spacing w:after="0"/>
              <w:rPr>
                <w:sz w:val="20"/>
                <w:szCs w:val="20"/>
                <w:color w:val="auto"/>
              </w:rPr>
            </w:pPr>
            <w:r>
              <w:rPr>
                <w:rFonts w:ascii="Arial" w:cs="Arial" w:eastAsia="Arial" w:hAnsi="Arial"/>
                <w:sz w:val="14"/>
                <w:szCs w:val="14"/>
                <w:b w:val="1"/>
                <w:bCs w:val="1"/>
                <w:color w:val="auto"/>
                <w:w w:val="89"/>
              </w:rPr>
              <w:t>Shares</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4"/>
            <w:vMerge w:val="restart"/>
          </w:tcPr>
          <w:p>
            <w:pPr>
              <w:jc w:val="right"/>
              <w:ind w:right="540"/>
              <w:spacing w:after="0"/>
              <w:rPr>
                <w:sz w:val="20"/>
                <w:szCs w:val="20"/>
                <w:color w:val="auto"/>
              </w:rPr>
            </w:pPr>
            <w:r>
              <w:rPr>
                <w:rFonts w:ascii="Arial" w:cs="Arial" w:eastAsia="Arial" w:hAnsi="Arial"/>
                <w:sz w:val="14"/>
                <w:szCs w:val="14"/>
                <w:b w:val="1"/>
                <w:bCs w:val="1"/>
                <w:color w:val="auto"/>
              </w:rPr>
              <w:t>Total Consideration</w:t>
            </w:r>
          </w:p>
        </w:tc>
        <w:tc>
          <w:tcPr>
            <w:tcW w:w="14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6200" w:type="dxa"/>
            <w:vAlign w:val="bottom"/>
          </w:tcPr>
          <w:p>
            <w:pPr>
              <w:spacing w:after="0"/>
              <w:rPr>
                <w:sz w:val="14"/>
                <w:szCs w:val="14"/>
                <w:color w:val="auto"/>
              </w:rPr>
            </w:pPr>
          </w:p>
        </w:tc>
        <w:tc>
          <w:tcPr>
            <w:tcW w:w="1120" w:type="dxa"/>
            <w:vAlign w:val="bottom"/>
            <w:gridSpan w:val="2"/>
          </w:tcPr>
          <w:p>
            <w:pPr>
              <w:jc w:val="center"/>
              <w:ind w:left="399"/>
              <w:spacing w:after="0"/>
              <w:rPr>
                <w:sz w:val="20"/>
                <w:szCs w:val="20"/>
                <w:color w:val="auto"/>
              </w:rPr>
            </w:pPr>
            <w:r>
              <w:rPr>
                <w:rFonts w:ascii="Arial" w:cs="Arial" w:eastAsia="Arial" w:hAnsi="Arial"/>
                <w:sz w:val="14"/>
                <w:szCs w:val="14"/>
                <w:b w:val="1"/>
                <w:bCs w:val="1"/>
                <w:color w:val="auto"/>
                <w:w w:val="89"/>
              </w:rPr>
              <w:t>Purchased</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Price Per</w:t>
            </w:r>
          </w:p>
        </w:tc>
        <w:tc>
          <w:tcPr>
            <w:tcW w:w="0" w:type="dxa"/>
            <w:vAlign w:val="bottom"/>
          </w:tcPr>
          <w:p>
            <w:pPr>
              <w:spacing w:after="0"/>
              <w:rPr>
                <w:sz w:val="1"/>
                <w:szCs w:val="1"/>
                <w:color w:val="auto"/>
              </w:rPr>
            </w:pPr>
          </w:p>
        </w:tc>
      </w:tr>
      <w:tr>
        <w:trPr>
          <w:trHeight w:val="142"/>
        </w:trPr>
        <w:tc>
          <w:tcPr>
            <w:tcW w:w="620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Number</w:t>
            </w:r>
          </w:p>
        </w:tc>
        <w:tc>
          <w:tcPr>
            <w:tcW w:w="26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2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Amount</w:t>
            </w:r>
          </w:p>
        </w:tc>
        <w:tc>
          <w:tcPr>
            <w:tcW w:w="26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2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7"/>
              </w:rPr>
              <w:t>Share</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27,324,727</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73.2%</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$248,159,975</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New investors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10,000,000</w:t>
            </w:r>
          </w:p>
        </w:tc>
        <w:tc>
          <w:tcPr>
            <w:tcW w:w="26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150,000,000</w:t>
            </w:r>
          </w:p>
        </w:tc>
        <w:tc>
          <w:tcPr>
            <w:tcW w:w="26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280" w:type="dxa"/>
            <w:vAlign w:val="bottom"/>
          </w:tcPr>
          <w:p>
            <w:pPr>
              <w:spacing w:after="0"/>
              <w:rPr>
                <w:sz w:val="19"/>
                <w:szCs w:val="19"/>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37,324,727</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100.0%</w:t>
            </w:r>
          </w:p>
        </w:tc>
        <w:tc>
          <w:tcPr>
            <w:tcW w:w="14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398,159,975</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Each $1.00 increase (decrease) in the assumed initial public offering price of $15.00 per share (which is the midpoint of the estimated initial public offering price range set forth on the cover page of this prospectus), would increase (decrease) the total consideration paid by new investors and total consideration paid by all stockholders by approximately $9.3 million, assuming that the number of shares offered by us, as set forth on the cover page of this prospectus, remains the same, and after deducting underwriting discounts and commissions and estimated offering expenses payable by us.</w:t>
      </w:r>
    </w:p>
    <w:p>
      <w:pPr>
        <w:spacing w:after="0" w:line="15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above table assumes no exercise of the underwriters’ over-allotment option. If the underwriters’ over-allotment option were exercised in full, our existing stockholders would own 70.4% and our new investors would own 29.6% of the total number of shares of our common stock outstanding upon completion of this offering.</w:t>
      </w:r>
    </w:p>
    <w:p>
      <w:pPr>
        <w:spacing w:after="0" w:line="184" w:lineRule="exact"/>
        <w:rPr>
          <w:sz w:val="20"/>
          <w:szCs w:val="20"/>
          <w:color w:val="auto"/>
        </w:rPr>
      </w:pPr>
    </w:p>
    <w:p>
      <w:pPr>
        <w:jc w:val="both"/>
        <w:ind w:left="120" w:right="380" w:firstLine="440"/>
        <w:spacing w:after="0" w:line="263" w:lineRule="auto"/>
        <w:rPr>
          <w:sz w:val="20"/>
          <w:szCs w:val="20"/>
          <w:color w:val="auto"/>
        </w:rPr>
      </w:pPr>
      <w:r>
        <w:rPr>
          <w:rFonts w:ascii="Arial" w:cs="Arial" w:eastAsia="Arial" w:hAnsi="Arial"/>
          <w:sz w:val="18"/>
          <w:szCs w:val="18"/>
          <w:color w:val="auto"/>
        </w:rPr>
        <w:t>The number of shares of our common stock issued and outstanding, in the tables above are based on 27,324,727 shares of our common stock outstanding as of March 31, 2021 (including conversion of all of our outstanding shares of convertible preferred stock into 26,102,278 shares of our common stock), and excludes:</w:t>
      </w:r>
    </w:p>
    <w:p>
      <w:pPr>
        <w:spacing w:after="0" w:line="89" w:lineRule="exact"/>
        <w:rPr>
          <w:sz w:val="20"/>
          <w:szCs w:val="20"/>
          <w:color w:val="auto"/>
        </w:rPr>
      </w:pPr>
    </w:p>
    <w:p>
      <w:pPr>
        <w:ind w:left="1080" w:right="240" w:hanging="532"/>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1,727,968 shares of our common stock issuable upon the exercise of options outstanding as of March 31, 2021, with a weighted-average exercise price of $3.06 per share;</w:t>
      </w:r>
    </w:p>
    <w:p>
      <w:pPr>
        <w:spacing w:after="0" w:line="75"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835,473 shares of our common stock issuable upon the exercise of options granted subsequent to March 31, 2021, with a weighted-average exercise price of $10.00 per share;</w:t>
      </w:r>
    </w:p>
    <w:p>
      <w:pPr>
        <w:spacing w:after="0" w:line="75"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379,271 shares of our common stock reserved for future grant or issuance under our Amended and Restated 2016 Equity Incentive Plan as of March 31, 2021;</w:t>
      </w:r>
    </w:p>
    <w:p>
      <w:pPr>
        <w:spacing w:after="0" w:line="75" w:lineRule="exact"/>
        <w:rPr>
          <w:rFonts w:ascii="Arial" w:cs="Arial" w:eastAsia="Arial" w:hAnsi="Arial"/>
          <w:sz w:val="18"/>
          <w:szCs w:val="18"/>
          <w:color w:val="auto"/>
        </w:rPr>
      </w:pPr>
    </w:p>
    <w:p>
      <w:pPr>
        <w:ind w:left="1080" w:right="120" w:hanging="532"/>
        <w:spacing w:after="0" w:line="311" w:lineRule="auto"/>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4,000,000 shares of our common stock reserved for future issuance under our 2021 Equity Incentive Plan, which will become effective on the business day immediately prior to the date of effectiveness of the registration statement of which this prospectus forms a part, as well as any automatic increases in the number of shares of our common stock reserved for future issuance pursuant to this plan; and</w:t>
      </w:r>
    </w:p>
    <w:p>
      <w:pPr>
        <w:spacing w:after="0" w:line="54" w:lineRule="exact"/>
        <w:rPr>
          <w:rFonts w:ascii="Arial" w:cs="Arial" w:eastAsia="Arial" w:hAnsi="Arial"/>
          <w:sz w:val="16"/>
          <w:szCs w:val="16"/>
          <w:color w:val="auto"/>
        </w:rPr>
      </w:pPr>
    </w:p>
    <w:p>
      <w:pPr>
        <w:ind w:left="1080" w:right="160" w:hanging="532"/>
        <w:spacing w:after="0" w:line="286" w:lineRule="auto"/>
        <w:tabs>
          <w:tab w:leader="none" w:pos="10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800,000 shares of common stock reserved for future issuance under our 2021 ESPP,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40"/>
          </w:cols>
          <w:pgMar w:left="32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To the extent that stock options are exercised, new stock options are issued under our equity incentive plan or we issue additional shares of common stock in the future, there will be further dilution to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00"/>
          </w:cols>
          <w:pgMar w:left="320" w:top="459" w:right="4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The following tables set forth our selected financial data for the periods and as of the dates indicated. We have derived the selected statements of operations data for the years ended December 31, 2019 and 2020, and the selected balance sheet data as of December 31, 2019 and 2020, from our audited financial statements appearing elsewhere in this prospectus. The selected statements of operations data for the three months ended March 31, 2020 and 2021 and the selected balance sheet data as of March 31, 2021 are derived from our unaudited interim condensed financial statements included elsewhere in this prospectus. We have prepared the unaudited interim condensed financial statements on the same basis as the audited financial statements. We have included, in our opinion, all adjustments, consisting only of normal recurring adjustments that we consider necessary for a fair presentation of the financial information set forth in those unaudited interim condensed financial statements.</w:t>
      </w:r>
    </w:p>
    <w:p>
      <w:pPr>
        <w:spacing w:after="0" w:line="166" w:lineRule="exact"/>
        <w:rPr>
          <w:sz w:val="20"/>
          <w:szCs w:val="20"/>
          <w:color w:val="auto"/>
        </w:rPr>
      </w:pPr>
    </w:p>
    <w:p>
      <w:pPr>
        <w:ind w:left="120" w:right="220" w:firstLine="440"/>
        <w:spacing w:after="0" w:line="275" w:lineRule="auto"/>
        <w:rPr>
          <w:sz w:val="20"/>
          <w:szCs w:val="20"/>
          <w:color w:val="auto"/>
        </w:rPr>
      </w:pPr>
      <w:r>
        <w:rPr>
          <w:rFonts w:ascii="Arial" w:cs="Arial" w:eastAsia="Arial" w:hAnsi="Arial"/>
          <w:sz w:val="17"/>
          <w:szCs w:val="17"/>
          <w:color w:val="auto"/>
        </w:rPr>
        <w:t>You should read the following selected financial data together with the section titled “Management’s Discussion and Analysis of Financial Condition and Results of Operations” and our financial statements and the related notes appearing elsewhere in this prospectus. The selected financial data in this section are not intended to replace our financial statements and are qualified in their entirety by our financial statements and related notes appearing elsewhere in this prospectus. Our historical results are not necessarily indicative of our future results, and our results for the three months ended March 31, 2021 are not necessarily indicative of results to be expected for the full year.</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Year Ended</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jc w:val="right"/>
              <w:ind w:right="44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40" w:type="dxa"/>
            <w:vAlign w:val="bottom"/>
            <w:gridSpan w:val="4"/>
          </w:tcPr>
          <w:p>
            <w:pPr>
              <w:jc w:val="right"/>
              <w:ind w:right="781"/>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w w:val="96"/>
              </w:rPr>
              <w:t>2020</w:t>
            </w:r>
          </w:p>
        </w:tc>
        <w:tc>
          <w:tcPr>
            <w:tcW w:w="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80" w:type="dxa"/>
            <w:vAlign w:val="bottom"/>
            <w:gridSpan w:val="8"/>
          </w:tcPr>
          <w:p>
            <w:pPr>
              <w:jc w:val="right"/>
              <w:spacing w:after="0" w:line="142" w:lineRule="exact"/>
              <w:rPr>
                <w:sz w:val="20"/>
                <w:szCs w:val="20"/>
                <w:color w:val="auto"/>
              </w:rPr>
            </w:pPr>
            <w:r>
              <w:rPr>
                <w:rFonts w:ascii="Arial" w:cs="Arial" w:eastAsia="Arial" w:hAnsi="Arial"/>
                <w:sz w:val="14"/>
                <w:szCs w:val="14"/>
                <w:b w:val="1"/>
                <w:bCs w:val="1"/>
                <w:color w:val="auto"/>
                <w:w w:val="92"/>
              </w:rPr>
              <w:t>(in thousands, except share and per share data)</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23,148</w:t>
            </w:r>
          </w:p>
        </w:tc>
        <w:tc>
          <w:tcPr>
            <w:tcW w:w="6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31,099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45"/>
              <w:spacing w:after="0"/>
              <w:rPr>
                <w:sz w:val="20"/>
                <w:szCs w:val="20"/>
                <w:color w:val="auto"/>
              </w:rPr>
            </w:pPr>
            <w:r>
              <w:rPr>
                <w:rFonts w:ascii="Arial" w:cs="Arial" w:eastAsia="Arial" w:hAnsi="Arial"/>
                <w:sz w:val="18"/>
                <w:szCs w:val="18"/>
                <w:color w:val="auto"/>
              </w:rPr>
              <w:t>7,297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9,590</w:t>
            </w:r>
          </w:p>
        </w:tc>
        <w:tc>
          <w:tcPr>
            <w:tcW w:w="0" w:type="dxa"/>
            <w:vAlign w:val="bottom"/>
          </w:tcPr>
          <w:p>
            <w:pPr>
              <w:spacing w:after="0"/>
              <w:rPr>
                <w:sz w:val="1"/>
                <w:szCs w:val="1"/>
                <w:color w:val="auto"/>
              </w:rPr>
            </w:pPr>
          </w:p>
        </w:tc>
      </w:tr>
      <w:tr>
        <w:trPr>
          <w:trHeight w:val="216"/>
        </w:trPr>
        <w:tc>
          <w:tcPr>
            <w:tcW w:w="6180" w:type="dxa"/>
            <w:vAlign w:val="bottom"/>
            <w:gridSpan w:val="2"/>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740" w:type="dxa"/>
            <w:vAlign w:val="bottom"/>
            <w:gridSpan w:val="2"/>
          </w:tcPr>
          <w:p>
            <w:pPr>
              <w:jc w:val="right"/>
              <w:ind w:right="79"/>
              <w:spacing w:after="0"/>
              <w:rPr>
                <w:sz w:val="20"/>
                <w:szCs w:val="20"/>
                <w:color w:val="auto"/>
              </w:rPr>
            </w:pPr>
            <w:r>
              <w:rPr>
                <w:rFonts w:ascii="Arial" w:cs="Arial" w:eastAsia="Arial" w:hAnsi="Arial"/>
                <w:sz w:val="18"/>
                <w:szCs w:val="18"/>
                <w:color w:val="auto"/>
              </w:rPr>
              <w:t>4,564</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7,813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45"/>
              <w:spacing w:after="0"/>
              <w:rPr>
                <w:sz w:val="20"/>
                <w:szCs w:val="20"/>
                <w:color w:val="auto"/>
              </w:rPr>
            </w:pPr>
            <w:r>
              <w:rPr>
                <w:rFonts w:ascii="Arial" w:cs="Arial" w:eastAsia="Arial" w:hAnsi="Arial"/>
                <w:sz w:val="18"/>
                <w:szCs w:val="18"/>
                <w:color w:val="auto"/>
              </w:rPr>
              <w:t>1,969</w:t>
            </w: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3,515</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27,712</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38,912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5"/>
              <w:spacing w:after="0"/>
              <w:rPr>
                <w:sz w:val="20"/>
                <w:szCs w:val="20"/>
                <w:color w:val="auto"/>
              </w:rPr>
            </w:pPr>
            <w:r>
              <w:rPr>
                <w:rFonts w:ascii="Arial" w:cs="Arial" w:eastAsia="Arial" w:hAnsi="Arial"/>
                <w:sz w:val="18"/>
                <w:szCs w:val="18"/>
                <w:color w:val="auto"/>
              </w:rPr>
              <w:t>9,266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13,105</w:t>
            </w: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(27,712)</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(38,912)</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(9,266)</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740" w:type="dxa"/>
            <w:vAlign w:val="bottom"/>
            <w:gridSpan w:val="2"/>
          </w:tcPr>
          <w:p>
            <w:pPr>
              <w:jc w:val="right"/>
              <w:ind w:right="79"/>
              <w:spacing w:after="0"/>
              <w:rPr>
                <w:sz w:val="20"/>
                <w:szCs w:val="20"/>
                <w:color w:val="auto"/>
              </w:rPr>
            </w:pPr>
            <w:r>
              <w:rPr>
                <w:rFonts w:ascii="Arial" w:cs="Arial" w:eastAsia="Arial" w:hAnsi="Arial"/>
                <w:sz w:val="18"/>
                <w:szCs w:val="18"/>
                <w:color w:val="auto"/>
              </w:rPr>
              <w:t>453</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45"/>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Change in fair value of convertible preferred stock tranche liability</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5"/>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80" w:type="dxa"/>
            <w:vAlign w:val="bottom"/>
            <w:gridSpan w:val="2"/>
          </w:tcPr>
          <w:p>
            <w:pPr>
              <w:ind w:left="360"/>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740" w:type="dxa"/>
            <w:vAlign w:val="bottom"/>
            <w:gridSpan w:val="2"/>
          </w:tcPr>
          <w:p>
            <w:pPr>
              <w:jc w:val="right"/>
              <w:ind w:right="79"/>
              <w:spacing w:after="0"/>
              <w:rPr>
                <w:sz w:val="20"/>
                <w:szCs w:val="20"/>
                <w:color w:val="auto"/>
              </w:rPr>
            </w:pPr>
            <w:r>
              <w:rPr>
                <w:rFonts w:ascii="Arial" w:cs="Arial" w:eastAsia="Arial" w:hAnsi="Arial"/>
                <w:sz w:val="18"/>
                <w:szCs w:val="18"/>
                <w:color w:val="auto"/>
              </w:rPr>
              <w:t>1,017</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355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45"/>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other income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1,481</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5"/>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Net loss before income tax expense</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(26,231)</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(38,395)</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(9,051)</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(26,231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(38,395</w:t>
            </w:r>
          </w:p>
        </w:tc>
        <w:tc>
          <w:tcPr>
            <w:tcW w:w="520" w:type="dxa"/>
            <w:vAlign w:val="bottom"/>
            <w:gridSpan w:val="2"/>
          </w:tcPr>
          <w:p>
            <w:pPr>
              <w:jc w:val="right"/>
              <w:ind w:right="4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(9,051</w:t>
            </w:r>
          </w:p>
        </w:tc>
        <w:tc>
          <w:tcPr>
            <w:tcW w:w="520" w:type="dxa"/>
            <w:vAlign w:val="bottom"/>
          </w:tcPr>
          <w:p>
            <w:pPr>
              <w:jc w:val="right"/>
              <w:ind w:right="385"/>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(13,098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(34.71)</w:t>
            </w:r>
          </w:p>
        </w:tc>
        <w:tc>
          <w:tcPr>
            <w:tcW w:w="6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(39.50)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85"/>
              <w:spacing w:after="0"/>
              <w:rPr>
                <w:sz w:val="20"/>
                <w:szCs w:val="20"/>
                <w:color w:val="auto"/>
              </w:rPr>
            </w:pPr>
            <w:r>
              <w:rPr>
                <w:rFonts w:ascii="Arial" w:cs="Arial" w:eastAsia="Arial" w:hAnsi="Arial"/>
                <w:sz w:val="18"/>
                <w:szCs w:val="18"/>
                <w:color w:val="auto"/>
              </w:rPr>
              <w:t>(10.15)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w w:val="94"/>
              </w:rPr>
              <w:t>Weighted-average shares used in computing net loss per share,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755,779</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972,091</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891,990</w:t>
            </w:r>
          </w:p>
        </w:tc>
        <w:tc>
          <w:tcPr>
            <w:tcW w:w="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1,097,805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loss per share, basic and diluted</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w w:val="96"/>
              </w:rPr>
              <w:t>Weighted-average shares used in computing pro forma net loss per share, basic</w:t>
            </w: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80" w:type="dxa"/>
            <w:vAlign w:val="bottom"/>
            <w:gridSpan w:val="2"/>
          </w:tcPr>
          <w:p>
            <w:pPr>
              <w:ind w:left="180"/>
              <w:spacing w:after="0"/>
              <w:rPr>
                <w:sz w:val="20"/>
                <w:szCs w:val="20"/>
                <w:color w:val="auto"/>
              </w:rPr>
            </w:pPr>
            <w:r>
              <w:rPr>
                <w:rFonts w:ascii="Arial" w:cs="Arial" w:eastAsia="Arial" w:hAnsi="Arial"/>
                <w:sz w:val="18"/>
                <w:szCs w:val="18"/>
                <w:color w:val="auto"/>
              </w:rPr>
              <w:t>and diluted</w:t>
            </w:r>
            <w:r>
              <w:rPr>
                <w:rFonts w:ascii="Arial" w:cs="Arial" w:eastAsia="Arial" w:hAnsi="Arial"/>
                <w:sz w:val="15"/>
                <w:szCs w:val="15"/>
                <w:color w:val="auto"/>
              </w:rPr>
              <w:t>(1)</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27,074,369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w w:val="86"/>
              </w:rPr>
              <w:t>27,200,083</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4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300" w:hanging="424"/>
        <w:spacing w:after="0" w:line="259" w:lineRule="auto"/>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unaudited pro forma net loss per share for the year ended December 31, 2020 and the three months ended March 31, 2021 was computed using the weighted-average number of shares of common stock outstanding, including the pro forma effect of the conversion of all outstanding shares of our convertible preferred stock into shares of common stock, as if such conversion had occurred at the beginning of the most recently completed fiscal year.</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40"/>
          </w:cols>
          <w:pgMar w:left="32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50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8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As of December 31,</w:t>
            </w:r>
          </w:p>
        </w:tc>
        <w:tc>
          <w:tcPr>
            <w:tcW w:w="1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As of March 31,</w:t>
            </w:r>
          </w:p>
        </w:tc>
      </w:tr>
      <w:tr>
        <w:trPr>
          <w:trHeight w:val="142"/>
        </w:trPr>
        <w:tc>
          <w:tcPr>
            <w:tcW w:w="33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428"/>
              <w:spacing w:after="0" w:line="142" w:lineRule="exact"/>
              <w:rPr>
                <w:sz w:val="20"/>
                <w:szCs w:val="20"/>
                <w:color w:val="auto"/>
              </w:rPr>
            </w:pPr>
            <w:r>
              <w:rPr>
                <w:rFonts w:ascii="Arial" w:cs="Arial" w:eastAsia="Arial" w:hAnsi="Arial"/>
                <w:sz w:val="14"/>
                <w:szCs w:val="14"/>
                <w:b w:val="1"/>
                <w:bCs w:val="1"/>
                <w:color w:val="auto"/>
              </w:rPr>
              <w:t>2019</w:t>
            </w:r>
          </w:p>
        </w:tc>
        <w:tc>
          <w:tcPr>
            <w:tcW w:w="92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r>
      <w:tr>
        <w:trPr>
          <w:trHeight w:val="142"/>
        </w:trPr>
        <w:tc>
          <w:tcPr>
            <w:tcW w:w="33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2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340" w:type="dxa"/>
            <w:vAlign w:val="bottom"/>
            <w:gridSpan w:val="2"/>
          </w:tcPr>
          <w:p>
            <w:pPr>
              <w:jc w:val="right"/>
              <w:ind w:right="228"/>
              <w:spacing w:after="0"/>
              <w:rPr>
                <w:sz w:val="20"/>
                <w:szCs w:val="20"/>
                <w:color w:val="auto"/>
              </w:rPr>
            </w:pPr>
            <w:r>
              <w:rPr>
                <w:rFonts w:ascii="Arial" w:cs="Arial" w:eastAsia="Arial" w:hAnsi="Arial"/>
                <w:sz w:val="18"/>
                <w:szCs w:val="18"/>
                <w:color w:val="auto"/>
              </w:rPr>
              <w:t>$ 23,872</w:t>
            </w: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$128,535</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128,439</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23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23,622</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124,923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123,840</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Total assets</w:t>
            </w:r>
          </w:p>
        </w:tc>
        <w:tc>
          <w:tcPr>
            <w:tcW w:w="2340" w:type="dxa"/>
            <w:vAlign w:val="bottom"/>
            <w:gridSpan w:val="2"/>
          </w:tcPr>
          <w:p>
            <w:pPr>
              <w:jc w:val="right"/>
              <w:ind w:right="228"/>
              <w:spacing w:after="0"/>
              <w:rPr>
                <w:sz w:val="20"/>
                <w:szCs w:val="20"/>
                <w:color w:val="auto"/>
              </w:rPr>
            </w:pPr>
            <w:r>
              <w:rPr>
                <w:rFonts w:ascii="Arial" w:cs="Arial" w:eastAsia="Arial" w:hAnsi="Arial"/>
                <w:sz w:val="18"/>
                <w:szCs w:val="18"/>
                <w:color w:val="auto"/>
              </w:rPr>
              <w:t>38,001</w:t>
            </w: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148,161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159,757</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23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73,042</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220,754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240,735</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340" w:type="dxa"/>
            <w:vAlign w:val="bottom"/>
            <w:gridSpan w:val="2"/>
          </w:tcPr>
          <w:p>
            <w:pPr>
              <w:jc w:val="right"/>
              <w:ind w:right="228"/>
              <w:spacing w:after="0"/>
              <w:rPr>
                <w:sz w:val="20"/>
                <w:szCs w:val="20"/>
                <w:color w:val="auto"/>
              </w:rPr>
            </w:pPr>
            <w:r>
              <w:rPr>
                <w:rFonts w:ascii="Arial" w:cs="Arial" w:eastAsia="Arial" w:hAnsi="Arial"/>
                <w:sz w:val="18"/>
                <w:szCs w:val="18"/>
                <w:color w:val="auto"/>
              </w:rPr>
              <w:t>764</w:t>
            </w: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1,584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2,054</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3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(44,417)</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(82,812)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(95,910)</w:t>
            </w: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2340" w:type="dxa"/>
            <w:vAlign w:val="bottom"/>
            <w:gridSpan w:val="2"/>
          </w:tcPr>
          <w:p>
            <w:pPr>
              <w:jc w:val="right"/>
              <w:ind w:right="168"/>
              <w:spacing w:after="0"/>
              <w:rPr>
                <w:sz w:val="20"/>
                <w:szCs w:val="20"/>
                <w:color w:val="auto"/>
              </w:rPr>
            </w:pPr>
            <w:r>
              <w:rPr>
                <w:rFonts w:ascii="Arial" w:cs="Arial" w:eastAsia="Arial" w:hAnsi="Arial"/>
                <w:sz w:val="18"/>
                <w:szCs w:val="18"/>
                <w:color w:val="auto"/>
              </w:rPr>
              <w:t>(43,739)</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(81,315)</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(93,943)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540" w:hanging="424"/>
        <w:spacing w:after="0" w:line="277" w:lineRule="auto"/>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define working capital as current assets less current liabilities. See our financial statements included elsewhere in this prospectus for further details regarding our current assets and current liabilities.</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0880"/>
          </w:cols>
          <w:pgMar w:left="320" w:top="459" w:right="69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i w:val="1"/>
          <w:iCs w:val="1"/>
          <w:color w:val="auto"/>
        </w:rPr>
        <w:t>The following discussion of our financial condition and results of operations should be read together with the section titled “Selected Financial Data,” and our financial statements and related notes included elsewhere in this prospectus.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prospectus, particularly in the section titled “Risk Factors.” Our historical results are not necessarily indicative of the results that may be expected for any period in the future. See also the section of this prospectus titled “Special Note Regarding Forward-Looking Statements.”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120" w:right="180" w:firstLine="440"/>
        <w:spacing w:after="0" w:line="311" w:lineRule="auto"/>
        <w:rPr>
          <w:sz w:val="20"/>
          <w:szCs w:val="20"/>
          <w:color w:val="auto"/>
        </w:rPr>
      </w:pPr>
      <w:r>
        <w:rPr>
          <w:rFonts w:ascii="Arial" w:cs="Arial" w:eastAsia="Arial" w:hAnsi="Arial"/>
          <w:sz w:val="16"/>
          <w:szCs w:val="16"/>
          <w:color w:val="auto"/>
        </w:rPr>
        <w:t>We are a biotechnology company headquartered in South San Francisco, California focused on discovering, developing and delivering curative therapies that address the underlying drivers of heart disease. We are advancing a pipeline of disease-modifying therapies developed using our product platforms and core internal capabilities to target defined sub-populations of patients with both rare and highly prevalent forms of heart disease.</w:t>
      </w:r>
    </w:p>
    <w:p>
      <w:pPr>
        <w:spacing w:after="0" w:line="149"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We were incorporated in August 2016 and commenced operations thereafter. Our operations to date have included developing our Gene Therapy, Cellular Regeneration and Precision Medicine platforms, identifying and developing product candidates, conducting preclinical studies, acquiring technology, organizing and recruiting management and technical staff, conducting business planning, establishing our intellectual property portfolio, raising capital, and providing general and administrative support for these operations. All of our programs are currently in the preclinical stage and we do not have any products approved for sale. We have not generated any revenue.</w:t>
      </w:r>
    </w:p>
    <w:p>
      <w:pPr>
        <w:spacing w:after="0" w:line="176"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Since our inception, we have incurred net losses each year and we expect to continue to incur significant and increasing losses for the foreseeable future as we continue to advance our platforms, programs and product candidates, and as we transition to operating as a public company. Our net losses may fluctuate significantly from period to period, depending on the timing of expenditures on our research and development activities. Our net losses were $26.2 million and $38.4 million for the years ended December 31, 2019 and 2020, respectively, and $9.1 million and $13.1 million for the three months ended March 31, 2020 and 2021, respectively. As of March 31, 2021, we had an accumulated deficit of $95.9 million. Our net losses resulted primarily from our research and development programs and, to a lesser extent, general and administrative costs associated with our operations.</w:t>
      </w:r>
    </w:p>
    <w:p>
      <w:pPr>
        <w:spacing w:after="0" w:line="164" w:lineRule="exact"/>
        <w:rPr>
          <w:sz w:val="20"/>
          <w:szCs w:val="20"/>
          <w:color w:val="auto"/>
        </w:rPr>
      </w:pPr>
    </w:p>
    <w:p>
      <w:pPr>
        <w:jc w:val="both"/>
        <w:ind w:left="120" w:right="380" w:firstLine="440"/>
        <w:spacing w:after="0" w:line="259" w:lineRule="auto"/>
        <w:rPr>
          <w:sz w:val="20"/>
          <w:szCs w:val="20"/>
          <w:color w:val="auto"/>
        </w:rPr>
      </w:pPr>
      <w:r>
        <w:rPr>
          <w:rFonts w:ascii="Arial" w:cs="Arial" w:eastAsia="Arial" w:hAnsi="Arial"/>
          <w:sz w:val="18"/>
          <w:szCs w:val="18"/>
          <w:color w:val="auto"/>
        </w:rPr>
        <w:t>We have not generated any revenue from product sales or other sources since inception. Our ability to generate product revenue sufficient to achieve profitability, if ever, will depend heavily on the successful completion and eventual commercialization of our product candidates which we expect, if it ever occurs, will take a number of years. In addition, we have leased additional space in the San Francisco Bay Area intended for future manufacturing and office space as we invest in our manufacturing capabilities.</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To date, we have funded our operations primarily from the sale and issuance of our convertible preferred stock. From our inception through March 31, 2021, we raised an aggregate of $247.9 million in gross proceeds from sales of our convertible preferred stock. As of March 31, 2021, we had cash and cash equivalents of $128.4 million.</w:t>
      </w:r>
    </w:p>
    <w:p>
      <w:pPr>
        <w:spacing w:after="0" w:line="18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will need substantial additional funding in the future to finance our operations, including the commercialization of any product candidates that may be approved by the FDA or comparable foreign regulatory authorities. Until such time, if ever, as we can generate significant product revenue, we expect to finance our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operations with our existing cash and cash equivalents, the net proceeds from this offering, any future equity or debt financings, and upfront and milestone and royalty payments, if any, received under future licenses or collaborations or other arrangements with other companies, or other sources of financing. We may not be able to raise additional capital on terms acceptable to us or at all. If we are unable to raise additional capital on acceptable terms when needed, our business, results of operations, and financial condition would be adversely affected, and we may have to delay, reduce or eliminate our product development or future commercialization efforts. Insufficient liquidity may also require us to relinquish rights to product candidates at an earlier stage of development or on less favorable terms than we would otherwise choose. The amount and timing of our future funding requirements will depend on many factors, including the pace and results of our development efforts. We cannot provide assurance that we will ever be profitable or generate positive cash flow from operating activities.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University of Texas Southwestern Medical Center (UTSW) License Agreement</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In January 2020, we entered into a license agreement with UTSW (UTSW License), pursuant to which UTSW granted us an exclusive, royalty-bearing, sublicensable patent license and a non-exclusive, non-sublicensable license for mutually agreed upon development activities. Under the UTSW License, we are obligated to pay UTSW (i) a non-refundable upfront license fee of $0.1 million, (ii) milestone payments up to a total of $14.8 million in aggregate, which are contingent upon achieving specific development and commercialization milestone events, and (iii) low-single digits royalties on future net sales of each royalty-bearing product.</w:t>
      </w:r>
    </w:p>
    <w:p>
      <w:pPr>
        <w:spacing w:after="0" w:line="188"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During the year ended December 31, 2020, we recorded research and development expenses of $0.1 million related to the upfront license fee payable pursuant to the UTSW License. As of March 31, 2021, we have not recognized any milestone or royalty payments under the UTSW License.</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COVID-19</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As a result of the COVID-19 pandemic, we could experience disruptions that could severely impact our business. Potential impacts to our business include disruptions or restrictions on our employees’ ability to effectively conduct their work. In addition, some of our suppliers of certain lab materials, or service providers used in the performance of our research activities, are located in areas impacted by COVID-19, which could limit our ability to achieve planned progress. COVID-19 could adversely affect the economy and financial markets, resulting in an economic downturn that could affect our financing prospects. Any of the foregoing could harm our business and we cannot anticipate all of the ways in which health epidemics such as COVID-19 could adversely impact our business. To date, we have experienced modest delays in the progress of our research and development activities, primarily due to extended lead times at certain suppliers and temporary and partial shutdowns at certain academic institutions as a result of statewide stay-at-home orders. However, these stay-at-home orders have largely terminated and operations have since resumed. We continue to monitor and assess the effects of the COVID-19 pandemic on our business, but the ultimate impact of the COVID-19 outbreak or a similar health epidemic is highly uncertain and subject to change. For additional details, see the section titled “Risk Factors.”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Operating Results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Research and development activities account for a significant portion of our operating expenses. Research and development expenses relate primarily to discovery and development of our platforms, programs and product candidates, and are recognized as incurred. Internal research and development costs include, among others, personnel-related costs (including salaries, benefits, travel and stock-based compensation for employees engaged in research and development functions), laboratory supplies and other non-capital equipment utilized for in-house research, allocated facilities and overhead costs. External research and development expenses include, among</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spacing w:after="0" w:line="311" w:lineRule="auto"/>
        <w:rPr>
          <w:sz w:val="20"/>
          <w:szCs w:val="20"/>
          <w:color w:val="auto"/>
        </w:rPr>
      </w:pPr>
      <w:r>
        <w:rPr>
          <w:rFonts w:ascii="Arial" w:cs="Arial" w:eastAsia="Arial" w:hAnsi="Arial"/>
          <w:sz w:val="16"/>
          <w:szCs w:val="16"/>
          <w:color w:val="auto"/>
        </w:rPr>
        <w:t>others, amounts incurred to contract research organizations (CROs) that conduct research and development activities on our behalf, consulting fees and amounts owed under licensing agreements. We do not allocate our costs by platform, program or product candidate, as a significant amount of research and development expenses include internal costs, which are deployed across multiple platforms, programs, product candidates and activities.</w:t>
      </w:r>
    </w:p>
    <w:p>
      <w:pPr>
        <w:spacing w:after="0" w:line="149"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Amounts recorded for external goods or services incurred for research and development activities that have not yet been invoiced often represent estimates. We do not currently have projects that require estimates for percentage of completion and we record estimates for amounts due but not yet invoiced based on input from external service providers.</w:t>
      </w:r>
    </w:p>
    <w:p>
      <w:pPr>
        <w:spacing w:after="0" w:line="184"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We expect our research and development expenses to increase for the foreseeable future as we continue to invest in research and development activities related to developing our platforms, programs and product candidates and progressing through preclinical and clinical product development stages. The process of conducting the necessary research to advance to the clinical stage and ultimately obtain regulatory approval is costly and time-consuming, and the successful development of our product candidates is highly uncertain. As a result, we are unable to determine the duration and completion costs of our research and development projects or when and to what extent we will generate revenue from the commercialization and sale of any of our product candidates.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General and administrative expenses consist of personnel-related costs (including salaries, benefits, travel and stock-based compensation for our employees in executive, finance and other administrative functions), legal fees, professional fees incurred for accounting, audit, and tax services, recruiting costs, and facility costs not otherwise included in research and development expenses. Legal fees include those related to corporate and intellectual property related matters.</w:t>
      </w:r>
    </w:p>
    <w:p>
      <w:pPr>
        <w:spacing w:after="0" w:line="18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We expect that our general and administrative expenses will increase for the foreseeable future to support our continued research and development activities, general operations, future business development opportunities and professional fees. In addition, we expect to incur additional expenses associated with operating as a public company, including legal, accounting, insurance, exchange listing, SEC compliance, and investor relations costs.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Interest income primarily consists of interest earned on our cash, cash equivalents and investment balances.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Change in Fair Value of Convertible Preferred Stock Tranche Liability</w:t>
      </w:r>
    </w:p>
    <w:p>
      <w:pPr>
        <w:spacing w:after="0" w:line="117" w:lineRule="exact"/>
        <w:rPr>
          <w:sz w:val="20"/>
          <w:szCs w:val="20"/>
          <w:color w:val="auto"/>
        </w:rPr>
      </w:pPr>
    </w:p>
    <w:p>
      <w:pPr>
        <w:ind w:left="120" w:right="240" w:firstLine="440"/>
        <w:spacing w:after="0" w:line="275" w:lineRule="auto"/>
        <w:rPr>
          <w:sz w:val="20"/>
          <w:szCs w:val="20"/>
          <w:color w:val="auto"/>
        </w:rPr>
      </w:pPr>
      <w:r>
        <w:rPr>
          <w:rFonts w:ascii="Arial" w:cs="Arial" w:eastAsia="Arial" w:hAnsi="Arial"/>
          <w:sz w:val="17"/>
          <w:szCs w:val="17"/>
          <w:color w:val="auto"/>
        </w:rPr>
        <w:t>The change in fair value of our convertible preferred stock tranche liability fluctuates based on remeasurements at each reporting period. Our convertible preferred stock tranche liability stems from our obligation to issue additional shares to investors upon the second and third closings of our Series B convertible preferred stock. Until settlement, fluctuations in the fair value of a convertible preferred stock tranche liability are based on the remeasurement at each reporting period. Our convertible preferred stock tranche liability was settled on the second and third closings of our Series B convertible preferred stock financing in March and August 2020, respectively.</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Other income primarily consists of sublease income for a portion of our facilities in South San Francisco during 2019 and 2020 and interest earned on cash balances.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Comparison of the Three Months Ended March 31, 2020 and 2021</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8"/>
              </w:rPr>
              <w:t>Three Months Ended</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March 31,</w:t>
            </w:r>
          </w:p>
        </w:tc>
        <w:tc>
          <w:tcPr>
            <w:tcW w:w="740" w:type="dxa"/>
            <w:vAlign w:val="bottom"/>
            <w:gridSpan w:val="2"/>
          </w:tcPr>
          <w:p>
            <w:pPr>
              <w:jc w:val="right"/>
              <w:ind w:right="155"/>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w w:val="97"/>
              </w:rPr>
              <w:t>Change</w:t>
            </w:r>
          </w:p>
        </w:tc>
        <w:tc>
          <w:tcPr>
            <w:tcW w:w="7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7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4"/>
          </w:tcPr>
          <w:p>
            <w:pPr>
              <w:jc w:val="right"/>
              <w:ind w:right="18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7,297</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9,590</w:t>
            </w: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rPr>
              <w:t>$ 2,293</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1,546</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7160" w:type="dxa"/>
            <w:vAlign w:val="bottom"/>
            <w:vMerge w:val="restart"/>
          </w:tcPr>
          <w:p>
            <w:pPr>
              <w:ind w:left="720"/>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9,266</w:t>
            </w:r>
          </w:p>
        </w:tc>
        <w:tc>
          <w:tcPr>
            <w:tcW w:w="1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13,105</w:t>
            </w:r>
          </w:p>
        </w:tc>
        <w:tc>
          <w:tcPr>
            <w:tcW w:w="24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3,839</w:t>
            </w:r>
          </w:p>
        </w:tc>
        <w:tc>
          <w:tcPr>
            <w:tcW w:w="420" w:type="dxa"/>
            <w:vAlign w:val="bottom"/>
            <w:vMerge w:val="continue"/>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(9,266)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(13,105)</w:t>
            </w: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(3,839)</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(48)</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7160" w:type="dxa"/>
            <w:vAlign w:val="bottom"/>
          </w:tcPr>
          <w:p>
            <w:pPr>
              <w:ind w:left="360"/>
              <w:spacing w:after="0"/>
              <w:rPr>
                <w:sz w:val="20"/>
                <w:szCs w:val="20"/>
                <w:color w:val="auto"/>
              </w:rPr>
            </w:pPr>
            <w:r>
              <w:rPr>
                <w:rFonts w:ascii="Arial" w:cs="Arial" w:eastAsia="Arial" w:hAnsi="Arial"/>
                <w:sz w:val="18"/>
                <w:szCs w:val="18"/>
                <w:color w:val="auto"/>
              </w:rPr>
              <w:t>Change in fair value of convertible preferred stock tranche liability</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rPr>
              <w:t>19</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(179)</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7160" w:type="dxa"/>
            <w:vAlign w:val="bottom"/>
            <w:vMerge w:val="restart"/>
          </w:tcPr>
          <w:p>
            <w:pPr>
              <w:ind w:left="720"/>
              <w:spacing w:after="0"/>
              <w:rPr>
                <w:sz w:val="20"/>
                <w:szCs w:val="20"/>
                <w:color w:val="auto"/>
              </w:rPr>
            </w:pPr>
            <w:r>
              <w:rPr>
                <w:rFonts w:ascii="Arial" w:cs="Arial" w:eastAsia="Arial" w:hAnsi="Arial"/>
                <w:sz w:val="18"/>
                <w:szCs w:val="18"/>
                <w:color w:val="auto"/>
              </w:rPr>
              <w:t>Total other income (expense), net</w:t>
            </w: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215</w:t>
            </w:r>
          </w:p>
        </w:tc>
        <w:tc>
          <w:tcPr>
            <w:tcW w:w="1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(208)</w:t>
            </w:r>
          </w:p>
        </w:tc>
        <w:tc>
          <w:tcPr>
            <w:tcW w:w="420" w:type="dxa"/>
            <w:vAlign w:val="bottom"/>
            <w:vMerge w:val="continue"/>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(9,051)</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(13,098)</w:t>
            </w: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(4,047)</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research and development expenses for the periods presented.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7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March 31,</w:t>
            </w:r>
          </w:p>
        </w:tc>
        <w:tc>
          <w:tcPr>
            <w:tcW w:w="52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jc w:val="right"/>
              <w:ind w:right="135"/>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4"/>
                <w:szCs w:val="14"/>
                <w:color w:val="auto"/>
              </w:rPr>
            </w:pPr>
          </w:p>
        </w:tc>
        <w:tc>
          <w:tcPr>
            <w:tcW w:w="480" w:type="dxa"/>
            <w:vAlign w:val="bottom"/>
          </w:tcPr>
          <w:p>
            <w:pPr>
              <w:jc w:val="right"/>
              <w:ind w:right="75"/>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r>
      <w:tr>
        <w:trPr>
          <w:trHeight w:val="142"/>
        </w:trPr>
        <w:tc>
          <w:tcPr>
            <w:tcW w:w="7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97"/>
              <w:spacing w:after="0" w:line="142" w:lineRule="exact"/>
              <w:rPr>
                <w:sz w:val="20"/>
                <w:szCs w:val="20"/>
                <w:color w:val="auto"/>
              </w:rPr>
            </w:pPr>
            <w:r>
              <w:rPr>
                <w:rFonts w:ascii="Arial" w:cs="Arial" w:eastAsia="Arial" w:hAnsi="Arial"/>
                <w:sz w:val="14"/>
                <w:szCs w:val="14"/>
                <w:b w:val="1"/>
                <w:bCs w:val="1"/>
                <w:color w:val="auto"/>
                <w:w w:val="96"/>
              </w:rPr>
              <w:t>2020</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2"/>
                <w:szCs w:val="12"/>
                <w:color w:val="auto"/>
              </w:rPr>
            </w:pPr>
          </w:p>
        </w:tc>
        <w:tc>
          <w:tcPr>
            <w:tcW w:w="1000" w:type="dxa"/>
            <w:vAlign w:val="bottom"/>
            <w:gridSpan w:val="2"/>
          </w:tcPr>
          <w:p>
            <w:pPr>
              <w:jc w:val="center"/>
              <w:ind w:right="500"/>
              <w:spacing w:after="0" w:line="142" w:lineRule="exact"/>
              <w:rPr>
                <w:sz w:val="20"/>
                <w:szCs w:val="20"/>
                <w:color w:val="auto"/>
              </w:rPr>
            </w:pPr>
            <w:r>
              <w:rPr>
                <w:rFonts w:ascii="Arial" w:cs="Arial" w:eastAsia="Arial" w:hAnsi="Arial"/>
                <w:sz w:val="14"/>
                <w:szCs w:val="14"/>
                <w:b w:val="1"/>
                <w:bCs w:val="1"/>
                <w:color w:val="auto"/>
                <w:w w:val="89"/>
              </w:rPr>
              <w:t>Change</w:t>
            </w:r>
          </w:p>
        </w:tc>
        <w:tc>
          <w:tcPr>
            <w:tcW w:w="7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3"/>
              </w:rPr>
              <w:t>Change</w:t>
            </w:r>
          </w:p>
        </w:tc>
      </w:tr>
      <w:tr>
        <w:trPr>
          <w:trHeight w:val="142"/>
        </w:trPr>
        <w:tc>
          <w:tcPr>
            <w:tcW w:w="7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4"/>
          </w:tcPr>
          <w:p>
            <w:pPr>
              <w:ind w:left="120"/>
              <w:spacing w:after="0" w:line="142" w:lineRule="exact"/>
              <w:rPr>
                <w:sz w:val="20"/>
                <w:szCs w:val="20"/>
                <w:color w:val="auto"/>
              </w:rPr>
            </w:pPr>
            <w:r>
              <w:rPr>
                <w:rFonts w:ascii="Arial" w:cs="Arial" w:eastAsia="Arial" w:hAnsi="Arial"/>
                <w:sz w:val="14"/>
                <w:szCs w:val="14"/>
                <w:b w:val="1"/>
                <w:bCs w:val="1"/>
                <w:color w:val="auto"/>
              </w:rPr>
              <w:t>(in thousands)</w:t>
            </w:r>
          </w:p>
        </w:tc>
        <w:tc>
          <w:tcPr>
            <w:tcW w:w="50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Facility and laboratory costs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2,601</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4,096</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$1,495</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Personnel-related costs</w:t>
            </w:r>
          </w:p>
        </w:tc>
        <w:tc>
          <w:tcPr>
            <w:tcW w:w="1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2,432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3,337</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905</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External costs</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2,043</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86</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Other research and development expenses</w:t>
            </w:r>
          </w:p>
        </w:tc>
        <w:tc>
          <w:tcPr>
            <w:tcW w:w="1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307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114</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(193)</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r>
      <w:tr>
        <w:trPr>
          <w:trHeight w:val="27"/>
        </w:trPr>
        <w:tc>
          <w:tcPr>
            <w:tcW w:w="7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research and development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7,297</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9,590</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2,293</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r>
      <w:tr>
        <w:trPr>
          <w:trHeight w:val="20"/>
        </w:trPr>
        <w:tc>
          <w:tcPr>
            <w:tcW w:w="7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Research and development expenses were $7.3 million and $9.6 million for the three months ended March 31, 2020 and 2021, respectively. The increase of $2.3 million, or 31%, was primarily due to:</w:t>
      </w:r>
    </w:p>
    <w:p>
      <w:pPr>
        <w:spacing w:after="0" w:line="76" w:lineRule="exact"/>
        <w:rPr>
          <w:sz w:val="20"/>
          <w:szCs w:val="20"/>
          <w:color w:val="auto"/>
        </w:rPr>
      </w:pPr>
    </w:p>
    <w:p>
      <w:pPr>
        <w:ind w:left="1080" w:right="380" w:hanging="532"/>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increase of $1.5 million in facility and laboratory costs, including laboratory supplies and materials and other allocated costs, as we ramped up our research and development operations;</w:t>
      </w:r>
    </w:p>
    <w:p>
      <w:pPr>
        <w:spacing w:after="0" w:line="75"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increase of $0.9 million in personnel-related costs, including stock-based compensation, primarily due to growth in the number of our research and development employees as we expanded our research and development capabilities; and</w:t>
      </w:r>
    </w:p>
    <w:p>
      <w:pPr>
        <w:spacing w:after="0" w:line="75" w:lineRule="exact"/>
        <w:rPr>
          <w:rFonts w:ascii="Arial" w:cs="Arial" w:eastAsia="Arial" w:hAnsi="Arial"/>
          <w:sz w:val="18"/>
          <w:szCs w:val="18"/>
          <w:color w:val="auto"/>
        </w:rPr>
      </w:pPr>
    </w:p>
    <w:p>
      <w:pPr>
        <w:ind w:left="1080" w:right="380" w:hanging="532"/>
        <w:spacing w:after="0" w:line="308" w:lineRule="auto"/>
        <w:tabs>
          <w:tab w:leader="none" w:pos="10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an increase of $0.1 million in external costs, including amounts paid to CROs for research and development activities, consulting fees, preclinical studies and other external research expenses as we progressed development of our programs.</w:t>
      </w:r>
    </w:p>
    <w:p>
      <w:pPr>
        <w:spacing w:after="0" w:line="146" w:lineRule="exact"/>
        <w:rPr>
          <w:sz w:val="20"/>
          <w:szCs w:val="20"/>
          <w:color w:val="auto"/>
        </w:rPr>
      </w:pPr>
    </w:p>
    <w:p>
      <w:pPr>
        <w:jc w:val="center"/>
        <w:ind w:right="200"/>
        <w:spacing w:after="0" w:line="449" w:lineRule="auto"/>
        <w:rPr>
          <w:sz w:val="20"/>
          <w:szCs w:val="20"/>
          <w:color w:val="auto"/>
        </w:rPr>
      </w:pPr>
      <w:r>
        <w:rPr>
          <w:rFonts w:ascii="Arial" w:cs="Arial" w:eastAsia="Arial" w:hAnsi="Arial"/>
          <w:sz w:val="18"/>
          <w:szCs w:val="18"/>
          <w:color w:val="auto"/>
        </w:rPr>
        <w:t>These increases were partially offset by a decrease of $0.2 million in other research and development expenses, including licensing fees. 111</w:t>
      </w:r>
    </w:p>
    <w:p>
      <w:pPr>
        <w:sectPr>
          <w:pgSz w:w="11900" w:h="16838" w:orient="portrait"/>
          <w:cols w:equalWidth="0" w:num="1">
            <w:col w:w="11140"/>
          </w:cols>
          <w:pgMar w:left="32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General and administrative expenses were $2.0 million and $3.5 million for the three months ended March 31, 2020 and 2021, respectively. The increase of $1.5 million, or 79%, was primarily due to a $0.8 million increase in professional service expenses and a $0.6 million increase in personnel-related expenses, including stock-based compensation, as a result of increased headcount as we grew our operations.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Interest income was $57,000 and $9,000 for the three months ended March 31, 2020 and 2021, respectively. The decrease of $48,000, or 84%, was primarily due to a change in our investment portfolio mix.</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Change in Fair Value of Convertible Preferred Stock Tranche Liability</w:t>
      </w:r>
    </w:p>
    <w:p>
      <w:pPr>
        <w:spacing w:after="0" w:line="117"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The change in fair value of our convertible preferred stock tranche liability for the three months ended March 31, 2020 was attributable to changes in the fair value of the underlying Series B convertible preferred stock. There was no similar expense for the three months ended March 31, 2021 as our convertible preferred stock tranche liability was settled in 2020.</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Other income (expense), net of $0.2 million for the three months ended March 31, 2020 was primarily due to sublease income. We did not have any sublease agreements in place during the three months ended March 31, 2021.</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Comparison of the Years Ended December 31, 2019 and 2020</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3"/>
              </w:rPr>
              <w:t>Year Ended December 31,</w:t>
            </w:r>
          </w:p>
        </w:tc>
        <w:tc>
          <w:tcPr>
            <w:tcW w:w="660" w:type="dxa"/>
            <w:vAlign w:val="bottom"/>
          </w:tcPr>
          <w:p>
            <w:pPr>
              <w:jc w:val="right"/>
              <w:ind w:right="213"/>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48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2"/>
                <w:szCs w:val="12"/>
                <w:color w:val="auto"/>
              </w:rPr>
            </w:pPr>
          </w:p>
        </w:tc>
        <w:tc>
          <w:tcPr>
            <w:tcW w:w="108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Change</w:t>
            </w:r>
          </w:p>
        </w:tc>
        <w:tc>
          <w:tcPr>
            <w:tcW w:w="74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4"/>
          </w:tcPr>
          <w:p>
            <w:pPr>
              <w:jc w:val="right"/>
              <w:ind w:right="360"/>
              <w:spacing w:after="0" w:line="142" w:lineRule="exact"/>
              <w:rPr>
                <w:sz w:val="20"/>
                <w:szCs w:val="20"/>
                <w:color w:val="auto"/>
              </w:rPr>
            </w:pPr>
            <w:r>
              <w:rPr>
                <w:rFonts w:ascii="Arial" w:cs="Arial" w:eastAsia="Arial" w:hAnsi="Arial"/>
                <w:sz w:val="14"/>
                <w:szCs w:val="14"/>
                <w:b w:val="1"/>
                <w:bCs w:val="1"/>
                <w:color w:val="auto"/>
              </w:rPr>
              <w:t>(in thousands)</w:t>
            </w:r>
          </w:p>
        </w:tc>
        <w:tc>
          <w:tcPr>
            <w:tcW w:w="66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60" w:type="dxa"/>
            <w:vAlign w:val="bottom"/>
            <w:gridSpan w:val="2"/>
          </w:tcPr>
          <w:p>
            <w:pPr>
              <w:ind w:left="140"/>
              <w:spacing w:after="0"/>
              <w:rPr>
                <w:sz w:val="20"/>
                <w:szCs w:val="20"/>
                <w:color w:val="auto"/>
              </w:rPr>
            </w:pPr>
            <w:r>
              <w:rPr>
                <w:rFonts w:ascii="Arial" w:cs="Arial" w:eastAsia="Arial" w:hAnsi="Arial"/>
                <w:sz w:val="18"/>
                <w:szCs w:val="18"/>
                <w:color w:val="auto"/>
              </w:rPr>
              <w:t>Research and development</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23,148</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31,099</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  7,951</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5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7,813</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3,249</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60" w:type="dxa"/>
            <w:vAlign w:val="bottom"/>
            <w:gridSpan w:val="2"/>
            <w:vMerge w:val="restart"/>
          </w:tcPr>
          <w:p>
            <w:pPr>
              <w:ind w:left="500"/>
              <w:spacing w:after="0"/>
              <w:rPr>
                <w:sz w:val="20"/>
                <w:szCs w:val="20"/>
                <w:color w:val="auto"/>
              </w:rPr>
            </w:pPr>
            <w:r>
              <w:rPr>
                <w:rFonts w:ascii="Arial" w:cs="Arial" w:eastAsia="Arial" w:hAnsi="Arial"/>
                <w:sz w:val="18"/>
                <w:szCs w:val="18"/>
                <w:color w:val="auto"/>
              </w:rPr>
              <w:t>Total operating expenses</w:t>
            </w:r>
          </w:p>
        </w:tc>
        <w:tc>
          <w:tcPr>
            <w:tcW w:w="1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5060" w:type="dxa"/>
            <w:vAlign w:val="bottom"/>
            <w:gridSpan w:val="2"/>
            <w:vMerge w:val="continue"/>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27,712</w:t>
            </w:r>
          </w:p>
        </w:tc>
        <w:tc>
          <w:tcPr>
            <w:tcW w:w="1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38,912</w:t>
            </w:r>
          </w:p>
        </w:tc>
        <w:tc>
          <w:tcPr>
            <w:tcW w:w="42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11,200</w:t>
            </w:r>
          </w:p>
        </w:tc>
        <w:tc>
          <w:tcPr>
            <w:tcW w:w="420" w:type="dxa"/>
            <w:vAlign w:val="bottom"/>
            <w:vMerge w:val="continue"/>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(27,712)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(38,912)</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(11,200)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Other income (expense), net:</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5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87</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(366)</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60" w:type="dxa"/>
            <w:vAlign w:val="bottom"/>
            <w:gridSpan w:val="2"/>
          </w:tcPr>
          <w:p>
            <w:pPr>
              <w:ind w:left="140"/>
              <w:spacing w:after="0"/>
              <w:rPr>
                <w:sz w:val="20"/>
                <w:szCs w:val="20"/>
                <w:color w:val="auto"/>
              </w:rPr>
            </w:pPr>
            <w:r>
              <w:rPr>
                <w:rFonts w:ascii="Arial" w:cs="Arial" w:eastAsia="Arial" w:hAnsi="Arial"/>
                <w:sz w:val="18"/>
                <w:szCs w:val="18"/>
                <w:color w:val="auto"/>
                <w:w w:val="94"/>
              </w:rPr>
              <w:t>Change in fair value of convertible preferred stock tranche liability</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75</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64</w:t>
            </w:r>
          </w:p>
        </w:tc>
        <w:tc>
          <w:tcPr>
            <w:tcW w:w="740" w:type="dxa"/>
            <w:vAlign w:val="bottom"/>
            <w:gridSpan w:val="2"/>
          </w:tcPr>
          <w:p>
            <w:pPr>
              <w:ind w:left="180"/>
              <w:spacing w:after="0"/>
              <w:rPr>
                <w:sz w:val="20"/>
                <w:szCs w:val="20"/>
                <w:color w:val="auto"/>
              </w:rPr>
            </w:pPr>
            <w:r>
              <w:rPr>
                <w:rFonts w:ascii="Arial" w:cs="Arial" w:eastAsia="Arial" w:hAnsi="Arial"/>
                <w:sz w:val="18"/>
                <w:szCs w:val="18"/>
                <w:color w:val="auto"/>
              </w:rPr>
              <w:t>nmf*</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5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355</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(662)</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60" w:type="dxa"/>
            <w:vAlign w:val="bottom"/>
            <w:gridSpan w:val="2"/>
            <w:vMerge w:val="restart"/>
          </w:tcPr>
          <w:p>
            <w:pPr>
              <w:ind w:left="500"/>
              <w:spacing w:after="0"/>
              <w:rPr>
                <w:sz w:val="20"/>
                <w:szCs w:val="20"/>
                <w:color w:val="auto"/>
              </w:rPr>
            </w:pPr>
            <w:r>
              <w:rPr>
                <w:rFonts w:ascii="Arial" w:cs="Arial" w:eastAsia="Arial" w:hAnsi="Arial"/>
                <w:sz w:val="18"/>
                <w:szCs w:val="18"/>
                <w:color w:val="auto"/>
              </w:rPr>
              <w:t>Total other income (expense), net</w:t>
            </w:r>
          </w:p>
        </w:tc>
        <w:tc>
          <w:tcPr>
            <w:tcW w:w="1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5060" w:type="dxa"/>
            <w:vAlign w:val="bottom"/>
            <w:gridSpan w:val="2"/>
            <w:vMerge w:val="continue"/>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1,481</w:t>
            </w:r>
          </w:p>
        </w:tc>
        <w:tc>
          <w:tcPr>
            <w:tcW w:w="1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517</w:t>
            </w:r>
          </w:p>
        </w:tc>
        <w:tc>
          <w:tcPr>
            <w:tcW w:w="42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(964)</w:t>
            </w:r>
          </w:p>
        </w:tc>
        <w:tc>
          <w:tcPr>
            <w:tcW w:w="420" w:type="dxa"/>
            <w:vAlign w:val="bottom"/>
            <w:vMerge w:val="continue"/>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(26,231)</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(38,395)</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(12,164)</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40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5060" w:type="dxa"/>
            <w:vAlign w:val="bottom"/>
            <w:gridSpan w:val="2"/>
          </w:tcPr>
          <w:p>
            <w:pPr>
              <w:ind w:left="200"/>
              <w:spacing w:after="0"/>
              <w:rPr>
                <w:sz w:val="20"/>
                <w:szCs w:val="20"/>
                <w:color w:val="auto"/>
              </w:rPr>
            </w:pPr>
            <w:r>
              <w:rPr>
                <w:rFonts w:ascii="Arial" w:cs="Arial" w:eastAsia="Arial" w:hAnsi="Arial"/>
                <w:sz w:val="18"/>
                <w:szCs w:val="18"/>
                <w:color w:val="auto"/>
              </w:rPr>
              <w:t>nmf—not meaningful</w:t>
            </w: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660" w:type="dxa"/>
            <w:vAlign w:val="bottom"/>
          </w:tcPr>
          <w:p>
            <w:pPr>
              <w:jc w:val="right"/>
              <w:ind w:right="121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research and development expenses for the periods presented.</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1"/>
              </w:rPr>
              <w:t>Year Ended December 31,</w:t>
            </w:r>
          </w:p>
        </w:tc>
        <w:tc>
          <w:tcPr>
            <w:tcW w:w="500" w:type="dxa"/>
            <w:vAlign w:val="bottom"/>
          </w:tcPr>
          <w:p>
            <w:pPr>
              <w:jc w:val="right"/>
              <w:ind w:right="135"/>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4"/>
                <w:szCs w:val="14"/>
                <w:color w:val="auto"/>
              </w:rPr>
            </w:pPr>
          </w:p>
        </w:tc>
        <w:tc>
          <w:tcPr>
            <w:tcW w:w="460" w:type="dxa"/>
            <w:vAlign w:val="bottom"/>
          </w:tcPr>
          <w:p>
            <w:pPr>
              <w:jc w:val="right"/>
              <w:ind w:right="75"/>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r>
      <w:tr>
        <w:trPr>
          <w:trHeight w:val="142"/>
        </w:trPr>
        <w:tc>
          <w:tcPr>
            <w:tcW w:w="7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2"/>
                <w:szCs w:val="12"/>
                <w:color w:val="auto"/>
              </w:rPr>
            </w:pPr>
          </w:p>
        </w:tc>
        <w:tc>
          <w:tcPr>
            <w:tcW w:w="8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Change</w:t>
            </w:r>
          </w:p>
        </w:tc>
        <w:tc>
          <w:tcPr>
            <w:tcW w:w="68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89"/>
              </w:rPr>
              <w:t>Change</w:t>
            </w:r>
          </w:p>
        </w:tc>
      </w:tr>
      <w:tr>
        <w:trPr>
          <w:trHeight w:val="142"/>
        </w:trPr>
        <w:tc>
          <w:tcPr>
            <w:tcW w:w="7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4"/>
          </w:tcPr>
          <w:p>
            <w:pPr>
              <w:jc w:val="right"/>
              <w:ind w:right="40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5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Personnel-related costs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7,130</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10,525</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$3,395</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Facility and laboratory costs</w:t>
            </w: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8,786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11,798</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3,012</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External costs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8,190</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1,195</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Other research and development expenses</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586</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349</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147%</w:t>
            </w:r>
          </w:p>
        </w:tc>
      </w:tr>
      <w:tr>
        <w:trPr>
          <w:trHeight w:val="27"/>
        </w:trPr>
        <w:tc>
          <w:tcPr>
            <w:tcW w:w="7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research and development expenses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23,148</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31,099</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7,951</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r>
      <w:tr>
        <w:trPr>
          <w:trHeight w:val="20"/>
        </w:trPr>
        <w:tc>
          <w:tcPr>
            <w:tcW w:w="7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Research and development expenses were $23.1 million and $31.1 million for the years ended December 31, 2019 and 2020, respectively. The increase of $8.0 million, or 34%, was primarily due to:</w:t>
      </w:r>
    </w:p>
    <w:p>
      <w:pPr>
        <w:spacing w:after="0" w:line="76" w:lineRule="exact"/>
        <w:rPr>
          <w:sz w:val="20"/>
          <w:szCs w:val="20"/>
          <w:color w:val="auto"/>
        </w:rPr>
      </w:pPr>
    </w:p>
    <w:p>
      <w:pPr>
        <w:ind w:left="1080" w:right="200" w:hanging="532"/>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increase of $3.4 million in personnel-related costs, including stock-based compensation, primarily due to growth in the number of our research and development employees as we expanded our research and development capabilities;</w:t>
      </w:r>
    </w:p>
    <w:p>
      <w:pPr>
        <w:spacing w:after="0" w:line="75" w:lineRule="exact"/>
        <w:rPr>
          <w:rFonts w:ascii="Arial" w:cs="Arial" w:eastAsia="Arial" w:hAnsi="Arial"/>
          <w:sz w:val="18"/>
          <w:szCs w:val="18"/>
          <w:color w:val="auto"/>
        </w:rPr>
      </w:pPr>
    </w:p>
    <w:p>
      <w:pPr>
        <w:ind w:left="1080" w:right="380" w:hanging="532"/>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increase of $3.0 million in facility and laboratory costs, including laboratory supplies and materials and other allocated costs, as we ramped up our research and development operations;</w:t>
      </w:r>
    </w:p>
    <w:p>
      <w:pPr>
        <w:spacing w:after="0" w:line="75" w:lineRule="exact"/>
        <w:rPr>
          <w:rFonts w:ascii="Arial" w:cs="Arial" w:eastAsia="Arial" w:hAnsi="Arial"/>
          <w:sz w:val="18"/>
          <w:szCs w:val="18"/>
          <w:color w:val="auto"/>
        </w:rPr>
      </w:pPr>
    </w:p>
    <w:p>
      <w:pPr>
        <w:ind w:left="1080" w:right="380" w:hanging="532"/>
        <w:spacing w:after="0" w:line="308" w:lineRule="auto"/>
        <w:tabs>
          <w:tab w:leader="none" w:pos="10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an increase of $1.2 million in external costs, including amounts paid to CROs for research and development activities, consulting fees, preclinical studies and other external research expenses as we progressed development of our programs; and</w:t>
      </w:r>
    </w:p>
    <w:p>
      <w:pPr>
        <w:spacing w:after="0" w:line="51" w:lineRule="exact"/>
        <w:rPr>
          <w:rFonts w:ascii="Arial" w:cs="Arial" w:eastAsia="Arial" w:hAnsi="Arial"/>
          <w:sz w:val="17"/>
          <w:szCs w:val="17"/>
          <w:color w:val="auto"/>
        </w:rPr>
      </w:pPr>
    </w:p>
    <w:p>
      <w:pPr>
        <w:ind w:left="1080" w:right="300" w:hanging="532"/>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increase of $0.3 million in other research and development expenses, including licensing fees, due to entering into additional license agreements in 2020.</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General and administrative expenses were $4.6 million and $7.8 million for the years ended December 31, 2019 and 2020, respectively. The increase of $3.2 million, or 71%, was primarily due to a $1.4 million increase in personnel-related expenses, including stock-based compensation, as a result of higher headcount as we grew our operations, a $1.2 million increase in professional service expenses and a $0.3 million increase in facility related expenses to support the growth of our operations.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Interest income was $0.5 million and $0.1 million for the years ended December 31, 2019 and 2020, respectively. The decrease of $0.4 million, or 81%, was primarily due to lower average interest rates in 2020 as compared to 2019 and a change in our investment portfolio mix.</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Change in Fair Value of Convertible Preferred Stock Tranche Liability</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$0.1 million change in fair value of our convertible preferred stock tranche liability for the year ended December 31, 2020 was attributable to changes in the fair value of the underlying Series B convertible preferred stock.</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Other income (expense), net was $1.0 million and $0.4 million for the years ended December 31, 2019 and 2020, respectively. The decrease in other income of $0.7 million, or 65%, was primarily due to a $0.6 million reduction in sublease income as a result of the expiration of one of our sublease agreements in the third quarter of 2019.</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40"/>
          </w:cols>
          <w:pgMar w:left="32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Since our inception, we have not generated any revenue and we have incurred significant net losses and negative cash flows from operations. To date, we have funded our operations primarily from the sale and issuance of our convertible preferred stock. From our inception through March 31, 2021, we raised an aggregate of $247.9 million in gross proceeds from sales of our convertible preferred stock. As of March 31, 2021, we had cash and cash equivalents of $128.4 million and an accumulated deficit of $95.9 million.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We expect our expenses and operating losses will increase substantially over the foreseeable future. The expected increase in expenses will be driven in large part by our ongoing activities, if and as we:</w:t>
      </w:r>
    </w:p>
    <w:p>
      <w:pPr>
        <w:spacing w:after="0" w:line="76" w:lineRule="exact"/>
        <w:rPr>
          <w:sz w:val="20"/>
          <w:szCs w:val="20"/>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continue to advance our Gene Therapy, Cellular Regeneration and Precision Medicine platforms;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continue preclinical development of our product candidates and initiate additional preclinical studies;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commence clinical trials of our product candidates;</w:t>
      </w:r>
    </w:p>
    <w:p>
      <w:pPr>
        <w:spacing w:after="0" w:line="130"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build out our manufacturing facilities and establish our manufacturing capabilities, including developing our contract development and manufacturing relationships;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acquire and license technologies aligned with our Gene Therapy, Cellular Regeneration and Precision Medicine platforms;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seek regulatory approval of our product candidates that successfully complete clinical trials;</w:t>
      </w:r>
    </w:p>
    <w:p>
      <w:pPr>
        <w:spacing w:after="0" w:line="130" w:lineRule="exact"/>
        <w:rPr>
          <w:rFonts w:ascii="Arial" w:cs="Arial" w:eastAsia="Arial" w:hAnsi="Arial"/>
          <w:sz w:val="18"/>
          <w:szCs w:val="18"/>
          <w:color w:val="auto"/>
        </w:rPr>
      </w:pPr>
    </w:p>
    <w:p>
      <w:pPr>
        <w:ind w:left="1080" w:right="340" w:hanging="532"/>
        <w:spacing w:after="0" w:line="277"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expand our operational, financial, and management systems and increase personnel, including personnel to support our preclinical and clinical development, manufacturing, and future commercialization efforts;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continue to develop, grow, perfect, enforce and defend our intellectual property portfolio; and</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our business, including the additional costs associated with operating as a public company.</w:t>
      </w:r>
    </w:p>
    <w:p>
      <w:pPr>
        <w:spacing w:after="0" w:line="170"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Based on our current operating plan and without giving effect to the anticipated net proceeds from this offering, we believe that our existing cash and cash equivalents will be sufficient to meet our working capital and capital expenditure needs for at least the next twelve months.</w:t>
      </w:r>
    </w:p>
    <w:p>
      <w:pPr>
        <w:spacing w:after="0" w:line="146"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also believe that the anticipated net proceeds from this offering, together with our existing cash and cash equivalents, will be sufficient to fund our planned operating expenses and capital expenditure requirements through at least the next 24 months from the date of our unaudited interim condensed financial statements included elsewhere in this prospectus. We have based this estimate on assumptions that may prove to be wrong, and we could utilize our available capital resources sooner than we expect. We may also raise additional financing on an opportunistic basis in the future. We expect to continue to expend significant resources for the foreseeable future.</w:t>
      </w:r>
    </w:p>
    <w:p>
      <w:pPr>
        <w:spacing w:after="0" w:line="176"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order to complete the development of our product candidates and commercialize our product candidates, if approved, we will require substantial additional funding. Until such time as we can generate significant revenue from sales of our product candidates, if ever, we expect to finance our operations through public or private equity offerings or debt financings or other capital sources, which may include strategic collaborations or other arrangements with third parties, or other sources of financing. We may not be able to raise additional capital on terms acceptable to us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00"/>
          </w:cols>
          <w:pgMar w:left="320" w:top="459" w:right="4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include covenants limiting or restricting our ability to take specific actions, including restricting our operations and limiting our ability to incur liens, issue additional debt, pay dividends, repurchase our common stock, make certain investments or engage in merger, consolidation, licensing or asset sale transactions. If we raise funds through strategic collaborations, partnerships and other similar arrangements with third parties, we may be required to grant rights to develop and market product candidates that we would otherwise prefer to develop and market ourselves. If we are unable to raise additional capital on acceptable terms when needed, our business, results of operations, and financial condition would be adversely affected.</w:t>
      </w:r>
    </w:p>
    <w:p>
      <w:pPr>
        <w:spacing w:after="0" w:line="161"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Our ability to raise additional funds may be adversely impacted by potential worsening global economic conditions and the recent disruptions to, and volatility in, the credit and financial markets in the United States and worldwide resulting from the ongoing COVID-19 pandemic. If we fail to obtain necessary capital when needed on acceptable terms, or at all, it could force us to delay, limit, reduce or terminate our product development programs, future commercialization efforts or other operations. Because of the numerous risks and uncertainties associated with research, product development and commercialization of product candidates, we are unable to predict the timing or amount of our working capital requirements or when or if we will be able to achieve or maintain profitability.</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cash flows for each of the periods indicated.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960" w:type="dxa"/>
            <w:vAlign w:val="bottom"/>
            <w:gridSpan w:val="6"/>
            <w:vMerge w:val="restart"/>
          </w:tcPr>
          <w:p>
            <w:pPr>
              <w:jc w:val="right"/>
              <w:ind w:right="280"/>
              <w:spacing w:after="0"/>
              <w:rPr>
                <w:sz w:val="20"/>
                <w:szCs w:val="20"/>
                <w:color w:val="auto"/>
              </w:rPr>
            </w:pPr>
            <w:r>
              <w:rPr>
                <w:rFonts w:ascii="Arial" w:cs="Arial" w:eastAsia="Arial" w:hAnsi="Arial"/>
                <w:sz w:val="14"/>
                <w:szCs w:val="14"/>
                <w:b w:val="1"/>
                <w:bCs w:val="1"/>
                <w:color w:val="auto"/>
                <w:w w:val="96"/>
              </w:rPr>
              <w:t>Year Ended December 31,</w:t>
            </w:r>
          </w:p>
        </w:tc>
        <w:tc>
          <w:tcPr>
            <w:tcW w:w="120" w:type="dxa"/>
            <w:vAlign w:val="bottom"/>
          </w:tcPr>
          <w:p>
            <w:pPr>
              <w:spacing w:after="0"/>
              <w:rPr>
                <w:sz w:val="14"/>
                <w:szCs w:val="14"/>
                <w:color w:val="auto"/>
              </w:rPr>
            </w:pPr>
          </w:p>
        </w:tc>
        <w:tc>
          <w:tcPr>
            <w:tcW w:w="170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96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60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5"/>
          </w:tcPr>
          <w:p>
            <w:pPr>
              <w:jc w:val="right"/>
              <w:ind w:right="60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(24,096)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(35,447)</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 (8,238)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(15,789)</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(5,583)</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(7,010)</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(4,323)</w:t>
            </w:r>
          </w:p>
        </w:tc>
        <w:tc>
          <w:tcPr>
            <w:tcW w:w="0" w:type="dxa"/>
            <w:vAlign w:val="bottom"/>
          </w:tcPr>
          <w:p>
            <w:pPr>
              <w:spacing w:after="0"/>
              <w:rPr>
                <w:sz w:val="1"/>
                <w:szCs w:val="1"/>
                <w:color w:val="auto"/>
              </w:rPr>
            </w:pPr>
          </w:p>
        </w:tc>
      </w:tr>
      <w:tr>
        <w:trPr>
          <w:trHeight w:val="216"/>
        </w:trPr>
        <w:tc>
          <w:tcPr>
            <w:tcW w:w="606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30,511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147,268</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30,670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20,015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104,811</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24,750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120" w:right="420" w:firstLine="440"/>
        <w:spacing w:after="0" w:line="291" w:lineRule="auto"/>
        <w:rPr>
          <w:sz w:val="20"/>
          <w:szCs w:val="20"/>
          <w:color w:val="auto"/>
        </w:rPr>
      </w:pPr>
      <w:r>
        <w:rPr>
          <w:rFonts w:ascii="Arial" w:cs="Arial" w:eastAsia="Arial" w:hAnsi="Arial"/>
          <w:sz w:val="16"/>
          <w:szCs w:val="16"/>
          <w:color w:val="auto"/>
        </w:rPr>
        <w:t>Net cash used in operating activities for the three months ended March 31, 2021 was $15.8 million, which consisted primarily of a net loss of $13.1 million and a net change in net operating assets and liabilities of $4.0 million, partially offset by $1.3 million in non-cash charges.</w:t>
      </w:r>
    </w:p>
    <w:p>
      <w:pPr>
        <w:jc w:val="both"/>
        <w:ind w:left="120" w:right="100"/>
        <w:spacing w:after="0" w:line="281" w:lineRule="auto"/>
        <w:rPr>
          <w:sz w:val="20"/>
          <w:szCs w:val="20"/>
          <w:color w:val="auto"/>
        </w:rPr>
      </w:pPr>
      <w:r>
        <w:rPr>
          <w:rFonts w:ascii="Arial" w:cs="Arial" w:eastAsia="Arial" w:hAnsi="Arial"/>
          <w:sz w:val="16"/>
          <w:szCs w:val="16"/>
          <w:color w:val="auto"/>
        </w:rPr>
        <w:t>The non-cash charges primarily consisted of depreciation and amortization of $0.7 million, stock-based compensation of $0.4 million and the non-cash operating lease expense of $0.2 million. The change in net operating assets and liabilities was primarily due to an increase in other non-current assets of $3.3 million related to a security deposit for a lease entered into in February 2021, a decrease in accrued expenses and other current liabilities of</w:t>
      </w:r>
    </w:p>
    <w:p>
      <w:pPr>
        <w:spacing w:after="0" w:line="2" w:lineRule="exact"/>
        <w:rPr>
          <w:sz w:val="20"/>
          <w:szCs w:val="20"/>
          <w:color w:val="auto"/>
        </w:rPr>
      </w:pPr>
    </w:p>
    <w:p>
      <w:pPr>
        <w:ind w:left="120" w:right="20"/>
        <w:spacing w:after="0" w:line="260" w:lineRule="auto"/>
        <w:rPr>
          <w:sz w:val="20"/>
          <w:szCs w:val="20"/>
          <w:color w:val="auto"/>
        </w:rPr>
      </w:pPr>
      <w:r>
        <w:rPr>
          <w:rFonts w:ascii="Arial" w:cs="Arial" w:eastAsia="Arial" w:hAnsi="Arial"/>
          <w:sz w:val="18"/>
          <w:szCs w:val="18"/>
          <w:color w:val="auto"/>
        </w:rPr>
        <w:t>$1.0 million and a decrease in operating lease liabilities of $0.4 million, partially offset by an increase in accounts payable of $0.6 million and a decrease in prepaid expenses and other current assets of $0.1 million.</w:t>
      </w:r>
    </w:p>
    <w:p>
      <w:pPr>
        <w:spacing w:after="0" w:line="185" w:lineRule="exact"/>
        <w:rPr>
          <w:sz w:val="20"/>
          <w:szCs w:val="20"/>
          <w:color w:val="auto"/>
        </w:rPr>
      </w:pPr>
    </w:p>
    <w:p>
      <w:pPr>
        <w:ind w:left="120" w:right="500" w:firstLine="440"/>
        <w:spacing w:after="0" w:line="274" w:lineRule="auto"/>
        <w:rPr>
          <w:sz w:val="20"/>
          <w:szCs w:val="20"/>
          <w:color w:val="auto"/>
        </w:rPr>
      </w:pPr>
      <w:r>
        <w:rPr>
          <w:rFonts w:ascii="Arial" w:cs="Arial" w:eastAsia="Arial" w:hAnsi="Arial"/>
          <w:sz w:val="17"/>
          <w:szCs w:val="17"/>
          <w:color w:val="auto"/>
        </w:rPr>
        <w:t>Net cash used in operating activities for the three months ended March 31, 2020 was $8.2 million, which consisted primarily of a net loss of $9.1 million and a net change in net operating assets and liabilities of $21,000, partially offset by $0.8 million in non-cash charges.</w:t>
      </w:r>
    </w:p>
    <w:p>
      <w:pPr>
        <w:ind w:left="120" w:right="40"/>
        <w:spacing w:after="0" w:line="295" w:lineRule="auto"/>
        <w:rPr>
          <w:sz w:val="20"/>
          <w:szCs w:val="20"/>
          <w:color w:val="auto"/>
        </w:rPr>
      </w:pPr>
      <w:r>
        <w:rPr>
          <w:rFonts w:ascii="Arial" w:cs="Arial" w:eastAsia="Arial" w:hAnsi="Arial"/>
          <w:sz w:val="16"/>
          <w:szCs w:val="16"/>
          <w:color w:val="auto"/>
        </w:rPr>
        <w:t>The non-cash charges primarily consisted of depreciation and amortization of $0.6 million and stock-based compensation of $0.2 million. The change in net operating assets and liabilities was primarily due to an increase in accounts payable of $0.7 million and a decrease in prepaid expenses and other current assets of $0.2 million, partially offset by a decrease in accrued expenses and other current liabilities of $0.5 million, a decrease in deferred rent and other lease liabilities of $0.2 million and an increase in other non-current assets of $0.2 million as we expanded our operations.</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40"/>
          </w:cols>
          <w:pgMar w:left="32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Net cash used in operating activities for the year ended December 31, 2020 was $35.4 million, which consisted primarily of a net loss of $38.4 million and a net change in net operating assets and liabilities of $0.2 million, partially offset by $3.2 million in non-cash charges. The non-cash charges primarily consisted of depreciation and amortization of $2.5 million and stock-based compensation of $0.7 million. The change in net operating assets and liabilities was primarily due to a decrease in deferred rent of $0.8 million, an increase in prepaid expenses and other current assets of $0.3 million and an increase in other non-current assets of $0.2 million, partially offset by an increase in accrued expenses and other current liabilities of $0.9 million and an increase in accounts payable of $0.1 million as we expanded our operations.</w:t>
      </w:r>
    </w:p>
    <w:p>
      <w:pPr>
        <w:spacing w:after="0" w:line="178"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Net cash used in operating activities for the year ended December 31, 2019 was $24.1 million, which consisted primarily of a net loss of $26.2 million and a net change in net operating assets and liabilities of $0.3 million, partially offset by $2.4 million in non-cash charges. The non-cash charges primarily consisted of depreciation and amortization of $2.0 million and stock-based compensation of $0.4 million. The change in net operating assets and liabilities was primarily due to a decrease in deferred rent of $0.7 million and increase in prepaid expenses and other current assets of $0.4 million, partially offset by an increase in accounts payable of $0.4 million and an increase in accrued expenses and other current liabilities of $0.5 million as we expanded our operations.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Net cash used in investing activities for the three months ended March 31, 2021 was $4.3 million, which consisted of purchases of property and equipment that primarily related to our manufacturing and office space in the San Francisco Bay Area.</w:t>
      </w:r>
    </w:p>
    <w:p>
      <w:pPr>
        <w:spacing w:after="0" w:line="170" w:lineRule="exact"/>
        <w:rPr>
          <w:sz w:val="20"/>
          <w:szCs w:val="20"/>
          <w:color w:val="auto"/>
        </w:rPr>
      </w:pPr>
    </w:p>
    <w:p>
      <w:pPr>
        <w:ind w:left="120" w:right="700" w:firstLine="440"/>
        <w:spacing w:after="0" w:line="308" w:lineRule="auto"/>
        <w:rPr>
          <w:sz w:val="20"/>
          <w:szCs w:val="20"/>
          <w:color w:val="auto"/>
        </w:rPr>
      </w:pPr>
      <w:r>
        <w:rPr>
          <w:rFonts w:ascii="Arial" w:cs="Arial" w:eastAsia="Arial" w:hAnsi="Arial"/>
          <w:sz w:val="17"/>
          <w:szCs w:val="17"/>
          <w:color w:val="auto"/>
        </w:rPr>
        <w:t>Net cash provided by investing activities for the three months ended March 31, 2020 was $2.3 million, which consisted of proceeds from maturities of marketable securities of $2.8 million, partially offset by purchases of property and equipment of $0.4 million.</w:t>
      </w:r>
    </w:p>
    <w:p>
      <w:pPr>
        <w:spacing w:after="0" w:line="146"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Net cash used in investing activities for the year ended December 31, 2020 was $7.0 million, which consisted of purchases of property and equipment of $9.8 million that primarily related to our manufacturing and office space in the San Francisco Bay Area, partially offset by proceeds from maturities of marketable securities of $2.8 million.</w:t>
      </w:r>
    </w:p>
    <w:p>
      <w:pPr>
        <w:spacing w:after="0" w:line="184"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Net cash used in investing activities for the year ended December 31, 2019 was $5.6 million, which consisted of purchases of property and equipment of $2.9 million and net purchases of and proceeds from maturities of marketable securities of $2.7 million.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Net cash provided by financing activities for the three months ended March 31, 2021 was $20.0 million, which primarily consisted of net proceeds received from the issuance of our Series C convertible preferred stock.</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Net cash provided by financing activities for the three months ended March 31, 2020 was $30.7 million, which primarily consisted of net proceeds received from the sale and issuance of our Series B convertible preferred stock.</w:t>
      </w:r>
    </w:p>
    <w:p>
      <w:pPr>
        <w:spacing w:after="0" w:line="17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Net cash provided by financing activities for the year ended December 31, 2020 was $147.3 million, which consisted of net proceeds received from the sale and issuance of our Series B convertible preferred stock of $61.3 million and net proceeds received from the initial closing of our Series C convertible preferred stock of $86.0 million.</w:t>
      </w:r>
    </w:p>
    <w:p>
      <w:pPr>
        <w:spacing w:after="0" w:line="184"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Net cash provided by financing activities for the year ended December 31, 2019 was $30.5 million, which consisted of net proceeds received from the sale and issuance of our Series B convertible preferred stock of $30.4 million and proceeds from the exercise of stock options of $0.1 million.</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We enter into contracts in the normal course of business with contract research organizations for preclinical studies and other services, which are generally cancellable with limited notice.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contractual obligations and other commitments as of December 31, 2020:</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7"/>
          </w:tcPr>
          <w:p>
            <w:pPr>
              <w:jc w:val="center"/>
              <w:ind w:left="64"/>
              <w:spacing w:after="0"/>
              <w:rPr>
                <w:sz w:val="20"/>
                <w:szCs w:val="20"/>
                <w:color w:val="auto"/>
              </w:rPr>
            </w:pPr>
            <w:r>
              <w:rPr>
                <w:rFonts w:ascii="Arial" w:cs="Arial" w:eastAsia="Arial" w:hAnsi="Arial"/>
                <w:sz w:val="14"/>
                <w:szCs w:val="14"/>
                <w:b w:val="1"/>
                <w:bCs w:val="1"/>
                <w:color w:val="auto"/>
                <w:w w:val="92"/>
              </w:rPr>
              <w:t>Payments Due by Period</w:t>
            </w: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Less</w:t>
            </w:r>
          </w:p>
        </w:tc>
        <w:tc>
          <w:tcPr>
            <w:tcW w:w="340" w:type="dxa"/>
            <w:vAlign w:val="bottom"/>
          </w:tcPr>
          <w:p>
            <w:pPr>
              <w:spacing w:after="0"/>
              <w:rPr>
                <w:sz w:val="10"/>
                <w:szCs w:val="10"/>
                <w:color w:val="auto"/>
              </w:rPr>
            </w:pPr>
          </w:p>
        </w:tc>
        <w:tc>
          <w:tcPr>
            <w:tcW w:w="5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2"/>
              </w:rPr>
              <w:t>1 to 3</w:t>
            </w:r>
          </w:p>
        </w:tc>
        <w:tc>
          <w:tcPr>
            <w:tcW w:w="340" w:type="dxa"/>
            <w:vAlign w:val="bottom"/>
          </w:tcPr>
          <w:p>
            <w:pPr>
              <w:spacing w:after="0"/>
              <w:rPr>
                <w:sz w:val="10"/>
                <w:szCs w:val="10"/>
                <w:color w:val="auto"/>
              </w:rPr>
            </w:pPr>
          </w:p>
        </w:tc>
        <w:tc>
          <w:tcPr>
            <w:tcW w:w="7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3 to 5</w:t>
            </w:r>
          </w:p>
        </w:tc>
        <w:tc>
          <w:tcPr>
            <w:tcW w:w="160" w:type="dxa"/>
            <w:vAlign w:val="bottom"/>
          </w:tcPr>
          <w:p>
            <w:pPr>
              <w:spacing w:after="0"/>
              <w:rPr>
                <w:sz w:val="10"/>
                <w:szCs w:val="10"/>
                <w:color w:val="auto"/>
              </w:rPr>
            </w:pPr>
          </w:p>
        </w:tc>
        <w:tc>
          <w:tcPr>
            <w:tcW w:w="76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More</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than 5</w:t>
            </w:r>
          </w:p>
        </w:tc>
        <w:tc>
          <w:tcPr>
            <w:tcW w:w="6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67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4"/>
              </w:rPr>
              <w:t>than 1 year</w:t>
            </w:r>
          </w:p>
        </w:tc>
        <w:tc>
          <w:tcPr>
            <w:tcW w:w="340" w:type="dxa"/>
            <w:vAlign w:val="bottom"/>
          </w:tcPr>
          <w:p>
            <w:pPr>
              <w:spacing w:after="0"/>
              <w:rPr>
                <w:sz w:val="14"/>
                <w:szCs w:val="14"/>
                <w:color w:val="auto"/>
              </w:rPr>
            </w:pPr>
          </w:p>
        </w:tc>
        <w:tc>
          <w:tcPr>
            <w:tcW w:w="5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years</w:t>
            </w:r>
          </w:p>
        </w:tc>
        <w:tc>
          <w:tcPr>
            <w:tcW w:w="34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years</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3,752</w:t>
            </w:r>
          </w:p>
        </w:tc>
        <w:tc>
          <w:tcPr>
            <w:tcW w:w="880" w:type="dxa"/>
            <w:vAlign w:val="bottom"/>
            <w:gridSpan w:val="3"/>
            <w:shd w:val="clear" w:color="auto" w:fill="CCEEFF"/>
          </w:tcPr>
          <w:p>
            <w:pPr>
              <w:jc w:val="center"/>
              <w:ind w:left="21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4,489</w:t>
            </w:r>
          </w:p>
        </w:tc>
        <w:tc>
          <w:tcPr>
            <w:tcW w:w="1060" w:type="dxa"/>
            <w:vAlign w:val="bottom"/>
            <w:gridSpan w:val="3"/>
            <w:shd w:val="clear" w:color="auto" w:fill="CCEEFF"/>
          </w:tcPr>
          <w:p>
            <w:pPr>
              <w:jc w:val="center"/>
              <w:ind w:left="39"/>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3,362</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11,603</w:t>
            </w:r>
          </w:p>
        </w:tc>
        <w:tc>
          <w:tcPr>
            <w:tcW w:w="0" w:type="dxa"/>
            <w:vAlign w:val="bottom"/>
          </w:tcPr>
          <w:p>
            <w:pPr>
              <w:spacing w:after="0"/>
              <w:rPr>
                <w:sz w:val="1"/>
                <w:szCs w:val="1"/>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3,752</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4,489</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3,362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11,603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The obligations noted above represent our operating lease obligations related to our leased facility currently occupied in South San Francisco, California, with a lease term that expires in May 2025. The table does not include the operating lease we entered into in the San Francisco Bay Area in February 2021 for our manufacturing facility, which commenced in May 2021 and has a ten-year term. Payments associated with this operating lease agreement will result in additional operating lease obligations not included in the above table of approximately $13.9 million plus operating expenses.</w:t>
      </w:r>
    </w:p>
    <w:p>
      <w:pPr>
        <w:spacing w:after="0" w:line="157"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We also enter into contracts in the normal course of business with various third parties for preclinical studies, manufacturing services with CDMOs and other services. These contracts generally provide for termination upon limited notice, and therefore we believe that our noncancelable obligations under these agreements are not material. These payments are not included in the table above. This table also does not include any milestone or royalty payments to third parties as the amounts, timing and likelihood of such payments are not known at this time. See Note 5 to our audited financial statements and Note 5 to our unaudited interim condensed financial statements included elsewhere in this prospectus.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Since inception, we have not engaged in any off-balance sheet arrangements as defined in the rules and regulations of the SEC.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Our management’s discussion and analysis of the financial condition and results of operations is based on our financial statements, which have been prepared in accordance with the U.S. generally accepted accounting principles, or GAAP. The preparation of our financial statements requires us to make estimates and assumptions that affect the reported amounts of assets, liabilities, expenses and related disclosures. Our estimates are based on historical experience and on various other factors that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92"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While our significant accounting policies are described in the notes to our financial statements included elsewhere in this prospectus, we believe that the following accounting policies are critical to understanding our historical and future performance, as these policies relate to the more significant areas involving management’s judgments and estimates.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40"/>
          </w:cols>
          <w:pgMar w:left="32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We record research and development costs in the periods in which they are incurred. Goods or services incurred for research and development activities that have not yet been invoiced are recorded as liabilities within accrued expenses and other current liabilities on the balance sheets. Amounts recorded for unbilled services often represent estimates, which are typically based on contracted amounts for the proportion of work performed and determined through analysis with internal personnel and external service providers as to the progress or stage of completion of the associated services. We make judgments and estimates in determining the accrued and other current liabilities balance. If the actual timing of the performance of services or the level of effort varies from the estimate, we adjust accrued expenses or prepaid expenses accordingly, which impact research and development expenses. We have not experienced any material differences between accrued costs and actual costs incurred. Changes in these estimates that result in material changes to our accrued costs could materially affect our results of operations.</w:t>
      </w:r>
    </w:p>
    <w:p>
      <w:pPr>
        <w:spacing w:after="0" w:line="165"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We have and may continue to acquire the rights to licensed technology that represents in-process research and development to use and develop in the commercialization of product candidates, if approved. The upfront payments made to acquire licenses, products or rights, or payments made related to future milestone payments are recognized as research and development expenses provided that there is no alternative future use of the rights in other research and development projects, up to the point of regulatory approval. Milestone payments are expensed when the specific milestone has been achieved.</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We measure and record expense related to all equity awards granted to employees and non-employees in the statements of operations based on their grant date estimated fair values, including stock options and restricted stock awards. For stock-based awards that vest subject to the satisfaction of a service requirement, the expense is recognized using the straight-line method over the requisite service period, which is generally the vesting period. Forfeitures are recognized as they occur.</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fair value of restricted stock awards is determined on the date of grant based on the estimated fair value of our common stock on that date.</w:t>
      </w:r>
    </w:p>
    <w:p>
      <w:pPr>
        <w:spacing w:after="0" w:line="24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For purposes of determining the estimated fair value of options granted to employees and non-employees, we use the Black-Scholes option pricing model, which requires the use of highly subjective assumptions. These assumptions include:</w:t>
      </w:r>
    </w:p>
    <w:p>
      <w:pPr>
        <w:spacing w:after="0" w:line="76" w:lineRule="exact"/>
        <w:rPr>
          <w:sz w:val="20"/>
          <w:szCs w:val="20"/>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—See the subsection titled “—Common Stock Valuations” below.</w:t>
      </w:r>
    </w:p>
    <w:p>
      <w:pPr>
        <w:spacing w:after="0" w:line="130" w:lineRule="exact"/>
        <w:rPr>
          <w:rFonts w:ascii="Arial" w:cs="Arial" w:eastAsia="Arial" w:hAnsi="Arial"/>
          <w:sz w:val="18"/>
          <w:szCs w:val="18"/>
          <w:color w:val="auto"/>
        </w:rPr>
      </w:pPr>
    </w:p>
    <w:p>
      <w:pPr>
        <w:ind w:left="1080" w:right="160" w:hanging="532"/>
        <w:spacing w:after="0" w:line="342" w:lineRule="auto"/>
        <w:tabs>
          <w:tab w:leader="none" w:pos="1080" w:val="left"/>
        </w:tabs>
        <w:numPr>
          <w:ilvl w:val="0"/>
          <w:numId w:val="75"/>
        </w:numPr>
        <w:rPr>
          <w:rFonts w:ascii="Arial" w:cs="Arial" w:eastAsia="Arial" w:hAnsi="Arial"/>
          <w:sz w:val="16"/>
          <w:szCs w:val="16"/>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—We determine the expected term, which represents the period that stock-based awards are expected to be outstanding,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the simplified method, which is presumed to be the mid-point between the contractual term and the vesting term.</w:t>
      </w:r>
    </w:p>
    <w:p>
      <w:pPr>
        <w:spacing w:after="0" w:line="29" w:lineRule="exact"/>
        <w:rPr>
          <w:rFonts w:ascii="Arial" w:cs="Arial" w:eastAsia="Arial" w:hAnsi="Arial"/>
          <w:sz w:val="16"/>
          <w:szCs w:val="16"/>
          <w:color w:val="auto"/>
        </w:rPr>
      </w:pPr>
    </w:p>
    <w:p>
      <w:pPr>
        <w:ind w:left="1080" w:right="200" w:hanging="532"/>
        <w:spacing w:after="0" w:line="259"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—As there is no trading history for our common stock, we have determined our computation of expected volatility on</w:t>
      </w:r>
      <w:r>
        <w:rPr>
          <w:rFonts w:ascii="Arial" w:cs="Arial" w:eastAsia="Arial" w:hAnsi="Arial"/>
          <w:sz w:val="18"/>
          <w:szCs w:val="18"/>
          <w:i w:val="1"/>
          <w:iCs w:val="1"/>
          <w:color w:val="auto"/>
        </w:rPr>
        <w:t xml:space="preserve"> </w:t>
      </w:r>
      <w:r>
        <w:rPr>
          <w:rFonts w:ascii="Arial" w:cs="Arial" w:eastAsia="Arial" w:hAnsi="Arial"/>
          <w:sz w:val="18"/>
          <w:szCs w:val="18"/>
          <w:color w:val="auto"/>
        </w:rPr>
        <w:t>the historical volatility of a representative group of public companies with similar characteristics to us, including stage of product development and life science industry focus. The historical volatility is calculated based on a period of time commensurate with the expected term assumption.</w:t>
      </w:r>
    </w:p>
    <w:p>
      <w:pPr>
        <w:spacing w:after="0" w:line="92"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—We base the risk-free interest rate on U.S. Treasury zero coupon issues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assumption.</w:t>
      </w:r>
    </w:p>
    <w:p>
      <w:pPr>
        <w:spacing w:after="0" w:line="75"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Expected Dividend</w:t>
      </w:r>
      <w:r>
        <w:rPr>
          <w:rFonts w:ascii="Arial" w:cs="Arial" w:eastAsia="Arial" w:hAnsi="Arial"/>
          <w:sz w:val="18"/>
          <w:szCs w:val="18"/>
          <w:color w:val="auto"/>
        </w:rPr>
        <w:t>—The expected dividend yield is assumed to be zero as we have never paid and have no plans to pay dividends on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w:t>
      </w:r>
    </w:p>
    <w:p>
      <w:pPr>
        <w:spacing w:after="0" w:line="170"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See Note 9 to our audited financial statements and Note 9 to our unaudited interim condensed financial statements included elsewhere in this prospectus for more information concerning certain of the specific</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assumptions we used in applying the Black-Scholes valuation model to determine the estimated fair value of our stock options.</w:t>
      </w:r>
    </w:p>
    <w:p>
      <w:pPr>
        <w:spacing w:after="0" w:line="225"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For the years ended December 31, 2019 and 2020, we incurred stock-based compensation of $0.4 million and $0.7 million, respectively. For the three months ended March 31, 2020 and 2021, we incurred stock-based compensation of $0.2 million and $0.4 million, respectively. As of March 31, 2021, there was $6.4 million of total unrecognized stock-based compensation, which is expected to be recognized over a weighted-average period of approximately 3.5 years.</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intrinsic value of all outstanding options as of March 31, 2021 was $20.6 million, based on the assumed initial public offering price of $15.00 per share, which is the mid-point of the estimated price range set forth on the cover page of this prospectus, of which $7.1 million is related to vested options and $13.5 million is related to unvested options.</w:t>
      </w:r>
    </w:p>
    <w:p>
      <w:pPr>
        <w:spacing w:after="0" w:line="184"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In June 2021, our board of directors granted options to purchase 388,475 shares of our common stock at an exercise price of $9.36 per share. We subsequently determined the grant-date fair value of these awards using an assumed underlying common stock fair value of $11.77 per share for financial reporting purposes. In July 2021, we granted options to purchase 446,998 shares of our common stock at an exercise price of $10.56 per share. We subsequently determined the grant-date fair value of these awards using an assumed underlying common stock fair value of $12.30 per share for financial reporting purposes. We expect to recognize stock-based compensation of between approximately $8.1 million to $8.6 million for these June 2021 and July 2021 awards over the vesting period, which is generally four years.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Historically, for all periods prior to this offering, fair values of the shares of common stock underlying our stock-based awards were approved on each grant date by our board of directors. Our board of directors considered, among other things, valuations of our common stock which were prepared by an independent third-party valuation firm in accordance with the guidance provided by the American Institute of Certified Public Accountants Practice Aid, </w:t>
      </w:r>
      <w:r>
        <w:rPr>
          <w:rFonts w:ascii="Arial" w:cs="Arial" w:eastAsia="Arial" w:hAnsi="Arial"/>
          <w:sz w:val="18"/>
          <w:szCs w:val="18"/>
          <w:i w:val="1"/>
          <w:iCs w:val="1"/>
          <w:color w:val="auto"/>
        </w:rPr>
        <w:t>Valuation of Privately-Held Company Equity Securities Issued as Compensation</w:t>
      </w:r>
      <w:r>
        <w:rPr>
          <w:rFonts w:ascii="Arial" w:cs="Arial" w:eastAsia="Arial" w:hAnsi="Arial"/>
          <w:sz w:val="18"/>
          <w:szCs w:val="18"/>
          <w:color w:val="auto"/>
        </w:rPr>
        <w:t>. The significant objective and subjective factors included, but are not limited to:</w:t>
      </w:r>
    </w:p>
    <w:p>
      <w:pPr>
        <w:spacing w:after="0" w:line="93" w:lineRule="exact"/>
        <w:rPr>
          <w:sz w:val="20"/>
          <w:szCs w:val="20"/>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our most recently available estimated valuations of our common stock performed by an independent third-party valuation firm;</w:t>
      </w:r>
    </w:p>
    <w:p>
      <w:pPr>
        <w:spacing w:after="0" w:line="130" w:lineRule="exact"/>
        <w:rPr>
          <w:rFonts w:ascii="Arial" w:cs="Arial" w:eastAsia="Arial" w:hAnsi="Arial"/>
          <w:sz w:val="18"/>
          <w:szCs w:val="18"/>
          <w:color w:val="auto"/>
        </w:rPr>
      </w:pPr>
    </w:p>
    <w:p>
      <w:pPr>
        <w:ind w:left="1080" w:right="600" w:hanging="532"/>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prices of shares of our convertible preferred stock sold to investors in arm’s length transactions, and the rights, preferences and privileges of our convertible preferred stock relative to our common stock;</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our stage of development and material risks related to our business;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our results of operations and financial position, including our levels of available capital resources;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progress of our research and development activities;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lack of marketability of our common stock as a private company;</w:t>
      </w:r>
    </w:p>
    <w:p>
      <w:pPr>
        <w:spacing w:after="0" w:line="130"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(IPO) or a sale of our company, given prevailing market conditions;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trends and developments in our industry;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external market conditions affecting the life sciences and biotechnology industry sectors.</w:t>
      </w:r>
    </w:p>
    <w:p>
      <w:pPr>
        <w:spacing w:after="0" w:line="22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For the independent third-party valuations performed in October 2018 and October 2019, we used a probability-weighted expected return method (PWERM) whereby our total equity value was estimated under various exit scenarios and allocated to our different classes of equity. The PWERM included various scenarios in</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80"/>
          </w:cols>
          <w:pgMar w:left="320" w:top="459" w:right="4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which we complete an IPO, the sale of our company or dissolution of our company that considered our estimate of the timing of each scenario and were weighted based on our estimate of the probability of each event occurring. The equity value under the IPO scenarios was based on the market approach and considered recent IPO values of comparable companies. The equity value under the scenarios in which we complete the sale of our company was based on the market approach and considered recent licensing deals for programs utilizing similar technologies as us. The equity value under the dissolution scenarios was based on the market approach and considered the return on investment from failed venture capital investments. The equity value under each scenario was adjusted for anticipated future financings and the equity value allocated to our common stock was reduced by a discount for lack of marketability.</w:t>
      </w:r>
    </w:p>
    <w:p>
      <w:pPr>
        <w:spacing w:after="0" w:line="19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For the independent third-party valuations performed in November 2020 and April 2021, we used a hybrid method of the PWERM and the option pricing model (OPM) backsolve method to allocate our estimated equity value to our different classes of equity. The PWERM included scenarios in which we complete an IPO and a scenario in which we complete an alternative exit (OPM Scenario) that considered our estimate of the timing of each scenario and were weighted based on our estimate of the probability of each event occurring. The equity value under the IPO scenarios was based on the market approach and considered recent IPO values of comparable companies. The equity value under the OPM Scenario in the November 2020 valuation utilized the OPM backsolve method based on our Series C convertible preferred stock financing. The April 2021 valuation considered market-based adjustments to the equity value determined under this approach in the November 2020 valuation. In an OPM framework, the backsolve method for inferring the equity value implied by a recent financing transaction involves making assumptions for the expected time to liquidity, volatility, dividend yield, and risk-free rate and then solving for the value of equity such that the value for the most recent financing equals the amount paid. The equity value allocated to our common stock was reduced by a discount for lack of marketability.</w:t>
      </w:r>
    </w:p>
    <w:p>
      <w:pPr>
        <w:spacing w:after="0" w:line="18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For valuations after the completion of this offering, the fair value of each share of underlying common stock will be based on the closing price of our common stock as reported on the date of grant on the primary stock exchange on which our common stock is traded.</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Convertible Preferred Stock Tranche Liability</w:t>
      </w:r>
    </w:p>
    <w:p>
      <w:pPr>
        <w:spacing w:after="0" w:line="117"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The obligation to issue additional shares of our Series B convertible preferred stock on the second and third closings of our Series B convertible preferred stock was determined to be a freestanding financial instrument that should be accounted for as a liability. At issuance, we recorded the convertible preferred stock tranche liability on the balance sheet at its estimated fair value, using the estimated fair value of the underlying Series B stock and common stock (which was determined using the standard pricing model). The other inputs used to arrive at the fair value of the convertible preferred stock tranche liability was a discount rate and the expected term, which was based on the expected contractual closing date or the actual closing date.</w:t>
      </w:r>
    </w:p>
    <w:p>
      <w:pPr>
        <w:spacing w:after="0" w:line="192"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A tranche liability is subject to remeasurement at each balance sheet date, with changes in fair value recognized as a gain or loss on remeasurement as a component of other income (expense), net in the statements of operations until settlement or extinguishment. Our convertible preferred stock tranche liability was settled upon the closing of our second and third closings of our Series B convertible preferred stock financing in March and August 2020, respectively.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See Note 2 to our audited financial statements and Note 2 to our unaudited interim condensed financial statements included elsewhere in this prospectus for more information about recent accounting pronouncements, the timing of their adoption, and our assessment, to the extent we have made one yet, of their potential impact on our financial condition of results of operations.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00"/>
          </w:cols>
          <w:pgMar w:left="320" w:top="459" w:right="4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121"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We are an emerging growth company, as defined in the Jumpstart Our Business Startups Act of 2012 (JOBS Act). 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more than $1.0 billion in non-convertible debt securities during the prior three-year period; and (iv) the last day of the fiscal year ending after the</w:t>
      </w:r>
    </w:p>
    <w:p>
      <w:pPr>
        <w:spacing w:after="0" w:line="1" w:lineRule="exact"/>
        <w:rPr>
          <w:sz w:val="20"/>
          <w:szCs w:val="20"/>
          <w:color w:val="auto"/>
        </w:rPr>
      </w:pPr>
    </w:p>
    <w:p>
      <w:pPr>
        <w:ind w:left="120" w:right="240"/>
        <w:spacing w:after="0" w:line="253" w:lineRule="auto"/>
        <w:rPr>
          <w:sz w:val="20"/>
          <w:szCs w:val="20"/>
          <w:color w:val="auto"/>
        </w:rPr>
      </w:pPr>
      <w:r>
        <w:rPr>
          <w:rFonts w:ascii="Arial" w:cs="Arial" w:eastAsia="Arial" w:hAnsi="Arial"/>
          <w:sz w:val="18"/>
          <w:szCs w:val="18"/>
          <w:color w:val="auto"/>
        </w:rPr>
        <w:t>fifth anniversary of our initial public offering. As a result of this status, we have taken advantage of reduced reporting requirements in this prospectus and may elect to take advantage of other reduced reporting requirements in our future filings with the SEC. In particular, in this prospectus, we have provided only two years of audited financial statements and have not included all of the executive compensation related information that would be required if we were not an emerging growth company.</w:t>
      </w:r>
    </w:p>
    <w:p>
      <w:pPr>
        <w:spacing w:after="0" w:line="193"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 addition, 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the extended transition period to enable us to comply with new or revised accounting standards that have different effective dates for public and private companies until the earlier of the date on which we (i) are no longer an emerging growth company and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78"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color w:val="auto"/>
        </w:rPr>
        <w:t>We are also a “smaller reporting company” meaning that the market value of our stock held by non-affiliates plus the proposed aggregate amount of gross proceeds to us as a result of this offering is less than $700 million and our annual revenue was less than $100 million during the most recently completed fiscal year. We may continue to be a smaller reporting company after this offering if either (i) the market value of our stock held by non-affiliates is less than $250 million or (ii) our annual revenue was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and other matters.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are exposed to market risks in the ordinary course of our business. These risks primarily include interest rate sensitivities. We held cash and cash equivalents of $128.5 million and $128.4 million as of December 31, 2020 and March 31, 2021, respectively, which consisted of bank deposits and money market funds. Historical fluctuations in interest rates have not had a significant impact on our financial condition or results of operations. We believe that we do not have any material exposure to changes in the fair value of these assets as a result of changes in interest rates due to the short-term nature of our cash and cash equivalents.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Heart disease is the leading cause of death in the world, accounting for more deaths than from all cancers combined. In the United States, more than 30 million adults are diagnosed with heart disease and approximately 35,000 children are born each year with congenital heart disease (CHD). There are over 250 known genetically defined disorders where the primary source of morbidity and mortality involves the heart, but there are few approved products that target the underlying cause of such diseases. Recent analysis has shown that mortality rates due to heart failure (HF) are rising. While there is a clear need for improved treatments, the rate of cardiovascular drug product approvals has declined in recent years.</w:t>
      </w:r>
    </w:p>
    <w:p>
      <w:pPr>
        <w:spacing w:after="0" w:line="161" w:lineRule="exact"/>
        <w:rPr>
          <w:sz w:val="20"/>
          <w:szCs w:val="20"/>
          <w:color w:val="auto"/>
        </w:rPr>
      </w:pPr>
    </w:p>
    <w:p>
      <w:pPr>
        <w:ind w:left="120" w:right="280" w:firstLine="440"/>
        <w:spacing w:after="0" w:line="279" w:lineRule="auto"/>
        <w:rPr>
          <w:sz w:val="20"/>
          <w:szCs w:val="20"/>
          <w:color w:val="auto"/>
        </w:rPr>
      </w:pPr>
      <w:r>
        <w:rPr>
          <w:rFonts w:ascii="Arial" w:cs="Arial" w:eastAsia="Arial" w:hAnsi="Arial"/>
          <w:sz w:val="17"/>
          <w:szCs w:val="17"/>
          <w:color w:val="auto"/>
        </w:rPr>
        <w:t>We are a biotechnology company committed to a bold mission: to discover, develop and deliver curative therapies that address the underlying drivers of heart disease. Our vision is to change the treatment paradigm for heart disease, and in doing so improve and extend the lives of millions of individuals and families. We are advancing a pipeline of disease-modifying therapies developed using our product platforms and core internal capabilities to target defined sub-populations of patients with both rare and highly prevalent forms of heart disease.</w:t>
      </w:r>
    </w:p>
    <w:p>
      <w:pPr>
        <w:spacing w:after="0" w:line="171"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Founded by leading cardiovascular scientists from Gladstone Institutes and University of Texas Southwestern Medical Center (UTSW), we are developing therapies through scientific advancements in three distinct but interrelated product platforms: Gene Therapy, Cellular Regeneration and Precision Medicine. While our Gene Therapy and Cellular Regeneration platforms focus on the use of viral vectors for drug delivery, our Precision Medicine platform enables us to identify promising targets and product candidates in a modality-agnostic manner, including gene therapies, small molecules, and biologics.</w:t>
      </w:r>
    </w:p>
    <w:p>
      <w:pPr>
        <w:spacing w:after="0" w:line="188"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are advancing a deep and diverse pipeline that includes both gene therapies and small molecules. In 2022, we intend to submit an investigational new drug application (IND) or a clinical trial application (CTA) to the U.S. Food and Drug Administration (FDA) or European Medicines Agency (EMA), respectively, for the most advanced product candidate from our Gene Therapy platform, TN-201, an adeno-associated virus (AAV)-based gene therapy to address genetic hypertrophic cardiomyopathy (gHCM) caused by Myosin Binding Protein C3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mutations. TN-201, currently in IND-enabling studies, is designed to deliver a fully functional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driven by our proprietary heart-specific promoter to restore normal levels of MYBPC3 protein. We also intend to submit an IND to the FDA for the most advanced product candidate from our Precision Medicine platform, TYA-11631, a highly specific small molecule inhibitor of histone deacetylase 6 (HDAC6i). TYA-11631, currently in IND-enabling studies, has potentially broad utility in both HF with preserved ejection fraction (HFpEF) as well as genetic dilated cardiomyopathy (gDCM). Our PKP2 program involves using an AAV-based gene therapy to address genetic arrhythmogenic right ventricular cardiomyopathy (gARVC) caused by plakophilin 2 </w:t>
      </w:r>
      <w:r>
        <w:rPr>
          <w:rFonts w:ascii="Arial" w:cs="Arial" w:eastAsia="Arial" w:hAnsi="Arial"/>
          <w:sz w:val="16"/>
          <w:szCs w:val="16"/>
          <w:i w:val="1"/>
          <w:iCs w:val="1"/>
          <w:color w:val="auto"/>
        </w:rPr>
        <w:t>(PKP2)</w:t>
      </w:r>
      <w:r>
        <w:rPr>
          <w:rFonts w:ascii="Arial" w:cs="Arial" w:eastAsia="Arial" w:hAnsi="Arial"/>
          <w:sz w:val="16"/>
          <w:szCs w:val="16"/>
          <w:color w:val="auto"/>
        </w:rPr>
        <w:t xml:space="preserve"> gene mutations, and is currently at the candidate selection stage. Our DWORF program, an AAV-based gene therapy designed to express the Dwarf Open Reading Frame (</w:t>
      </w:r>
      <w:r>
        <w:rPr>
          <w:rFonts w:ascii="Arial" w:cs="Arial" w:eastAsia="Arial" w:hAnsi="Arial"/>
          <w:sz w:val="16"/>
          <w:szCs w:val="16"/>
          <w:i w:val="1"/>
          <w:iCs w:val="1"/>
          <w:color w:val="auto"/>
        </w:rPr>
        <w:t>DWORF</w:t>
      </w:r>
      <w:r>
        <w:rPr>
          <w:rFonts w:ascii="Arial" w:cs="Arial" w:eastAsia="Arial" w:hAnsi="Arial"/>
          <w:sz w:val="16"/>
          <w:szCs w:val="16"/>
          <w:color w:val="auto"/>
        </w:rPr>
        <w:t>) gene in the heart, has potentially broad utility in dilated cardiomyopathy (DCM) and HF with reduced ejection fraction (HFrEF), and is currently at the candidate selection stage. Our Reprogramming program for cardiac regeneration can potentially replace heart cells lost in patients experiencing HF due to prior myocardial infarction (MI), and is currently at the candidate selection stage. In addition, we have numerous earlier-stage programs emerging from our product platforms to address other forms of HF.</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Product Platforms</w:t>
      </w:r>
    </w:p>
    <w:p>
      <w:pPr>
        <w:spacing w:after="0" w:line="117"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We have established three distinct but interrelated product platforms to discover novel therapies for various forms of heart disease. These platforms bring together differentiated science, capabilities, and intellectual property to enable multi-modality drug discovery. As displayed below, each of our product platforms is designed to address different problems that have historically plagued the development of therapies for heart disease. We</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00"/>
          </w:cols>
          <w:pgMar w:left="320" w:top="459" w:right="4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believe these three product platforms together yield better insight into disease processes, create more opportunities for successful drug development, mitigate scientific risks, and differentiate our efforts relative to competitors.</w:t>
      </w:r>
    </w:p>
    <w:p>
      <w:pPr>
        <w:spacing w:after="0" w:line="27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Our Product Platforms Powering Multi-Modality Drug Discovery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171450</wp:posOffset>
            </wp:positionV>
            <wp:extent cx="5083175" cy="26142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083175" cy="2614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80" w:hanging="343"/>
        <w:spacing w:after="0" w:line="291" w:lineRule="auto"/>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Our </w:t>
      </w:r>
      <w:r>
        <w:rPr>
          <w:rFonts w:ascii="Arial" w:cs="Arial" w:eastAsia="Arial" w:hAnsi="Arial"/>
          <w:sz w:val="16"/>
          <w:szCs w:val="16"/>
          <w:b w:val="1"/>
          <w:bCs w:val="1"/>
          <w:i w:val="1"/>
          <w:iCs w:val="1"/>
          <w:color w:val="auto"/>
        </w:rPr>
        <w:t>Gene Therapy</w:t>
      </w:r>
      <w:r>
        <w:rPr>
          <w:rFonts w:ascii="Arial" w:cs="Arial" w:eastAsia="Arial" w:hAnsi="Arial"/>
          <w:sz w:val="16"/>
          <w:szCs w:val="16"/>
          <w:color w:val="auto"/>
        </w:rPr>
        <w:t xml:space="preserve"> platform uses AAVs to deliver genes to specific cells in the heart to correct or compensate for functional defects. We have the ability to use both known AAV capsids as well as novel capsids identified through our internal capsid engineering capabilities. Depending on the nature of the disease, we may target cardiomyocytes (CMs), cardiac fibroblasts (CFs), or other cells important to the proper functioning of the heart. The genes delivered can be a healthy copy of genes that are known to be mutated in human disease, or some other protein or construct that can exert a therapeutic effect. The product candidates arising from this platform are intended to overcome the shortcomings of traditional therapies that are not able to address the underlying problems that contribute to heart disease. We believe this platform has potentially broad utility for both genetic and non-genetic forms of heart disease.</w:t>
      </w:r>
    </w:p>
    <w:p>
      <w:pPr>
        <w:spacing w:after="0" w:line="71" w:lineRule="exact"/>
        <w:rPr>
          <w:rFonts w:ascii="Arial" w:cs="Arial" w:eastAsia="Arial" w:hAnsi="Arial"/>
          <w:sz w:val="16"/>
          <w:szCs w:val="16"/>
          <w:color w:val="auto"/>
        </w:rPr>
      </w:pPr>
    </w:p>
    <w:p>
      <w:pPr>
        <w:ind w:left="1080" w:right="60" w:hanging="343"/>
        <w:spacing w:after="0" w:line="290" w:lineRule="auto"/>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Our </w:t>
      </w:r>
      <w:r>
        <w:rPr>
          <w:rFonts w:ascii="Arial" w:cs="Arial" w:eastAsia="Arial" w:hAnsi="Arial"/>
          <w:sz w:val="16"/>
          <w:szCs w:val="16"/>
          <w:b w:val="1"/>
          <w:bCs w:val="1"/>
          <w:i w:val="1"/>
          <w:iCs w:val="1"/>
          <w:color w:val="auto"/>
        </w:rPr>
        <w:t>Cellular Regeneration</w:t>
      </w:r>
      <w:r>
        <w:rPr>
          <w:rFonts w:ascii="Arial" w:cs="Arial" w:eastAsia="Arial" w:hAnsi="Arial"/>
          <w:sz w:val="16"/>
          <w:szCs w:val="16"/>
          <w:color w:val="auto"/>
        </w:rPr>
        <w:t xml:space="preserve"> platform uses viral vectors to deliver specific combinations of genes to existing cells in the heart to regenerate CMs </w:t>
      </w:r>
      <w:r>
        <w:rPr>
          <w:rFonts w:ascii="Arial" w:cs="Arial" w:eastAsia="Arial" w:hAnsi="Arial"/>
          <w:sz w:val="16"/>
          <w:szCs w:val="16"/>
          <w:i w:val="1"/>
          <w:iCs w:val="1"/>
          <w:color w:val="auto"/>
        </w:rPr>
        <w:t>in vivo</w:t>
      </w:r>
      <w:r>
        <w:rPr>
          <w:rFonts w:ascii="Arial" w:cs="Arial" w:eastAsia="Arial" w:hAnsi="Arial"/>
          <w:sz w:val="16"/>
          <w:szCs w:val="16"/>
          <w:color w:val="auto"/>
        </w:rPr>
        <w:t>. We own certain intellectual property that covers two distinct approaches to achieve regeneration of new heart tissue. One approach uses AAV vectors to deliver proprietary combinations of genes that induce the resident CFs to convert to CMs. We have developed, through internal capsid engineering capabilities, novel AAV capsids with enhanced CF transduction. Another approach uses non-integrating lentiviruses to deliver proprietary combinations of genes that induce the resident CMs to undergo transient cell division. The product candidates arising from this platform are intended to overcome the shortcomings of traditional therapies that address symptoms but are not able to address the irreversible loss of CMs. We believe this platform has potentially broad utility across a range of heart conditions that result in the loss of CMs, including MI, chemotherapy-related toxicity, and viral infection.</w:t>
      </w:r>
    </w:p>
    <w:p>
      <w:pPr>
        <w:spacing w:after="0" w:line="70" w:lineRule="exact"/>
        <w:rPr>
          <w:rFonts w:ascii="Arial" w:cs="Arial" w:eastAsia="Arial" w:hAnsi="Arial"/>
          <w:sz w:val="16"/>
          <w:szCs w:val="16"/>
          <w:color w:val="auto"/>
        </w:rPr>
      </w:pPr>
    </w:p>
    <w:p>
      <w:pPr>
        <w:ind w:left="1080" w:right="200" w:hanging="343"/>
        <w:spacing w:after="0" w:line="311" w:lineRule="auto"/>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Our </w:t>
      </w:r>
      <w:r>
        <w:rPr>
          <w:rFonts w:ascii="Arial" w:cs="Arial" w:eastAsia="Arial" w:hAnsi="Arial"/>
          <w:sz w:val="16"/>
          <w:szCs w:val="16"/>
          <w:b w:val="1"/>
          <w:bCs w:val="1"/>
          <w:i w:val="1"/>
          <w:iCs w:val="1"/>
          <w:color w:val="auto"/>
        </w:rPr>
        <w:t>Precision Medicine</w:t>
      </w:r>
      <w:r>
        <w:rPr>
          <w:rFonts w:ascii="Arial" w:cs="Arial" w:eastAsia="Arial" w:hAnsi="Arial"/>
          <w:sz w:val="16"/>
          <w:szCs w:val="16"/>
          <w:color w:val="auto"/>
        </w:rPr>
        <w:t xml:space="preserve"> platform uses human induced pluripotent stem cell-derived CMs (hiPSC-CMs) as proprietary disease models combined with analysis of human genetics and the use of machine learning algorithms for the identification of new targets, validation of known targets, and high-throughput screening for drug discovery. This platform is intended to overcome the shortcomings</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00"/>
          </w:cols>
          <w:pgMar w:left="320" w:top="459" w:right="4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40"/>
        <w:spacing w:after="0" w:line="257" w:lineRule="auto"/>
        <w:rPr>
          <w:sz w:val="20"/>
          <w:szCs w:val="20"/>
          <w:color w:val="auto"/>
        </w:rPr>
      </w:pPr>
      <w:r>
        <w:rPr>
          <w:rFonts w:ascii="Arial" w:cs="Arial" w:eastAsia="Arial" w:hAnsi="Arial"/>
          <w:sz w:val="18"/>
          <w:szCs w:val="18"/>
          <w:color w:val="auto"/>
        </w:rPr>
        <w:t>of traditional drug development efforts that rely more heavily on insights from animal models to identify targets and to develop therapies intended for human heart disease. We believe this platform may also help identify promising drug targets directed to sub-populations of patients who are more likely to respond to such targeted product candidates. We believe this platform has potentially broad utility for the identification of targets and therapies in a modality-agnostic manner—including gene therapy, small molecules, and biologics—for both genetic and non-genetic forms of heart disease.</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Approach and Capabilities</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We have internalized and integrated core capabilities, as displayed below, to support our product platforms and our pipeline programs. We believe these capabilities provide us with several advantages and differentiate our efforts relative to competitors, particularly for our AAV-based drug development efforts. We believe these capabilities can collectively support rapid product development, precise product delivery, and efficient production, which ultimately improves the probability of technical and regulatory success of our product candidates.</w:t>
      </w:r>
    </w:p>
    <w:p>
      <w:pPr>
        <w:spacing w:after="0" w:line="27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Our Core Capabilities Supporting Our Differentiated Product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171450</wp:posOffset>
            </wp:positionV>
            <wp:extent cx="5092065" cy="22199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092065"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five core capabilities include:</w:t>
      </w:r>
    </w:p>
    <w:p>
      <w:pPr>
        <w:spacing w:after="0" w:line="131" w:lineRule="exact"/>
        <w:rPr>
          <w:sz w:val="20"/>
          <w:szCs w:val="20"/>
          <w:color w:val="auto"/>
        </w:rPr>
      </w:pPr>
    </w:p>
    <w:p>
      <w:pPr>
        <w:ind w:left="1080" w:right="80" w:hanging="343"/>
        <w:spacing w:after="0" w:line="291" w:lineRule="auto"/>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b w:val="1"/>
          <w:bCs w:val="1"/>
          <w:i w:val="1"/>
          <w:iCs w:val="1"/>
          <w:color w:val="auto"/>
        </w:rPr>
        <w:t>Disease Models</w:t>
      </w:r>
      <w:r>
        <w:rPr>
          <w:rFonts w:ascii="Arial" w:cs="Arial" w:eastAsia="Arial" w:hAnsi="Arial"/>
          <w:sz w:val="16"/>
          <w:szCs w:val="16"/>
          <w:color w:val="auto"/>
        </w:rPr>
        <w:t>. Having better models of human heart disease is an important capability for drug discovery. Existing models may not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adequate to assess the efficacy or safety of novel therapies. In order to achieve this, we have internalized the ability to create and integrate proprietary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models within our research organization. For our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hiPSC-CM disease models, we use multiple methods to induce phenotypes within cell lines that simulate human diseases and then use these models for high throughput target identification and drug discovery. For our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disease models, we have a dedicated onsite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pharmacology group and vivarium, where we have established approximately 15 rodent heart disease models, both genetic and non-genetic, and can dose animals, perform heart surgeries, and use non-invasive imaging to assess the impact of our therapies under development.</w:t>
      </w:r>
    </w:p>
    <w:p>
      <w:pPr>
        <w:spacing w:after="0" w:line="71" w:lineRule="exact"/>
        <w:rPr>
          <w:rFonts w:ascii="Arial" w:cs="Arial" w:eastAsia="Arial" w:hAnsi="Arial"/>
          <w:sz w:val="16"/>
          <w:szCs w:val="16"/>
          <w:color w:val="auto"/>
        </w:rPr>
      </w:pPr>
    </w:p>
    <w:p>
      <w:pPr>
        <w:ind w:left="1080" w:hanging="343"/>
        <w:spacing w:after="0" w:line="279" w:lineRule="auto"/>
        <w:tabs>
          <w:tab w:leader="none" w:pos="1080" w:val="left"/>
        </w:tabs>
        <w:numPr>
          <w:ilvl w:val="0"/>
          <w:numId w:val="78"/>
        </w:numPr>
        <w:rPr>
          <w:rFonts w:ascii="Arial" w:cs="Arial" w:eastAsia="Arial" w:hAnsi="Arial"/>
          <w:sz w:val="17"/>
          <w:szCs w:val="17"/>
          <w:color w:val="auto"/>
        </w:rPr>
      </w:pPr>
      <w:r>
        <w:rPr>
          <w:rFonts w:ascii="Arial" w:cs="Arial" w:eastAsia="Arial" w:hAnsi="Arial"/>
          <w:sz w:val="17"/>
          <w:szCs w:val="17"/>
          <w:b w:val="1"/>
          <w:bCs w:val="1"/>
          <w:i w:val="1"/>
          <w:iCs w:val="1"/>
          <w:color w:val="auto"/>
        </w:rPr>
        <w:t>Capsid Engineering</w:t>
      </w:r>
      <w:r>
        <w:rPr>
          <w:rFonts w:ascii="Arial" w:cs="Arial" w:eastAsia="Arial" w:hAnsi="Arial"/>
          <w:sz w:val="17"/>
          <w:szCs w:val="17"/>
          <w:color w:val="auto"/>
        </w:rPr>
        <w:t>. We have established in-house AAV capsid engineering capabilities and have successfully screened over one billion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variants from more than 30 diverse, proprietary AAV libraries in multiple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silico</w:t>
      </w:r>
      <w:r>
        <w:rPr>
          <w:rFonts w:ascii="Arial" w:cs="Arial" w:eastAsia="Arial" w:hAnsi="Arial"/>
          <w:sz w:val="17"/>
          <w:szCs w:val="17"/>
          <w:color w:val="auto"/>
        </w:rPr>
        <w:t xml:space="preserve"> models to discover novel AAV capsids that can target the different types of cells in the heart. We have generated preclinical data to support the superiority of these capsids over parental variants in multiple species—including NHPs—against multiple attributes.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00"/>
          </w:cols>
          <w:pgMar w:left="320" w:top="459" w:right="4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40"/>
        <w:spacing w:after="0" w:line="311" w:lineRule="auto"/>
        <w:rPr>
          <w:sz w:val="20"/>
          <w:szCs w:val="20"/>
          <w:color w:val="auto"/>
        </w:rPr>
      </w:pPr>
      <w:r>
        <w:rPr>
          <w:rFonts w:ascii="Arial" w:cs="Arial" w:eastAsia="Arial" w:hAnsi="Arial"/>
          <w:sz w:val="16"/>
          <w:szCs w:val="16"/>
          <w:color w:val="auto"/>
        </w:rPr>
        <w:t>These capsids are designed to have desirable properties including the ability to more selectively target the heart versus other organs as well as lower susceptibility to neutralizing antibodies. We believe our capsid engineering efforts will be critical in supporting the successful clinical development of our product candidates and enabling those product candidates, if approved, to reach more patients.</w:t>
      </w:r>
    </w:p>
    <w:p>
      <w:pPr>
        <w:spacing w:after="0" w:line="54" w:lineRule="exact"/>
        <w:rPr>
          <w:sz w:val="20"/>
          <w:szCs w:val="20"/>
          <w:color w:val="auto"/>
        </w:rPr>
      </w:pPr>
    </w:p>
    <w:p>
      <w:pPr>
        <w:ind w:left="1080" w:right="20" w:hanging="343"/>
        <w:spacing w:after="0" w:line="275" w:lineRule="auto"/>
        <w:tabs>
          <w:tab w:leader="none" w:pos="1080" w:val="left"/>
        </w:tabs>
        <w:numPr>
          <w:ilvl w:val="0"/>
          <w:numId w:val="79"/>
        </w:numPr>
        <w:rPr>
          <w:rFonts w:ascii="Arial" w:cs="Arial" w:eastAsia="Arial" w:hAnsi="Arial"/>
          <w:sz w:val="17"/>
          <w:szCs w:val="17"/>
          <w:color w:val="auto"/>
        </w:rPr>
      </w:pPr>
      <w:r>
        <w:rPr>
          <w:rFonts w:ascii="Arial" w:cs="Arial" w:eastAsia="Arial" w:hAnsi="Arial"/>
          <w:sz w:val="17"/>
          <w:szCs w:val="17"/>
          <w:b w:val="1"/>
          <w:bCs w:val="1"/>
          <w:i w:val="1"/>
          <w:iCs w:val="1"/>
          <w:color w:val="auto"/>
        </w:rPr>
        <w:t>Promoters and Regulatory Elements</w:t>
      </w:r>
      <w:r>
        <w:rPr>
          <w:rFonts w:ascii="Arial" w:cs="Arial" w:eastAsia="Arial" w:hAnsi="Arial"/>
          <w:sz w:val="17"/>
          <w:szCs w:val="17"/>
          <w:color w:val="auto"/>
        </w:rPr>
        <w:t>. We have created novel promoters and regulatory elements to support our gene therapy and cellular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regeneration programs. These promoters and regulatory elements control the expression of genes within the cells. We use these innovations to help ensure more precise and more robust expression of therapeutic payloads in the different cell types of the heart as compared to what can be achieved with currently available methods. We believe our innovations can support successful clinical development in part by improving the efficacy and safety profile of our product candidates.</w:t>
      </w:r>
    </w:p>
    <w:p>
      <w:pPr>
        <w:spacing w:after="0" w:line="81" w:lineRule="exact"/>
        <w:rPr>
          <w:rFonts w:ascii="Arial" w:cs="Arial" w:eastAsia="Arial" w:hAnsi="Arial"/>
          <w:sz w:val="17"/>
          <w:szCs w:val="17"/>
          <w:color w:val="auto"/>
        </w:rPr>
      </w:pPr>
    </w:p>
    <w:p>
      <w:pPr>
        <w:ind w:left="1080" w:hanging="343"/>
        <w:spacing w:after="0" w:line="259"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Drug Delivery</w:t>
      </w:r>
      <w:r>
        <w:rPr>
          <w:rFonts w:ascii="Arial" w:cs="Arial" w:eastAsia="Arial" w:hAnsi="Arial"/>
          <w:sz w:val="18"/>
          <w:szCs w:val="18"/>
          <w:color w:val="auto"/>
        </w:rPr>
        <w:t>. We are actively exploring different routes of administration (ROAs) as well as different infusion- and injection-based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methods for delivering our AAV-based therapies. We have designed a new catheter to support more targeted delivery and more efficient uptake of therapeutic payloads in the heart. We believe our discoveries in drug delivery can help widen the therapeutic index of our product candidates by reducing the dose required for a therapeutic benefit.</w:t>
      </w:r>
    </w:p>
    <w:p>
      <w:pPr>
        <w:spacing w:after="0" w:line="92" w:lineRule="exact"/>
        <w:rPr>
          <w:rFonts w:ascii="Arial" w:cs="Arial" w:eastAsia="Arial" w:hAnsi="Arial"/>
          <w:sz w:val="18"/>
          <w:szCs w:val="18"/>
          <w:color w:val="auto"/>
        </w:rPr>
      </w:pPr>
    </w:p>
    <w:p>
      <w:pPr>
        <w:ind w:left="1080" w:right="60" w:hanging="343"/>
        <w:spacing w:after="0" w:line="270" w:lineRule="auto"/>
        <w:tabs>
          <w:tab w:leader="none" w:pos="1080" w:val="left"/>
        </w:tabs>
        <w:numPr>
          <w:ilvl w:val="0"/>
          <w:numId w:val="79"/>
        </w:numPr>
        <w:rPr>
          <w:rFonts w:ascii="Arial" w:cs="Arial" w:eastAsia="Arial" w:hAnsi="Arial"/>
          <w:sz w:val="17"/>
          <w:szCs w:val="17"/>
          <w:color w:val="auto"/>
        </w:rPr>
      </w:pPr>
      <w:r>
        <w:rPr>
          <w:rFonts w:ascii="Arial" w:cs="Arial" w:eastAsia="Arial" w:hAnsi="Arial"/>
          <w:sz w:val="17"/>
          <w:szCs w:val="17"/>
          <w:b w:val="1"/>
          <w:bCs w:val="1"/>
          <w:i w:val="1"/>
          <w:iCs w:val="1"/>
          <w:color w:val="auto"/>
        </w:rPr>
        <w:t>Manufacturing</w:t>
      </w:r>
      <w:r>
        <w:rPr>
          <w:rFonts w:ascii="Arial" w:cs="Arial" w:eastAsia="Arial" w:hAnsi="Arial"/>
          <w:sz w:val="17"/>
          <w:szCs w:val="17"/>
          <w:color w:val="auto"/>
        </w:rPr>
        <w:t>. We have taken important steps towards internalizing both current Good Manufacturing Practice (cGMP) and non-GMP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AAV manufacturing capabilities to support our emerging portfolio of gene therapy and cellular regeneration product candidates. This includes a growing in-house team of approximately 25 personnel that can support process development (PD), analytical development (AD), and quality assurance (QA) and quality control (QC). We have in-house personnel to support both upstream and downstream PD, AD, and QC efforts. We have produced non-clinical material involving both parental and novel AAV capsids at the 50L and 200L scales to support early research and IND-enabling studies in small and large animal models. We have initiated construction of a current cGMP facility in the San Francisco Bay Area near our research labs to enable smooth scale-up of production to support first-in-human (FIH) studies, initially at the 1000L scale. We expect this facility will be operational in the first half of 2022. We have in-licensed certain manufacturing intellectual property to support our programs.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40"/>
          </w:cols>
          <w:pgMar w:left="32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Pipeline</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are advancing a deep and diverse pipeline of therapeutic programs intended for rare diseases, such as gHCM and gARVC, as well as for more prevalent forms of heart disease, such as DCM and HFpEF. We have exclusive worldwide rights to all of our programs. Our pipeline includes programs that have emerged from our internal efforts, including various ongoing early stage discovery efforts across our platforms, as well as programs that are based on intellectual property licensed from academic institutions.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144780</wp:posOffset>
            </wp:positionV>
            <wp:extent cx="5092065" cy="17487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092065"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hanging="436"/>
        <w:spacing w:after="0"/>
        <w:tabs>
          <w:tab w:leader="none" w:pos="6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USA Prevalence refers to the number of patients in the United States with the indication based on publicly available market data</w:t>
      </w:r>
    </w:p>
    <w:p>
      <w:pPr>
        <w:spacing w:after="0" w:line="113" w:lineRule="exact"/>
        <w:rPr>
          <w:rFonts w:ascii="Arial" w:cs="Arial" w:eastAsia="Arial" w:hAnsi="Arial"/>
          <w:sz w:val="14"/>
          <w:szCs w:val="14"/>
          <w:color w:val="auto"/>
        </w:rPr>
      </w:pPr>
    </w:p>
    <w:p>
      <w:pPr>
        <w:ind w:left="1080" w:hanging="532"/>
        <w:spacing w:after="0" w:line="288" w:lineRule="auto"/>
        <w:tabs>
          <w:tab w:leader="none" w:pos="1080" w:val="left"/>
        </w:tabs>
        <w:numPr>
          <w:ilvl w:val="1"/>
          <w:numId w:val="80"/>
        </w:numPr>
        <w:rPr>
          <w:rFonts w:ascii="Arial" w:cs="Arial" w:eastAsia="Arial" w:hAnsi="Arial"/>
          <w:sz w:val="16"/>
          <w:szCs w:val="16"/>
          <w:color w:val="auto"/>
        </w:rPr>
      </w:pPr>
      <w:r>
        <w:rPr>
          <w:rFonts w:ascii="Arial" w:cs="Arial" w:eastAsia="Arial" w:hAnsi="Arial"/>
          <w:sz w:val="16"/>
          <w:szCs w:val="16"/>
          <w:b w:val="1"/>
          <w:bCs w:val="1"/>
          <w:i w:val="1"/>
          <w:iCs w:val="1"/>
          <w:color w:val="auto"/>
        </w:rPr>
        <w:t>MYBPC3 Program for gHCM</w:t>
      </w:r>
      <w:r>
        <w:rPr>
          <w:rFonts w:ascii="Arial" w:cs="Arial" w:eastAsia="Arial" w:hAnsi="Arial"/>
          <w:sz w:val="16"/>
          <w:szCs w:val="16"/>
          <w:color w:val="auto"/>
        </w:rPr>
        <w:t>. We are developing an AAV-based gene therapy designed to deliver a functional</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MYBPC3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 in adults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and children with gHCM due to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mutations, estimated to affect more than 115,000 patients in the United States. These mutations can cause the heart walls of affected individuals to become significantly thickened, leading to fibrosis, abnormal heart rhythms, cardiac dysfunction, HF, and sudden cardiac death in some adults and children. Based on publicly available information to date, we believe there are currently no approved treatments that address the underlying genetic cause of this disease. Our product candidate, TN-201, uses a differentiated approach designed to enable robust expression of the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in the heart. We have demonstrated significant and durable disease reversal and survival benefit in a relevant murine model after a single dose, as well as tolerability in mice and non-human primates (NHPs). The program is currently in IND-enabling studies, and we have obtained feedback from multiple regulatory agencies, including the FDA, to guide our path to clinical development. TN-201 has also been granted Orphan Drug Designation (ODD) by the FDA. We intend to submit an IND or CTA to the FDA or EMA, respectively, in 2022.</w:t>
      </w:r>
    </w:p>
    <w:p>
      <w:pPr>
        <w:spacing w:after="0" w:line="73" w:lineRule="exact"/>
        <w:rPr>
          <w:rFonts w:ascii="Arial" w:cs="Arial" w:eastAsia="Arial" w:hAnsi="Arial"/>
          <w:sz w:val="16"/>
          <w:szCs w:val="16"/>
          <w:color w:val="auto"/>
        </w:rPr>
      </w:pPr>
    </w:p>
    <w:p>
      <w:pPr>
        <w:ind w:left="1080" w:right="80" w:hanging="532"/>
        <w:spacing w:after="0" w:line="271" w:lineRule="auto"/>
        <w:tabs>
          <w:tab w:leader="none" w:pos="1080" w:val="left"/>
        </w:tabs>
        <w:numPr>
          <w:ilvl w:val="1"/>
          <w:numId w:val="80"/>
        </w:numPr>
        <w:rPr>
          <w:rFonts w:ascii="Arial" w:cs="Arial" w:eastAsia="Arial" w:hAnsi="Arial"/>
          <w:sz w:val="17"/>
          <w:szCs w:val="17"/>
          <w:color w:val="auto"/>
        </w:rPr>
      </w:pPr>
      <w:r>
        <w:rPr>
          <w:rFonts w:ascii="Arial" w:cs="Arial" w:eastAsia="Arial" w:hAnsi="Arial"/>
          <w:sz w:val="17"/>
          <w:szCs w:val="17"/>
          <w:b w:val="1"/>
          <w:bCs w:val="1"/>
          <w:i w:val="1"/>
          <w:iCs w:val="1"/>
          <w:color w:val="auto"/>
        </w:rPr>
        <w:t>HDAC6i Program for HFpEF</w:t>
      </w:r>
      <w:r>
        <w:rPr>
          <w:rFonts w:ascii="Arial" w:cs="Arial" w:eastAsia="Arial" w:hAnsi="Arial"/>
          <w:sz w:val="17"/>
          <w:szCs w:val="17"/>
          <w:color w:val="auto"/>
        </w:rPr>
        <w:t>. We are developing an HDAC6i small molecule for various forms of HF, including HFpEF. This disease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involves systemic inflammation, left ventricular hypertrophy, fibrosis, and diastolic dysfunction resulting in high morbidity and mortality in affected individuals. HFpEF is one of the greatest areas of unmet need in heart disease with more than three million patients in the United States and currently no approved disease-modifying therapies. Our product candidate, TYA-11631, is a differentiated compound with unique chemical structures and high specificity for HDAC6. We have demonstrated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activity of our HDAC6i molecules in multiple animal models, including significant disease reversal in two different models of HFpEF as well as tolerability in mice and NHPs. Based on publicly available information to date, we believe TYA-11631 is the first HDAC6i being developed for heart disease. We have initiated IND-enabling activities and intend to submit an IND to the FDA in 2022.</w:t>
      </w:r>
    </w:p>
    <w:p>
      <w:pPr>
        <w:spacing w:after="0" w:line="83" w:lineRule="exact"/>
        <w:rPr>
          <w:rFonts w:ascii="Arial" w:cs="Arial" w:eastAsia="Arial" w:hAnsi="Arial"/>
          <w:sz w:val="17"/>
          <w:szCs w:val="17"/>
          <w:color w:val="auto"/>
        </w:rPr>
      </w:pPr>
    </w:p>
    <w:p>
      <w:pPr>
        <w:ind w:left="1080" w:right="320" w:hanging="532"/>
        <w:spacing w:after="0" w:line="259" w:lineRule="auto"/>
        <w:tabs>
          <w:tab w:leader="none" w:pos="1080" w:val="left"/>
        </w:tabs>
        <w:numPr>
          <w:ilvl w:val="1"/>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PKP2 Program for gARVC</w:t>
      </w:r>
      <w:r>
        <w:rPr>
          <w:rFonts w:ascii="Arial" w:cs="Arial" w:eastAsia="Arial" w:hAnsi="Arial"/>
          <w:sz w:val="18"/>
          <w:szCs w:val="18"/>
          <w:color w:val="auto"/>
        </w:rPr>
        <w:t>. We are developing an AAV-based gene therapy designed to deliver a functional</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PKP2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 in adults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gARVC due to </w:t>
      </w:r>
      <w:r>
        <w:rPr>
          <w:rFonts w:ascii="Arial" w:cs="Arial" w:eastAsia="Arial" w:hAnsi="Arial"/>
          <w:sz w:val="18"/>
          <w:szCs w:val="18"/>
          <w:i w:val="1"/>
          <w:iCs w:val="1"/>
          <w:color w:val="auto"/>
        </w:rPr>
        <w:t>PKP2</w:t>
      </w:r>
      <w:r>
        <w:rPr>
          <w:rFonts w:ascii="Arial" w:cs="Arial" w:eastAsia="Arial" w:hAnsi="Arial"/>
          <w:sz w:val="18"/>
          <w:szCs w:val="18"/>
          <w:color w:val="auto"/>
        </w:rPr>
        <w:t xml:space="preserve"> gene mutation, estimated to affect more than 70,000 patients in the United States. These mutations can cause enlargement of the right ventricle (RV) in affected individuals, replacement of heart muscle with fibrotic tissue and fatty deposits, and severely</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00"/>
          </w:cols>
          <w:pgMar w:left="320" w:top="459" w:right="4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
        <w:spacing w:after="0" w:line="255" w:lineRule="auto"/>
        <w:rPr>
          <w:sz w:val="20"/>
          <w:szCs w:val="20"/>
          <w:color w:val="auto"/>
        </w:rPr>
      </w:pPr>
      <w:r>
        <w:rPr>
          <w:rFonts w:ascii="Arial" w:cs="Arial" w:eastAsia="Arial" w:hAnsi="Arial"/>
          <w:sz w:val="18"/>
          <w:szCs w:val="18"/>
          <w:color w:val="auto"/>
        </w:rPr>
        <w:t>abnormal heart rhythms (arrhythmia) that can make it harder for the heart to function properly and result in sudden cardiac death in some adults and children. Based on publicly available information to date, we believe there are currently no approved treatments that address the underlying genetic cause of this disease. We have demonstrated prevention of disease progression and survival benefit in a murine model after a single dose. Based on publicly available information to date, we believe these data are the first known demonstrations of durable disease modification, survival benefit, and prevention of arrhythmia using an AAV:PKP2 gene therapy construct. This program is currently at the candidate selection stage.</w:t>
      </w:r>
    </w:p>
    <w:p>
      <w:pPr>
        <w:spacing w:after="0" w:line="98" w:lineRule="exact"/>
        <w:rPr>
          <w:sz w:val="20"/>
          <w:szCs w:val="20"/>
          <w:color w:val="auto"/>
        </w:rPr>
      </w:pPr>
    </w:p>
    <w:p>
      <w:pPr>
        <w:ind w:left="1080" w:hanging="532"/>
        <w:spacing w:after="0" w:line="289" w:lineRule="auto"/>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DWORF Program for DCM</w:t>
      </w:r>
      <w:r>
        <w:rPr>
          <w:rFonts w:ascii="Arial" w:cs="Arial" w:eastAsia="Arial" w:hAnsi="Arial"/>
          <w:sz w:val="16"/>
          <w:szCs w:val="16"/>
          <w:color w:val="auto"/>
        </w:rPr>
        <w:t>. We are developing an AAV-based gene therapy designed to deliver the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DWORF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 for patients with DCM,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estimated to affect about one million patients in the United States. DCM is a progressive and life-threatening disease that causes left ventricle (LV) enlargement, LV wall thinning, insufficient contraction, reduced blood flow, ventricular arrhythmias, and can result in premature morbidity and need for heart transplant in affected individuals. DWORF is a muscle-specific micro-peptide first discovered by our co-founder Eric Olson, Ph.D. that acts on the sarcoplasmic/endoplasmic reticulum Ca2+ ATPase 2a (SERCA2a) pathway, widely considered to be a promising target in HF. We and our academic collaborators have accumulated significant preclinical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proof-of-concept evidence for the therapeutic benefit of over-expression of the </w:t>
      </w:r>
      <w:r>
        <w:rPr>
          <w:rFonts w:ascii="Arial" w:cs="Arial" w:eastAsia="Arial" w:hAnsi="Arial"/>
          <w:sz w:val="16"/>
          <w:szCs w:val="16"/>
          <w:i w:val="1"/>
          <w:iCs w:val="1"/>
          <w:color w:val="auto"/>
        </w:rPr>
        <w:t>DWORF</w:t>
      </w:r>
      <w:r>
        <w:rPr>
          <w:rFonts w:ascii="Arial" w:cs="Arial" w:eastAsia="Arial" w:hAnsi="Arial"/>
          <w:sz w:val="16"/>
          <w:szCs w:val="16"/>
          <w:color w:val="auto"/>
        </w:rPr>
        <w:t xml:space="preserve"> gene in multiple murine models, including models of gDCM and HFrEF, as well as tolerability in murine models. Based on publicly available information to date, we believe these are the first demonstrations of the potential benefit of AAV:DWORF. This program is currently at the candidate selection stage.</w:t>
      </w:r>
    </w:p>
    <w:p>
      <w:pPr>
        <w:spacing w:after="0" w:line="71" w:lineRule="exact"/>
        <w:rPr>
          <w:rFonts w:ascii="Arial" w:cs="Arial" w:eastAsia="Arial" w:hAnsi="Arial"/>
          <w:sz w:val="16"/>
          <w:szCs w:val="16"/>
          <w:color w:val="auto"/>
        </w:rPr>
      </w:pPr>
    </w:p>
    <w:p>
      <w:pPr>
        <w:ind w:left="1080" w:hanging="532"/>
        <w:spacing w:after="0" w:line="269" w:lineRule="auto"/>
        <w:tabs>
          <w:tab w:leader="none" w:pos="1080" w:val="left"/>
        </w:tabs>
        <w:numPr>
          <w:ilvl w:val="0"/>
          <w:numId w:val="81"/>
        </w:numPr>
        <w:rPr>
          <w:rFonts w:ascii="Arial" w:cs="Arial" w:eastAsia="Arial" w:hAnsi="Arial"/>
          <w:sz w:val="17"/>
          <w:szCs w:val="17"/>
          <w:color w:val="auto"/>
        </w:rPr>
      </w:pPr>
      <w:r>
        <w:rPr>
          <w:rFonts w:ascii="Arial" w:cs="Arial" w:eastAsia="Arial" w:hAnsi="Arial"/>
          <w:sz w:val="17"/>
          <w:szCs w:val="17"/>
          <w:b w:val="1"/>
          <w:bCs w:val="1"/>
          <w:i w:val="1"/>
          <w:iCs w:val="1"/>
          <w:color w:val="auto"/>
        </w:rPr>
        <w:t>Reprogramming Program for HF due to prior MI</w:t>
      </w:r>
      <w:r>
        <w:rPr>
          <w:rFonts w:ascii="Arial" w:cs="Arial" w:eastAsia="Arial" w:hAnsi="Arial"/>
          <w:sz w:val="17"/>
          <w:szCs w:val="17"/>
          <w:color w:val="auto"/>
        </w:rPr>
        <w:t>. We are developing an AAV-based approach to cellular regeneration that involves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converting (or reprogramming) existing CFs within the heart to turn into new CMs and to replace cells permanently lost due to MI. There are estimated to be more than four million patients in the United States living with HF due to prior MI. The loss of CMs in affected individuals permanently impairs heart contraction, leading to HF and potentially fatal arrhythmias, and the death of approximately 5% to 10% of MI survivors within the first year. There are currently no approved treatments that address the underlying loss of heart tissue. The potential utility of our unique approach to creating new CMs was first demonstrated by our co-founder Deepak Srivastava, M.D. We have discovered a proprietary combination of three genes that can drive robust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reprogramming of CFs to CMs when delivered together in a single AAV capsid. We have demonstrated significant and durable disease reversal as well as tolerability in multiple small and large animal models. Based on publicly available information to date, we believe our results in a pig model of HF due to prior MI represent the first-ever successful demonstration of the potential benefit of this approach in a human-sized heart. This program is currently at the candidate selection stage.</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Management Team and Investors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were incorporated in August 2016 by The Column Group, in partnership with leading scientific and clinical researchers in cardiovascular genetics and muscle biology at Gladstone Institutes and UTSW. Since our founding, we have attracted a talented group of industry experts and scientists as part of a highly innovative organization that, as of June 30, 2021, comprises over 85 employees.</w:t>
      </w:r>
    </w:p>
    <w:p>
      <w:pPr>
        <w:spacing w:after="0" w:line="184"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We are led by a team of executives and directors with significant experience in the discovery, development, manufacture, and commercialization of novel therapeutics, specifically in the fields of rare diseases, gene therapies, and heart disease. Faraz Ali, M.B.A., our Chief Executive Officer since 2018, previously served as the Chief Business Officer at REGENXBIO, and prior to that, accumulated relevant experiences at industry-leading companies in gene therapy and orphan drug development including at bluebird bio and Genzyme Corporation.</w:t>
      </w:r>
    </w:p>
    <w:p>
      <w:pPr>
        <w:spacing w:after="0" w:line="17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Since inception, we have raised approximately $248 million in equity financing to date from leading venture, strategic and public investors, including The Column Group, Casdin Capital, SymBiosis II, LLC, Fidelity Management &amp; Research Company, RTW Investments, and others who share our vision to build a highly innovative, integrated biotechnology company delivering next-generation therapies that address the underlying causes of heart disease.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 of Heart Disease</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Heart disease is the leading cause of death in the world, accounting for more deaths than from all cancers combined. In the United States, more than 30 million adults, or approximately 12% of the adult population, are diagnosed with heart disease. In addition, an adult dies from a cardiovascular-related health condition, such as a heart attack every 36 seconds, a gruesome statistic that translates to 31% of all deaths in the United States each year. The picture is equally bleak at the other end of the age spectrum, as approximately 35,000 children are born in the United States every year with CHD, and CHD is the leading cause of birth defect-related morbidity and mortality. There are over 250 known genetically defined disorders where the primary source of morbidity and mortality involves the heart, but there are few approved products that target the underlying cause of such diseases. Recent analysis has shown that after decades of reduction in the mortality rate due to HF, these rates are once again rising, highlighting the need for improved treatments.</w:t>
      </w:r>
    </w:p>
    <w:p>
      <w:pPr>
        <w:spacing w:after="0" w:line="192"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The heart is a complex organ due to its biological structure as well as its tightly regulated and coordinated electrophysiological and biomechanical properties. Heart disease comes in many forms, affects individuals at many ages, and is a result of many factors. As depicted in the below table, heart disease can be generally categorized as either directly resulting from problems associated with the heart organ, for example, HF, arrhythmia and heart valve disease; or indirectly resulting from problems associated with the vasculature, for example, coronary artery disease (CAD). In each case, the underlying cause could be genetic, or due to normal aging or due to environmental factors.</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00"/>
          </w:cols>
          <w:pgMar w:left="320" w:top="459" w:right="4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illustrates four broad categories of heart disease:</w:t>
      </w:r>
    </w:p>
    <w:p>
      <w:pPr>
        <w:spacing w:after="0" w:line="246" w:lineRule="exact"/>
        <w:rPr>
          <w:sz w:val="20"/>
          <w:szCs w:val="20"/>
          <w:color w:val="auto"/>
        </w:rPr>
      </w:pPr>
    </w:p>
    <w:tbl>
      <w:tblPr>
        <w:tblLayout w:type="fixed"/>
        <w:tblInd w:w="110" w:type="dxa"/>
        <w:tblCellMar>
          <w:top w:w="0" w:type="dxa"/>
          <w:left w:w="0" w:type="dxa"/>
          <w:bottom w:w="0" w:type="dxa"/>
          <w:right w:w="0" w:type="dxa"/>
        </w:tblCellMar>
      </w:tblPr>
      <w:tr>
        <w:trPr>
          <w:trHeight w:val="256"/>
        </w:trPr>
        <w:tc>
          <w:tcPr>
            <w:tcW w:w="3700" w:type="dxa"/>
            <w:vAlign w:val="bottom"/>
            <w:tcBorders>
              <w:top w:val="single" w:sz="8" w:color="auto"/>
              <w:left w:val="single" w:sz="8" w:color="auto"/>
              <w:bottom w:val="single" w:sz="8" w:color="auto"/>
              <w:right w:val="single" w:sz="8" w:color="auto"/>
            </w:tcBorders>
          </w:tcPr>
          <w:p>
            <w:pPr>
              <w:jc w:val="center"/>
              <w:ind w:left="54"/>
              <w:spacing w:after="0"/>
              <w:rPr>
                <w:sz w:val="20"/>
                <w:szCs w:val="20"/>
                <w:color w:val="auto"/>
              </w:rPr>
            </w:pPr>
            <w:r>
              <w:rPr>
                <w:rFonts w:ascii="Arial" w:cs="Arial" w:eastAsia="Arial" w:hAnsi="Arial"/>
                <w:sz w:val="14"/>
                <w:szCs w:val="14"/>
                <w:b w:val="1"/>
                <w:bCs w:val="1"/>
                <w:color w:val="auto"/>
              </w:rPr>
              <w:t>CATEGORIES</w:t>
            </w:r>
          </w:p>
        </w:tc>
        <w:tc>
          <w:tcPr>
            <w:tcW w:w="7340" w:type="dxa"/>
            <w:vAlign w:val="bottom"/>
            <w:tcBorders>
              <w:top w:val="single" w:sz="8" w:color="auto"/>
              <w:bottom w:val="single" w:sz="8" w:color="auto"/>
              <w:right w:val="single" w:sz="8" w:color="auto"/>
            </w:tcBorders>
          </w:tcPr>
          <w:p>
            <w:pPr>
              <w:ind w:left="3240"/>
              <w:spacing w:after="0"/>
              <w:rPr>
                <w:sz w:val="20"/>
                <w:szCs w:val="20"/>
                <w:color w:val="auto"/>
              </w:rPr>
            </w:pPr>
            <w:r>
              <w:rPr>
                <w:rFonts w:ascii="Arial" w:cs="Arial" w:eastAsia="Arial" w:hAnsi="Arial"/>
                <w:sz w:val="14"/>
                <w:szCs w:val="14"/>
                <w:b w:val="1"/>
                <w:bCs w:val="1"/>
                <w:color w:val="auto"/>
              </w:rPr>
              <w:t>DESCRIPTION</w:t>
            </w:r>
          </w:p>
        </w:tc>
      </w:tr>
      <w:tr>
        <w:trPr>
          <w:trHeight w:val="236"/>
        </w:trPr>
        <w:tc>
          <w:tcPr>
            <w:tcW w:w="3700" w:type="dxa"/>
            <w:vAlign w:val="bottom"/>
            <w:tcBorders>
              <w:left w:val="single" w:sz="8" w:color="auto"/>
              <w:right w:val="single" w:sz="8" w:color="auto"/>
            </w:tcBorders>
          </w:tcPr>
          <w:p>
            <w:pPr>
              <w:spacing w:after="0"/>
              <w:rPr>
                <w:sz w:val="20"/>
                <w:szCs w:val="20"/>
                <w:color w:val="auto"/>
              </w:rPr>
            </w:pPr>
          </w:p>
        </w:tc>
        <w:tc>
          <w:tcPr>
            <w:tcW w:w="73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HF is a heart condition in which the heart’s pumping capacity is not adequate to meet the</w:t>
            </w:r>
          </w:p>
        </w:tc>
      </w:tr>
      <w:tr>
        <w:trPr>
          <w:trHeight w:val="216"/>
        </w:trPr>
        <w:tc>
          <w:tcPr>
            <w:tcW w:w="3700" w:type="dxa"/>
            <w:vAlign w:val="bottom"/>
            <w:tcBorders>
              <w:left w:val="single" w:sz="8" w:color="auto"/>
              <w:right w:val="single" w:sz="8" w:color="auto"/>
            </w:tcBorders>
          </w:tcPr>
          <w:p>
            <w:pPr>
              <w:spacing w:after="0"/>
              <w:rPr>
                <w:sz w:val="18"/>
                <w:szCs w:val="18"/>
                <w:color w:val="auto"/>
              </w:rPr>
            </w:pPr>
          </w:p>
        </w:tc>
        <w:tc>
          <w:tcPr>
            <w:tcW w:w="73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1"/>
              </w:rPr>
              <w:t>demands for blood and oxygen required by the rest of the body. HF can be the result of a range of</w:t>
            </w:r>
          </w:p>
        </w:tc>
      </w:tr>
      <w:tr>
        <w:trPr>
          <w:trHeight w:val="216"/>
        </w:trPr>
        <w:tc>
          <w:tcPr>
            <w:tcW w:w="3700" w:type="dxa"/>
            <w:vAlign w:val="bottom"/>
            <w:tcBorders>
              <w:left w:val="single" w:sz="8" w:color="auto"/>
              <w:right w:val="single" w:sz="8" w:color="auto"/>
            </w:tcBorders>
          </w:tcPr>
          <w:p>
            <w:pPr>
              <w:spacing w:after="0"/>
              <w:rPr>
                <w:sz w:val="18"/>
                <w:szCs w:val="18"/>
                <w:color w:val="auto"/>
              </w:rPr>
            </w:pPr>
          </w:p>
        </w:tc>
        <w:tc>
          <w:tcPr>
            <w:tcW w:w="73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2"/>
              </w:rPr>
              <w:t>conditions that lead to weakening of the heart muscle. Conditions that can be associated with the</w:t>
            </w:r>
          </w:p>
        </w:tc>
      </w:tr>
      <w:tr>
        <w:trPr>
          <w:trHeight w:val="216"/>
        </w:trPr>
        <w:tc>
          <w:tcPr>
            <w:tcW w:w="3700" w:type="dxa"/>
            <w:vAlign w:val="bottom"/>
            <w:tcBorders>
              <w:left w:val="single" w:sz="8" w:color="auto"/>
              <w:right w:val="single" w:sz="8" w:color="auto"/>
            </w:tcBorders>
          </w:tcPr>
          <w:p>
            <w:pPr>
              <w:spacing w:after="0"/>
              <w:rPr>
                <w:sz w:val="18"/>
                <w:szCs w:val="18"/>
                <w:color w:val="auto"/>
              </w:rPr>
            </w:pPr>
          </w:p>
        </w:tc>
        <w:tc>
          <w:tcPr>
            <w:tcW w:w="73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6"/>
              </w:rPr>
              <w:t>development of HF include a heart attack, uncontrolled high blood pressure, congenital heart</w:t>
            </w:r>
          </w:p>
        </w:tc>
      </w:tr>
      <w:tr>
        <w:trPr>
          <w:trHeight w:val="230"/>
        </w:trPr>
        <w:tc>
          <w:tcPr>
            <w:tcW w:w="3700" w:type="dxa"/>
            <w:vAlign w:val="bottom"/>
            <w:tcBorders>
              <w:left w:val="single" w:sz="8" w:color="auto"/>
              <w:right w:val="single" w:sz="8" w:color="auto"/>
            </w:tcBorders>
          </w:tcPr>
          <w:p>
            <w:pPr>
              <w:spacing w:after="0"/>
              <w:rPr>
                <w:sz w:val="20"/>
                <w:szCs w:val="20"/>
                <w:color w:val="auto"/>
              </w:rPr>
            </w:pPr>
          </w:p>
        </w:tc>
        <w:tc>
          <w:tcPr>
            <w:tcW w:w="73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disease (heart defects present at birth), and genetic cardiomyopathies.</w:t>
            </w:r>
          </w:p>
        </w:tc>
      </w:tr>
      <w:tr>
        <w:trPr>
          <w:trHeight w:val="561"/>
        </w:trPr>
        <w:tc>
          <w:tcPr>
            <w:tcW w:w="3700" w:type="dxa"/>
            <w:vAlign w:val="bottom"/>
            <w:tcBorders>
              <w:left w:val="single" w:sz="8" w:color="auto"/>
              <w:bottom w:val="single" w:sz="8" w:color="auto"/>
              <w:right w:val="single" w:sz="8" w:color="auto"/>
            </w:tcBorders>
          </w:tcPr>
          <w:p>
            <w:pPr>
              <w:jc w:val="center"/>
              <w:ind w:left="54"/>
              <w:spacing w:after="0"/>
              <w:rPr>
                <w:sz w:val="20"/>
                <w:szCs w:val="20"/>
                <w:color w:val="auto"/>
              </w:rPr>
            </w:pPr>
            <w:r>
              <w:rPr>
                <w:rFonts w:ascii="Arial" w:cs="Arial" w:eastAsia="Arial" w:hAnsi="Arial"/>
                <w:sz w:val="18"/>
                <w:szCs w:val="18"/>
                <w:color w:val="auto"/>
                <w:w w:val="93"/>
              </w:rPr>
              <w:t>Heart Failure (HF)</w:t>
            </w:r>
          </w:p>
        </w:tc>
        <w:tc>
          <w:tcPr>
            <w:tcW w:w="7340" w:type="dxa"/>
            <w:vAlign w:val="bottom"/>
            <w:tcBorders>
              <w:bottom w:val="single" w:sz="8" w:color="auto"/>
              <w:right w:val="single" w:sz="8" w:color="auto"/>
            </w:tcBorders>
          </w:tcPr>
          <w:p>
            <w:pPr>
              <w:spacing w:after="0"/>
              <w:rPr>
                <w:sz w:val="24"/>
                <w:szCs w:val="24"/>
                <w:color w:val="auto"/>
              </w:rPr>
            </w:pPr>
          </w:p>
        </w:tc>
      </w:tr>
      <w:tr>
        <w:trPr>
          <w:trHeight w:val="404"/>
        </w:trPr>
        <w:tc>
          <w:tcPr>
            <w:tcW w:w="3700" w:type="dxa"/>
            <w:vAlign w:val="bottom"/>
            <w:tcBorders>
              <w:left w:val="single" w:sz="8" w:color="auto"/>
              <w:right w:val="single" w:sz="8" w:color="auto"/>
            </w:tcBorders>
          </w:tcPr>
          <w:p>
            <w:pPr>
              <w:spacing w:after="0"/>
              <w:rPr>
                <w:sz w:val="24"/>
                <w:szCs w:val="24"/>
                <w:color w:val="auto"/>
              </w:rPr>
            </w:pPr>
          </w:p>
        </w:tc>
        <w:tc>
          <w:tcPr>
            <w:tcW w:w="73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4"/>
              </w:rPr>
              <w:t>Arrhythmia is one of the most common heart conditions and is described as any change in the</w:t>
            </w:r>
          </w:p>
        </w:tc>
      </w:tr>
      <w:tr>
        <w:trPr>
          <w:trHeight w:val="216"/>
        </w:trPr>
        <w:tc>
          <w:tcPr>
            <w:tcW w:w="3700" w:type="dxa"/>
            <w:vAlign w:val="bottom"/>
            <w:tcBorders>
              <w:left w:val="single" w:sz="8" w:color="auto"/>
              <w:right w:val="single" w:sz="8" w:color="auto"/>
            </w:tcBorders>
          </w:tcPr>
          <w:p>
            <w:pPr>
              <w:spacing w:after="0"/>
              <w:rPr>
                <w:sz w:val="18"/>
                <w:szCs w:val="18"/>
                <w:color w:val="auto"/>
              </w:rPr>
            </w:pPr>
          </w:p>
        </w:tc>
        <w:tc>
          <w:tcPr>
            <w:tcW w:w="73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heart’s normal electrical impulses. Electrical impulses from within the heart initiate each</w:t>
            </w:r>
          </w:p>
        </w:tc>
      </w:tr>
      <w:tr>
        <w:trPr>
          <w:trHeight w:val="216"/>
        </w:trPr>
        <w:tc>
          <w:tcPr>
            <w:tcW w:w="3700" w:type="dxa"/>
            <w:vAlign w:val="bottom"/>
            <w:tcBorders>
              <w:left w:val="single" w:sz="8" w:color="auto"/>
              <w:right w:val="single" w:sz="8" w:color="auto"/>
            </w:tcBorders>
          </w:tcPr>
          <w:p>
            <w:pPr>
              <w:spacing w:after="0"/>
              <w:rPr>
                <w:sz w:val="18"/>
                <w:szCs w:val="18"/>
                <w:color w:val="auto"/>
              </w:rPr>
            </w:pPr>
          </w:p>
        </w:tc>
        <w:tc>
          <w:tcPr>
            <w:tcW w:w="73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3"/>
              </w:rPr>
              <w:t>heartbeat and ensure its normal pumping function. Arrhythmias can cause the heart to beat too</w:t>
            </w:r>
          </w:p>
        </w:tc>
      </w:tr>
      <w:tr>
        <w:trPr>
          <w:trHeight w:val="216"/>
        </w:trPr>
        <w:tc>
          <w:tcPr>
            <w:tcW w:w="3700" w:type="dxa"/>
            <w:vAlign w:val="bottom"/>
            <w:tcBorders>
              <w:left w:val="single" w:sz="8" w:color="auto"/>
              <w:right w:val="single" w:sz="8" w:color="auto"/>
            </w:tcBorders>
          </w:tcPr>
          <w:p>
            <w:pPr>
              <w:spacing w:after="0"/>
              <w:rPr>
                <w:sz w:val="18"/>
                <w:szCs w:val="18"/>
                <w:color w:val="auto"/>
              </w:rPr>
            </w:pPr>
          </w:p>
        </w:tc>
        <w:tc>
          <w:tcPr>
            <w:tcW w:w="73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2"/>
              </w:rPr>
              <w:t>quickly, too slowly or irregularly, resulting in a broad range of symptoms as well as sudden death</w:t>
            </w:r>
          </w:p>
        </w:tc>
      </w:tr>
      <w:tr>
        <w:trPr>
          <w:trHeight w:val="230"/>
        </w:trPr>
        <w:tc>
          <w:tcPr>
            <w:tcW w:w="3700" w:type="dxa"/>
            <w:vAlign w:val="bottom"/>
            <w:tcBorders>
              <w:left w:val="single" w:sz="8" w:color="auto"/>
              <w:right w:val="single" w:sz="8" w:color="auto"/>
            </w:tcBorders>
          </w:tcPr>
          <w:p>
            <w:pPr>
              <w:spacing w:after="0"/>
              <w:rPr>
                <w:sz w:val="20"/>
                <w:szCs w:val="20"/>
                <w:color w:val="auto"/>
              </w:rPr>
            </w:pPr>
          </w:p>
        </w:tc>
        <w:tc>
          <w:tcPr>
            <w:tcW w:w="73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and stroke.</w:t>
            </w:r>
          </w:p>
        </w:tc>
      </w:tr>
      <w:tr>
        <w:trPr>
          <w:trHeight w:val="561"/>
        </w:trPr>
        <w:tc>
          <w:tcPr>
            <w:tcW w:w="3700" w:type="dxa"/>
            <w:vAlign w:val="bottom"/>
            <w:tcBorders>
              <w:left w:val="single" w:sz="8" w:color="auto"/>
              <w:bottom w:val="single" w:sz="8" w:color="auto"/>
              <w:right w:val="single" w:sz="8" w:color="auto"/>
            </w:tcBorders>
          </w:tcPr>
          <w:p>
            <w:pPr>
              <w:jc w:val="center"/>
              <w:ind w:left="54"/>
              <w:spacing w:after="0"/>
              <w:rPr>
                <w:sz w:val="20"/>
                <w:szCs w:val="20"/>
                <w:color w:val="auto"/>
              </w:rPr>
            </w:pPr>
            <w:r>
              <w:rPr>
                <w:rFonts w:ascii="Arial" w:cs="Arial" w:eastAsia="Arial" w:hAnsi="Arial"/>
                <w:sz w:val="18"/>
                <w:szCs w:val="18"/>
                <w:color w:val="auto"/>
                <w:w w:val="96"/>
              </w:rPr>
              <w:t>Arrhythmia</w:t>
            </w:r>
          </w:p>
        </w:tc>
        <w:tc>
          <w:tcPr>
            <w:tcW w:w="7340" w:type="dxa"/>
            <w:vAlign w:val="bottom"/>
            <w:tcBorders>
              <w:bottom w:val="single" w:sz="8" w:color="auto"/>
              <w:right w:val="single" w:sz="8" w:color="auto"/>
            </w:tcBorders>
          </w:tcPr>
          <w:p>
            <w:pPr>
              <w:spacing w:after="0"/>
              <w:rPr>
                <w:sz w:val="24"/>
                <w:szCs w:val="24"/>
                <w:color w:val="auto"/>
              </w:rPr>
            </w:pPr>
          </w:p>
        </w:tc>
      </w:tr>
      <w:tr>
        <w:trPr>
          <w:trHeight w:val="404"/>
        </w:trPr>
        <w:tc>
          <w:tcPr>
            <w:tcW w:w="3700" w:type="dxa"/>
            <w:vAlign w:val="bottom"/>
            <w:tcBorders>
              <w:left w:val="single" w:sz="8" w:color="auto"/>
              <w:right w:val="single" w:sz="8" w:color="auto"/>
            </w:tcBorders>
          </w:tcPr>
          <w:p>
            <w:pPr>
              <w:spacing w:after="0"/>
              <w:rPr>
                <w:sz w:val="24"/>
                <w:szCs w:val="24"/>
                <w:color w:val="auto"/>
              </w:rPr>
            </w:pPr>
          </w:p>
        </w:tc>
        <w:tc>
          <w:tcPr>
            <w:tcW w:w="73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7"/>
              </w:rPr>
              <w:t>Heart value disease occurs when there is a problem with one or more of the four valves that</w:t>
            </w:r>
          </w:p>
        </w:tc>
      </w:tr>
      <w:tr>
        <w:trPr>
          <w:trHeight w:val="216"/>
        </w:trPr>
        <w:tc>
          <w:tcPr>
            <w:tcW w:w="3700" w:type="dxa"/>
            <w:vAlign w:val="bottom"/>
            <w:tcBorders>
              <w:left w:val="single" w:sz="8" w:color="auto"/>
              <w:right w:val="single" w:sz="8" w:color="auto"/>
            </w:tcBorders>
          </w:tcPr>
          <w:p>
            <w:pPr>
              <w:spacing w:after="0"/>
              <w:rPr>
                <w:sz w:val="18"/>
                <w:szCs w:val="18"/>
                <w:color w:val="auto"/>
              </w:rPr>
            </w:pPr>
          </w:p>
        </w:tc>
        <w:tc>
          <w:tcPr>
            <w:tcW w:w="73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5"/>
              </w:rPr>
              <w:t>normally work in unison to make sure that blood is pumped in the proper direction through the</w:t>
            </w:r>
          </w:p>
        </w:tc>
      </w:tr>
      <w:tr>
        <w:trPr>
          <w:trHeight w:val="230"/>
        </w:trPr>
        <w:tc>
          <w:tcPr>
            <w:tcW w:w="3700" w:type="dxa"/>
            <w:vAlign w:val="bottom"/>
            <w:tcBorders>
              <w:left w:val="single" w:sz="8" w:color="auto"/>
              <w:right w:val="single" w:sz="8" w:color="auto"/>
            </w:tcBorders>
          </w:tcPr>
          <w:p>
            <w:pPr>
              <w:spacing w:after="0"/>
              <w:rPr>
                <w:sz w:val="20"/>
                <w:szCs w:val="20"/>
                <w:color w:val="auto"/>
              </w:rPr>
            </w:pPr>
          </w:p>
        </w:tc>
        <w:tc>
          <w:tcPr>
            <w:tcW w:w="73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four chambers of the heart.</w:t>
            </w:r>
          </w:p>
        </w:tc>
      </w:tr>
      <w:tr>
        <w:trPr>
          <w:trHeight w:val="993"/>
        </w:trPr>
        <w:tc>
          <w:tcPr>
            <w:tcW w:w="3700" w:type="dxa"/>
            <w:vAlign w:val="bottom"/>
            <w:tcBorders>
              <w:left w:val="single" w:sz="8" w:color="auto"/>
              <w:bottom w:val="single" w:sz="8" w:color="auto"/>
              <w:right w:val="single" w:sz="8" w:color="auto"/>
            </w:tcBorders>
          </w:tcPr>
          <w:p>
            <w:pPr>
              <w:jc w:val="center"/>
              <w:ind w:left="74"/>
              <w:spacing w:after="0"/>
              <w:rPr>
                <w:sz w:val="20"/>
                <w:szCs w:val="20"/>
                <w:color w:val="auto"/>
              </w:rPr>
            </w:pPr>
            <w:r>
              <w:rPr>
                <w:rFonts w:ascii="Arial" w:cs="Arial" w:eastAsia="Arial" w:hAnsi="Arial"/>
                <w:sz w:val="18"/>
                <w:szCs w:val="18"/>
                <w:color w:val="auto"/>
                <w:w w:val="88"/>
              </w:rPr>
              <w:t>Heart Valve Disease</w:t>
            </w:r>
          </w:p>
        </w:tc>
        <w:tc>
          <w:tcPr>
            <w:tcW w:w="7340" w:type="dxa"/>
            <w:vAlign w:val="bottom"/>
            <w:tcBorders>
              <w:bottom w:val="single" w:sz="8" w:color="auto"/>
              <w:right w:val="single" w:sz="8" w:color="auto"/>
            </w:tcBorders>
          </w:tcPr>
          <w:p>
            <w:pPr>
              <w:spacing w:after="0"/>
              <w:rPr>
                <w:sz w:val="24"/>
                <w:szCs w:val="24"/>
                <w:color w:val="auto"/>
              </w:rPr>
            </w:pPr>
          </w:p>
        </w:tc>
      </w:tr>
      <w:tr>
        <w:trPr>
          <w:trHeight w:val="404"/>
        </w:trPr>
        <w:tc>
          <w:tcPr>
            <w:tcW w:w="3700" w:type="dxa"/>
            <w:vAlign w:val="bottom"/>
            <w:tcBorders>
              <w:left w:val="single" w:sz="8" w:color="auto"/>
              <w:right w:val="single" w:sz="8" w:color="auto"/>
            </w:tcBorders>
          </w:tcPr>
          <w:p>
            <w:pPr>
              <w:spacing w:after="0"/>
              <w:rPr>
                <w:sz w:val="24"/>
                <w:szCs w:val="24"/>
                <w:color w:val="auto"/>
              </w:rPr>
            </w:pPr>
          </w:p>
        </w:tc>
        <w:tc>
          <w:tcPr>
            <w:tcW w:w="73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0"/>
              </w:rPr>
              <w:t>CAD is among the most common type of heart disease and occurs when plaque grows in the walls</w:t>
            </w:r>
          </w:p>
        </w:tc>
      </w:tr>
      <w:tr>
        <w:trPr>
          <w:trHeight w:val="216"/>
        </w:trPr>
        <w:tc>
          <w:tcPr>
            <w:tcW w:w="3700" w:type="dxa"/>
            <w:vAlign w:val="bottom"/>
            <w:tcBorders>
              <w:left w:val="single" w:sz="8" w:color="auto"/>
              <w:right w:val="single" w:sz="8" w:color="auto"/>
            </w:tcBorders>
          </w:tcPr>
          <w:p>
            <w:pPr>
              <w:spacing w:after="0"/>
              <w:rPr>
                <w:sz w:val="18"/>
                <w:szCs w:val="18"/>
                <w:color w:val="auto"/>
              </w:rPr>
            </w:pPr>
          </w:p>
        </w:tc>
        <w:tc>
          <w:tcPr>
            <w:tcW w:w="73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3"/>
              </w:rPr>
              <w:t>of the coronary arteries, limiting the blood flow to the heart’s muscle. CAD can ultimately lead to</w:t>
            </w:r>
          </w:p>
        </w:tc>
      </w:tr>
      <w:tr>
        <w:trPr>
          <w:trHeight w:val="230"/>
        </w:trPr>
        <w:tc>
          <w:tcPr>
            <w:tcW w:w="3700" w:type="dxa"/>
            <w:vAlign w:val="bottom"/>
            <w:tcBorders>
              <w:left w:val="single" w:sz="8" w:color="auto"/>
              <w:right w:val="single" w:sz="8" w:color="auto"/>
            </w:tcBorders>
          </w:tcPr>
          <w:p>
            <w:pPr>
              <w:spacing w:after="0"/>
              <w:rPr>
                <w:sz w:val="20"/>
                <w:szCs w:val="20"/>
                <w:color w:val="auto"/>
              </w:rPr>
            </w:pPr>
          </w:p>
        </w:tc>
        <w:tc>
          <w:tcPr>
            <w:tcW w:w="73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a heart attack.</w:t>
            </w:r>
          </w:p>
        </w:tc>
      </w:tr>
      <w:tr>
        <w:trPr>
          <w:trHeight w:val="993"/>
        </w:trPr>
        <w:tc>
          <w:tcPr>
            <w:tcW w:w="3700" w:type="dxa"/>
            <w:vAlign w:val="bottom"/>
            <w:tcBorders>
              <w:left w:val="single" w:sz="8" w:color="auto"/>
              <w:bottom w:val="single" w:sz="8" w:color="auto"/>
              <w:right w:val="single" w:sz="8" w:color="auto"/>
            </w:tcBorders>
          </w:tcPr>
          <w:p>
            <w:pPr>
              <w:jc w:val="center"/>
              <w:ind w:left="74"/>
              <w:spacing w:after="0"/>
              <w:rPr>
                <w:sz w:val="20"/>
                <w:szCs w:val="20"/>
                <w:color w:val="auto"/>
              </w:rPr>
            </w:pPr>
            <w:r>
              <w:rPr>
                <w:rFonts w:ascii="Arial" w:cs="Arial" w:eastAsia="Arial" w:hAnsi="Arial"/>
                <w:sz w:val="18"/>
                <w:szCs w:val="18"/>
                <w:color w:val="auto"/>
                <w:w w:val="92"/>
              </w:rPr>
              <w:t>Coronary Artery Disease (CAD)</w:t>
            </w:r>
          </w:p>
        </w:tc>
        <w:tc>
          <w:tcPr>
            <w:tcW w:w="7340" w:type="dxa"/>
            <w:vAlign w:val="bottom"/>
            <w:tcBorders>
              <w:bottom w:val="single" w:sz="8" w:color="auto"/>
              <w:right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-4603115</wp:posOffset>
            </wp:positionV>
            <wp:extent cx="591185" cy="8229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91185" cy="82296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-3420110</wp:posOffset>
            </wp:positionV>
            <wp:extent cx="968375" cy="8229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968375" cy="822960"/>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-2237105</wp:posOffset>
            </wp:positionV>
            <wp:extent cx="788670" cy="8229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88670" cy="822960"/>
                    </a:xfrm>
                    <a:prstGeom prst="rect">
                      <a:avLst/>
                    </a:prstGeom>
                    <a:noFill/>
                  </pic:spPr>
                </pic:pic>
              </a:graphicData>
            </a:graphic>
          </wp:anchor>
        </w:drawing>
        <w:drawing>
          <wp:anchor simplePos="0" relativeHeight="251657728" behindDoc="1" locked="0" layoutInCell="0" allowOverlap="1">
            <wp:simplePos x="0" y="0"/>
            <wp:positionH relativeFrom="column">
              <wp:posOffset>990600</wp:posOffset>
            </wp:positionH>
            <wp:positionV relativeFrom="paragraph">
              <wp:posOffset>-1054100</wp:posOffset>
            </wp:positionV>
            <wp:extent cx="591185" cy="8229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91185" cy="822960"/>
                    </a:xfrm>
                    <a:prstGeom prst="rect">
                      <a:avLst/>
                    </a:prstGeom>
                    <a:noFill/>
                  </pic:spPr>
                </pic:pic>
              </a:graphicData>
            </a:graphic>
          </wp:anchor>
        </w:drawing>
      </w:r>
    </w:p>
    <w:p>
      <w:pPr>
        <w:spacing w:after="0" w:line="182" w:lineRule="exact"/>
        <w:rPr>
          <w:sz w:val="20"/>
          <w:szCs w:val="20"/>
          <w:color w:val="auto"/>
        </w:rPr>
      </w:pPr>
    </w:p>
    <w:p>
      <w:pPr>
        <w:jc w:val="both"/>
        <w:ind w:left="120" w:right="340" w:firstLine="440"/>
        <w:spacing w:after="0" w:line="263" w:lineRule="auto"/>
        <w:rPr>
          <w:sz w:val="20"/>
          <w:szCs w:val="20"/>
          <w:color w:val="auto"/>
        </w:rPr>
      </w:pPr>
      <w:r>
        <w:rPr>
          <w:rFonts w:ascii="Arial" w:cs="Arial" w:eastAsia="Arial" w:hAnsi="Arial"/>
          <w:sz w:val="18"/>
          <w:szCs w:val="18"/>
          <w:color w:val="auto"/>
        </w:rPr>
        <w:t>While there is significant unmet need in the field of heart disease, historically there have been challenges in developing novel therapies for the different forms of heart disease. We are currently focused on HF and arrhythmia, particularly when these diseases can be traced to some underlying genetic defect.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Current Challenges in the Development of Novel Therapies for Heart Disease</w:t>
      </w:r>
    </w:p>
    <w:p>
      <w:pPr>
        <w:spacing w:after="0" w:line="131" w:lineRule="exact"/>
        <w:rPr>
          <w:sz w:val="20"/>
          <w:szCs w:val="20"/>
          <w:color w:val="auto"/>
        </w:rPr>
      </w:pPr>
    </w:p>
    <w:p>
      <w:pPr>
        <w:ind w:left="1080" w:right="20" w:hanging="532"/>
        <w:spacing w:after="0" w:line="266"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b w:val="1"/>
          <w:bCs w:val="1"/>
          <w:i w:val="1"/>
          <w:iCs w:val="1"/>
          <w:color w:val="auto"/>
        </w:rPr>
        <w:t>Most development efforts focus on treating symptoms rather than targeting the underlying causes of diseases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First-line therapies for HF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as generic small molecules, including ACE inhibitors, angiotensin II receptor blockers, beta blockers, aldosterone antagonists, and diuretics, are most commonly used, irrespective of the underlying cause of the HF.</w:t>
      </w:r>
    </w:p>
    <w:p>
      <w:pPr>
        <w:spacing w:after="0" w:line="81" w:lineRule="exact"/>
        <w:rPr>
          <w:rFonts w:ascii="Arial" w:cs="Arial" w:eastAsia="Arial" w:hAnsi="Arial"/>
          <w:sz w:val="18"/>
          <w:szCs w:val="18"/>
          <w:color w:val="auto"/>
        </w:rPr>
      </w:pPr>
    </w:p>
    <w:p>
      <w:pPr>
        <w:ind w:left="1080" w:right="400" w:hanging="532"/>
        <w:spacing w:after="0" w:line="282"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b w:val="1"/>
          <w:bCs w:val="1"/>
          <w:i w:val="1"/>
          <w:iCs w:val="1"/>
          <w:color w:val="auto"/>
        </w:rPr>
        <w:t>Identifying new disease-modifying targets is challenging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is a high reliance on animal models that are not always predictive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human heart disease. There is only a 4% to 7% overall probability of</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40"/>
          </w:cols>
          <w:pgMar w:left="32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successful drug development from Phase 1 through commercialization for heart disease, among the lowest of all therapeutic areas.</w:t>
      </w:r>
    </w:p>
    <w:p>
      <w:pPr>
        <w:spacing w:after="0" w:line="138" w:lineRule="exact"/>
        <w:rPr>
          <w:sz w:val="20"/>
          <w:szCs w:val="20"/>
          <w:color w:val="auto"/>
        </w:rPr>
      </w:pPr>
    </w:p>
    <w:p>
      <w:pPr>
        <w:ind w:left="1080" w:right="60" w:hanging="532"/>
        <w:spacing w:after="0" w:line="256"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Genetic diagnosis and genetic counseling are limited</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Most patients presenting with heart disease do not currently obtain a genetic test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 of their diagnosis. Given there are almost no therapies that are targeted at the underlying genetic cause of the disease, physicians may believe a genetic test will not influence treatment and management decisions. Additionally, even when patients do receive a genetic diagnosis, genetic counseling and family screening are not commonly employed. As a result, family members who may be at risk of disease are not consistently identified early. Additionally, this also limits the availability of patients for clinical trials of genetic medicines in heart disease.</w:t>
      </w:r>
    </w:p>
    <w:p>
      <w:pPr>
        <w:spacing w:after="0" w:line="92" w:lineRule="exact"/>
        <w:rPr>
          <w:rFonts w:ascii="Arial" w:cs="Arial" w:eastAsia="Arial" w:hAnsi="Arial"/>
          <w:sz w:val="18"/>
          <w:szCs w:val="18"/>
          <w:color w:val="auto"/>
        </w:rPr>
      </w:pPr>
    </w:p>
    <w:p>
      <w:pPr>
        <w:ind w:left="1080" w:hanging="532"/>
        <w:spacing w:after="0" w:line="256"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Regenerative therapy science is still in its early stages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Historical attempts at developing cell and gene therapies for heart disease have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been successful. Much effort was devoted to regenerative medicine approaches using autologous (from self) or allogeneic (from donors) cell sources, but after more than 150 clinical studies involving thousands of patients over the last two decades, those efforts have mostly ended in failure. Factors that likely contributed to these failures include (1) an insufficient number of new cells surviving rejection by the immune system, (2) only modest efficacy from the surviving cells, and (3) arrhythmia caused by abnormal electric activity and connections between new cells and the existing cells.</w:t>
      </w:r>
    </w:p>
    <w:p>
      <w:pPr>
        <w:spacing w:after="0" w:line="92" w:lineRule="exact"/>
        <w:rPr>
          <w:rFonts w:ascii="Arial" w:cs="Arial" w:eastAsia="Arial" w:hAnsi="Arial"/>
          <w:sz w:val="18"/>
          <w:szCs w:val="18"/>
          <w:color w:val="auto"/>
        </w:rPr>
      </w:pPr>
    </w:p>
    <w:p>
      <w:pPr>
        <w:ind w:left="1080" w:right="20" w:hanging="532"/>
        <w:spacing w:after="0" w:line="258"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Gene therapy science for the heart is still maturing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have been few attempts at gene therapy for heart disease. Most early gene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therapy efforts used adenoviruses instead of AAV. The most well-known AAV-based effort involved the use of AAV1 to deliver SERCA2a. After promising preclinical and early clinical results, this effort was discontinued following an unsuccessful Phase 2b study. These first-generation gene therapy efforts for the heart did not have the benefit of more recent advances in capsids, promoters, delivery, and manufacturing.</w:t>
      </w:r>
    </w:p>
    <w:p>
      <w:pPr>
        <w:spacing w:after="0" w:line="88" w:lineRule="exact"/>
        <w:rPr>
          <w:rFonts w:ascii="Arial" w:cs="Arial" w:eastAsia="Arial" w:hAnsi="Arial"/>
          <w:sz w:val="18"/>
          <w:szCs w:val="18"/>
          <w:color w:val="auto"/>
        </w:rPr>
      </w:pPr>
    </w:p>
    <w:p>
      <w:pPr>
        <w:ind w:left="1080" w:right="60" w:hanging="532"/>
        <w:spacing w:after="0" w:line="294" w:lineRule="auto"/>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b w:val="1"/>
          <w:bCs w:val="1"/>
          <w:i w:val="1"/>
          <w:iCs w:val="1"/>
          <w:color w:val="auto"/>
        </w:rPr>
        <w:t>Regulatory requirements are stringent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Historically, cardiovascular drug development has involved large clinical studies to demonstrate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survival benefit over and above standard-of-care, and with very low tolerance for safety risks. Endpoints focused on functional improvements, such as change in ejection fraction (EF), have generally not been sufficient for FDA approval. This translates to a need for very large, long, and expensive randomized and placebo-controlled clinical studies. The average size of a clinical study used to support treatment recommendations for HF can involve approximately 2,000 to 8,000 patients. As an example, studies for therapies intended to treat diabetes may require safety trials involving 5,000 to 15,000 patients to rule out cardiovascular risk.</w:t>
      </w:r>
    </w:p>
    <w:p>
      <w:pPr>
        <w:spacing w:after="0" w:line="65" w:lineRule="exact"/>
        <w:rPr>
          <w:rFonts w:ascii="Arial" w:cs="Arial" w:eastAsia="Arial" w:hAnsi="Arial"/>
          <w:sz w:val="16"/>
          <w:szCs w:val="16"/>
          <w:color w:val="auto"/>
        </w:rPr>
      </w:pPr>
    </w:p>
    <w:p>
      <w:pPr>
        <w:ind w:left="1080" w:right="360" w:hanging="532"/>
        <w:spacing w:after="0" w:line="314" w:lineRule="auto"/>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b w:val="1"/>
          <w:bCs w:val="1"/>
          <w:i w:val="1"/>
          <w:iCs w:val="1"/>
          <w:color w:val="auto"/>
        </w:rPr>
        <w:t>Costs of development are high</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part due to the historical need for very large clinical studies, drug development for new therapies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heart disease has been very long and expensive. A recent analysis demonstrated that, on average, biopharmaceutical companies spent $1 billion in clinical development per cardiovascular drug product approval, the highest ratio among all therapeutic areas.</w:t>
      </w:r>
    </w:p>
    <w:p>
      <w:pPr>
        <w:spacing w:after="0" w:line="47" w:lineRule="exact"/>
        <w:rPr>
          <w:rFonts w:ascii="Arial" w:cs="Arial" w:eastAsia="Arial" w:hAnsi="Arial"/>
          <w:sz w:val="16"/>
          <w:szCs w:val="16"/>
          <w:color w:val="auto"/>
        </w:rPr>
      </w:pPr>
    </w:p>
    <w:p>
      <w:pPr>
        <w:ind w:left="1080" w:right="60" w:hanging="532"/>
        <w:spacing w:after="0" w:line="258"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Patient access barriers are challenging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addition to being the leading cause of death, heart disease is one of the largest and most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expensive categories for payers. The United States spends approximately $317 billion per year on heart disease alone, or nearly 17% of all U.S. healthcare spending, representing the most expensive category of chronic diseases to treat. The total direct and indirect costs of HF alone are expected to increase to $70 billion by 2030. As a result, heart disease is an area of focus for cost-containment and price sensitivity for new therapies for both private and public payers.</w:t>
      </w:r>
    </w:p>
    <w:p>
      <w:pPr>
        <w:spacing w:after="0" w:line="18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These factors have contributed to a decline in successful heart disease drug development. Between 2000 and 2009, FDA approvals for new cardiovascular drug products declined by approximately 33% compared with the prior decade. While heart disease is the leading cause of death in the world, fewer resources have been mobilized in support of new therapies for heart disease relative to investment in other therapeutic areas, such as oncology and diseases of the central nervous system.</w:t>
      </w:r>
    </w:p>
    <w:p>
      <w:pPr>
        <w:spacing w:after="0" w:line="18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However, there are recent signs of improvement. There is increasing insight into the genetic causes of heart disease and a greater push for more consistent genetic testing and family counseling supported by (1) updated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clinical practice guidelines such as 2020 American College of Cardiology (ACC) and American Heart Association (AHA) recommendations for patients with hypertrophic cardiomyopathy (HCM), (2) the push by patient advocacy organizations for mandatory screening of young athletes, and (3) increased availability of accessible genetic testing covering more than 150 relevant genes associated with inherited arrhythmia and cardiomyopathy conditions.</w:t>
      </w:r>
    </w:p>
    <w:p>
      <w:pPr>
        <w:spacing w:after="0" w:line="2" w:lineRule="exact"/>
        <w:rPr>
          <w:sz w:val="20"/>
          <w:szCs w:val="20"/>
          <w:color w:val="auto"/>
        </w:rPr>
      </w:pPr>
    </w:p>
    <w:p>
      <w:pPr>
        <w:ind w:left="120" w:right="480"/>
        <w:spacing w:after="0" w:line="260" w:lineRule="auto"/>
        <w:rPr>
          <w:sz w:val="20"/>
          <w:szCs w:val="20"/>
          <w:color w:val="auto"/>
        </w:rPr>
      </w:pPr>
      <w:r>
        <w:rPr>
          <w:rFonts w:ascii="Arial" w:cs="Arial" w:eastAsia="Arial" w:hAnsi="Arial"/>
          <w:sz w:val="18"/>
          <w:szCs w:val="18"/>
          <w:color w:val="auto"/>
        </w:rPr>
        <w:t>There are also a small but growing number of examples of clinical success with precision medicine approaches in cardiology, including in genetic cardiomyopathies.</w:t>
      </w:r>
    </w:p>
    <w:p>
      <w:pPr>
        <w:spacing w:after="0" w:line="185"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We believe with the evolving understanding of heart disease in the scientific community and the general public, there are significant opportunities where we can benefit from and support the evolution towards more precise diagnosis, drug development, and treatment for heart disease, as depicted in the diagram below.</w:t>
      </w:r>
    </w:p>
    <w:p>
      <w:pPr>
        <w:spacing w:after="0" w:line="18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Evolving Landscape of Heart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21342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86045"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Our goal is to become a leading, fully integrated biotechnology company delivering next-generation therapies that address the underlying causes of heart disease identified through our multi-modality product platforms. We are taking advantage of an expanded understanding of heart biology and advances in the science to discover, develop, manufacture and ultimately commercialize a deep and diverse pipeline of novel therapies. The key components of our strategy to achieve these goals are:</w:t>
      </w:r>
    </w:p>
    <w:p>
      <w:pPr>
        <w:spacing w:after="0" w:line="88" w:lineRule="exact"/>
        <w:rPr>
          <w:sz w:val="20"/>
          <w:szCs w:val="20"/>
          <w:color w:val="auto"/>
        </w:rPr>
      </w:pPr>
    </w:p>
    <w:p>
      <w:pPr>
        <w:ind w:left="1080" w:right="80" w:hanging="532"/>
        <w:spacing w:after="0" w:line="274" w:lineRule="auto"/>
        <w:tabs>
          <w:tab w:leader="none" w:pos="1080" w:val="left"/>
        </w:tabs>
        <w:numPr>
          <w:ilvl w:val="0"/>
          <w:numId w:val="84"/>
        </w:numPr>
        <w:rPr>
          <w:rFonts w:ascii="Arial" w:cs="Arial" w:eastAsia="Arial" w:hAnsi="Arial"/>
          <w:sz w:val="17"/>
          <w:szCs w:val="17"/>
          <w:color w:val="auto"/>
        </w:rPr>
      </w:pPr>
      <w:r>
        <w:rPr>
          <w:rFonts w:ascii="Arial" w:cs="Arial" w:eastAsia="Arial" w:hAnsi="Arial"/>
          <w:sz w:val="17"/>
          <w:szCs w:val="17"/>
          <w:b w:val="1"/>
          <w:bCs w:val="1"/>
          <w:i w:val="1"/>
          <w:iCs w:val="1"/>
          <w:color w:val="auto"/>
        </w:rPr>
        <w:t>Focus exclusively on heart disease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Heart disease is still the leading cause of death globally, more than all cancers combined, and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unmet medical need remains high. We see significant opportunity to address this sizable market with our dedicated strategy. The heart is a complex organ to target, in part due to the tightly regulated and coordinated electrophysiological and biomechanical properties that can complicate delivery of effective therapies and necessitates a deep understanding of heart biology. Our laser focus leads to insights that underpin our foundational and differentiated capabilities to address challenges that have historically presented barriers to the successful development of novel therapies for the heart.</w:t>
      </w:r>
    </w:p>
    <w:p>
      <w:pPr>
        <w:spacing w:after="0" w:line="78" w:lineRule="exact"/>
        <w:rPr>
          <w:rFonts w:ascii="Arial" w:cs="Arial" w:eastAsia="Arial" w:hAnsi="Arial"/>
          <w:sz w:val="17"/>
          <w:szCs w:val="17"/>
          <w:color w:val="auto"/>
        </w:rPr>
      </w:pPr>
    </w:p>
    <w:p>
      <w:pPr>
        <w:ind w:left="1080" w:right="40" w:hanging="532"/>
        <w:spacing w:after="0" w:line="303" w:lineRule="auto"/>
        <w:tabs>
          <w:tab w:leader="none" w:pos="1080" w:val="left"/>
        </w:tabs>
        <w:numPr>
          <w:ilvl w:val="0"/>
          <w:numId w:val="84"/>
        </w:numPr>
        <w:rPr>
          <w:rFonts w:ascii="Arial" w:cs="Arial" w:eastAsia="Arial" w:hAnsi="Arial"/>
          <w:sz w:val="16"/>
          <w:szCs w:val="16"/>
          <w:color w:val="auto"/>
        </w:rPr>
      </w:pPr>
      <w:r>
        <w:rPr>
          <w:rFonts w:ascii="Arial" w:cs="Arial" w:eastAsia="Arial" w:hAnsi="Arial"/>
          <w:sz w:val="16"/>
          <w:szCs w:val="16"/>
          <w:b w:val="1"/>
          <w:bCs w:val="1"/>
          <w:i w:val="1"/>
          <w:iCs w:val="1"/>
          <w:color w:val="auto"/>
        </w:rPr>
        <w:t>Develop disease-modifying therapies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are focused on developing disease-modifying and potentially life-saving novel therapies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target the underlying causes of heart disease. We are particularly interested in areas where there is no current standard-of-care or where we believe the nature and the magnitude of the effect of our therapies will be significant relative to existing standards-of-care. For example, we believe our AAV-based gene therapies for genetically defined conditions have the potential to be curative after a single dose.</w:t>
      </w:r>
    </w:p>
    <w:p>
      <w:pPr>
        <w:spacing w:after="0" w:line="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00"/>
          </w:cols>
          <w:pgMar w:left="320" w:top="459" w:right="4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 w:hanging="532"/>
        <w:spacing w:after="0" w:line="293" w:lineRule="auto"/>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b w:val="1"/>
          <w:bCs w:val="1"/>
          <w:i w:val="1"/>
          <w:iCs w:val="1"/>
          <w:color w:val="auto"/>
        </w:rPr>
        <w:t>Discover novel therapies using three product platforms in parallel</w:t>
      </w:r>
      <w:r>
        <w:rPr>
          <w:rFonts w:ascii="Arial" w:cs="Arial" w:eastAsia="Arial" w:hAnsi="Arial"/>
          <w:sz w:val="16"/>
          <w:szCs w:val="16"/>
          <w:color w:val="auto"/>
        </w:rPr>
        <w:t>. To address the wide range of issues in heart diseases, we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advancing science from three distinct product platforms in parallel. Each platform tackles different problems that have historically plagued drug development in the field of cardiology: (i) our Gene Therapy platform to deliver a wide variety of therapeutic payloads more precisely to heart tissue, (ii) our Cellular Regeneration platform to replace heart cells lost to disease, and (iii) our Precision Medicine platform to discover targeted therapies in a modality-agnostic fashion</w:t>
      </w:r>
      <w:r>
        <w:rPr>
          <w:rFonts w:ascii="Arial" w:cs="Arial" w:eastAsia="Arial" w:hAnsi="Arial"/>
          <w:sz w:val="16"/>
          <w:szCs w:val="16"/>
          <w:i w:val="1"/>
          <w:iCs w:val="1"/>
          <w:color w:val="auto"/>
        </w:rPr>
        <w:t>.</w:t>
      </w:r>
      <w:r>
        <w:rPr>
          <w:rFonts w:ascii="Arial" w:cs="Arial" w:eastAsia="Arial" w:hAnsi="Arial"/>
          <w:sz w:val="16"/>
          <w:szCs w:val="16"/>
          <w:color w:val="auto"/>
        </w:rPr>
        <w:t xml:space="preserve"> These platforms represent distinct but interrelated product engines that we believe will enable a robust pipeline of promising product candidates while also mitigating overall scientific risk.</w:t>
      </w:r>
    </w:p>
    <w:p>
      <w:pPr>
        <w:spacing w:after="0" w:line="65" w:lineRule="exact"/>
        <w:rPr>
          <w:rFonts w:ascii="Arial" w:cs="Arial" w:eastAsia="Arial" w:hAnsi="Arial"/>
          <w:sz w:val="16"/>
          <w:szCs w:val="16"/>
          <w:color w:val="auto"/>
        </w:rPr>
      </w:pPr>
    </w:p>
    <w:p>
      <w:pPr>
        <w:ind w:left="1080" w:hanging="532"/>
        <w:spacing w:after="0" w:line="298" w:lineRule="auto"/>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b w:val="1"/>
          <w:bCs w:val="1"/>
          <w:i w:val="1"/>
          <w:iCs w:val="1"/>
          <w:color w:val="auto"/>
        </w:rPr>
        <w:t>Target defined sub-populations of patients most likely to respond to our therapies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seek to focus on patient populations where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genetic cause of the disease is well-established, including genetic cardiomyopathies and other monogenic disorders. We also seek to use different strategies to sub-segment larger HF populations, such as HFrEF and HFpEF, through the use of genetics or biomarkers to improve selection of patients with attributes that are more suited to the specific mechanism of action. We believe this strategy can accelerate clinical development, reduce overall development costs, and improve the probability of clinical and regulatory success.</w:t>
      </w:r>
    </w:p>
    <w:p>
      <w:pPr>
        <w:spacing w:after="0" w:line="59" w:lineRule="exact"/>
        <w:rPr>
          <w:rFonts w:ascii="Arial" w:cs="Arial" w:eastAsia="Arial" w:hAnsi="Arial"/>
          <w:sz w:val="16"/>
          <w:szCs w:val="16"/>
          <w:color w:val="auto"/>
        </w:rPr>
      </w:pPr>
    </w:p>
    <w:p>
      <w:pPr>
        <w:ind w:left="1080" w:hanging="532"/>
        <w:spacing w:after="0" w:line="271" w:lineRule="auto"/>
        <w:tabs>
          <w:tab w:leader="none" w:pos="1080" w:val="left"/>
        </w:tabs>
        <w:numPr>
          <w:ilvl w:val="0"/>
          <w:numId w:val="85"/>
        </w:numPr>
        <w:rPr>
          <w:rFonts w:ascii="Arial" w:cs="Arial" w:eastAsia="Arial" w:hAnsi="Arial"/>
          <w:sz w:val="17"/>
          <w:szCs w:val="17"/>
          <w:color w:val="auto"/>
        </w:rPr>
      </w:pPr>
      <w:r>
        <w:rPr>
          <w:rFonts w:ascii="Arial" w:cs="Arial" w:eastAsia="Arial" w:hAnsi="Arial"/>
          <w:sz w:val="17"/>
          <w:szCs w:val="17"/>
          <w:b w:val="1"/>
          <w:bCs w:val="1"/>
          <w:i w:val="1"/>
          <w:iCs w:val="1"/>
          <w:color w:val="auto"/>
        </w:rPr>
        <w:t>Advance a deep and diverse pipeline of therapies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aim to advance potential product candidates from all three product platforms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concurrently, and the current pipeline already has at least one program from each product platform. The diversity of our programs illustrates the ambition of our vision and the versatility and depth of our scientific approaches. For example, from our Gene Therapy platform we are advancing AAV-based therapies for rare, genetic forms of heart disease including (i) TN-201, our MYBPC3 product candidate for gHCM, (ii) our PKP2 product candidate for gARVC and (iii) our DWORF product candidate for DCM and HFrEF; from our Cellular Regeneration platform, we are advancing the Reprogramming approach to creating new CMs to replace cells lost in patients with HF due to prior MI; and from our Precision Medicine platform, we are advancing TYA-11631, an HDAC6i small molecule intended to address HFpEF and gDCM. We are also working on several other undisclosed programs, particularly from our Gene Therapy and Precision Medicine platforms, that we believe will add to our future pipeline opportunities.</w:t>
      </w:r>
    </w:p>
    <w:p>
      <w:pPr>
        <w:spacing w:after="0" w:line="79" w:lineRule="exact"/>
        <w:rPr>
          <w:rFonts w:ascii="Arial" w:cs="Arial" w:eastAsia="Arial" w:hAnsi="Arial"/>
          <w:sz w:val="17"/>
          <w:szCs w:val="17"/>
          <w:color w:val="auto"/>
        </w:rPr>
      </w:pPr>
    </w:p>
    <w:p>
      <w:pPr>
        <w:ind w:left="1080" w:right="380" w:hanging="532"/>
        <w:spacing w:after="0" w:line="293" w:lineRule="auto"/>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b w:val="1"/>
          <w:bCs w:val="1"/>
          <w:i w:val="1"/>
          <w:iCs w:val="1"/>
          <w:color w:val="auto"/>
        </w:rPr>
        <w:t>Internalize and integrate core capabilities to support our innovation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five core capabilities that we believe will enable us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rapidly discover, develop, and deliver heart therapies. These capabilities include: (i) Disease Models, (ii) Capsid Engineering,</w:t>
      </w:r>
    </w:p>
    <w:p>
      <w:pPr>
        <w:spacing w:after="0" w:line="1" w:lineRule="exact"/>
        <w:rPr>
          <w:rFonts w:ascii="Arial" w:cs="Arial" w:eastAsia="Arial" w:hAnsi="Arial"/>
          <w:sz w:val="16"/>
          <w:szCs w:val="16"/>
          <w:color w:val="auto"/>
        </w:rPr>
      </w:pPr>
    </w:p>
    <w:p>
      <w:pPr>
        <w:ind w:left="1080" w:right="60"/>
        <w:spacing w:after="0" w:line="253" w:lineRule="auto"/>
        <w:rPr>
          <w:rFonts w:ascii="Arial" w:cs="Arial" w:eastAsia="Arial" w:hAnsi="Arial"/>
          <w:sz w:val="16"/>
          <w:szCs w:val="16"/>
          <w:color w:val="auto"/>
        </w:rPr>
      </w:pPr>
      <w:r>
        <w:rPr>
          <w:rFonts w:ascii="Arial" w:cs="Arial" w:eastAsia="Arial" w:hAnsi="Arial"/>
          <w:sz w:val="18"/>
          <w:szCs w:val="18"/>
          <w:color w:val="auto"/>
        </w:rPr>
        <w:t>(iii) Promoter and Regulatory Elements, (iv) Drug Delivery and (v) Manufacturing. We believe the integration of our know-how and innovations in these areas will allow us to generate scientific insights more rapidly and improve the probability of technical and regulatory success of our product candidates. The internalization of these capabilities also reduces our reliance on third parties—be it academic labs, CROs, or CDMOs—providing us better control of our timelines and costs.</w:t>
      </w:r>
    </w:p>
    <w:p>
      <w:pPr>
        <w:spacing w:after="0" w:line="98" w:lineRule="exact"/>
        <w:rPr>
          <w:rFonts w:ascii="Arial" w:cs="Arial" w:eastAsia="Arial" w:hAnsi="Arial"/>
          <w:sz w:val="16"/>
          <w:szCs w:val="16"/>
          <w:color w:val="auto"/>
        </w:rPr>
      </w:pPr>
    </w:p>
    <w:p>
      <w:pPr>
        <w:ind w:left="1080" w:right="80" w:hanging="532"/>
        <w:spacing w:after="0" w:line="296" w:lineRule="auto"/>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Become a fully integrated biopharmaceutical company with commercial capabilities. </w:t>
      </w:r>
      <w:r>
        <w:rPr>
          <w:rFonts w:ascii="Arial" w:cs="Arial" w:eastAsia="Arial" w:hAnsi="Arial"/>
          <w:sz w:val="16"/>
          <w:szCs w:val="16"/>
          <w:color w:val="auto"/>
        </w:rPr>
        <w:t>We aim to discover, develop, manufacture,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eventually commercialize therapies. We believe this strategy can make us a partner of choice for academics and larger companies alike who wish to access deep expertise in next generation therapies for heart disease. We also strategically evaluate collaborations and partnerships with biopharmaceutical companies that may have more robust and complimentary capabilities and resources to accelerate the development and maximize the availability and potential of our product candidates, particularly for more prevalent indications.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Product Platforms</w:t>
      </w:r>
    </w:p>
    <w:p>
      <w:pPr>
        <w:spacing w:after="0" w:line="12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To unlock the full potential of novel therapies across many forms of heart disease, we are advancing science from three product platforms in parallel. Each platform is intended to address different problems that have historically plagued drug development in the field of cardiology: (i) our Gene Therapy platform to deliver a wide variety of therapeutic payloads more precisely to heart tissue, (ii) our Cellular Regeneration platform to replace heart cells lost to disease, and (iii) our Precision Medicine platform to discover targeted therapies in a modality-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agnostic fashion</w:t>
      </w:r>
      <w:r>
        <w:rPr>
          <w:rFonts w:ascii="Arial" w:cs="Arial" w:eastAsia="Arial" w:hAnsi="Arial"/>
          <w:sz w:val="18"/>
          <w:szCs w:val="18"/>
          <w:i w:val="1"/>
          <w:iCs w:val="1"/>
          <w:color w:val="auto"/>
        </w:rPr>
        <w:t>.</w:t>
      </w:r>
      <w:r>
        <w:rPr>
          <w:rFonts w:ascii="Arial" w:cs="Arial" w:eastAsia="Arial" w:hAnsi="Arial"/>
          <w:sz w:val="18"/>
          <w:szCs w:val="18"/>
          <w:color w:val="auto"/>
        </w:rPr>
        <w:t xml:space="preserve"> We are advancing programs from these distinct but interrelated product platforms that combine different science, capabilities, and intellectual property. We believe these three product platforms together yield better insights into disease processes, create more opportunities for successful drug development, mitigate scientific risk, and differentiate our efforts relative to competitors.</w:t>
      </w:r>
    </w:p>
    <w:p>
      <w:pPr>
        <w:spacing w:after="0" w:line="28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Our Product Platforms Powering Multi-Modality Drug Discovery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171450</wp:posOffset>
            </wp:positionV>
            <wp:extent cx="5083175" cy="26149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083175" cy="261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Gene Therapy Platform</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Gene therapy focuses on repairing or replacing defective or mutated genes to produce a therapeutic effect or treat a disease. AAV is a non-enveloped virus that already exists in some humans and does not cause disease. In gene therapy, the viral DNA within an AAV is replaced with new DNA to become a precisely coded vector to deliver the engineered therapeutic to specific tissues or organs within the body.</w:t>
      </w:r>
    </w:p>
    <w:p>
      <w:pPr>
        <w:spacing w:after="0" w:line="165"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AAV vectors are the subject of significant research and development as they can be leveraged as a gene delivery vehicle for a wide range of therapeutic payloads to a wide variety of human cells. AAV-mediated gene therapy has been shown to be highly effective in targeting multiple organs, including the eye, the liver and the central nervous system. These viruses have been used to dose more than 3,300 patients in approximately 150 clinical studies around the world, and there are now several therapies that use such viruses that have been approved by the FDA and other regulatory agencies.</w:t>
      </w:r>
    </w:p>
    <w:p>
      <w:pPr>
        <w:spacing w:after="0" w:line="15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Recent third-party clinical studies have demonstrated that AAV serotype 9 (AAV9) can effectively transduce the hearts of infants and adults. This supports the results of several published non-clinical studies using AAV9 in murine and NHP models. Overall, most data suggest that AAV9 may be the best of the known existing parental vectors for the purpose of cardiac gene therapy where the target cells are CMs (one of the most abundant cell types in the heart responsible for contraction).</w:t>
      </w:r>
    </w:p>
    <w:p>
      <w:pPr>
        <w:spacing w:after="0" w:line="18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However, AAV9 has limitations. AAV9 has a well-established ability to also transduce the liver and the central nervous system, in addition to the heart, which can create safety considerations. Also, some individuals have neutralizing antibodies to AAV9, making them ineligible for AAV9-based treatments.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80"/>
          </w:cols>
          <w:pgMar w:left="320" w:top="459" w:right="49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560" w:firstLine="440"/>
        <w:spacing w:after="0" w:line="263" w:lineRule="auto"/>
        <w:rPr>
          <w:sz w:val="20"/>
          <w:szCs w:val="20"/>
          <w:color w:val="auto"/>
        </w:rPr>
      </w:pPr>
      <w:r>
        <w:rPr>
          <w:rFonts w:ascii="Arial" w:cs="Arial" w:eastAsia="Arial" w:hAnsi="Arial"/>
          <w:sz w:val="18"/>
          <w:szCs w:val="18"/>
          <w:color w:val="auto"/>
        </w:rPr>
        <w:t>Cardiac-specific promoters like cardiac troponin T (cTnT) can help limit the expression of AAV-delivered genes to CMs, but do not enable targeted gene expression in other heart cells (e.g. CFs). Additionally, the level of gene expression from these promoters may not be sufficient for therapeutic effect for some targets.</w:t>
      </w:r>
    </w:p>
    <w:p>
      <w:pPr>
        <w:spacing w:after="0" w:line="184"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Therefore, there is significant room for improvement, and we aim to improve gene therapy for the heart in ways that expand its utility. We believe our five core internal capabilities will allow us to identify, engineer, validate, deliver and manufacture novel AAV vectors to optimize the delivery and expression of therapies more selectively to cells of interest in the heart. With our capsid engineering capabilities, we have designed and screened more than one billion AAV variants to find novel capsids with higher tropism and transduction efficiency for different types of heart cells, lower transduction efficiency for the liver and other tissues, and lower susceptibility to neutralizing antibodies. We have discovered promoters and regulatory elements that enable more precise gene expression in specific heart cells. We are developing new catheters and are exploring different ROAs to more precisely deliver vectors to heart tissue. And we have established know-how to enable more optimal manufacturing, including of novel AAV capsids.</w:t>
      </w:r>
    </w:p>
    <w:p>
      <w:pPr>
        <w:spacing w:after="0" w:line="166" w:lineRule="exact"/>
        <w:rPr>
          <w:sz w:val="20"/>
          <w:szCs w:val="20"/>
          <w:color w:val="auto"/>
        </w:rPr>
      </w:pPr>
    </w:p>
    <w:p>
      <w:pPr>
        <w:jc w:val="both"/>
        <w:ind w:left="120" w:right="400" w:firstLine="440"/>
        <w:spacing w:after="0" w:line="263" w:lineRule="auto"/>
        <w:rPr>
          <w:sz w:val="20"/>
          <w:szCs w:val="20"/>
          <w:color w:val="auto"/>
        </w:rPr>
      </w:pPr>
      <w:r>
        <w:rPr>
          <w:rFonts w:ascii="Arial" w:cs="Arial" w:eastAsia="Arial" w:hAnsi="Arial"/>
          <w:sz w:val="18"/>
          <w:szCs w:val="18"/>
          <w:color w:val="auto"/>
        </w:rPr>
        <w:t>These capabilities open the opportunity to deliver novel gene therapies to patients with heart disease and to position us to become a leader in cardiac gene therapy. We are leveraging these capabilities to develop gene therapies for rare, genetic forms of heart disease, as well as to enable the transition to more prevalent forms as well.</w:t>
      </w:r>
    </w:p>
    <w:p>
      <w:pPr>
        <w:spacing w:after="0" w:line="184"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 xml:space="preserve">The product candidates arising from our Gene Therapy platform are intended to overcome the shortcomings of traditional pharmacological or surgical interventions that are not able to address the underlying genetic factors contributing to heart disease. Our initial area of focus is on the delivery of a healthy copy of genes that are known to be mutated in genetic cardiomyopathies; for example, our most advanced product candidate from our Gene Therapy platform involves delivering a healthy copy of the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to address the leading cause of gHCM. This “lock and key” gene therapy program was selected following a screen of hundreds of potential targets. We believe our MYBPC3 program is able to benefit from a variety of factors, including high disease severity and large unmet need; relatively high prevalence; emerging science supporting haploinsufficiency as the disease driver; representative disease models; and illustrative proof-of-concept evidence for gene therapy from academic labs.</w:t>
      </w:r>
    </w:p>
    <w:p>
      <w:pPr>
        <w:spacing w:after="0" w:line="166"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We believe the versatility of our Gene Therapy platform and related differentiated capabilities enables us to rapidly expand our portfolio of therapies beyond the initial focus. For example, our PKP2 program is another example of a “lock and key” approach to addressing the leading cause of gARVC. Our DWORF program is based on the idea of delivering the recently discovered DWORF protein targeting a well-known SERCA2a pathway that has been shown to exert a therapeutic effect in a range of disease models. We continue to explore other genetic cardiomyopathies that can potentially be addressed by our Gene Therapy platform.</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Cellular Regeneration Platform</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Scientists have long known that the human heart is not able to regenerate itself, unlike many other organs in the body. Acute MI—more commonly referred to as a heart attack—can kill as many as 25% of CMs from the LV, or approximately one billion cells. The heart has no natural way to replace cells that are lost slowly with age or suddenly due to disease. One reason that HF is so prevalent and the leading cause of death in the world is due to the lack of regenerative potential of the heart. Acute MI is associated with a 30% mortality rate; about 50% of the deaths occur prior to arrival at the hospital. An additional 5% to 10% of survivors die within the first year after their MI. Approximately half of all patients with an MI are rehospitalized within one year of their first MI. Finding ways to replace lost heart cells is one of the “holy grails” of regenerative medicine.</w:t>
      </w:r>
    </w:p>
    <w:p>
      <w:pPr>
        <w:spacing w:after="0" w:line="178"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There are two abundant cell types in the heart: CMs, which are the cells that are responsible for contraction during each heartbeat, and CFs, that produce and secrete growth factors, cytokines and other signaling molecules contributing to structural, biochemical, mechanical and electrical properties of the myocardium. While CFs are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able to divide and proliferate, CMs are post-mitotic, meaning they are incapable of regenerating. CMs that are lost due to aging or disease are replaced by fibrotic scar tissue that is permanent and irreparable with currently approved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134620</wp:posOffset>
            </wp:positionV>
            <wp:extent cx="1508760" cy="19545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508760"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 xml:space="preserve">The field of cardiac regeneration has historically been dominated by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cell therapy approaches using autologous (from self) or allogeneic (from donors) cell sources to replace lost CMs. However, there have been no successful therapies after scores of clinical studies involving thousands of patients. Any modest efficacy seen in clinical studies are now often attributed to indirect paracrine effects rather than true cardiac regeneration. Some have tried to induce regeneration by infusion or injecting cells generated from hiPSC-CMs or human embryonic stem cells (hESCs), but that has been fraught with many challenges, as these cells have an embryonic phenotype and generate arrhythmias once injected into the heart; recipients need to be immunosuppressed to avoid rejection; and integration into the electric and mechanical connections of the heart is still imperfect.</w:t>
      </w:r>
    </w:p>
    <w:p>
      <w:pPr>
        <w:spacing w:after="0" w:line="16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 xml:space="preserve">We are advancing a cardiac regeneration approach based on research conducted by our founders at Gladstone Institutes and UTSW, who pioneered the idea of restoring heart function after a heart attack by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regeneration of lost CMs. Our approach is intended to achieve this by using viral vectors to deliver a proprietary combination of three genes that when delivered together in a single AAV can permanently convert—or “reprogram”—a patient’s own resident CFs into new CMs.</w:t>
      </w:r>
    </w:p>
    <w:p>
      <w:pPr>
        <w:spacing w:after="0" w:line="187" w:lineRule="exact"/>
        <w:rPr>
          <w:sz w:val="20"/>
          <w:szCs w:val="20"/>
          <w:color w:val="auto"/>
        </w:rPr>
      </w:pPr>
    </w:p>
    <w:p>
      <w:pPr>
        <w:ind w:left="120" w:right="160" w:firstLine="440"/>
        <w:spacing w:after="0" w:line="254" w:lineRule="auto"/>
        <w:rPr>
          <w:sz w:val="20"/>
          <w:szCs w:val="20"/>
          <w:color w:val="auto"/>
        </w:rPr>
      </w:pPr>
      <w:r>
        <w:rPr>
          <w:rFonts w:ascii="Arial" w:cs="Arial" w:eastAsia="Arial" w:hAnsi="Arial"/>
          <w:sz w:val="18"/>
          <w:szCs w:val="18"/>
          <w:color w:val="auto"/>
        </w:rPr>
        <w:t xml:space="preserve">This approach was inspired by the Nobel-prize winning discoveries of Shinya Yamanaka who first discovered that human cells can be “reprogrammed” with certain specific factors—which became known as the “Yamanaka factors”—to become induced pluripotent stem cells (iPSCs), and that these newly formed iPSCs were in turn capable of differentiating to become any other human cell type in the body, including heart cells. Our founders and other academic labs built on this idea and demonstrated that it is possible to directly convert CFs to CMs without first going through the iPSC stage. Dr. Srivastava, one of our co-founders and a member of our board of directors, was the first to demonstrate proof of concept of this “direct reprogramming” approach for cardiac regeneration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in a mouse model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with human cells. Several independent academic labs around the world have subsequently replicated the results with direct reprogramming for cardiac regeneration using the same factors as well as new combinations.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20"/>
          </w:cols>
          <w:pgMar w:left="32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figure below helps illustrate the idea of direct reprogramming of CFs to CMs using the Waddington model for cellular differentiation: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168910</wp:posOffset>
            </wp:positionV>
            <wp:extent cx="5092065" cy="24771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092065" cy="247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There have been several historical challenges for the field of direct reprogramming for cardiac regeneration to turn this promising scientific discovery into potentially viable therapies. Most academic efforts required anywhere from three to five factors to achieve the conversion of human CFs to CMs, and the overall conversion rate was relatively low. Some of these efforts used a combination of retroviruses and small molecules to achieve this conversion, which is not clinically applicable. The published proof-of-concept work has been demonstrated in murine models of acute MI (i.e. immediately at the time of onset of heart attack), but not in models of HF following MI (i.e. following some period of time sometime after the heart attack has already happened) which more accurately simulates the situation that would be adopted in the clinical setting.</w:t>
      </w:r>
    </w:p>
    <w:p>
      <w:pPr>
        <w:spacing w:after="0" w:line="178"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 xml:space="preserve">We believe we are the first to potentially overcome these challenges. We have discovered a proprietary combination of three genes that can be co-packaged and co-expressed from a single proprietary AAV vector engineered for higher transduction of CFs when compared to existing parental capsids. We have demonstrated higher transdifferentiation rates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using human CFs that are higher than rates reported in published studies using combinations of other factors intended to drive reprogramming. We have demonstrated robust and durable proof-of-concept of this approach in multiple rodent models of acute MI and HF post-MI. Most importantly, based on publicly available information to date, we believe our results in a pig model of HF due to prior MI represent the first-ever successful demonstration of the potential therapeutic benefit of this approach in a human-sized heart.</w:t>
      </w:r>
    </w:p>
    <w:p>
      <w:pPr>
        <w:spacing w:after="0" w:line="164"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 xml:space="preserve">We believe our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approach to cardiac regeneration may have several advantages over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cell therapies. Because the newly formed CMs are generated from the patients’ own cells, they are not rejected by the body and no immunosuppression is needed. And since these newly formed CMs are generated from within the patient’s heart tissue, it may be easier for them to electrically and mechanically connect with surrounding cells as they mature and to contribute to healthy heart function with lower risk for arrhythmias. In addition, it is easier to manufacture and to deliver AAV-based therapies and to offer them at commercially viable prices compared to cell-based therapies.</w:t>
      </w:r>
    </w:p>
    <w:p>
      <w:pPr>
        <w:spacing w:after="0" w:line="17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initial focus of our Cellular Regeneration platform is on the development of disease-modifying treatments for HF due to prior MI. We believe the versatility of this product platform and related differentiated capabilities position us to expand our portfolio of therapies rapidly and pursue other indications involving loss of CMs</w:t>
      </w:r>
      <w:r>
        <w:rPr>
          <w:rFonts w:ascii="Arial" w:cs="Arial" w:eastAsia="Arial" w:hAnsi="Arial"/>
          <w:sz w:val="18"/>
          <w:szCs w:val="18"/>
          <w:i w:val="1"/>
          <w:iCs w:val="1"/>
          <w:color w:val="auto"/>
        </w:rPr>
        <w:t>.</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080"/>
          </w:cols>
          <w:pgMar w:left="320" w:top="459" w:right="49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Precision Medicine Platform</w:t>
      </w:r>
    </w:p>
    <w:p>
      <w:pPr>
        <w:spacing w:after="0" w:line="117" w:lineRule="exact"/>
        <w:rPr>
          <w:sz w:val="20"/>
          <w:szCs w:val="20"/>
          <w:color w:val="auto"/>
        </w:rPr>
      </w:pPr>
    </w:p>
    <w:p>
      <w:pPr>
        <w:jc w:val="both"/>
        <w:ind w:left="120" w:right="120" w:firstLine="440"/>
        <w:spacing w:after="0" w:line="301" w:lineRule="auto"/>
        <w:rPr>
          <w:sz w:val="20"/>
          <w:szCs w:val="20"/>
          <w:color w:val="auto"/>
        </w:rPr>
      </w:pPr>
      <w:r>
        <w:rPr>
          <w:rFonts w:ascii="Arial" w:cs="Arial" w:eastAsia="Arial" w:hAnsi="Arial"/>
          <w:sz w:val="16"/>
          <w:szCs w:val="16"/>
          <w:color w:val="auto"/>
        </w:rPr>
        <w:t>The idea of “precision medicine” has been around for a number of years, with the core concept of delivering the right therapy to the right patient at the right time. Recently, the idea of precision medicine has gained traction in oncology, in particular, with the benefit of a better understanding of the genetics of different tumor types, and a growing ability to match therapies to specific mutations (e.g. Genentech’s Herceptin therapy for HER2+ breast cancer). We aim to bring this concept of precision medicine to the discovery and development of targeted therapies for heart disease.</w:t>
      </w:r>
    </w:p>
    <w:p>
      <w:pPr>
        <w:spacing w:after="0" w:line="15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There is an increasing understanding of the genetic basis for many cardiomyopathies, including DCM, HCM, restrictive cardiomyopathy (RCM) and arrhythmogenic cardiomyopathy (ACM). DCM provides an interesting case study. Mutations in more than 50 genes have been identified for gDCM, with more than 50% of patients presenting with multiple mutations. These mutations affect different parts of the cellular apparatus of patients’ CMs, including the sarcomere, nucleus, ion channels, and cellular membranes. Yet mutations in proteins with diverse biology present as a common disease phenotype, suggesting common nodes of disease yet to be discovered. Despite this heterogeneity of genetic background and underlying pathophysiology, the therapies used for these patients are the same as therapies used for patients with other forms of HF. We envision a future in which therapies are more specific to the underlying cause of disease and are used to treat patients who have been categorized based on their underlying genetic mutations.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figure below helps illustrate our vision for “precision medicine” research and development for heart disease through the lens of gDCM: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176530</wp:posOffset>
            </wp:positionV>
            <wp:extent cx="5194935" cy="21602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94935"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 xml:space="preserve">It is also necessary to have the appropriate disease models to discover new targets and to test new therapies. Unfortunately, there is still a lack of representative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of the greater than 50 genes known to cause gDCM when mutated, less than ten have relevant murine models to support drug discovery. The situation is even worse for others forms of genetic cardiomyopathy. We are committed to finding new ways to model genetic cardiomyopathies, including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but also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models.</w:t>
      </w:r>
    </w:p>
    <w:p>
      <w:pPr>
        <w:spacing w:after="0" w:line="18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There is a growing body of academic literature supporting the use of hiPSC-CMs to model human heart disease and the potential cardiotoxicity of therapeutics during drug discovery. This can be helpful where animal models for specific forms of heart disease either do not yet exist or are not yet sufficiently representative of human disease. There are also a growing number of biopharmaceutical companies that are using iPSCs for phenotypic screening and drug discovery. We are advancing a novel approach of using proprietary hiPSC-CMs disease models for target identification and drug discovery specifically for heart disease.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9" w:right="4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figure below illustrates how we have internalized and integrated six key aspects necessary to advance the discovery of precision medicine therapeutics using hiPSC-CMs: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134620</wp:posOffset>
            </wp:positionV>
            <wp:extent cx="5092065" cy="23660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092065"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 xml:space="preserve">We have demonstrated proof of concept of this approach using an hiPSC-CM disease model representing a specific gDCM mutation plus machine learning algorithms to measure variations in appearance of these cells when screened with a library of several thousand small molecule compounds. We identified several biologically relevant hits and validated HDAC6 as a specific target of interest. We have since turned our findings into a product candidate in our HDAC6i program with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activity and tolerability demonstrated in multiple heart disease models of HFpEF and gDCM.</w:t>
      </w:r>
    </w:p>
    <w:p>
      <w:pPr>
        <w:spacing w:after="0" w:line="15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We are currently conducting target identification screens for both gene therapy and small molecules targets in multiple iPSC-CM disease models of gDCM. We are also expanding our efforts to different genetic backgrounds including the leading genetic causes of cardiomyopathy. We believe the versatility of our Precision Medicine platform and related capabilities enables us to rapidly expand our portfolio of product candidates beyond HDAC6i.</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Approach and Capabilities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utilize five core internal capabilities to support our three product platforms. Our key capabilities include the creation and development of</w:t>
      </w:r>
    </w:p>
    <w:p>
      <w:pPr>
        <w:spacing w:after="0" w:line="35" w:lineRule="exact"/>
        <w:rPr>
          <w:sz w:val="20"/>
          <w:szCs w:val="20"/>
          <w:color w:val="auto"/>
        </w:rPr>
      </w:pPr>
    </w:p>
    <w:p>
      <w:pPr>
        <w:ind w:left="120" w:right="280" w:hanging="4"/>
        <w:spacing w:after="0" w:line="253" w:lineRule="auto"/>
        <w:tabs>
          <w:tab w:leader="none" w:pos="375" w:val="left"/>
        </w:tabs>
        <w:numPr>
          <w:ilvl w:val="0"/>
          <w:numId w:val="86"/>
        </w:numPr>
        <w:rPr>
          <w:rFonts w:ascii="Arial" w:cs="Arial" w:eastAsia="Arial" w:hAnsi="Arial"/>
          <w:sz w:val="18"/>
          <w:szCs w:val="18"/>
          <w:color w:val="auto"/>
        </w:rPr>
      </w:pPr>
      <w:r>
        <w:rPr>
          <w:rFonts w:ascii="Arial" w:cs="Arial" w:eastAsia="Arial" w:hAnsi="Arial"/>
          <w:sz w:val="18"/>
          <w:szCs w:val="18"/>
          <w:color w:val="auto"/>
        </w:rPr>
        <w:t>disease models to more accurately simulate human heart disease phenotypes, (2) proprietary heart-tropic AAV capsids designed to enable precise tissue targeting and increase safety, (3) proprietary promoters and regulatory elements to control gene expression, (4) fit-for-purpose drug delivery methods for more optimal uptake and distribution of our product candidates and (5) scalable AAV manufacturing to better control quality, costs, timelines and supply.</w:t>
      </w:r>
    </w:p>
    <w:p>
      <w:pPr>
        <w:spacing w:after="0" w:line="193"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believe integration of these in-house capabilities provides us with several advantages and differentiates our efforts relative to other drug discovery companies, especially for gene therapy drug development. Through the combination of these capabilities, we are developing product candidates that can address the complicated characteristics of heart disease. For example, we believe with our capabilities in capsids and promoter design and delivery, we can overcome the limitations faced by prior cardiac gene therapy approaches by enabling more precise delivery and more robust gene expression and lowering the risk of off-target effects. We also believe that these approaches can overcome the historical challenges of drug development for heart disease, by enabling delivery of a wide range of therapeutic approaches to specific cells in the heart.</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00"/>
          </w:cols>
          <w:pgMar w:left="320" w:top="459" w:right="4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By having our capabilities in-house, we believe we are able to achieve deeper insight, shorten product development cycles, and improve the probability of technical and regulatory success for our product candidates compared to what can be achieved with a more outsourced approach. This further allows us to rapidly build a diverse pipeline of product candidates. Ultimately, we believe our differentiated capabilities can support development of product candidates that, if approved, could address the high unmet need of patients with cardiac diseases and could be delivered at a lower cost of goods than what is possible today.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 Disease Models</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 xml:space="preserve">We have internalized the ability to create and integrate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within our research organization, which allows us to simulate human heart disease phenotypes. We believe our success will be supported by the know-how we are developing and the proprietary integration of these disease models across our programs.</w:t>
      </w:r>
    </w:p>
    <w:p>
      <w:pPr>
        <w:spacing w:after="0" w:line="89" w:lineRule="exact"/>
        <w:rPr>
          <w:sz w:val="20"/>
          <w:szCs w:val="20"/>
          <w:color w:val="auto"/>
        </w:rPr>
      </w:pPr>
    </w:p>
    <w:p>
      <w:pPr>
        <w:ind w:left="1080" w:right="100" w:hanging="532"/>
        <w:spacing w:after="0" w:line="273" w:lineRule="auto"/>
        <w:tabs>
          <w:tab w:leader="none" w:pos="1080" w:val="left"/>
        </w:tabs>
        <w:numPr>
          <w:ilvl w:val="0"/>
          <w:numId w:val="87"/>
        </w:numPr>
        <w:rPr>
          <w:rFonts w:ascii="Arial" w:cs="Arial" w:eastAsia="Arial" w:hAnsi="Arial"/>
          <w:sz w:val="17"/>
          <w:szCs w:val="17"/>
          <w:color w:val="auto"/>
        </w:rPr>
      </w:pPr>
      <w:r>
        <w:rPr>
          <w:rFonts w:ascii="Arial" w:cs="Arial" w:eastAsia="Arial" w:hAnsi="Arial"/>
          <w:sz w:val="17"/>
          <w:szCs w:val="17"/>
          <w:i w:val="1"/>
          <w:iCs w:val="1"/>
          <w:color w:val="auto"/>
        </w:rPr>
        <w:t>In vitro cell-based disease models</w:t>
      </w:r>
      <w:r>
        <w:rPr>
          <w:rFonts w:ascii="Arial" w:cs="Arial" w:eastAsia="Arial" w:hAnsi="Arial"/>
          <w:sz w:val="17"/>
          <w:szCs w:val="17"/>
          <w:color w:val="auto"/>
        </w:rPr>
        <w:t>: For our</w:t>
      </w:r>
      <w:r>
        <w:rPr>
          <w:rFonts w:ascii="Arial" w:cs="Arial" w:eastAsia="Arial" w:hAnsi="Arial"/>
          <w:sz w:val="17"/>
          <w:szCs w:val="17"/>
          <w:i w:val="1"/>
          <w:iCs w:val="1"/>
          <w:color w:val="auto"/>
        </w:rPr>
        <w:t xml:space="preserve"> in vitro </w:t>
      </w:r>
      <w:r>
        <w:rPr>
          <w:rFonts w:ascii="Arial" w:cs="Arial" w:eastAsia="Arial" w:hAnsi="Arial"/>
          <w:sz w:val="17"/>
          <w:szCs w:val="17"/>
          <w:color w:val="auto"/>
        </w:rPr>
        <w:t>disease models, we have leveraged the seminal discovery of methods used to generate</w:t>
      </w:r>
      <w:r>
        <w:rPr>
          <w:rFonts w:ascii="Arial" w:cs="Arial" w:eastAsia="Arial" w:hAnsi="Arial"/>
          <w:sz w:val="17"/>
          <w:szCs w:val="17"/>
          <w:i w:val="1"/>
          <w:iCs w:val="1"/>
          <w:color w:val="auto"/>
        </w:rPr>
        <w:t xml:space="preserve"> </w:t>
      </w:r>
      <w:r>
        <w:rPr>
          <w:rFonts w:ascii="Arial" w:cs="Arial" w:eastAsia="Arial" w:hAnsi="Arial"/>
          <w:sz w:val="17"/>
          <w:szCs w:val="17"/>
          <w:color w:val="auto"/>
        </w:rPr>
        <w:t>iPSCs to establish disease models based on human iPSC-derived cardiomyocytes (iPSC-CMs). We have implemented three primary approaches to model human heart disease in this way: (i) short interfering ribonucleic acid (siRNA) constructs to silence specific genes of interest in iPSC-CMs; (ii) CRISPR-based gene editing approaches to create isogenic iPSC-cell lines where specific genes have been altered; and (iii) iPSCs derived from patients with severe heart disease, for example, severe DCM resulting in early HF and transplant, sourced from commercial and academic collaborators.</w:t>
      </w:r>
    </w:p>
    <w:p>
      <w:pPr>
        <w:spacing w:after="0" w:line="69" w:lineRule="exact"/>
        <w:rPr>
          <w:rFonts w:ascii="Arial" w:cs="Arial" w:eastAsia="Arial" w:hAnsi="Arial"/>
          <w:sz w:val="17"/>
          <w:szCs w:val="17"/>
          <w:color w:val="auto"/>
        </w:rPr>
      </w:pPr>
    </w:p>
    <w:p>
      <w:pPr>
        <w:ind w:left="1100"/>
        <w:spacing w:after="0"/>
        <w:rPr>
          <w:rFonts w:ascii="Arial" w:cs="Arial" w:eastAsia="Arial" w:hAnsi="Arial"/>
          <w:sz w:val="17"/>
          <w:szCs w:val="17"/>
          <w:color w:val="auto"/>
        </w:rPr>
      </w:pPr>
      <w:r>
        <w:rPr>
          <w:rFonts w:ascii="Arial" w:cs="Arial" w:eastAsia="Arial" w:hAnsi="Arial"/>
          <w:sz w:val="18"/>
          <w:szCs w:val="18"/>
          <w:color w:val="auto"/>
        </w:rPr>
        <w:t>In the figure below, we illustrate our primary disease model approaches based on iPSC-CMs: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168910</wp:posOffset>
            </wp:positionV>
            <wp:extent cx="5092065" cy="20313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092065"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59" w:lineRule="auto"/>
        <w:rPr>
          <w:sz w:val="20"/>
          <w:szCs w:val="20"/>
          <w:color w:val="auto"/>
        </w:rPr>
      </w:pPr>
      <w:r>
        <w:rPr>
          <w:rFonts w:ascii="Arial" w:cs="Arial" w:eastAsia="Arial" w:hAnsi="Arial"/>
          <w:sz w:val="18"/>
          <w:szCs w:val="18"/>
          <w:color w:val="auto"/>
        </w:rPr>
        <w:t>These disease models can collectively help simulate the impact of human disease-causing mutations on the appearance and function of CMs. They can also help model the impact of potentially disease-modifying treatments on such cells. In the figure below, we illustrate how, through use of gene editing and gene silencing tools, we can modify the appearance of normal iPSC-CMs to appear disorganized, and subsequently restore cell appearance with compounds from our screening library: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144780</wp:posOffset>
            </wp:positionV>
            <wp:extent cx="4723130" cy="10718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723130"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100" w:right="100"/>
        <w:spacing w:after="0" w:line="263" w:lineRule="auto"/>
        <w:rPr>
          <w:sz w:val="20"/>
          <w:szCs w:val="20"/>
          <w:color w:val="auto"/>
        </w:rPr>
      </w:pPr>
      <w:r>
        <w:rPr>
          <w:rFonts w:ascii="Arial" w:cs="Arial" w:eastAsia="Arial" w:hAnsi="Arial"/>
          <w:sz w:val="18"/>
          <w:szCs w:val="18"/>
          <w:color w:val="auto"/>
        </w:rPr>
        <w:t>We initially used cells from these disease models plated in two-dimensional formats. We have since advanced our efforts to include three-dimensional engineered heart tissue disease models where the cells have a more mature phenotype and with contractility that can be measured more reliably.</w:t>
      </w:r>
    </w:p>
    <w:p>
      <w:pPr>
        <w:spacing w:after="0" w:line="89" w:lineRule="exact"/>
        <w:rPr>
          <w:sz w:val="20"/>
          <w:szCs w:val="20"/>
          <w:color w:val="auto"/>
        </w:rPr>
      </w:pPr>
    </w:p>
    <w:p>
      <w:pPr>
        <w:ind w:left="1080" w:right="120" w:hanging="532"/>
        <w:spacing w:after="0" w:line="263"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 xml:space="preserve">iPSC production: </w:t>
      </w:r>
      <w:r>
        <w:rPr>
          <w:rFonts w:ascii="Arial" w:cs="Arial" w:eastAsia="Arial" w:hAnsi="Arial"/>
          <w:sz w:val="18"/>
          <w:szCs w:val="18"/>
          <w:color w:val="auto"/>
        </w:rPr>
        <w:t>To conduct robust target identification and drug discovery screens using our cell-based disease models, we need to</w:t>
      </w:r>
      <w:r>
        <w:rPr>
          <w:rFonts w:ascii="Arial" w:cs="Arial" w:eastAsia="Arial" w:hAnsi="Arial"/>
          <w:sz w:val="18"/>
          <w:szCs w:val="18"/>
          <w:i w:val="1"/>
          <w:iCs w:val="1"/>
          <w:color w:val="auto"/>
        </w:rPr>
        <w:t xml:space="preserve"> </w:t>
      </w:r>
      <w:r>
        <w:rPr>
          <w:rFonts w:ascii="Arial" w:cs="Arial" w:eastAsia="Arial" w:hAnsi="Arial"/>
          <w:sz w:val="18"/>
          <w:szCs w:val="18"/>
          <w:color w:val="auto"/>
        </w:rPr>
        <w:t>produce large volumes of these hiPSC-CMs. We have developed the necessary know-how to do so reliably and reproducibly at increasing scale.</w:t>
      </w:r>
    </w:p>
    <w:p>
      <w:pPr>
        <w:spacing w:after="0" w:line="89" w:lineRule="exact"/>
        <w:rPr>
          <w:rFonts w:ascii="Arial" w:cs="Arial" w:eastAsia="Arial" w:hAnsi="Arial"/>
          <w:sz w:val="18"/>
          <w:szCs w:val="18"/>
          <w:color w:val="auto"/>
        </w:rPr>
      </w:pPr>
    </w:p>
    <w:p>
      <w:pPr>
        <w:ind w:left="1080" w:right="80" w:hanging="532"/>
        <w:spacing w:after="0" w:line="263"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 xml:space="preserve">Imaging techniques: </w:t>
      </w:r>
      <w:r>
        <w:rPr>
          <w:rFonts w:ascii="Arial" w:cs="Arial" w:eastAsia="Arial" w:hAnsi="Arial"/>
          <w:sz w:val="18"/>
          <w:szCs w:val="18"/>
          <w:color w:val="auto"/>
        </w:rPr>
        <w:t>We use a combination of immunostaining, high-resolution imaging, and imaging algorithms to visualize and quantify</w:t>
      </w:r>
      <w:r>
        <w:rPr>
          <w:rFonts w:ascii="Arial" w:cs="Arial" w:eastAsia="Arial" w:hAnsi="Arial"/>
          <w:sz w:val="18"/>
          <w:szCs w:val="18"/>
          <w:i w:val="1"/>
          <w:iCs w:val="1"/>
          <w:color w:val="auto"/>
        </w:rPr>
        <w:t xml:space="preserve"> </w:t>
      </w:r>
      <w:r>
        <w:rPr>
          <w:rFonts w:ascii="Arial" w:cs="Arial" w:eastAsia="Arial" w:hAnsi="Arial"/>
          <w:sz w:val="18"/>
          <w:szCs w:val="18"/>
          <w:color w:val="auto"/>
        </w:rPr>
        <w:t>phenotypic differences between our in-house iPSC-CM disease models. We can measure several details of the sarcomeres of these cell lines, including sarcomere density, disarray and Z-disc area.</w:t>
      </w:r>
    </w:p>
    <w:p>
      <w:pPr>
        <w:spacing w:after="0" w:line="183" w:lineRule="exact"/>
        <w:rPr>
          <w:rFonts w:ascii="Arial" w:cs="Arial" w:eastAsia="Arial" w:hAnsi="Arial"/>
          <w:sz w:val="18"/>
          <w:szCs w:val="18"/>
          <w:color w:val="auto"/>
        </w:rPr>
      </w:pPr>
    </w:p>
    <w:p>
      <w:pPr>
        <w:ind w:left="1100" w:right="220"/>
        <w:spacing w:after="0" w:line="277" w:lineRule="auto"/>
        <w:rPr>
          <w:rFonts w:ascii="Arial" w:cs="Arial" w:eastAsia="Arial" w:hAnsi="Arial"/>
          <w:sz w:val="18"/>
          <w:szCs w:val="18"/>
          <w:color w:val="auto"/>
        </w:rPr>
      </w:pPr>
      <w:r>
        <w:rPr>
          <w:rFonts w:ascii="Arial" w:cs="Arial" w:eastAsia="Arial" w:hAnsi="Arial"/>
          <w:sz w:val="18"/>
          <w:szCs w:val="18"/>
          <w:color w:val="auto"/>
        </w:rPr>
        <w:t>The figure below shows the degree of automated high-resolution image capture that is possible to help visualize the details of iPSC-CM disease models such as the sarcomere structure and other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134620</wp:posOffset>
            </wp:positionV>
            <wp:extent cx="4732020" cy="23571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732020"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20"/>
          </w:cols>
          <w:pgMar w:left="32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60"/>
        <w:spacing w:after="0" w:line="263" w:lineRule="auto"/>
        <w:rPr>
          <w:sz w:val="20"/>
          <w:szCs w:val="20"/>
          <w:color w:val="auto"/>
        </w:rPr>
      </w:pPr>
      <w:r>
        <w:rPr>
          <w:rFonts w:ascii="Arial" w:cs="Arial" w:eastAsia="Arial" w:hAnsi="Arial"/>
          <w:sz w:val="18"/>
          <w:szCs w:val="18"/>
          <w:color w:val="auto"/>
        </w:rPr>
        <w:t>In the figure below, we show data that illustrate our ability to use proprietary imaging algorithms to quantify reproducible and statistically significant differences between particular attributes of the iPSC-CMs (e.g. Z-Disc Area of the sarcomere) across multiple disease model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142875</wp:posOffset>
            </wp:positionV>
            <wp:extent cx="2794635" cy="388302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794635" cy="3883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080" w:hanging="532"/>
        <w:spacing w:after="0" w:line="259"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 xml:space="preserve">Machine learning algorithms: </w:t>
      </w:r>
      <w:r>
        <w:rPr>
          <w:rFonts w:ascii="Arial" w:cs="Arial" w:eastAsia="Arial" w:hAnsi="Arial"/>
          <w:sz w:val="18"/>
          <w:szCs w:val="18"/>
          <w:color w:val="auto"/>
        </w:rPr>
        <w:t>We have used machine learning algorithms to support high-throughput phenotypic screening of our</w:t>
      </w:r>
      <w:r>
        <w:rPr>
          <w:rFonts w:ascii="Arial" w:cs="Arial" w:eastAsia="Arial" w:hAnsi="Arial"/>
          <w:sz w:val="18"/>
          <w:szCs w:val="18"/>
          <w:i w:val="1"/>
          <w:iCs w:val="1"/>
          <w:color w:val="auto"/>
        </w:rPr>
        <w:t xml:space="preserve"> </w:t>
      </w:r>
      <w:r>
        <w:rPr>
          <w:rFonts w:ascii="Arial" w:cs="Arial" w:eastAsia="Arial" w:hAnsi="Arial"/>
          <w:sz w:val="18"/>
          <w:szCs w:val="18"/>
          <w:color w:val="auto"/>
        </w:rPr>
        <w:t>iPSC-CM disease models. The algorithms can rapidly and reproducibly measure subtle differences in the overall appearance between wild-type iPSC-CM cells and the different disease models, as well as differences on the disease models in response to compounds in our screening libraries.</w:t>
      </w:r>
    </w:p>
    <w:p>
      <w:pPr>
        <w:spacing w:after="0" w:line="78" w:lineRule="exact"/>
        <w:rPr>
          <w:rFonts w:ascii="Arial" w:cs="Arial" w:eastAsia="Arial" w:hAnsi="Arial"/>
          <w:sz w:val="18"/>
          <w:szCs w:val="18"/>
          <w:color w:val="auto"/>
        </w:rPr>
      </w:pPr>
    </w:p>
    <w:p>
      <w:pPr>
        <w:ind w:left="1100" w:right="20"/>
        <w:spacing w:after="0" w:line="301" w:lineRule="auto"/>
        <w:rPr>
          <w:rFonts w:ascii="Arial" w:cs="Arial" w:eastAsia="Arial" w:hAnsi="Arial"/>
          <w:sz w:val="18"/>
          <w:szCs w:val="18"/>
          <w:color w:val="auto"/>
        </w:rPr>
      </w:pPr>
      <w:r>
        <w:rPr>
          <w:rFonts w:ascii="Arial" w:cs="Arial" w:eastAsia="Arial" w:hAnsi="Arial"/>
          <w:sz w:val="16"/>
          <w:szCs w:val="16"/>
          <w:color w:val="auto"/>
        </w:rPr>
        <w:t xml:space="preserve">The figure below illustrates the output of a screen in a disease model of DCM, using siRNA silencing of the </w:t>
      </w:r>
      <w:r>
        <w:rPr>
          <w:rFonts w:ascii="Arial" w:cs="Arial" w:eastAsia="Arial" w:hAnsi="Arial"/>
          <w:sz w:val="16"/>
          <w:szCs w:val="16"/>
          <w:i w:val="1"/>
          <w:iCs w:val="1"/>
          <w:color w:val="auto"/>
        </w:rPr>
        <w:t>BAG3</w:t>
      </w:r>
      <w:r>
        <w:rPr>
          <w:rFonts w:ascii="Arial" w:cs="Arial" w:eastAsia="Arial" w:hAnsi="Arial"/>
          <w:sz w:val="16"/>
          <w:szCs w:val="16"/>
          <w:color w:val="auto"/>
        </w:rPr>
        <w:t xml:space="preserve"> gene, with a curated library of greater than 5,000 small molecule compounds. A deep learning algorithm that was trained on images of the disease model and on normal cells was used to determine which compounds caused the sarcomeres within the cells to appear more disorganized, representing more sarcomere damage (red), or more organized, representing less sarcomere damage (green), as measured by a “cardiomyocyte score”:</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00"/>
          </w:cols>
          <w:pgMar w:left="320" w:top="459" w:right="4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205740</wp:posOffset>
            </wp:positionV>
            <wp:extent cx="4491990" cy="23742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491990"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080" w:right="20" w:hanging="532"/>
        <w:spacing w:after="0" w:line="269" w:lineRule="auto"/>
        <w:tabs>
          <w:tab w:leader="none" w:pos="1080" w:val="left"/>
        </w:tabs>
        <w:numPr>
          <w:ilvl w:val="1"/>
          <w:numId w:val="90"/>
        </w:numPr>
        <w:rPr>
          <w:rFonts w:ascii="Arial" w:cs="Arial" w:eastAsia="Arial" w:hAnsi="Arial"/>
          <w:sz w:val="17"/>
          <w:szCs w:val="17"/>
          <w:color w:val="auto"/>
        </w:rPr>
      </w:pPr>
      <w:r>
        <w:rPr>
          <w:rFonts w:ascii="Arial" w:cs="Arial" w:eastAsia="Arial" w:hAnsi="Arial"/>
          <w:sz w:val="17"/>
          <w:szCs w:val="17"/>
          <w:i w:val="1"/>
          <w:iCs w:val="1"/>
          <w:color w:val="auto"/>
        </w:rPr>
        <w:t xml:space="preserve">In vivo models: </w:t>
      </w:r>
      <w:r>
        <w:rPr>
          <w:rFonts w:ascii="Arial" w:cs="Arial" w:eastAsia="Arial" w:hAnsi="Arial"/>
          <w:sz w:val="17"/>
          <w:szCs w:val="17"/>
          <w:color w:val="auto"/>
        </w:rPr>
        <w:t>For our</w:t>
      </w:r>
      <w:r>
        <w:rPr>
          <w:rFonts w:ascii="Arial" w:cs="Arial" w:eastAsia="Arial" w:hAnsi="Arial"/>
          <w:sz w:val="17"/>
          <w:szCs w:val="17"/>
          <w:i w:val="1"/>
          <w:iCs w:val="1"/>
          <w:color w:val="auto"/>
        </w:rPr>
        <w:t xml:space="preserve"> in vivo </w:t>
      </w:r>
      <w:r>
        <w:rPr>
          <w:rFonts w:ascii="Arial" w:cs="Arial" w:eastAsia="Arial" w:hAnsi="Arial"/>
          <w:sz w:val="17"/>
          <w:szCs w:val="17"/>
          <w:color w:val="auto"/>
        </w:rPr>
        <w:t>disease models, we have a dedicated onsite</w:t>
      </w:r>
      <w:r>
        <w:rPr>
          <w:rFonts w:ascii="Arial" w:cs="Arial" w:eastAsia="Arial" w:hAnsi="Arial"/>
          <w:sz w:val="17"/>
          <w:szCs w:val="17"/>
          <w:i w:val="1"/>
          <w:iCs w:val="1"/>
          <w:color w:val="auto"/>
        </w:rPr>
        <w:t xml:space="preserve"> in vivo </w:t>
      </w:r>
      <w:r>
        <w:rPr>
          <w:rFonts w:ascii="Arial" w:cs="Arial" w:eastAsia="Arial" w:hAnsi="Arial"/>
          <w:sz w:val="17"/>
          <w:szCs w:val="17"/>
          <w:color w:val="auto"/>
        </w:rPr>
        <w:t>pharmacology group and vivarium. We have established</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15 rodent heart disease models, both genetic and non-genetic, and continue to develop new models in-house as needed. We can dose both gene therapies as well as small molecules. We can perform heart surgeries on these rodent models and use blinded echocardiography-based imaging techniques to assess the impact of our therapies under development. The internalization of these capabilities greatly reduces our reliance on external CROs and academic organizations and significantly increases the speed and consistency with which we can iterate on product prototypes, generate data and formulate insights on our product candidates. We also work with established CROs for research efforts involving large animal models (e.g., NHPs and pigs), including for efficacy studies and evaluation of drug delivery methods. Through these efforts we have developed important insights into the advantages and limitations of specific models and have learned how to optimize the design of our experiments. This insight influences our preclinical drug development strategies and our discussions with regulatory agencies.</w:t>
      </w:r>
    </w:p>
    <w:p>
      <w:pPr>
        <w:spacing w:after="0" w:line="293" w:lineRule="exact"/>
        <w:rPr>
          <w:rFonts w:ascii="Arial" w:cs="Arial" w:eastAsia="Arial" w:hAnsi="Arial"/>
          <w:sz w:val="17"/>
          <w:szCs w:val="17"/>
          <w:color w:val="auto"/>
        </w:rPr>
      </w:pPr>
    </w:p>
    <w:p>
      <w:pPr>
        <w:ind w:left="300" w:hanging="184"/>
        <w:spacing w:after="0"/>
        <w:tabs>
          <w:tab w:leader="none" w:pos="300" w:val="left"/>
        </w:tabs>
        <w:numPr>
          <w:ilvl w:val="0"/>
          <w:numId w:val="9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Capsid Engineering</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goal is to discover, design, and develop novel heart-tropic AAV capsids with superior attributes in order to enable more precise tissue targeting and to improve the safety profile of our product candidates. To achieve this goal, we have established in-house AAV capsid engineering capabilities and have designed and screened over one billion variants from diverse, proprietary libraries to discover, design, and develop novel capsids to support our programs.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40"/>
          </w:cols>
          <w:pgMar w:left="32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table below captures the breadth and depth of the focused strategies we have pursued to discover novel AAV capsids:</w:t>
      </w:r>
    </w:p>
    <w:p>
      <w:pPr>
        <w:spacing w:after="0" w:line="246" w:lineRule="exact"/>
        <w:rPr>
          <w:sz w:val="20"/>
          <w:szCs w:val="20"/>
          <w:color w:val="auto"/>
        </w:rPr>
      </w:pPr>
    </w:p>
    <w:tbl>
      <w:tblPr>
        <w:tblLayout w:type="fixed"/>
        <w:tblInd w:w="1110" w:type="dxa"/>
        <w:tblCellMar>
          <w:top w:w="0" w:type="dxa"/>
          <w:left w:w="0" w:type="dxa"/>
          <w:bottom w:w="0" w:type="dxa"/>
          <w:right w:w="0" w:type="dxa"/>
        </w:tblCellMar>
      </w:tblPr>
      <w:tr>
        <w:trPr>
          <w:trHeight w:val="270"/>
        </w:trPr>
        <w:tc>
          <w:tcPr>
            <w:tcW w:w="1780" w:type="dxa"/>
            <w:vAlign w:val="bottom"/>
            <w:tcBorders>
              <w:top w:val="single" w:sz="8" w:color="auto"/>
              <w:left w:val="single" w:sz="8" w:color="auto"/>
              <w:bottom w:val="single" w:sz="8" w:color="auto"/>
            </w:tcBorders>
          </w:tcPr>
          <w:p>
            <w:pPr>
              <w:spacing w:after="0"/>
              <w:rPr>
                <w:sz w:val="23"/>
                <w:szCs w:val="23"/>
                <w:color w:val="auto"/>
              </w:rPr>
            </w:pPr>
          </w:p>
        </w:tc>
        <w:tc>
          <w:tcPr>
            <w:tcW w:w="7280" w:type="dxa"/>
            <w:vAlign w:val="bottom"/>
            <w:tcBorders>
              <w:top w:val="single" w:sz="8" w:color="auto"/>
              <w:bottom w:val="single" w:sz="8" w:color="auto"/>
              <w:right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Focused Multi-Year AAV Screening Efforts Using Diverse Strategies</w:t>
            </w:r>
          </w:p>
        </w:tc>
      </w:tr>
      <w:tr>
        <w:trPr>
          <w:trHeight w:val="304"/>
        </w:trPr>
        <w:tc>
          <w:tcPr>
            <w:tcW w:w="178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4"/>
              </w:rPr>
              <w:t>Cell specificity</w:t>
            </w:r>
          </w:p>
        </w:tc>
        <w:tc>
          <w:tcPr>
            <w:tcW w:w="2340" w:type="dxa"/>
            <w:vAlign w:val="bottom"/>
            <w:tcBorders>
              <w:right w:val="single" w:sz="8" w:color="auto"/>
            </w:tcBorders>
          </w:tcPr>
          <w:p>
            <w:pPr>
              <w:spacing w:after="0"/>
              <w:rPr>
                <w:sz w:val="24"/>
                <w:szCs w:val="24"/>
                <w:color w:val="auto"/>
              </w:rPr>
            </w:pPr>
          </w:p>
        </w:tc>
        <w:tc>
          <w:tcPr>
            <w:tcW w:w="49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Capsid engineering efforts for both CMs and CFs</w:t>
            </w:r>
          </w:p>
        </w:tc>
      </w:tr>
      <w:tr>
        <w:trPr>
          <w:trHeight w:val="81"/>
        </w:trPr>
        <w:tc>
          <w:tcPr>
            <w:tcW w:w="1780" w:type="dxa"/>
            <w:vAlign w:val="bottom"/>
            <w:tcBorders>
              <w:left w:val="single" w:sz="8" w:color="auto"/>
              <w:bottom w:val="single" w:sz="8" w:color="auto"/>
              <w:right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c>
          <w:tcPr>
            <w:tcW w:w="4940" w:type="dxa"/>
            <w:vAlign w:val="bottom"/>
            <w:tcBorders>
              <w:bottom w:val="single" w:sz="8" w:color="auto"/>
              <w:right w:val="single" w:sz="8" w:color="auto"/>
            </w:tcBorders>
          </w:tcPr>
          <w:p>
            <w:pPr>
              <w:spacing w:after="0"/>
              <w:rPr>
                <w:sz w:val="7"/>
                <w:szCs w:val="7"/>
                <w:color w:val="auto"/>
              </w:rPr>
            </w:pPr>
          </w:p>
        </w:tc>
      </w:tr>
      <w:tr>
        <w:trPr>
          <w:trHeight w:val="290"/>
        </w:trPr>
        <w:tc>
          <w:tcPr>
            <w:tcW w:w="178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5"/>
              </w:rPr>
              <w:t>Library diversity</w:t>
            </w:r>
          </w:p>
        </w:tc>
        <w:tc>
          <w:tcPr>
            <w:tcW w:w="2340" w:type="dxa"/>
            <w:vAlign w:val="bottom"/>
            <w:tcBorders>
              <w:right w:val="single" w:sz="8" w:color="auto"/>
            </w:tcBorders>
          </w:tcPr>
          <w:p>
            <w:pPr>
              <w:spacing w:after="0"/>
              <w:rPr>
                <w:sz w:val="24"/>
                <w:szCs w:val="24"/>
                <w:color w:val="auto"/>
              </w:rPr>
            </w:pPr>
          </w:p>
        </w:tc>
        <w:tc>
          <w:tcPr>
            <w:tcW w:w="49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2"/>
              </w:rPr>
              <w:t>Screened more than one billion variants from 30 diverse libraries</w:t>
            </w:r>
          </w:p>
        </w:tc>
      </w:tr>
      <w:tr>
        <w:trPr>
          <w:trHeight w:val="216"/>
        </w:trPr>
        <w:tc>
          <w:tcPr>
            <w:tcW w:w="178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49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9"/>
              </w:rPr>
              <w:t>(rational design, peptide insertion, variable region, chimeric,</w:t>
            </w:r>
          </w:p>
        </w:tc>
      </w:tr>
      <w:tr>
        <w:trPr>
          <w:trHeight w:val="230"/>
        </w:trPr>
        <w:tc>
          <w:tcPr>
            <w:tcW w:w="178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spacing w:after="0"/>
              <w:rPr>
                <w:sz w:val="20"/>
                <w:szCs w:val="20"/>
                <w:color w:val="auto"/>
              </w:rPr>
            </w:pPr>
          </w:p>
        </w:tc>
        <w:tc>
          <w:tcPr>
            <w:tcW w:w="49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etc.)</w:t>
            </w:r>
          </w:p>
        </w:tc>
      </w:tr>
      <w:tr>
        <w:trPr>
          <w:trHeight w:val="311"/>
        </w:trPr>
        <w:tc>
          <w:tcPr>
            <w:tcW w:w="1780" w:type="dxa"/>
            <w:vAlign w:val="bottom"/>
            <w:tcBorders>
              <w:left w:val="single" w:sz="8" w:color="auto"/>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4940" w:type="dxa"/>
            <w:vAlign w:val="bottom"/>
            <w:tcBorders>
              <w:bottom w:val="single" w:sz="8" w:color="auto"/>
              <w:right w:val="single" w:sz="8" w:color="auto"/>
            </w:tcBorders>
          </w:tcPr>
          <w:p>
            <w:pPr>
              <w:spacing w:after="0"/>
              <w:rPr>
                <w:sz w:val="24"/>
                <w:szCs w:val="24"/>
                <w:color w:val="auto"/>
              </w:rPr>
            </w:pPr>
          </w:p>
        </w:tc>
      </w:tr>
      <w:tr>
        <w:trPr>
          <w:trHeight w:val="290"/>
        </w:trPr>
        <w:tc>
          <w:tcPr>
            <w:tcW w:w="178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8"/>
              </w:rPr>
              <w:t>Screening models</w:t>
            </w:r>
          </w:p>
        </w:tc>
        <w:tc>
          <w:tcPr>
            <w:tcW w:w="2340" w:type="dxa"/>
            <w:vAlign w:val="bottom"/>
            <w:tcBorders>
              <w:right w:val="single" w:sz="8" w:color="auto"/>
            </w:tcBorders>
          </w:tcPr>
          <w:p>
            <w:pPr>
              <w:spacing w:after="0"/>
              <w:rPr>
                <w:sz w:val="24"/>
                <w:szCs w:val="24"/>
                <w:color w:val="auto"/>
              </w:rPr>
            </w:pPr>
          </w:p>
        </w:tc>
        <w:tc>
          <w:tcPr>
            <w:tcW w:w="49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7"/>
              </w:rPr>
              <w:t>Screening and validation in multiple models, including human</w:t>
            </w:r>
          </w:p>
        </w:tc>
      </w:tr>
      <w:tr>
        <w:trPr>
          <w:trHeight w:val="216"/>
        </w:trPr>
        <w:tc>
          <w:tcPr>
            <w:tcW w:w="178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49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5"/>
              </w:rPr>
              <w:t xml:space="preserve">iPSC-CMs, rodent models, NHPs as well as </w:t>
            </w:r>
            <w:r>
              <w:rPr>
                <w:rFonts w:ascii="Arial" w:cs="Arial" w:eastAsia="Arial" w:hAnsi="Arial"/>
                <w:sz w:val="18"/>
                <w:szCs w:val="18"/>
                <w:i w:val="1"/>
                <w:iCs w:val="1"/>
                <w:color w:val="auto"/>
                <w:w w:val="95"/>
              </w:rPr>
              <w:t>in silico</w:t>
            </w:r>
            <w:r>
              <w:rPr>
                <w:rFonts w:ascii="Arial" w:cs="Arial" w:eastAsia="Arial" w:hAnsi="Arial"/>
                <w:sz w:val="18"/>
                <w:szCs w:val="18"/>
                <w:color w:val="auto"/>
                <w:w w:val="95"/>
              </w:rPr>
              <w:t xml:space="preserve"> / machine</w:t>
            </w:r>
          </w:p>
        </w:tc>
      </w:tr>
      <w:tr>
        <w:trPr>
          <w:trHeight w:val="230"/>
        </w:trPr>
        <w:tc>
          <w:tcPr>
            <w:tcW w:w="1780" w:type="dxa"/>
            <w:vAlign w:val="bottom"/>
            <w:tcBorders>
              <w:left w:val="single" w:sz="8" w:color="auto"/>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49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learning models</w:t>
            </w:r>
          </w:p>
        </w:tc>
      </w:tr>
      <w:tr>
        <w:trPr>
          <w:trHeight w:val="290"/>
        </w:trPr>
        <w:tc>
          <w:tcPr>
            <w:tcW w:w="178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1"/>
              </w:rPr>
              <w:t>Screening criteria</w:t>
            </w:r>
          </w:p>
        </w:tc>
        <w:tc>
          <w:tcPr>
            <w:tcW w:w="2340" w:type="dxa"/>
            <w:vAlign w:val="bottom"/>
            <w:tcBorders>
              <w:right w:val="single" w:sz="8" w:color="auto"/>
            </w:tcBorders>
          </w:tcPr>
          <w:p>
            <w:pPr>
              <w:spacing w:after="0"/>
              <w:rPr>
                <w:sz w:val="24"/>
                <w:szCs w:val="24"/>
                <w:color w:val="auto"/>
              </w:rPr>
            </w:pPr>
          </w:p>
        </w:tc>
        <w:tc>
          <w:tcPr>
            <w:tcW w:w="49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8"/>
              </w:rPr>
              <w:t>Evaluating novel capsids for multiple criteria including higher</w:t>
            </w:r>
          </w:p>
        </w:tc>
      </w:tr>
      <w:tr>
        <w:trPr>
          <w:trHeight w:val="216"/>
        </w:trPr>
        <w:tc>
          <w:tcPr>
            <w:tcW w:w="178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49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6"/>
              </w:rPr>
              <w:t>heart transduction, lower liver transduction, lower antigenicity,</w:t>
            </w:r>
          </w:p>
        </w:tc>
      </w:tr>
      <w:tr>
        <w:trPr>
          <w:trHeight w:val="216"/>
        </w:trPr>
        <w:tc>
          <w:tcPr>
            <w:tcW w:w="178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49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9"/>
              </w:rPr>
              <w:t>and comparable manufacturability (as compared to relevant</w:t>
            </w:r>
          </w:p>
        </w:tc>
      </w:tr>
      <w:tr>
        <w:trPr>
          <w:trHeight w:val="230"/>
        </w:trPr>
        <w:tc>
          <w:tcPr>
            <w:tcW w:w="1780" w:type="dxa"/>
            <w:vAlign w:val="bottom"/>
            <w:tcBorders>
              <w:left w:val="single" w:sz="8" w:color="auto"/>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49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known serotypes)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-1971040</wp:posOffset>
            </wp:positionV>
            <wp:extent cx="1148715" cy="16884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148715" cy="1688465"/>
                    </a:xfrm>
                    <a:prstGeom prst="rect">
                      <a:avLst/>
                    </a:prstGeom>
                    <a:noFill/>
                  </pic:spPr>
                </pic:pic>
              </a:graphicData>
            </a:graphic>
          </wp:anchor>
        </w:drawing>
      </w:r>
    </w:p>
    <w:p>
      <w:pPr>
        <w:spacing w:after="0" w:line="87" w:lineRule="exact"/>
        <w:rPr>
          <w:sz w:val="20"/>
          <w:szCs w:val="20"/>
          <w:color w:val="auto"/>
        </w:rPr>
      </w:pPr>
    </w:p>
    <w:p>
      <w:pPr>
        <w:ind w:left="1080" w:hanging="532"/>
        <w:spacing w:after="0"/>
        <w:tabs>
          <w:tab w:leader="none" w:pos="1080" w:val="left"/>
        </w:tabs>
        <w:numPr>
          <w:ilvl w:val="0"/>
          <w:numId w:val="91"/>
        </w:numPr>
        <w:rPr>
          <w:rFonts w:ascii="Arial" w:cs="Arial" w:eastAsia="Arial" w:hAnsi="Arial"/>
          <w:sz w:val="16"/>
          <w:szCs w:val="16"/>
          <w:color w:val="auto"/>
        </w:rPr>
      </w:pPr>
      <w:r>
        <w:rPr>
          <w:rFonts w:ascii="Arial" w:cs="Arial" w:eastAsia="Arial" w:hAnsi="Arial"/>
          <w:sz w:val="16"/>
          <w:szCs w:val="16"/>
          <w:i w:val="1"/>
          <w:iCs w:val="1"/>
          <w:color w:val="auto"/>
        </w:rPr>
        <w:t xml:space="preserve">Cell specificity: </w:t>
      </w:r>
      <w:r>
        <w:rPr>
          <w:rFonts w:ascii="Arial" w:cs="Arial" w:eastAsia="Arial" w:hAnsi="Arial"/>
          <w:sz w:val="16"/>
          <w:szCs w:val="16"/>
          <w:color w:val="auto"/>
        </w:rPr>
        <w:t>We are using our capsid engineering capabilities to identify novel AAV capsids with an overall higher tropism for the heart</w:t>
      </w:r>
    </w:p>
    <w:p>
      <w:pPr>
        <w:spacing w:after="0" w:line="46" w:lineRule="exact"/>
        <w:rPr>
          <w:rFonts w:ascii="Arial" w:cs="Arial" w:eastAsia="Arial" w:hAnsi="Arial"/>
          <w:sz w:val="16"/>
          <w:szCs w:val="16"/>
          <w:color w:val="auto"/>
        </w:rPr>
      </w:pPr>
    </w:p>
    <w:p>
      <w:pPr>
        <w:ind w:left="1080" w:right="12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compared to other organs and selectively target the two most abundant cell types in the heart: CMs and CFs. We already have achieved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vivo </w:t>
      </w:r>
      <w:r>
        <w:rPr>
          <w:rFonts w:ascii="Arial" w:cs="Arial" w:eastAsia="Arial" w:hAnsi="Arial"/>
          <w:sz w:val="18"/>
          <w:szCs w:val="18"/>
          <w:color w:val="auto"/>
        </w:rPr>
        <w:t>proof of concept for novel vectors for both cell types. Having capsids that more specifically target one cell type over another could</w:t>
      </w:r>
      <w:r>
        <w:rPr>
          <w:rFonts w:ascii="Arial" w:cs="Arial" w:eastAsia="Arial" w:hAnsi="Arial"/>
          <w:sz w:val="18"/>
          <w:szCs w:val="18"/>
          <w:i w:val="1"/>
          <w:iCs w:val="1"/>
          <w:color w:val="auto"/>
        </w:rPr>
        <w:t xml:space="preserve"> </w:t>
      </w:r>
      <w:r>
        <w:rPr>
          <w:rFonts w:ascii="Arial" w:cs="Arial" w:eastAsia="Arial" w:hAnsi="Arial"/>
          <w:sz w:val="18"/>
          <w:szCs w:val="18"/>
          <w:color w:val="auto"/>
        </w:rPr>
        <w:t>help improve efficacy and safety and lower cost of goods for our future product candidates.</w:t>
      </w:r>
    </w:p>
    <w:p>
      <w:pPr>
        <w:spacing w:after="0" w:line="95" w:lineRule="exact"/>
        <w:rPr>
          <w:rFonts w:ascii="Arial" w:cs="Arial" w:eastAsia="Arial" w:hAnsi="Arial"/>
          <w:sz w:val="16"/>
          <w:szCs w:val="16"/>
          <w:color w:val="auto"/>
        </w:rPr>
      </w:pPr>
    </w:p>
    <w:p>
      <w:pPr>
        <w:ind w:left="1080" w:right="60" w:hanging="532"/>
        <w:spacing w:after="0" w:line="259"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 xml:space="preserve">Library diversity: </w:t>
      </w:r>
      <w:r>
        <w:rPr>
          <w:rFonts w:ascii="Arial" w:cs="Arial" w:eastAsia="Arial" w:hAnsi="Arial"/>
          <w:sz w:val="18"/>
          <w:szCs w:val="18"/>
          <w:color w:val="auto"/>
        </w:rPr>
        <w:t>We have screened more than one billion variants from 30 diverse libraries utilizing a range of strategies,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rational modification of surface residues as well as directed evolution efforts with peptide insertion libraries, chimeric libraries, and libraries based on systematic alteration of variable regions (VR) using different parental capsids. The diversity of approaches increases the likelihood that we will find capsids with novel properties.</w:t>
      </w:r>
    </w:p>
    <w:p>
      <w:pPr>
        <w:spacing w:after="0" w:line="78"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The image below illustrates our efforts to achieve diverse heart-tropic AAV capsids.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168910</wp:posOffset>
            </wp:positionV>
            <wp:extent cx="4723130" cy="17145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72313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80" w:right="360" w:hanging="532"/>
        <w:spacing w:after="0" w:line="277"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 xml:space="preserve">Screening models: </w:t>
      </w:r>
      <w:r>
        <w:rPr>
          <w:rFonts w:ascii="Arial" w:cs="Arial" w:eastAsia="Arial" w:hAnsi="Arial"/>
          <w:sz w:val="18"/>
          <w:szCs w:val="18"/>
          <w:color w:val="auto"/>
        </w:rPr>
        <w:t>We have performed our screens in a variety of</w:t>
      </w:r>
      <w:r>
        <w:rPr>
          <w:rFonts w:ascii="Arial" w:cs="Arial" w:eastAsia="Arial" w:hAnsi="Arial"/>
          <w:sz w:val="18"/>
          <w:szCs w:val="18"/>
          <w:i w:val="1"/>
          <w:iCs w:val="1"/>
          <w:color w:val="auto"/>
        </w:rPr>
        <w:t xml:space="preserve"> in vitro</w:t>
      </w:r>
      <w:r>
        <w:rPr>
          <w:rFonts w:ascii="Arial" w:cs="Arial" w:eastAsia="Arial" w:hAnsi="Arial"/>
          <w:sz w:val="18"/>
          <w:szCs w:val="18"/>
          <w:color w:val="auto"/>
        </w:rPr>
        <w:t>,</w:t>
      </w:r>
      <w:r>
        <w:rPr>
          <w:rFonts w:ascii="Arial" w:cs="Arial" w:eastAsia="Arial" w:hAnsi="Arial"/>
          <w:sz w:val="18"/>
          <w:szCs w:val="18"/>
          <w:i w:val="1"/>
          <w:iCs w:val="1"/>
          <w:color w:val="auto"/>
        </w:rPr>
        <w:t xml:space="preserve"> in vivo</w:t>
      </w:r>
      <w:r>
        <w:rPr>
          <w:rFonts w:ascii="Arial" w:cs="Arial" w:eastAsia="Arial" w:hAnsi="Arial"/>
          <w:sz w:val="18"/>
          <w:szCs w:val="18"/>
          <w:color w:val="auto"/>
        </w:rPr>
        <w:t>, and</w:t>
      </w:r>
      <w:r>
        <w:rPr>
          <w:rFonts w:ascii="Arial" w:cs="Arial" w:eastAsia="Arial" w:hAnsi="Arial"/>
          <w:sz w:val="18"/>
          <w:szCs w:val="18"/>
          <w:i w:val="1"/>
          <w:iCs w:val="1"/>
          <w:color w:val="auto"/>
        </w:rPr>
        <w:t xml:space="preserve"> in silico </w:t>
      </w:r>
      <w:r>
        <w:rPr>
          <w:rFonts w:ascii="Arial" w:cs="Arial" w:eastAsia="Arial" w:hAnsi="Arial"/>
          <w:sz w:val="18"/>
          <w:szCs w:val="18"/>
          <w:color w:val="auto"/>
        </w:rPr>
        <w:t>libraries. Current efforts are focused on</w:t>
      </w:r>
      <w:r>
        <w:rPr>
          <w:rFonts w:ascii="Arial" w:cs="Arial" w:eastAsia="Arial" w:hAnsi="Arial"/>
          <w:sz w:val="18"/>
          <w:szCs w:val="18"/>
          <w:i w:val="1"/>
          <w:iCs w:val="1"/>
          <w:color w:val="auto"/>
        </w:rPr>
        <w:t xml:space="preserve"> </w:t>
      </w:r>
      <w:r>
        <w:rPr>
          <w:rFonts w:ascii="Arial" w:cs="Arial" w:eastAsia="Arial" w:hAnsi="Arial"/>
          <w:sz w:val="18"/>
          <w:szCs w:val="18"/>
          <w:color w:val="auto"/>
        </w:rPr>
        <w:t>direct screening in NHPs, as well as use of machine learning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
        <w:spacing w:after="0" w:line="277" w:lineRule="auto"/>
        <w:rPr>
          <w:sz w:val="20"/>
          <w:szCs w:val="20"/>
          <w:color w:val="auto"/>
        </w:rPr>
      </w:pPr>
      <w:r>
        <w:rPr>
          <w:rFonts w:ascii="Arial" w:cs="Arial" w:eastAsia="Arial" w:hAnsi="Arial"/>
          <w:sz w:val="18"/>
          <w:szCs w:val="18"/>
          <w:color w:val="auto"/>
        </w:rPr>
        <w:t xml:space="preserve">algorithms. We believe our probability of finding novel variants that will translate to superior attributes in humans is highest in NHPs. We believe our </w:t>
      </w:r>
      <w:r>
        <w:rPr>
          <w:rFonts w:ascii="Arial" w:cs="Arial" w:eastAsia="Arial" w:hAnsi="Arial"/>
          <w:sz w:val="18"/>
          <w:szCs w:val="18"/>
          <w:i w:val="1"/>
          <w:iCs w:val="1"/>
          <w:color w:val="auto"/>
        </w:rPr>
        <w:t>in silico</w:t>
      </w:r>
      <w:r>
        <w:rPr>
          <w:rFonts w:ascii="Arial" w:cs="Arial" w:eastAsia="Arial" w:hAnsi="Arial"/>
          <w:sz w:val="18"/>
          <w:szCs w:val="18"/>
          <w:color w:val="auto"/>
        </w:rPr>
        <w:t xml:space="preserve"> approaches can complement these efforts to help predict novel variants.</w:t>
      </w:r>
    </w:p>
    <w:p>
      <w:pPr>
        <w:spacing w:after="0" w:line="76" w:lineRule="exact"/>
        <w:rPr>
          <w:sz w:val="20"/>
          <w:szCs w:val="20"/>
          <w:color w:val="auto"/>
        </w:rPr>
      </w:pPr>
    </w:p>
    <w:p>
      <w:pPr>
        <w:ind w:left="1080" w:hanging="532"/>
        <w:spacing w:after="0" w:line="301" w:lineRule="auto"/>
        <w:tabs>
          <w:tab w:leader="none" w:pos="1080" w:val="left"/>
        </w:tabs>
        <w:numPr>
          <w:ilvl w:val="0"/>
          <w:numId w:val="93"/>
        </w:numPr>
        <w:rPr>
          <w:rFonts w:ascii="Arial" w:cs="Arial" w:eastAsia="Arial" w:hAnsi="Arial"/>
          <w:sz w:val="16"/>
          <w:szCs w:val="16"/>
          <w:color w:val="auto"/>
        </w:rPr>
      </w:pPr>
      <w:r>
        <w:rPr>
          <w:rFonts w:ascii="Arial" w:cs="Arial" w:eastAsia="Arial" w:hAnsi="Arial"/>
          <w:sz w:val="16"/>
          <w:szCs w:val="16"/>
          <w:i w:val="1"/>
          <w:iCs w:val="1"/>
          <w:color w:val="auto"/>
        </w:rPr>
        <w:t xml:space="preserve">Screening criteria: </w:t>
      </w:r>
      <w:r>
        <w:rPr>
          <w:rFonts w:ascii="Arial" w:cs="Arial" w:eastAsia="Arial" w:hAnsi="Arial"/>
          <w:sz w:val="16"/>
          <w:szCs w:val="16"/>
          <w:color w:val="auto"/>
        </w:rPr>
        <w:t>We have broad criteria for the selection of novel capsids, including improved tropism for the heart compared to other</w:t>
      </w:r>
      <w:r>
        <w:rPr>
          <w:rFonts w:ascii="Arial" w:cs="Arial" w:eastAsia="Arial" w:hAnsi="Arial"/>
          <w:sz w:val="16"/>
          <w:szCs w:val="16"/>
          <w:i w:val="1"/>
          <w:iCs w:val="1"/>
          <w:color w:val="auto"/>
        </w:rPr>
        <w:t xml:space="preserve"> </w:t>
      </w:r>
      <w:r>
        <w:rPr>
          <w:rFonts w:ascii="Arial" w:cs="Arial" w:eastAsia="Arial" w:hAnsi="Arial"/>
          <w:sz w:val="16"/>
          <w:szCs w:val="16"/>
          <w:color w:val="auto"/>
        </w:rPr>
        <w:t>organs, with a particular interest in de-targeting the liver; improved transduction of specific heart cell types; lower susceptibility to neutralizing antibodies; and comparable manufacturing in both HEK293- and Sf9/rBV-based manufacturing systems. We seek capsids that can outperform the relevant parental capsids, which may vary depending on the intended use and on some or all of these criteria.</w:t>
      </w:r>
    </w:p>
    <w:p>
      <w:pPr>
        <w:spacing w:after="0" w:line="49" w:lineRule="exact"/>
        <w:rPr>
          <w:rFonts w:ascii="Arial" w:cs="Arial" w:eastAsia="Arial" w:hAnsi="Arial"/>
          <w:sz w:val="16"/>
          <w:szCs w:val="16"/>
          <w:color w:val="auto"/>
        </w:rPr>
      </w:pPr>
    </w:p>
    <w:p>
      <w:pPr>
        <w:ind w:left="1100" w:right="40"/>
        <w:spacing w:after="0" w:line="279" w:lineRule="auto"/>
        <w:rPr>
          <w:rFonts w:ascii="Arial" w:cs="Arial" w:eastAsia="Arial" w:hAnsi="Arial"/>
          <w:sz w:val="16"/>
          <w:szCs w:val="16"/>
          <w:color w:val="auto"/>
        </w:rPr>
      </w:pPr>
      <w:r>
        <w:rPr>
          <w:rFonts w:ascii="Arial" w:cs="Arial" w:eastAsia="Arial" w:hAnsi="Arial"/>
          <w:sz w:val="17"/>
          <w:szCs w:val="17"/>
          <w:color w:val="auto"/>
        </w:rPr>
        <w:t>Through these efforts, we have discovered proprietary capsids with superior performance over parental variants in multiple species, including NHPs. These capsids have improved tropism for the heart compared to other organs and even for specific cells within the heart; improved transduction and expression within the heart cells; and lower susceptibility to neutralizing antibodies. We have also developed insights about the performance of novel capsids across different species including mice and NHPs.</w:t>
      </w:r>
    </w:p>
    <w:p>
      <w:pPr>
        <w:spacing w:after="0" w:line="63" w:lineRule="exact"/>
        <w:rPr>
          <w:rFonts w:ascii="Arial" w:cs="Arial" w:eastAsia="Arial" w:hAnsi="Arial"/>
          <w:sz w:val="16"/>
          <w:szCs w:val="16"/>
          <w:color w:val="auto"/>
        </w:rPr>
      </w:pPr>
    </w:p>
    <w:p>
      <w:pPr>
        <w:ind w:left="1100" w:right="60"/>
        <w:spacing w:after="0" w:line="279" w:lineRule="auto"/>
        <w:rPr>
          <w:rFonts w:ascii="Arial" w:cs="Arial" w:eastAsia="Arial" w:hAnsi="Arial"/>
          <w:sz w:val="16"/>
          <w:szCs w:val="16"/>
          <w:color w:val="auto"/>
        </w:rPr>
      </w:pPr>
      <w:r>
        <w:rPr>
          <w:rFonts w:ascii="Arial" w:cs="Arial" w:eastAsia="Arial" w:hAnsi="Arial"/>
          <w:sz w:val="17"/>
          <w:szCs w:val="17"/>
          <w:color w:val="auto"/>
        </w:rPr>
        <w:t>The data below are from the results of a head-to-head comparison in NHPs of novel capsids that were first identified via screening efforts in iPSC-CMs and a mouse model. Several capsids identified have superior transduction in the heart and lower transduction of the liver compared to AAV9, leading to an overall better heart-to-liver transduction ratio as validated in an NHP model. As shown below, our TNC-CM3 capsid has a five-fold better heart-to-liver transduction ratio compared to AAV9.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134620</wp:posOffset>
            </wp:positionV>
            <wp:extent cx="3900170" cy="22288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900170"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100" w:right="40"/>
        <w:spacing w:after="0" w:line="277" w:lineRule="auto"/>
        <w:rPr>
          <w:sz w:val="20"/>
          <w:szCs w:val="20"/>
          <w:color w:val="auto"/>
        </w:rPr>
      </w:pPr>
      <w:r>
        <w:rPr>
          <w:rFonts w:ascii="Arial" w:cs="Arial" w:eastAsia="Arial" w:hAnsi="Arial"/>
          <w:sz w:val="18"/>
          <w:szCs w:val="18"/>
          <w:color w:val="auto"/>
        </w:rPr>
        <w:t>Additionally, we have shown that several capsids we identified through this effort, such as TNC-CM5, have overall better ability to evade human neutralizing antibodies compared to AAV9.</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060"/>
          </w:cols>
          <w:pgMar w:left="320" w:top="459" w:right="51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100" w:right="80"/>
        <w:spacing w:after="0" w:line="259" w:lineRule="auto"/>
        <w:rPr>
          <w:sz w:val="20"/>
          <w:szCs w:val="20"/>
          <w:color w:val="auto"/>
        </w:rPr>
      </w:pPr>
      <w:r>
        <w:rPr>
          <w:rFonts w:ascii="Arial" w:cs="Arial" w:eastAsia="Arial" w:hAnsi="Arial"/>
          <w:sz w:val="18"/>
          <w:szCs w:val="18"/>
          <w:color w:val="auto"/>
        </w:rPr>
        <w:t>The data below show preliminary results from efforts to identify novel AAV capsids by direct screening in NHPs. These results show it is possible to identify variants that have higher specificity for CMs of the (RV) compared to CMs of the LV. These capsids that are identified to have higher tropism for the RV may enable better targeting of heart tissue for conditions predominantly affecting a specific chamber of the heart such as arrhythmogenic right ventricular cardiomyopathy (ARVC):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144780</wp:posOffset>
            </wp:positionV>
            <wp:extent cx="3300095" cy="23831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00095"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3. Promoters and Regulatory Elements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Enabled by our in-house molecular biology capabilities, we have created novel heart-specific promoters and regulatory elements to support our AAV-based programs and regulatory elements control gene expression within the cells. We are designing promoters and regulatory elements to help ensure a more precise and conditional expression of therapeutic payloads in different cell types in the heart. We believe our innovations in promoters and regulatory elements may further support the successful clinical development of our product candidates.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Illustrative examples of our innovations in this area include:</w:t>
      </w:r>
    </w:p>
    <w:p>
      <w:pPr>
        <w:spacing w:after="0" w:line="131" w:lineRule="exact"/>
        <w:rPr>
          <w:sz w:val="20"/>
          <w:szCs w:val="20"/>
          <w:color w:val="auto"/>
        </w:rPr>
      </w:pPr>
    </w:p>
    <w:p>
      <w:pPr>
        <w:ind w:left="1080" w:right="60" w:hanging="532"/>
        <w:spacing w:after="0" w:line="275" w:lineRule="auto"/>
        <w:tabs>
          <w:tab w:leader="none" w:pos="1080" w:val="left"/>
        </w:tabs>
        <w:numPr>
          <w:ilvl w:val="0"/>
          <w:numId w:val="94"/>
        </w:numPr>
        <w:rPr>
          <w:rFonts w:ascii="Arial" w:cs="Arial" w:eastAsia="Arial" w:hAnsi="Arial"/>
          <w:sz w:val="17"/>
          <w:szCs w:val="17"/>
          <w:color w:val="auto"/>
        </w:rPr>
      </w:pPr>
      <w:r>
        <w:rPr>
          <w:rFonts w:ascii="Arial" w:cs="Arial" w:eastAsia="Arial" w:hAnsi="Arial"/>
          <w:sz w:val="17"/>
          <w:szCs w:val="17"/>
          <w:i w:val="1"/>
          <w:iCs w:val="1"/>
          <w:color w:val="auto"/>
        </w:rPr>
        <w:t xml:space="preserve">Heart specificity: </w:t>
      </w:r>
      <w:r>
        <w:rPr>
          <w:rFonts w:ascii="Arial" w:cs="Arial" w:eastAsia="Arial" w:hAnsi="Arial"/>
          <w:sz w:val="17"/>
          <w:szCs w:val="17"/>
          <w:color w:val="auto"/>
        </w:rPr>
        <w:t>We have developed cardiac-specific promoters that enable more selective and robust expression in the heart as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 other organs. During optimization of our MYBPC3 gene therapies, we discovered a CM-specific promoter, TNP-CM1, with improved performance attributes as compared to the standard cTnT promoter.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analyses confirmed that TNP-CM1 significantly increased expression of the </w:t>
      </w:r>
      <w:r>
        <w:rPr>
          <w:rFonts w:ascii="Arial" w:cs="Arial" w:eastAsia="Arial" w:hAnsi="Arial"/>
          <w:sz w:val="17"/>
          <w:szCs w:val="17"/>
          <w:i w:val="1"/>
          <w:iCs w:val="1"/>
          <w:color w:val="auto"/>
        </w:rPr>
        <w:t>MYBPC3</w:t>
      </w:r>
      <w:r>
        <w:rPr>
          <w:rFonts w:ascii="Arial" w:cs="Arial" w:eastAsia="Arial" w:hAnsi="Arial"/>
          <w:sz w:val="17"/>
          <w:szCs w:val="17"/>
          <w:color w:val="auto"/>
        </w:rPr>
        <w:t xml:space="preserve"> gene compared to what can be achieved with the standard cTNT promoter. In addition, we observed 1000-fold selectivity of expression in cardiac tissue relative to other tissues.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40"/>
          </w:cols>
          <w:pgMar w:left="32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420"/>
        <w:spacing w:after="0" w:line="277" w:lineRule="auto"/>
        <w:rPr>
          <w:sz w:val="20"/>
          <w:szCs w:val="20"/>
          <w:color w:val="auto"/>
        </w:rPr>
      </w:pPr>
      <w:r>
        <w:rPr>
          <w:rFonts w:ascii="Arial" w:cs="Arial" w:eastAsia="Arial" w:hAnsi="Arial"/>
          <w:sz w:val="18"/>
          <w:szCs w:val="18"/>
          <w:color w:val="auto"/>
        </w:rPr>
        <w:t>In the figure below, we show data that demonstrate how our TNP-CM1 promoter outperformed a standard cTnT promoter in terms of robust gene expression in the heart of mice without loss of heart specificity: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134620</wp:posOffset>
            </wp:positionV>
            <wp:extent cx="3471545" cy="24174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71545"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080" w:hanging="532"/>
        <w:spacing w:after="0" w:line="255"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 xml:space="preserve">Cell specificity: </w:t>
      </w:r>
      <w:r>
        <w:rPr>
          <w:rFonts w:ascii="Arial" w:cs="Arial" w:eastAsia="Arial" w:hAnsi="Arial"/>
          <w:sz w:val="18"/>
          <w:szCs w:val="18"/>
          <w:color w:val="auto"/>
        </w:rPr>
        <w:t>We have also developed a proprietary combination of regulatory elements that enable more optimal and selective</w:t>
      </w:r>
      <w:r>
        <w:rPr>
          <w:rFonts w:ascii="Arial" w:cs="Arial" w:eastAsia="Arial" w:hAnsi="Arial"/>
          <w:sz w:val="18"/>
          <w:szCs w:val="18"/>
          <w:i w:val="1"/>
          <w:iCs w:val="1"/>
          <w:color w:val="auto"/>
        </w:rPr>
        <w:t xml:space="preserve"> </w:t>
      </w:r>
      <w:r>
        <w:rPr>
          <w:rFonts w:ascii="Arial" w:cs="Arial" w:eastAsia="Arial" w:hAnsi="Arial"/>
          <w:sz w:val="18"/>
          <w:szCs w:val="18"/>
          <w:color w:val="auto"/>
        </w:rPr>
        <w:t>expression in one cell type in the heart compared to others. For our Reprogramming program for cellular regeneration, we discovered ways to optimize the robust co-expression of two protein-coding genes and one miRNA gene delivered within a single AAV in CFs, which we believe supports higher efficacy in preclinical models. We also discovered how to use specific micro-RNA binding sites to silence the translation of those same genes in both existing CMs as well as newly created CMs, which may provide a safety benefit and reduce the chance for off-target effects.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
        <w:spacing w:after="0" w:line="257" w:lineRule="auto"/>
        <w:rPr>
          <w:sz w:val="20"/>
          <w:szCs w:val="20"/>
          <w:color w:val="auto"/>
        </w:rPr>
      </w:pPr>
      <w:r>
        <w:rPr>
          <w:rFonts w:ascii="Arial" w:cs="Arial" w:eastAsia="Arial" w:hAnsi="Arial"/>
          <w:sz w:val="18"/>
          <w:szCs w:val="18"/>
          <w:color w:val="auto"/>
        </w:rPr>
        <w:t>In the figure below, we illustrate how the use of a novel regulatory element, TNR-CF1, helped prevent the expression of a fluorescent protein (GFP) in the CMs of a mouse model and only allowed expression in the CFs. We have used this regulatory element in our Reprogramming program to focus the expression of our proprietary factors in resident CFs for the creation of new CMs, but to prevent the expression of those factors both in resident CMs and in newly created CMs, which we believe will improve the safety profile of our future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377190</wp:posOffset>
            </wp:positionV>
            <wp:extent cx="4663440" cy="34975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663440" cy="3497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080" w:hanging="532"/>
        <w:spacing w:after="0" w:line="259"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 xml:space="preserve">Tunable gene expression: </w:t>
      </w:r>
      <w:r>
        <w:rPr>
          <w:rFonts w:ascii="Arial" w:cs="Arial" w:eastAsia="Arial" w:hAnsi="Arial"/>
          <w:sz w:val="18"/>
          <w:szCs w:val="18"/>
          <w:color w:val="auto"/>
        </w:rPr>
        <w:t>We have also demonstrated the ability to develop an entire spectrum of novel promoters to titer the expression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genes within CMs. Through data (not shown) generated in our DWORF program, more than ten promoters were designed and tested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vitro </w:t>
      </w:r>
      <w:r>
        <w:rPr>
          <w:rFonts w:ascii="Arial" w:cs="Arial" w:eastAsia="Arial" w:hAnsi="Arial"/>
          <w:sz w:val="18"/>
          <w:szCs w:val="18"/>
          <w:color w:val="auto"/>
        </w:rPr>
        <w:t>in hiPSC-CMs, and</w:t>
      </w:r>
      <w:r>
        <w:rPr>
          <w:rFonts w:ascii="Arial" w:cs="Arial" w:eastAsia="Arial" w:hAnsi="Arial"/>
          <w:sz w:val="18"/>
          <w:szCs w:val="18"/>
          <w:i w:val="1"/>
          <w:iCs w:val="1"/>
          <w:color w:val="auto"/>
        </w:rPr>
        <w:t xml:space="preserve"> in vivo </w:t>
      </w:r>
      <w:r>
        <w:rPr>
          <w:rFonts w:ascii="Arial" w:cs="Arial" w:eastAsia="Arial" w:hAnsi="Arial"/>
          <w:sz w:val="18"/>
          <w:szCs w:val="18"/>
          <w:color w:val="auto"/>
        </w:rPr>
        <w:t>in murine models to optimize the expression of the</w:t>
      </w:r>
      <w:r>
        <w:rPr>
          <w:rFonts w:ascii="Arial" w:cs="Arial" w:eastAsia="Arial" w:hAnsi="Arial"/>
          <w:sz w:val="18"/>
          <w:szCs w:val="18"/>
          <w:i w:val="1"/>
          <w:iCs w:val="1"/>
          <w:color w:val="auto"/>
        </w:rPr>
        <w:t xml:space="preserve"> DWORF </w:t>
      </w:r>
      <w:r>
        <w:rPr>
          <w:rFonts w:ascii="Arial" w:cs="Arial" w:eastAsia="Arial" w:hAnsi="Arial"/>
          <w:sz w:val="18"/>
          <w:szCs w:val="18"/>
          <w:color w:val="auto"/>
        </w:rPr>
        <w:t>gene to be higher than what can be achieved</w:t>
      </w:r>
      <w:r>
        <w:rPr>
          <w:rFonts w:ascii="Arial" w:cs="Arial" w:eastAsia="Arial" w:hAnsi="Arial"/>
          <w:sz w:val="18"/>
          <w:szCs w:val="18"/>
          <w:i w:val="1"/>
          <w:iCs w:val="1"/>
          <w:color w:val="auto"/>
        </w:rPr>
        <w:t xml:space="preserve"> </w:t>
      </w:r>
      <w:r>
        <w:rPr>
          <w:rFonts w:ascii="Arial" w:cs="Arial" w:eastAsia="Arial" w:hAnsi="Arial"/>
          <w:sz w:val="18"/>
          <w:szCs w:val="18"/>
          <w:color w:val="auto"/>
        </w:rPr>
        <w:t>with a standard cTnT promoter.</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080"/>
          </w:cols>
          <w:pgMar w:left="320" w:top="459" w:right="49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63" w:lineRule="auto"/>
        <w:rPr>
          <w:sz w:val="20"/>
          <w:szCs w:val="20"/>
          <w:color w:val="auto"/>
        </w:rPr>
      </w:pPr>
      <w:r>
        <w:rPr>
          <w:rFonts w:ascii="Arial" w:cs="Arial" w:eastAsia="Arial" w:hAnsi="Arial"/>
          <w:sz w:val="18"/>
          <w:szCs w:val="18"/>
          <w:color w:val="auto"/>
        </w:rPr>
        <w:t xml:space="preserve">In the figure below, we show data for six of our promoters and cassette engineering efforts that illustrate how we have been able to create a suite of cardiac-specific constructs that are able to mediate significantly higher expression of the </w:t>
      </w:r>
      <w:r>
        <w:rPr>
          <w:rFonts w:ascii="Arial" w:cs="Arial" w:eastAsia="Arial" w:hAnsi="Arial"/>
          <w:sz w:val="18"/>
          <w:szCs w:val="18"/>
          <w:i w:val="1"/>
          <w:iCs w:val="1"/>
          <w:color w:val="auto"/>
        </w:rPr>
        <w:t>DWORF</w:t>
      </w:r>
      <w:r>
        <w:rPr>
          <w:rFonts w:ascii="Arial" w:cs="Arial" w:eastAsia="Arial" w:hAnsi="Arial"/>
          <w:sz w:val="18"/>
          <w:szCs w:val="18"/>
          <w:color w:val="auto"/>
        </w:rPr>
        <w:t xml:space="preserve"> gene than can be achieved with a standard cTnT promoter: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142875</wp:posOffset>
            </wp:positionV>
            <wp:extent cx="4191635" cy="34632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191635"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4. Drug Delivery</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Delivery of drugs to the heart is widely considered to be an important challenge to successful translation of cardiac gene therapy and regenerative medicines into approved products. The diversity of programs in our current pipeline necessitates the use of different delivery methods. We are actively exploring different ROAs as well as different infusion- or injection-based catheters to support more targeted delivery and more efficient uptake of therapies based on viral vectors. We believe our discoveries in drug delivery can widen the therapeutic index of our product candidates by reducing the dose required for a therapeutic benefit.</w:t>
      </w:r>
    </w:p>
    <w:p>
      <w:pPr>
        <w:spacing w:after="0" w:line="188"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Several distinct methods of drug delivery for the heart have been explored by different groups for gene- or cell-based therapies, including infusion-based approaches, such as peripheral IV infusion, intracoronary infusion, and retrograde coronary sinus infusion, and injection-based, such as transendocardial injection and epicardial injection. These delivery methods vary significantly in terms of degree of invasiveness, distribution of therapy around the heart, degree of therapy uptake into the heart, technical difficulty of administration, and clinical relevance and experience. For some approaches, additional methods to improve therapeutic delivery have also been tested to improve perfusion of AAV into the heart. Through these efforts, several groups have demonstrated how different delivery methods can meaningfully affect the relative uptake and biodistribution of therapies in the heart compared to peripheral organs.</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Illustrative examples of various delivery methods for the heart are shown below:</w:t>
      </w: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168910</wp:posOffset>
            </wp:positionV>
            <wp:extent cx="5186045" cy="12084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86045"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For the initial product candidates emerging from our Gene Therapy platform, including those from our MYBPC3 program, we generally need broad distribution across the heart tissue that is more suited to infusion-based approaches. By contrast, for the initial product candidates emerging from our Cellular Regeneration platform, including those from our Reprogramming program, we need more precise delivery into the heart tissue directly around a scar area of the LV in a way that is more suited to injection-based approaches.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Illustrative examples of our innovations and capabilities in drug delivery include:</w:t>
      </w:r>
    </w:p>
    <w:p>
      <w:pPr>
        <w:spacing w:after="0" w:line="131" w:lineRule="exact"/>
        <w:rPr>
          <w:sz w:val="20"/>
          <w:szCs w:val="20"/>
          <w:color w:val="auto"/>
        </w:rPr>
      </w:pPr>
    </w:p>
    <w:p>
      <w:pPr>
        <w:ind w:left="1080" w:hanging="532"/>
        <w:spacing w:after="0" w:line="272" w:lineRule="auto"/>
        <w:tabs>
          <w:tab w:leader="none" w:pos="1080" w:val="left"/>
        </w:tabs>
        <w:numPr>
          <w:ilvl w:val="0"/>
          <w:numId w:val="97"/>
        </w:numPr>
        <w:rPr>
          <w:rFonts w:ascii="Arial" w:cs="Arial" w:eastAsia="Arial" w:hAnsi="Arial"/>
          <w:sz w:val="17"/>
          <w:szCs w:val="17"/>
          <w:color w:val="auto"/>
        </w:rPr>
      </w:pPr>
      <w:r>
        <w:rPr>
          <w:rFonts w:ascii="Arial" w:cs="Arial" w:eastAsia="Arial" w:hAnsi="Arial"/>
          <w:sz w:val="17"/>
          <w:szCs w:val="17"/>
          <w:i w:val="1"/>
          <w:iCs w:val="1"/>
          <w:color w:val="auto"/>
        </w:rPr>
        <w:t>Catheters</w:t>
      </w:r>
      <w:r>
        <w:rPr>
          <w:rFonts w:ascii="Arial" w:cs="Arial" w:eastAsia="Arial" w:hAnsi="Arial"/>
          <w:sz w:val="17"/>
          <w:szCs w:val="17"/>
          <w:color w:val="auto"/>
        </w:rPr>
        <w:t>: To support our Reprogramming program for cardiac regeneration, we are developing a novel transendocardial injection catheter</w:t>
      </w:r>
      <w:r>
        <w:rPr>
          <w:rFonts w:ascii="Arial" w:cs="Arial" w:eastAsia="Arial" w:hAnsi="Arial"/>
          <w:sz w:val="17"/>
          <w:szCs w:val="17"/>
          <w:i w:val="1"/>
          <w:iCs w:val="1"/>
          <w:color w:val="auto"/>
        </w:rPr>
        <w:t xml:space="preserve"> </w:t>
      </w:r>
      <w:r>
        <w:rPr>
          <w:rFonts w:ascii="Arial" w:cs="Arial" w:eastAsia="Arial" w:hAnsi="Arial"/>
          <w:sz w:val="17"/>
          <w:szCs w:val="17"/>
          <w:color w:val="auto"/>
        </w:rPr>
        <w:t>for more precise delivery of therapeutic payloads around the scar area that is formed after heart attack, but in a way that is minimally invasive and would not require heart surgery. The prototype of our catheter was designed with the help of interventional cardiologists and is based on similar catheters that have been successfully used in clinical trials. The catheter is designed to be steered into the heart via the femoral artery in the groin area. It has a deflectable tip that can be curved to better access the different parts of the heart. This initial prototype was tested in a large animal model and was able to direct injections to all areas of the LV. We are adding mapping capabilities to the design to allow for more precise delivery during the treatment procedure.</w:t>
      </w:r>
    </w:p>
    <w:p>
      <w:pPr>
        <w:spacing w:after="0" w:line="69" w:lineRule="exact"/>
        <w:rPr>
          <w:rFonts w:ascii="Arial" w:cs="Arial" w:eastAsia="Arial" w:hAnsi="Arial"/>
          <w:sz w:val="17"/>
          <w:szCs w:val="17"/>
          <w:color w:val="auto"/>
        </w:rPr>
      </w:pPr>
    </w:p>
    <w:p>
      <w:pPr>
        <w:ind w:left="1100" w:right="120"/>
        <w:spacing w:after="0" w:line="342" w:lineRule="auto"/>
        <w:rPr>
          <w:rFonts w:ascii="Arial" w:cs="Arial" w:eastAsia="Arial" w:hAnsi="Arial"/>
          <w:sz w:val="17"/>
          <w:szCs w:val="17"/>
          <w:color w:val="auto"/>
        </w:rPr>
      </w:pPr>
      <w:r>
        <w:rPr>
          <w:rFonts w:ascii="Arial" w:cs="Arial" w:eastAsia="Arial" w:hAnsi="Arial"/>
          <w:sz w:val="16"/>
          <w:szCs w:val="16"/>
          <w:color w:val="auto"/>
        </w:rPr>
        <w:t>The figures below include a picture of an initial prototype of our novel injection-based catheter for our Reprogramming program for cardiac regeneration, plus an illustration of how a deflectable tip plus embedded mapping electrodes can allow for more precise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104775</wp:posOffset>
            </wp:positionV>
            <wp:extent cx="2014220" cy="19284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014220" cy="192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080" w:right="240" w:hanging="532"/>
        <w:spacing w:after="0" w:line="263" w:lineRule="auto"/>
        <w:tabs>
          <w:tab w:leader="none" w:pos="1080" w:val="left"/>
        </w:tabs>
        <w:numPr>
          <w:ilvl w:val="1"/>
          <w:numId w:val="98"/>
        </w:numPr>
        <w:rPr>
          <w:rFonts w:ascii="Arial" w:cs="Arial" w:eastAsia="Arial" w:hAnsi="Arial"/>
          <w:sz w:val="18"/>
          <w:szCs w:val="18"/>
          <w:color w:val="auto"/>
        </w:rPr>
      </w:pPr>
      <w:r>
        <w:rPr>
          <w:rFonts w:ascii="Arial" w:cs="Arial" w:eastAsia="Arial" w:hAnsi="Arial"/>
          <w:sz w:val="18"/>
          <w:szCs w:val="18"/>
          <w:i w:val="1"/>
          <w:iCs w:val="1"/>
          <w:color w:val="auto"/>
        </w:rPr>
        <w:t>ROAs</w:t>
      </w:r>
      <w:r>
        <w:rPr>
          <w:rFonts w:ascii="Arial" w:cs="Arial" w:eastAsia="Arial" w:hAnsi="Arial"/>
          <w:sz w:val="18"/>
          <w:szCs w:val="18"/>
          <w:color w:val="auto"/>
        </w:rPr>
        <w:t>: We prioritize head-to-head comparison of different ROAs in large animal models to confirm the optimal method for delivery for</w:t>
      </w:r>
      <w:r>
        <w:rPr>
          <w:rFonts w:ascii="Arial" w:cs="Arial" w:eastAsia="Arial" w:hAnsi="Arial"/>
          <w:sz w:val="18"/>
          <w:szCs w:val="18"/>
          <w:i w:val="1"/>
          <w:iCs w:val="1"/>
          <w:color w:val="auto"/>
        </w:rPr>
        <w:t xml:space="preserve"> </w:t>
      </w:r>
      <w:r>
        <w:rPr>
          <w:rFonts w:ascii="Arial" w:cs="Arial" w:eastAsia="Arial" w:hAnsi="Arial"/>
          <w:sz w:val="18"/>
          <w:szCs w:val="18"/>
          <w:color w:val="auto"/>
        </w:rPr>
        <w:t>each product candidate. For our Reprogramming program, we have conducted experiments in pig models to demonstrate that a less invasive catheter-based</w:t>
      </w:r>
    </w:p>
    <w:p>
      <w:pPr>
        <w:spacing w:after="0" w:line="152" w:lineRule="exact"/>
        <w:rPr>
          <w:rFonts w:ascii="Arial" w:cs="Arial" w:eastAsia="Arial" w:hAnsi="Arial"/>
          <w:sz w:val="18"/>
          <w:szCs w:val="18"/>
          <w:color w:val="auto"/>
        </w:rPr>
      </w:pPr>
    </w:p>
    <w:p>
      <w:pPr>
        <w:ind w:left="340" w:hanging="224"/>
        <w:spacing w:after="0"/>
        <w:tabs>
          <w:tab w:leader="none" w:pos="340" w:val="left"/>
        </w:tabs>
        <w:numPr>
          <w:ilvl w:val="0"/>
          <w:numId w:val="98"/>
        </w:numPr>
        <w:rPr>
          <w:rFonts w:ascii="Arial" w:cs="Arial" w:eastAsia="Arial" w:hAnsi="Arial"/>
          <w:sz w:val="15"/>
          <w:szCs w:val="15"/>
          <w:color w:val="auto"/>
        </w:rPr>
      </w:pPr>
      <w:r>
        <w:rPr>
          <w:rFonts w:ascii="Arial" w:cs="Arial" w:eastAsia="Arial" w:hAnsi="Arial"/>
          <w:sz w:val="18"/>
          <w:szCs w:val="18"/>
          <w:color w:val="auto"/>
        </w:rPr>
        <w:t xml:space="preserve">Source: Duan </w:t>
      </w:r>
      <w:r>
        <w:rPr>
          <w:rFonts w:ascii="Arial" w:cs="Arial" w:eastAsia="Arial" w:hAnsi="Arial"/>
          <w:sz w:val="18"/>
          <w:szCs w:val="18"/>
          <w:b w:val="1"/>
          <w:bCs w:val="1"/>
          <w:color w:val="auto"/>
        </w:rPr>
        <w:t>J Transl Int. Med</w:t>
      </w:r>
      <w:r>
        <w:rPr>
          <w:rFonts w:ascii="Arial" w:cs="Arial" w:eastAsia="Arial" w:hAnsi="Arial"/>
          <w:sz w:val="18"/>
          <w:szCs w:val="18"/>
          <w:color w:val="auto"/>
        </w:rPr>
        <w:t xml:space="preserv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-153670</wp:posOffset>
            </wp:positionV>
            <wp:extent cx="77152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080"/>
          </w:cols>
          <w:pgMar w:left="320" w:top="459" w:right="49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80"/>
        <w:spacing w:after="0" w:line="311" w:lineRule="auto"/>
        <w:rPr>
          <w:sz w:val="20"/>
          <w:szCs w:val="20"/>
          <w:color w:val="auto"/>
        </w:rPr>
      </w:pPr>
      <w:r>
        <w:rPr>
          <w:rFonts w:ascii="Arial" w:cs="Arial" w:eastAsia="Arial" w:hAnsi="Arial"/>
          <w:sz w:val="16"/>
          <w:szCs w:val="16"/>
          <w:color w:val="auto"/>
        </w:rPr>
        <w:t>transendocardial injection to the LV inside wall can achieve a similar degree of drug uptake and biodistribution as a more invasive direct epicardial injection to the LV outside wall requiring open-heart surgery. For our MYBPC3 program, we have conducted experiments in NHPs to compare the degree of drug uptake and biodistribution for peripheral IV infusion and infusions delivered directly into the heart.</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5. Manufacturing</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are internalizing AAV manufacturing capabilities to support our Gene Therapy and Cellular Regeneration platforms. Our overall strategy is to have total ownership of our PD, AD, and QC so that we have deep insight into the attributes of our drug substance (DS) and drug product (DP). Internalized manufacturing will enable continuous process improvement and innovation that can support manufacturing requirements for clinical development and commercialization not only for rare populations but also for more prevalent indications, and allow us to be a partner of choice in strategic drug development partnerships and with early-stage academic programs.</w:t>
      </w:r>
    </w:p>
    <w:p>
      <w:pPr>
        <w:spacing w:after="0" w:line="188"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Overall, the internalization of these efforts provides us with know-how that yields several advantages that allow us to be in a better position to swiftly transfer technology know-how to CDMOs in order to support our future capacity expansion needs or to achieve dual sourcing for product candidates for risk mitigation purposes.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the figure below, we show the breadth and depth of our current and emerging AAV manufacturing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168910</wp:posOffset>
            </wp:positionV>
            <wp:extent cx="5083175" cy="24174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083175"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080" w:right="20" w:hanging="532"/>
        <w:spacing w:after="0" w:line="259"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 xml:space="preserve">Vector core: </w:t>
      </w:r>
      <w:r>
        <w:rPr>
          <w:rFonts w:ascii="Arial" w:cs="Arial" w:eastAsia="Arial" w:hAnsi="Arial"/>
          <w:sz w:val="18"/>
          <w:szCs w:val="18"/>
          <w:color w:val="auto"/>
        </w:rPr>
        <w:t>We have established vector production to support early research involving both parental and novel AAV capsids at the 50L</w:t>
      </w:r>
      <w:r>
        <w:rPr>
          <w:rFonts w:ascii="Arial" w:cs="Arial" w:eastAsia="Arial" w:hAnsi="Arial"/>
          <w:sz w:val="18"/>
          <w:szCs w:val="18"/>
          <w:i w:val="1"/>
          <w:iCs w:val="1"/>
          <w:color w:val="auto"/>
        </w:rPr>
        <w:t xml:space="preserve"> </w:t>
      </w:r>
      <w:r>
        <w:rPr>
          <w:rFonts w:ascii="Arial" w:cs="Arial" w:eastAsia="Arial" w:hAnsi="Arial"/>
          <w:sz w:val="18"/>
          <w:szCs w:val="18"/>
          <w:color w:val="auto"/>
        </w:rPr>
        <w:t>scale. We have hired key PD, AD and QC personnel to internalize those capabilities. We have also established the necessary PD expertise to support comparable product efficacy in both HEK293-based and Sf9/rBV-based manufacturing systems for both existing AAV serotypes as well as for novel capsids discovered from our capsid engineering efforts.</w:t>
      </w:r>
    </w:p>
    <w:p>
      <w:pPr>
        <w:spacing w:after="0" w:line="92" w:lineRule="exact"/>
        <w:rPr>
          <w:rFonts w:ascii="Arial" w:cs="Arial" w:eastAsia="Arial" w:hAnsi="Arial"/>
          <w:sz w:val="18"/>
          <w:szCs w:val="18"/>
          <w:color w:val="auto"/>
        </w:rPr>
      </w:pPr>
    </w:p>
    <w:p>
      <w:pPr>
        <w:ind w:left="1080" w:right="80" w:hanging="532"/>
        <w:spacing w:after="0" w:line="286" w:lineRule="auto"/>
        <w:tabs>
          <w:tab w:leader="none" w:pos="1080" w:val="left"/>
        </w:tabs>
        <w:numPr>
          <w:ilvl w:val="0"/>
          <w:numId w:val="99"/>
        </w:numPr>
        <w:rPr>
          <w:rFonts w:ascii="Arial" w:cs="Arial" w:eastAsia="Arial" w:hAnsi="Arial"/>
          <w:sz w:val="17"/>
          <w:szCs w:val="17"/>
          <w:color w:val="auto"/>
        </w:rPr>
      </w:pPr>
      <w:r>
        <w:rPr>
          <w:rFonts w:ascii="Arial" w:cs="Arial" w:eastAsia="Arial" w:hAnsi="Arial"/>
          <w:sz w:val="17"/>
          <w:szCs w:val="17"/>
          <w:i w:val="1"/>
          <w:iCs w:val="1"/>
          <w:color w:val="auto"/>
        </w:rPr>
        <w:t xml:space="preserve">Pilot plant operation: </w:t>
      </w:r>
      <w:r>
        <w:rPr>
          <w:rFonts w:ascii="Arial" w:cs="Arial" w:eastAsia="Arial" w:hAnsi="Arial"/>
          <w:sz w:val="17"/>
          <w:szCs w:val="17"/>
          <w:color w:val="auto"/>
        </w:rPr>
        <w:t>We have established an in-house Pilot Plant Operation at the 200L scale to support all non-clinical studies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those involving large animal models, such as pigs and NHPs, under Good Laboratory Practice regulations. Our initial production at this scale has been at yields and with full/empty capsid ratios that compare favorably to industry standards.</w:t>
      </w:r>
    </w:p>
    <w:p>
      <w:pPr>
        <w:spacing w:after="0" w:line="70" w:lineRule="exact"/>
        <w:rPr>
          <w:rFonts w:ascii="Arial" w:cs="Arial" w:eastAsia="Arial" w:hAnsi="Arial"/>
          <w:sz w:val="17"/>
          <w:szCs w:val="17"/>
          <w:color w:val="auto"/>
        </w:rPr>
      </w:pPr>
    </w:p>
    <w:p>
      <w:pPr>
        <w:ind w:left="1080" w:hanging="532"/>
        <w:spacing w:after="0" w:line="277"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 xml:space="preserve">cGMP facility: </w:t>
      </w:r>
      <w:r>
        <w:rPr>
          <w:rFonts w:ascii="Arial" w:cs="Arial" w:eastAsia="Arial" w:hAnsi="Arial"/>
          <w:sz w:val="18"/>
          <w:szCs w:val="18"/>
          <w:color w:val="auto"/>
        </w:rPr>
        <w:t>We have initiated construction of a dedicated cGMP facility for drug product manufacturing in the San Francisco Bay Area.</w:t>
      </w:r>
      <w:r>
        <w:rPr>
          <w:rFonts w:ascii="Arial" w:cs="Arial" w:eastAsia="Arial" w:hAnsi="Arial"/>
          <w:sz w:val="18"/>
          <w:szCs w:val="18"/>
          <w:i w:val="1"/>
          <w:iCs w:val="1"/>
          <w:color w:val="auto"/>
        </w:rPr>
        <w:t xml:space="preserve"> </w:t>
      </w:r>
      <w:r>
        <w:rPr>
          <w:rFonts w:ascii="Arial" w:cs="Arial" w:eastAsia="Arial" w:hAnsi="Arial"/>
          <w:sz w:val="18"/>
          <w:szCs w:val="18"/>
          <w:color w:val="auto"/>
        </w:rPr>
        <w:t>The facility will initially produce drug product at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80"/>
        <w:spacing w:after="0" w:line="342" w:lineRule="auto"/>
        <w:rPr>
          <w:sz w:val="20"/>
          <w:szCs w:val="20"/>
          <w:color w:val="auto"/>
        </w:rPr>
      </w:pPr>
      <w:r>
        <w:rPr>
          <w:rFonts w:ascii="Arial" w:cs="Arial" w:eastAsia="Arial" w:hAnsi="Arial"/>
          <w:sz w:val="16"/>
          <w:szCs w:val="16"/>
          <w:color w:val="auto"/>
        </w:rPr>
        <w:t>1000L scale to support FIH studies for our MYBPC3 program. The facility will use a modular pod design that will support scale-out and scale-up of manufacturing capacity in response to evolving needs. We expect this facility will be operational in the first half of 2022.</w:t>
      </w:r>
    </w:p>
    <w:p>
      <w:pPr>
        <w:spacing w:after="0" w:line="29" w:lineRule="exact"/>
        <w:rPr>
          <w:sz w:val="20"/>
          <w:szCs w:val="20"/>
          <w:color w:val="auto"/>
        </w:rPr>
      </w:pPr>
    </w:p>
    <w:p>
      <w:pPr>
        <w:ind w:left="1080" w:right="80" w:hanging="532"/>
        <w:spacing w:after="0" w:line="286" w:lineRule="auto"/>
        <w:tabs>
          <w:tab w:leader="none" w:pos="1080" w:val="left"/>
        </w:tabs>
        <w:numPr>
          <w:ilvl w:val="0"/>
          <w:numId w:val="100"/>
        </w:numPr>
        <w:rPr>
          <w:rFonts w:ascii="Arial" w:cs="Arial" w:eastAsia="Arial" w:hAnsi="Arial"/>
          <w:sz w:val="17"/>
          <w:szCs w:val="17"/>
          <w:color w:val="auto"/>
        </w:rPr>
      </w:pPr>
      <w:r>
        <w:rPr>
          <w:rFonts w:ascii="Arial" w:cs="Arial" w:eastAsia="Arial" w:hAnsi="Arial"/>
          <w:sz w:val="17"/>
          <w:szCs w:val="17"/>
          <w:i w:val="1"/>
          <w:iCs w:val="1"/>
          <w:color w:val="auto"/>
        </w:rPr>
        <w:t xml:space="preserve">Intellectual property: </w:t>
      </w:r>
      <w:r>
        <w:rPr>
          <w:rFonts w:ascii="Arial" w:cs="Arial" w:eastAsia="Arial" w:hAnsi="Arial"/>
          <w:sz w:val="17"/>
          <w:szCs w:val="17"/>
          <w:color w:val="auto"/>
        </w:rPr>
        <w:t>We have in-licensed certain manufacturing-related intellectual property to support our programs. We have filed a</w:t>
      </w:r>
      <w:r>
        <w:rPr>
          <w:rFonts w:ascii="Arial" w:cs="Arial" w:eastAsia="Arial" w:hAnsi="Arial"/>
          <w:sz w:val="17"/>
          <w:szCs w:val="17"/>
          <w:i w:val="1"/>
          <w:iCs w:val="1"/>
          <w:color w:val="auto"/>
        </w:rPr>
        <w:t xml:space="preserve"> </w:t>
      </w:r>
      <w:r>
        <w:rPr>
          <w:rFonts w:ascii="Arial" w:cs="Arial" w:eastAsia="Arial" w:hAnsi="Arial"/>
          <w:sz w:val="17"/>
          <w:szCs w:val="17"/>
          <w:color w:val="auto"/>
        </w:rPr>
        <w:t>patent application on process improvements that will support scale-up of AAV manufacturing to larger bioreactors necessary for supply of our gene therapy product candidates intended for more prevalent heart disease populations.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Programs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MYBPC3 Program for gHCM</w:t>
      </w:r>
    </w:p>
    <w:p>
      <w:pPr>
        <w:spacing w:after="0" w:line="117"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 xml:space="preserve">We are developing an AAV-based gene therapy designed to deliver a functional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in adults and children with gHCM due to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mutations, estimated to affect more than 115,000 patients in the United States. These mutations can cause the heart walls of affected individuals to become significantly thickened, leading to fibrosis, abnormal heart rhythms, cardiac dysfunction, HF, and sudden cardiac death in some adults and children. Based on publicly available information to date, we believe there are currently no approved treatments that address the underlying genetic cause of this disease. Our product candidate, TN-201, uses a differentiated approach that enables more robust expression of the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in the heart. We have demonstrated significant and durable disease reversal and survival benefit in a relevant murine model after a single dose, as well as tolerability in mice and non-human primates (NHPs). The program is currently in IND-enabling studies, and we have obtained feedback from multiple regulatory agencies including the FDA, to guide our path to clinical development. TN-201 has also been granted Orphan Drug Designation (ODD) by the FDA. We intend to submit an IND or CTA to the FDA or EMA, respectively, in 2022.</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Overview of Hypertrophic Cardiomyopathy</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HCM is a condition in which the heart walls become thickened without an obvious cause, resulting in a reduced ability to pump blood effectively. A chronic, progressive disease, HCM is usually caused by the inheritance of mutations in the contractile machinery proteins in the heart muscle cell. Signs and symptoms of HCM may begin in infancy, childhood or adulthood. Mildly and moderately affected patients experience chest pain, have trouble breathing, and have reduced exercise tolerance and fatigue. In certain HCM patients, disease progression results in a substantial limitation in activities and impact on quality of life. The most severely affected patients suffer premature death due to end-stage HF, malignant ventricular arrhythmia, or stroke. HCM with onset in childhood and adolescence is, in particular, associated with significant unmet medical need. When compared with adult-onset HCM, childhood-onset HCM is 36% more likely to develop life-threatening ventricular arrhythmias and twice as likely to require transplant or ventricular assist device.</w:t>
      </w:r>
    </w:p>
    <w:p>
      <w:pPr>
        <w:spacing w:after="0" w:line="192"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Patients with HCM can present with either the obstructive form (oHCM) or the non-obstructive form (nHCM) of the disease. Both forms of the disease involve significant LV hypertrophy (LVH); however, in oHCM, the thickening of the LV wall is such that the LV outflow tract (LVOT) narrows and “obstructs” the proper flow of blood out of the LV to the rest of the body. We estimate approximately 50%-65% of HCM patients have oHCM while 35%-50% have nHCM. Both oHCM and nHCM can have equally severe disease presentation involving arrhythmia, HF, reduced quality of life, sudden cardiac death, and overall early mortality.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An example of an actual heart from a patient who had oHCM is shown below, characterized by LVH, high LV mass, LVOT narrowing, an overall small LV heart chamber and fibrosis.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133985</wp:posOffset>
            </wp:positionV>
            <wp:extent cx="1859915" cy="22199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859915"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HCM is the most common form of heritable cardiomyopathy and is estimated to affect one in every 500 people, approximating more than 600,000 potential patients in the United States. A majority of HCM patients are currently undiagnosed, with diagnosis typically starting with the onset of symptoms, family screening, or the discovery of an abnormal ECG pattern.</w:t>
      </w:r>
    </w:p>
    <w:p>
      <w:pPr>
        <w:spacing w:after="0" w:line="184"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 xml:space="preserve">More than 2,000 mutations in eleven or more genes have been linked to HCM. The onset of disease is on average earlier and the disease severity is on average greater for HCM patients with pathogenic mutations in genes involving the sarcomere structure, including the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Mutations in the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are in fact the most common cause of HCM, estimated to represent approximately 19% of the overall HCM population and to affect approximately 115,000 patients in the United States. Mutations in the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have also been associated with other forms of cardiomyopathy, including DCM, RCM, mixed cardiomyopathy, and ventricular non-compaction,which can lead to poor outcomes, particularly in children.</w:t>
      </w:r>
    </w:p>
    <w:p>
      <w:pPr>
        <w:spacing w:after="0" w:line="161"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 xml:space="preserve">Disease-causing mutations occur throughout the </w:t>
      </w:r>
      <w:r>
        <w:rPr>
          <w:rFonts w:ascii="Arial" w:cs="Arial" w:eastAsia="Arial" w:hAnsi="Arial"/>
          <w:sz w:val="18"/>
          <w:szCs w:val="18"/>
          <w:i w:val="1"/>
          <w:iCs w:val="1"/>
          <w:color w:val="auto"/>
        </w:rPr>
        <w:t>MYBPC3</w:t>
      </w:r>
      <w:r>
        <w:rPr>
          <w:rFonts w:ascii="Arial" w:cs="Arial" w:eastAsia="Arial" w:hAnsi="Arial"/>
          <w:sz w:val="18"/>
          <w:szCs w:val="18"/>
          <w:color w:val="auto"/>
        </w:rPr>
        <w:t xml:space="preserve"> gene, with most mutations being truncating mutations. The phenotype of the patients with these mutations is the same, regardless of the location of the truncation. </w:t>
      </w:r>
      <w:r>
        <w:rPr>
          <w:rFonts w:ascii="Arial" w:cs="Arial" w:eastAsia="Arial" w:hAnsi="Arial"/>
          <w:sz w:val="18"/>
          <w:szCs w:val="18"/>
          <w:i w:val="1"/>
          <w:iCs w:val="1"/>
          <w:color w:val="auto"/>
        </w:rPr>
        <w:t>MYBPC3</w:t>
      </w:r>
      <w:r>
        <w:rPr>
          <w:rFonts w:ascii="Arial" w:cs="Arial" w:eastAsia="Arial" w:hAnsi="Arial"/>
          <w:sz w:val="18"/>
          <w:szCs w:val="18"/>
          <w:color w:val="auto"/>
        </w:rPr>
        <w:t xml:space="preserve"> mutations result in both oHCM and nHCM, with one study involving a series of more than 1000 patients finding that 31% of patients with truncating </w:t>
      </w:r>
      <w:r>
        <w:rPr>
          <w:rFonts w:ascii="Arial" w:cs="Arial" w:eastAsia="Arial" w:hAnsi="Arial"/>
          <w:sz w:val="18"/>
          <w:szCs w:val="18"/>
          <w:i w:val="1"/>
          <w:iCs w:val="1"/>
          <w:color w:val="auto"/>
        </w:rPr>
        <w:t>MYBPC3</w:t>
      </w:r>
      <w:r>
        <w:rPr>
          <w:rFonts w:ascii="Arial" w:cs="Arial" w:eastAsia="Arial" w:hAnsi="Arial"/>
          <w:sz w:val="18"/>
          <w:szCs w:val="18"/>
          <w:color w:val="auto"/>
        </w:rPr>
        <w:t xml:space="preserve"> mutations presented with LVOT characteristic of oHCM, while 69% of patients had nHCM.</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20"/>
          </w:cols>
          <w:pgMar w:left="320" w:top="459"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schematic below illustrates the cellular localization of MYBPC3, within the heart. CMs contain multiple myofibrils, which are comprised of myofilaments containing many sarcomeres. The sarcomeres contain thin filaments containing actin and thick filaments containing myosin; the myosin head binds and pulls actin like a hand on a rope and thus supports normal muscle contraction. MYBPC3 (in yellow) is located between the thin and thick filaments and regulates the folding of the myosin head and its interaction with actin, and in this way, is also a critical element supporting normal muscle contraction. Based on published findings, it has been shown that MYBPC3 is involved in the folding of the myosin head into a state in which the head does not interact with actin or contribute to contraction.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148590</wp:posOffset>
            </wp:positionV>
            <wp:extent cx="5186045" cy="19030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86045"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 xml:space="preserve">The reduced MYBPC3 protein levels associated with heterozygous mutations in the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result in increased activity of the myosin contractile machinery, which over time leads to LV muscle thickening, known as hypertrophy, excess deposition of extracellular matrix in the cardiac muscle, known as fibrosis, and disorganized muscle cells. As a result, the LV wall stiffens, and the chamber is reduced in size, decreasing the heart’s ability to pump. The contractile strength of the muscle declines in some cases, resulting in LV systolic dysfunction, which ultimately can necessitate advanced therapies, such as left ventricular assist devices (LVADs) or transplantation, in the most severely affected patients. Fibrosis and muscle cell disarray may also lead to arrhythmias in some patients, including life-threatening ventricular arrhythmias and atrial fibrillation, which can lead to stroke.</w:t>
      </w:r>
    </w:p>
    <w:p>
      <w:pPr>
        <w:spacing w:after="0" w:line="164"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 xml:space="preserve">Infants with homozygous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mutations represent a particularly severe patient group with high risk of death within a year after birth without heart transplantation. HCM patients who are heterozygous for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mutations are typically diagnosed earlier in life, have more severe disease associated with increases in arrhythmia, sudden cardiac death and cardiovascular mortality as compared to genotype negative HCM patients.</w:t>
      </w:r>
    </w:p>
    <w:p>
      <w:pPr>
        <w:spacing w:after="0" w:line="149"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 xml:space="preserve">Analysis of the hearts of patients who carry truncation mutations of the </w:t>
      </w:r>
      <w:r>
        <w:rPr>
          <w:rFonts w:ascii="Arial" w:cs="Arial" w:eastAsia="Arial" w:hAnsi="Arial"/>
          <w:sz w:val="18"/>
          <w:szCs w:val="18"/>
          <w:i w:val="1"/>
          <w:iCs w:val="1"/>
          <w:color w:val="auto"/>
        </w:rPr>
        <w:t>MYBPC3</w:t>
      </w:r>
      <w:r>
        <w:rPr>
          <w:rFonts w:ascii="Arial" w:cs="Arial" w:eastAsia="Arial" w:hAnsi="Arial"/>
          <w:sz w:val="18"/>
          <w:szCs w:val="18"/>
          <w:color w:val="auto"/>
        </w:rPr>
        <w:t xml:space="preserve"> gene show on average an approximately 40% reduction in the level of functional MYBPC3 protein. In the most severe cases in which both copies of the gene are affected, there is a complete lack of functional MYBPC3 protein expression. We believe these findings support the idea that mutations of the </w:t>
      </w:r>
      <w:r>
        <w:rPr>
          <w:rFonts w:ascii="Arial" w:cs="Arial" w:eastAsia="Arial" w:hAnsi="Arial"/>
          <w:sz w:val="18"/>
          <w:szCs w:val="18"/>
          <w:i w:val="1"/>
          <w:iCs w:val="1"/>
          <w:color w:val="auto"/>
        </w:rPr>
        <w:t>MYBPC3</w:t>
      </w:r>
      <w:r>
        <w:rPr>
          <w:rFonts w:ascii="Arial" w:cs="Arial" w:eastAsia="Arial" w:hAnsi="Arial"/>
          <w:sz w:val="18"/>
          <w:szCs w:val="18"/>
          <w:color w:val="auto"/>
        </w:rPr>
        <w:t xml:space="preserve"> gene cause human disease through haploinsufficiency, and also support the hypothesis that gene replacement may address the underlying cause of disease by increasing the levels of functional MYBPC3 protein.</w:t>
      </w:r>
    </w:p>
    <w:p>
      <w:pPr>
        <w:spacing w:after="0" w:line="188"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The current goal of HCM treatment is to relieve symptoms and prevent sudden cardiac death in people at high risk. In current guideline-directed care, patients are typically prescribed one or more symptomatic therapies, including beta-blockers, verapamil, diltiazem, and disopyramide. These therapies do not address the underlying genetic cause of HCM and do not appear to affect disease progression. No randomized clinical trials have assessed these therapies specifically in HCM. The standards of care are slightly different for patients with oHCM versus nHCM, but the unmet need is high in both forms of the disease. Cardioverter-defibrillators may be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implanted for patients at high risk for malignant arrhythmias and sudden death. For a subset of HCM patients with severe and disabling disease, surgery or other invasive interventions may be appropriate. For patients with oHCM, myectomy is one such option that involves the surgical removal of portions of the septum. Young adult patients with HCM have four-fold higher mortality than the general U.S. population at a similar age; even with a transplant, ten-year survival after transplant for pediatric HCM patients remains less than 50%. Adult HCM patients with LV systolic dysfunction have increased mortality and high rates of cardiac transplantation and LVAD implantation.</w:t>
      </w:r>
    </w:p>
    <w:p>
      <w:pPr>
        <w:spacing w:after="0" w:line="176"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 xml:space="preserve">Based on publicly available information to date, we believe there are currently no approved therapies specifically for the treatment of HCM and no therapies in clinical development specifically for HCM patients with </w:t>
      </w:r>
      <w:r>
        <w:rPr>
          <w:rFonts w:ascii="Arial" w:cs="Arial" w:eastAsia="Arial" w:hAnsi="Arial"/>
          <w:sz w:val="18"/>
          <w:szCs w:val="18"/>
          <w:i w:val="1"/>
          <w:iCs w:val="1"/>
          <w:color w:val="auto"/>
        </w:rPr>
        <w:t>MYBPC3</w:t>
      </w:r>
      <w:r>
        <w:rPr>
          <w:rFonts w:ascii="Arial" w:cs="Arial" w:eastAsia="Arial" w:hAnsi="Arial"/>
          <w:sz w:val="18"/>
          <w:szCs w:val="18"/>
          <w:color w:val="auto"/>
        </w:rPr>
        <w:t xml:space="preserve"> gene mutations.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Our Solution: MYBPC3 Gene Therapy</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 xml:space="preserve">We are developing an AAV-based gene therapy designed to deliver a fully-functional </w:t>
      </w:r>
      <w:r>
        <w:rPr>
          <w:rFonts w:ascii="Arial" w:cs="Arial" w:eastAsia="Arial" w:hAnsi="Arial"/>
          <w:sz w:val="18"/>
          <w:szCs w:val="18"/>
          <w:i w:val="1"/>
          <w:iCs w:val="1"/>
          <w:color w:val="auto"/>
        </w:rPr>
        <w:t>MYBPC3</w:t>
      </w:r>
      <w:r>
        <w:rPr>
          <w:rFonts w:ascii="Arial" w:cs="Arial" w:eastAsia="Arial" w:hAnsi="Arial"/>
          <w:sz w:val="18"/>
          <w:szCs w:val="18"/>
          <w:color w:val="auto"/>
        </w:rPr>
        <w:t xml:space="preserve"> gene driven by our proprietary heart-tropic promoter to restore normal levels of MYBPC3 protein. We believe our product candidate, TN-201, has the potential to address the underlying biological basis of disease in adult and pediatric HCM patients with </w:t>
      </w:r>
      <w:r>
        <w:rPr>
          <w:rFonts w:ascii="Arial" w:cs="Arial" w:eastAsia="Arial" w:hAnsi="Arial"/>
          <w:sz w:val="18"/>
          <w:szCs w:val="18"/>
          <w:i w:val="1"/>
          <w:iCs w:val="1"/>
          <w:color w:val="auto"/>
        </w:rPr>
        <w:t>MYBPC3</w:t>
      </w:r>
      <w:r>
        <w:rPr>
          <w:rFonts w:ascii="Arial" w:cs="Arial" w:eastAsia="Arial" w:hAnsi="Arial"/>
          <w:sz w:val="18"/>
          <w:szCs w:val="18"/>
          <w:color w:val="auto"/>
        </w:rPr>
        <w:t xml:space="preserve"> gene mutations.</w:t>
      </w:r>
    </w:p>
    <w:p>
      <w:pPr>
        <w:spacing w:after="0" w:line="184"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 xml:space="preserve">Based on our preclinical data, we believe that gene replacement, through highly specific and robust expression of </w:t>
      </w:r>
      <w:r>
        <w:rPr>
          <w:rFonts w:ascii="Arial" w:cs="Arial" w:eastAsia="Arial" w:hAnsi="Arial"/>
          <w:sz w:val="17"/>
          <w:szCs w:val="17"/>
          <w:i w:val="1"/>
          <w:iCs w:val="1"/>
          <w:color w:val="auto"/>
        </w:rPr>
        <w:t>MYBPC3,</w:t>
      </w:r>
      <w:r>
        <w:rPr>
          <w:rFonts w:ascii="Arial" w:cs="Arial" w:eastAsia="Arial" w:hAnsi="Arial"/>
          <w:sz w:val="17"/>
          <w:szCs w:val="17"/>
          <w:color w:val="auto"/>
        </w:rPr>
        <w:t xml:space="preserve"> has the potential to slow or even reverse the course of gHCM disease in patients with </w:t>
      </w:r>
      <w:r>
        <w:rPr>
          <w:rFonts w:ascii="Arial" w:cs="Arial" w:eastAsia="Arial" w:hAnsi="Arial"/>
          <w:sz w:val="17"/>
          <w:szCs w:val="17"/>
          <w:i w:val="1"/>
          <w:iCs w:val="1"/>
          <w:color w:val="auto"/>
        </w:rPr>
        <w:t>MYBPC3</w:t>
      </w:r>
      <w:r>
        <w:rPr>
          <w:rFonts w:ascii="Arial" w:cs="Arial" w:eastAsia="Arial" w:hAnsi="Arial"/>
          <w:sz w:val="17"/>
          <w:szCs w:val="17"/>
          <w:color w:val="auto"/>
        </w:rPr>
        <w:t xml:space="preserve"> mutations, including LV hypertrophy and disease progression leading to outflow tract obstruction, HF, atrial fibrillation, and malignant arrhythmias. By improving upon these aspects of disease, TN-201 may improve heart functional capacity, stabilize or reverse disease symptoms, reduce the need for invasive treatments and improve survival for the most severely impacted patients. As with other AAV-based gene therapies, benefits are expected to be durable and a one-time dose may be sufficient for disease stabilization and potentially reversal. The idea of “lock and key” gene therapy is illustrated in the diagram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139065</wp:posOffset>
            </wp:positionV>
            <wp:extent cx="5186045" cy="2057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8604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Preclinical Studies</w:t>
      </w:r>
    </w:p>
    <w:p>
      <w:pPr>
        <w:spacing w:after="0" w:line="117"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 xml:space="preserve">We developed a </w:t>
      </w:r>
      <w:r>
        <w:rPr>
          <w:rFonts w:ascii="Arial" w:cs="Arial" w:eastAsia="Arial" w:hAnsi="Arial"/>
          <w:sz w:val="18"/>
          <w:szCs w:val="18"/>
          <w:i w:val="1"/>
          <w:iCs w:val="1"/>
          <w:color w:val="auto"/>
        </w:rPr>
        <w:t>MYBPC3</w:t>
      </w:r>
      <w:r>
        <w:rPr>
          <w:rFonts w:ascii="Arial" w:cs="Arial" w:eastAsia="Arial" w:hAnsi="Arial"/>
          <w:sz w:val="18"/>
          <w:szCs w:val="18"/>
          <w:color w:val="auto"/>
        </w:rPr>
        <w:t xml:space="preserve"> knockout (KO) mouse model that simulates key aspects of the severe gHCM phenotype starting as early as two weeks of age. It is worth noting that this </w:t>
      </w:r>
      <w:r>
        <w:rPr>
          <w:rFonts w:ascii="Arial" w:cs="Arial" w:eastAsia="Arial" w:hAnsi="Arial"/>
          <w:sz w:val="18"/>
          <w:szCs w:val="18"/>
          <w:i w:val="1"/>
          <w:iCs w:val="1"/>
          <w:color w:val="auto"/>
        </w:rPr>
        <w:t>MYBPC3</w:t>
      </w:r>
      <w:r>
        <w:rPr>
          <w:rFonts w:ascii="Arial" w:cs="Arial" w:eastAsia="Arial" w:hAnsi="Arial"/>
          <w:sz w:val="18"/>
          <w:szCs w:val="18"/>
          <w:color w:val="auto"/>
        </w:rPr>
        <w:t xml:space="preserve"> KO model is homozygous, i.e., both copies of the gene are missing and so there is no production of the MYBPC3 protein. As expected, the severity of disease and the rate of disease progression are both greater than what is normally observed in most MYBPC3 patients, the majority of whom are heterozygous for </w:t>
      </w:r>
      <w:r>
        <w:rPr>
          <w:rFonts w:ascii="Arial" w:cs="Arial" w:eastAsia="Arial" w:hAnsi="Arial"/>
          <w:sz w:val="18"/>
          <w:szCs w:val="18"/>
          <w:i w:val="1"/>
          <w:iCs w:val="1"/>
          <w:color w:val="auto"/>
        </w:rPr>
        <w:t>MYBPC3</w:t>
      </w:r>
      <w:r>
        <w:rPr>
          <w:rFonts w:ascii="Arial" w:cs="Arial" w:eastAsia="Arial" w:hAnsi="Arial"/>
          <w:sz w:val="18"/>
          <w:szCs w:val="18"/>
          <w:color w:val="auto"/>
        </w:rPr>
        <w:t xml:space="preserve"> gene mutations, i.e., they have one normal, healthy copy of the gene that is producing at least some of the necessary MYBPC3 protein, plus one defective copy of the gene that is either producing no MYBPC3 protein at all or that is producing MYBPC3</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00"/>
          </w:cols>
          <w:pgMar w:left="320" w:top="459" w:right="47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 xml:space="preserve">protein that does not function properly in the sarcomere. The </w:t>
      </w:r>
      <w:r>
        <w:rPr>
          <w:rFonts w:ascii="Arial" w:cs="Arial" w:eastAsia="Arial" w:hAnsi="Arial"/>
          <w:sz w:val="18"/>
          <w:szCs w:val="18"/>
          <w:i w:val="1"/>
          <w:iCs w:val="1"/>
          <w:color w:val="auto"/>
        </w:rPr>
        <w:t>MYBPC3</w:t>
      </w:r>
      <w:r>
        <w:rPr>
          <w:rFonts w:ascii="Arial" w:cs="Arial" w:eastAsia="Arial" w:hAnsi="Arial"/>
          <w:sz w:val="18"/>
          <w:szCs w:val="18"/>
          <w:color w:val="auto"/>
        </w:rPr>
        <w:t xml:space="preserve"> KO model is nonetheless useful as it provides important proof of concept for the potentially beneficial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effect of the MYBPC3 protein replacement via a gene therapy approach.</w:t>
      </w:r>
    </w:p>
    <w:p>
      <w:pPr>
        <w:spacing w:after="0" w:line="170"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preclinical studies, we systemically administered a version of TN-201 optimized for the mouse (AAV:mMYBPC3) at 1×10</w:t>
      </w:r>
      <w:r>
        <w:rPr>
          <w:rFonts w:ascii="Arial" w:cs="Arial" w:eastAsia="Arial" w:hAnsi="Arial"/>
          <w:sz w:val="14"/>
          <w:szCs w:val="14"/>
          <w:color w:val="auto"/>
        </w:rPr>
        <w:t>14</w:t>
      </w:r>
      <w:r>
        <w:rPr>
          <w:rFonts w:ascii="Arial" w:cs="Arial" w:eastAsia="Arial" w:hAnsi="Arial"/>
          <w:sz w:val="17"/>
          <w:szCs w:val="17"/>
          <w:color w:val="auto"/>
        </w:rPr>
        <w:t xml:space="preserve"> vg/kg in two-week-old </w:t>
      </w:r>
      <w:r>
        <w:rPr>
          <w:rFonts w:ascii="Arial" w:cs="Arial" w:eastAsia="Arial" w:hAnsi="Arial"/>
          <w:sz w:val="17"/>
          <w:szCs w:val="17"/>
          <w:i w:val="1"/>
          <w:iCs w:val="1"/>
          <w:color w:val="auto"/>
        </w:rPr>
        <w:t>MYBPC3</w:t>
      </w:r>
      <w:r>
        <w:rPr>
          <w:rFonts w:ascii="Arial" w:cs="Arial" w:eastAsia="Arial" w:hAnsi="Arial"/>
          <w:sz w:val="17"/>
          <w:szCs w:val="17"/>
          <w:color w:val="auto"/>
        </w:rPr>
        <w:t xml:space="preserve"> KO mice. As shown in the figures below, treatment with AAV:mMYBPC3 improved heart function for the KO mice above their pre-treatment baseline levels, indicating partial reversal of the disease with an initial improvement of EF of more than 20% versus untreated controls that eventually increases to more than 30% at 13 months. At more than 13 months post treatment, these measures had not diminished, suggesting that a single systemic dose may be sufficient for a durable reversal of gHCM caused by </w:t>
      </w:r>
      <w:r>
        <w:rPr>
          <w:rFonts w:ascii="Arial" w:cs="Arial" w:eastAsia="Arial" w:hAnsi="Arial"/>
          <w:sz w:val="17"/>
          <w:szCs w:val="17"/>
          <w:i w:val="1"/>
          <w:iCs w:val="1"/>
          <w:color w:val="auto"/>
        </w:rPr>
        <w:t>MYBPC3</w:t>
      </w:r>
      <w:r>
        <w:rPr>
          <w:rFonts w:ascii="Arial" w:cs="Arial" w:eastAsia="Arial" w:hAnsi="Arial"/>
          <w:sz w:val="17"/>
          <w:szCs w:val="17"/>
          <w:color w:val="auto"/>
        </w:rPr>
        <w:t xml:space="preserve"> gene mutations. AAV:mMYBPC3 treatment also led to sustained improvements in LV mass normalized to body weight (BW) and EF. There is also a clear survival benefit with 100% survival in the AAV:mMYBPC3 arm and 100% mortality in the untreated control arm out to 16 months following dosing. Additionally, we observed improvements in LV diameter and ECG measurements. A summary of certain pre-clinical data supporting TN-201 was presented at the American Society of Gene and Cell Therapy (ASGCT) conference in 2021. Based on publicly available information, we believe these data are the first known demonstration of significant and durable disease reversal in a severe </w:t>
      </w:r>
      <w:r>
        <w:rPr>
          <w:rFonts w:ascii="Arial" w:cs="Arial" w:eastAsia="Arial" w:hAnsi="Arial"/>
          <w:sz w:val="17"/>
          <w:szCs w:val="17"/>
          <w:i w:val="1"/>
          <w:iCs w:val="1"/>
          <w:color w:val="auto"/>
        </w:rPr>
        <w:t>MYBPC3</w:t>
      </w:r>
      <w:r>
        <w:rPr>
          <w:rFonts w:ascii="Arial" w:cs="Arial" w:eastAsia="Arial" w:hAnsi="Arial"/>
          <w:sz w:val="17"/>
          <w:szCs w:val="17"/>
          <w:color w:val="auto"/>
        </w:rPr>
        <w:t xml:space="preserve"> KO model. Similar data have been observed in the </w:t>
      </w:r>
      <w:r>
        <w:rPr>
          <w:rFonts w:ascii="Arial" w:cs="Arial" w:eastAsia="Arial" w:hAnsi="Arial"/>
          <w:sz w:val="17"/>
          <w:szCs w:val="17"/>
          <w:i w:val="1"/>
          <w:iCs w:val="1"/>
          <w:color w:val="auto"/>
        </w:rPr>
        <w:t>MYBPC3</w:t>
      </w:r>
      <w:r>
        <w:rPr>
          <w:rFonts w:ascii="Arial" w:cs="Arial" w:eastAsia="Arial" w:hAnsi="Arial"/>
          <w:sz w:val="17"/>
          <w:szCs w:val="17"/>
          <w:color w:val="auto"/>
        </w:rPr>
        <w:t xml:space="preserve"> KO mouse model with our product candidate TN-201, using a human version of the </w:t>
      </w:r>
      <w:r>
        <w:rPr>
          <w:rFonts w:ascii="Arial" w:cs="Arial" w:eastAsia="Arial" w:hAnsi="Arial"/>
          <w:sz w:val="17"/>
          <w:szCs w:val="17"/>
          <w:i w:val="1"/>
          <w:iCs w:val="1"/>
          <w:color w:val="auto"/>
        </w:rPr>
        <w:t>MYBPC3</w:t>
      </w:r>
      <w:r>
        <w:rPr>
          <w:rFonts w:ascii="Arial" w:cs="Arial" w:eastAsia="Arial" w:hAnsi="Arial"/>
          <w:sz w:val="17"/>
          <w:szCs w:val="17"/>
          <w:color w:val="auto"/>
        </w:rPr>
        <w:t xml:space="preserve"> gene.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141605</wp:posOffset>
            </wp:positionV>
            <wp:extent cx="5194935" cy="45091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94935" cy="4509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00"/>
          </w:cols>
          <w:pgMar w:left="320" w:top="459" w:right="47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In addition, a dose-response relationship has been demonstrated with AAV:mMYBPC3. As shown below, 1×10</w:t>
      </w:r>
      <w:r>
        <w:rPr>
          <w:rFonts w:ascii="Arial" w:cs="Arial" w:eastAsia="Arial" w:hAnsi="Arial"/>
          <w:sz w:val="14"/>
          <w:szCs w:val="14"/>
          <w:color w:val="auto"/>
        </w:rPr>
        <w:t>13</w:t>
      </w:r>
      <w:r>
        <w:rPr>
          <w:rFonts w:ascii="Arial" w:cs="Arial" w:eastAsia="Arial" w:hAnsi="Arial"/>
          <w:sz w:val="17"/>
          <w:szCs w:val="17"/>
          <w:color w:val="auto"/>
        </w:rPr>
        <w:t xml:space="preserve"> vg/kg, 3×10</w:t>
      </w:r>
      <w:r>
        <w:rPr>
          <w:rFonts w:ascii="Arial" w:cs="Arial" w:eastAsia="Arial" w:hAnsi="Arial"/>
          <w:sz w:val="14"/>
          <w:szCs w:val="14"/>
          <w:color w:val="auto"/>
        </w:rPr>
        <w:t>13</w:t>
      </w:r>
      <w:r>
        <w:rPr>
          <w:rFonts w:ascii="Arial" w:cs="Arial" w:eastAsia="Arial" w:hAnsi="Arial"/>
          <w:sz w:val="17"/>
          <w:szCs w:val="17"/>
          <w:color w:val="auto"/>
        </w:rPr>
        <w:t xml:space="preserve"> vg/kg and 1×10</w:t>
      </w:r>
      <w:r>
        <w:rPr>
          <w:rFonts w:ascii="Arial" w:cs="Arial" w:eastAsia="Arial" w:hAnsi="Arial"/>
          <w:sz w:val="14"/>
          <w:szCs w:val="14"/>
          <w:color w:val="auto"/>
        </w:rPr>
        <w:t>14</w:t>
      </w:r>
      <w:r>
        <w:rPr>
          <w:rFonts w:ascii="Arial" w:cs="Arial" w:eastAsia="Arial" w:hAnsi="Arial"/>
          <w:sz w:val="17"/>
          <w:szCs w:val="17"/>
          <w:color w:val="auto"/>
        </w:rPr>
        <w:t xml:space="preserve"> vg/kg weight-based doses all produced significant improvements in EF, LV mass normalized to body mass (LVM/BM), and measures of electrophysiological function (QT interval) at eight months post-injection in the </w:t>
      </w:r>
      <w:r>
        <w:rPr>
          <w:rFonts w:ascii="Arial" w:cs="Arial" w:eastAsia="Arial" w:hAnsi="Arial"/>
          <w:sz w:val="17"/>
          <w:szCs w:val="17"/>
          <w:i w:val="1"/>
          <w:iCs w:val="1"/>
          <w:color w:val="auto"/>
        </w:rPr>
        <w:t>MYBPC3</w:t>
      </w:r>
      <w:r>
        <w:rPr>
          <w:rFonts w:ascii="Arial" w:cs="Arial" w:eastAsia="Arial" w:hAnsi="Arial"/>
          <w:sz w:val="17"/>
          <w:szCs w:val="17"/>
          <w:color w:val="auto"/>
        </w:rPr>
        <w:t xml:space="preserve"> KO HCM mouse model. The 1×10</w:t>
      </w:r>
      <w:r>
        <w:rPr>
          <w:rFonts w:ascii="Arial" w:cs="Arial" w:eastAsia="Arial" w:hAnsi="Arial"/>
          <w:sz w:val="14"/>
          <w:szCs w:val="14"/>
          <w:color w:val="auto"/>
        </w:rPr>
        <w:t>13</w:t>
      </w:r>
      <w:r>
        <w:rPr>
          <w:rFonts w:ascii="Arial" w:cs="Arial" w:eastAsia="Arial" w:hAnsi="Arial"/>
          <w:sz w:val="17"/>
          <w:szCs w:val="17"/>
          <w:color w:val="auto"/>
        </w:rPr>
        <w:t xml:space="preserve"> vg/kg dose had the lowest levels of efficacy, while the 3×10</w:t>
      </w:r>
      <w:r>
        <w:rPr>
          <w:rFonts w:ascii="Arial" w:cs="Arial" w:eastAsia="Arial" w:hAnsi="Arial"/>
          <w:sz w:val="14"/>
          <w:szCs w:val="14"/>
          <w:color w:val="auto"/>
        </w:rPr>
        <w:t>13</w:t>
      </w:r>
      <w:r>
        <w:rPr>
          <w:rFonts w:ascii="Arial" w:cs="Arial" w:eastAsia="Arial" w:hAnsi="Arial"/>
          <w:sz w:val="17"/>
          <w:szCs w:val="17"/>
          <w:color w:val="auto"/>
        </w:rPr>
        <w:t xml:space="preserve"> vg/kg had high improvement in the EF, similar to the 1×10</w:t>
      </w:r>
      <w:r>
        <w:rPr>
          <w:rFonts w:ascii="Arial" w:cs="Arial" w:eastAsia="Arial" w:hAnsi="Arial"/>
          <w:sz w:val="14"/>
          <w:szCs w:val="14"/>
          <w:color w:val="auto"/>
        </w:rPr>
        <w:t>14</w:t>
      </w:r>
      <w:r>
        <w:rPr>
          <w:rFonts w:ascii="Arial" w:cs="Arial" w:eastAsia="Arial" w:hAnsi="Arial"/>
          <w:sz w:val="17"/>
          <w:szCs w:val="17"/>
          <w:color w:val="auto"/>
        </w:rPr>
        <w:t xml:space="preserve"> vg/kg dose, suggesting a plateau in the dose-response curve. A similar dose response has also been observed with TN-201 in the </w:t>
      </w:r>
      <w:r>
        <w:rPr>
          <w:rFonts w:ascii="Arial" w:cs="Arial" w:eastAsia="Arial" w:hAnsi="Arial"/>
          <w:sz w:val="17"/>
          <w:szCs w:val="17"/>
          <w:i w:val="1"/>
          <w:iCs w:val="1"/>
          <w:color w:val="auto"/>
        </w:rPr>
        <w:t>MYBPC3</w:t>
      </w:r>
      <w:r>
        <w:rPr>
          <w:rFonts w:ascii="Arial" w:cs="Arial" w:eastAsia="Arial" w:hAnsi="Arial"/>
          <w:sz w:val="17"/>
          <w:szCs w:val="17"/>
          <w:color w:val="auto"/>
        </w:rPr>
        <w:t xml:space="preserve"> KO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137795</wp:posOffset>
            </wp:positionV>
            <wp:extent cx="5014595" cy="22117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014595"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Based on these data, it may be feasible to consider doses for TN-201 in the 3×10</w:t>
      </w:r>
      <w:r>
        <w:rPr>
          <w:rFonts w:ascii="Arial" w:cs="Arial" w:eastAsia="Arial" w:hAnsi="Arial"/>
          <w:sz w:val="13"/>
          <w:szCs w:val="13"/>
          <w:color w:val="auto"/>
        </w:rPr>
        <w:t>13</w:t>
      </w:r>
      <w:r>
        <w:rPr>
          <w:rFonts w:ascii="Arial" w:cs="Arial" w:eastAsia="Arial" w:hAnsi="Arial"/>
          <w:sz w:val="16"/>
          <w:szCs w:val="16"/>
          <w:color w:val="auto"/>
        </w:rPr>
        <w:t xml:space="preserve"> vg/kg to 1×10</w:t>
      </w:r>
      <w:r>
        <w:rPr>
          <w:rFonts w:ascii="Arial" w:cs="Arial" w:eastAsia="Arial" w:hAnsi="Arial"/>
          <w:sz w:val="13"/>
          <w:szCs w:val="13"/>
          <w:color w:val="auto"/>
        </w:rPr>
        <w:t>14</w:t>
      </w:r>
      <w:r>
        <w:rPr>
          <w:rFonts w:ascii="Arial" w:cs="Arial" w:eastAsia="Arial" w:hAnsi="Arial"/>
          <w:sz w:val="16"/>
          <w:szCs w:val="16"/>
          <w:color w:val="auto"/>
        </w:rPr>
        <w:t xml:space="preserve"> vg/kg range during clinical development. This dose range is also within the dose ranges reported by other companies in connection with an FDA-approved product and clinical studies of product candidates using AAV9 for gene therapy, including where the primary intended organ for the product candidate is the heart.</w:t>
      </w:r>
    </w:p>
    <w:p>
      <w:pPr>
        <w:spacing w:after="0" w:line="14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 xml:space="preserve">At these doses of AAV9:mMYBPC3, we found that the vector copy number (VCN) from the heart samples of mice and NHPs are equal to or greater than the desired 1 vector genome per diploid genome (vg/dg) threshold. The significance of this threshold is that with a VCN greater than 1, each CM in the heart sample has on average at least 1 functional copy of the </w:t>
      </w:r>
      <w:r>
        <w:rPr>
          <w:rFonts w:ascii="Arial" w:cs="Arial" w:eastAsia="Arial" w:hAnsi="Arial"/>
          <w:sz w:val="17"/>
          <w:szCs w:val="17"/>
          <w:i w:val="1"/>
          <w:iCs w:val="1"/>
          <w:color w:val="auto"/>
        </w:rPr>
        <w:t>MYBPC3</w:t>
      </w:r>
      <w:r>
        <w:rPr>
          <w:rFonts w:ascii="Arial" w:cs="Arial" w:eastAsia="Arial" w:hAnsi="Arial"/>
          <w:sz w:val="17"/>
          <w:szCs w:val="17"/>
          <w:color w:val="auto"/>
        </w:rPr>
        <w:t xml:space="preserve"> gene, which we believe may be enough to compensate for the mutated gene. Data in the public domain presented by other companies also demonstrated that AAV9 gene therapies administered at similar doses also resulted in VCN greater than 1 in multiple species including mice and pigs as well as in clinical studies with children and adults.</w:t>
      </w:r>
    </w:p>
    <w:p>
      <w:pPr>
        <w:spacing w:after="0" w:line="176"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One-time dosing of AAV:mMYBPC3 at 3x10</w:t>
      </w:r>
      <w:r>
        <w:rPr>
          <w:rFonts w:ascii="Arial" w:cs="Arial" w:eastAsia="Arial" w:hAnsi="Arial"/>
          <w:sz w:val="14"/>
          <w:szCs w:val="14"/>
          <w:color w:val="auto"/>
        </w:rPr>
        <w:t>13</w:t>
      </w:r>
      <w:r>
        <w:rPr>
          <w:rFonts w:ascii="Arial" w:cs="Arial" w:eastAsia="Arial" w:hAnsi="Arial"/>
          <w:sz w:val="17"/>
          <w:szCs w:val="17"/>
          <w:color w:val="auto"/>
        </w:rPr>
        <w:t xml:space="preserve"> and 1x10</w:t>
      </w:r>
      <w:r>
        <w:rPr>
          <w:rFonts w:ascii="Arial" w:cs="Arial" w:eastAsia="Arial" w:hAnsi="Arial"/>
          <w:sz w:val="14"/>
          <w:szCs w:val="14"/>
          <w:color w:val="auto"/>
        </w:rPr>
        <w:t>14</w:t>
      </w:r>
      <w:r>
        <w:rPr>
          <w:rFonts w:ascii="Arial" w:cs="Arial" w:eastAsia="Arial" w:hAnsi="Arial"/>
          <w:sz w:val="17"/>
          <w:szCs w:val="17"/>
          <w:color w:val="auto"/>
        </w:rPr>
        <w:t xml:space="preserve"> vg/kg achieved normal levels of protein expression in </w:t>
      </w:r>
      <w:r>
        <w:rPr>
          <w:rFonts w:ascii="Arial" w:cs="Arial" w:eastAsia="Arial" w:hAnsi="Arial"/>
          <w:sz w:val="17"/>
          <w:szCs w:val="17"/>
          <w:i w:val="1"/>
          <w:iCs w:val="1"/>
          <w:color w:val="auto"/>
        </w:rPr>
        <w:t>MYBPC3</w:t>
      </w:r>
      <w:r>
        <w:rPr>
          <w:rFonts w:ascii="Arial" w:cs="Arial" w:eastAsia="Arial" w:hAnsi="Arial"/>
          <w:sz w:val="17"/>
          <w:szCs w:val="17"/>
          <w:color w:val="auto"/>
        </w:rPr>
        <w:t xml:space="preserve"> KO mouse model hearts within two to six weeks following delivery. As the </w:t>
      </w:r>
      <w:r>
        <w:rPr>
          <w:rFonts w:ascii="Arial" w:cs="Arial" w:eastAsia="Arial" w:hAnsi="Arial"/>
          <w:sz w:val="17"/>
          <w:szCs w:val="17"/>
          <w:i w:val="1"/>
          <w:iCs w:val="1"/>
          <w:color w:val="auto"/>
        </w:rPr>
        <w:t>MYBPC3</w:t>
      </w:r>
      <w:r>
        <w:rPr>
          <w:rFonts w:ascii="Arial" w:cs="Arial" w:eastAsia="Arial" w:hAnsi="Arial"/>
          <w:sz w:val="17"/>
          <w:szCs w:val="17"/>
          <w:color w:val="auto"/>
        </w:rPr>
        <w:t xml:space="preserve"> KO model does not produce any functional MYBPC3 protein, these data illustrate that AAV:mMYBPC3 is able to express 100% of the normal level of the protein. By comparison, severe symptomatic patients that are heterozygous for </w:t>
      </w:r>
      <w:r>
        <w:rPr>
          <w:rFonts w:ascii="Arial" w:cs="Arial" w:eastAsia="Arial" w:hAnsi="Arial"/>
          <w:sz w:val="17"/>
          <w:szCs w:val="17"/>
          <w:i w:val="1"/>
          <w:iCs w:val="1"/>
          <w:color w:val="auto"/>
        </w:rPr>
        <w:t xml:space="preserve">MYBPC3 </w:t>
      </w:r>
      <w:r>
        <w:rPr>
          <w:rFonts w:ascii="Arial" w:cs="Arial" w:eastAsia="Arial" w:hAnsi="Arial"/>
          <w:sz w:val="17"/>
          <w:szCs w:val="17"/>
          <w:color w:val="auto"/>
        </w:rPr>
        <w:t>truncation mutations on average already produce 60% of the normal level of this protein, we believe suggesting that TN-201 needs to produce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no more than 40% of the normal level of MYBPC3 protein in such patients. From our preclinical studies with the </w:t>
      </w:r>
      <w:r>
        <w:rPr>
          <w:rFonts w:ascii="Arial" w:cs="Arial" w:eastAsia="Arial" w:hAnsi="Arial"/>
          <w:sz w:val="17"/>
          <w:szCs w:val="17"/>
          <w:i w:val="1"/>
          <w:iCs w:val="1"/>
          <w:color w:val="auto"/>
        </w:rPr>
        <w:t>MYBPC3</w:t>
      </w:r>
      <w:r>
        <w:rPr>
          <w:rFonts w:ascii="Arial" w:cs="Arial" w:eastAsia="Arial" w:hAnsi="Arial"/>
          <w:sz w:val="17"/>
          <w:szCs w:val="17"/>
          <w:color w:val="auto"/>
        </w:rPr>
        <w:t xml:space="preserve"> KO model, we have not observed MYBPC3 protein levels substantially above normal levels, suggesting that protein accumulation does not occur and supporting the potential for a broad therapeutic index with lessened concern of overexpression-related potential toxicities.</w:t>
      </w:r>
    </w:p>
    <w:p>
      <w:pPr>
        <w:spacing w:after="0" w:line="17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 xml:space="preserve">In addition, histological assessments of AAV:mMYBPC3 treated </w:t>
      </w:r>
      <w:r>
        <w:rPr>
          <w:rFonts w:ascii="Arial" w:cs="Arial" w:eastAsia="Arial" w:hAnsi="Arial"/>
          <w:sz w:val="16"/>
          <w:szCs w:val="16"/>
          <w:i w:val="1"/>
          <w:iCs w:val="1"/>
          <w:color w:val="auto"/>
        </w:rPr>
        <w:t>MYBPC3</w:t>
      </w:r>
      <w:r>
        <w:rPr>
          <w:rFonts w:ascii="Arial" w:cs="Arial" w:eastAsia="Arial" w:hAnsi="Arial"/>
          <w:sz w:val="16"/>
          <w:szCs w:val="16"/>
          <w:color w:val="auto"/>
        </w:rPr>
        <w:t xml:space="preserve"> KO model murine hearts support the uniform and robust distribution of expression following AAV:mMYBPC3 infusion, suggesting gene therapy may be able to replace the missing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uniformly across the heart and this observation is consistent with heart biopsy samples from patients treated with other AAV9-based gene therapies in development.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The figure below demonstrates a restoration of MYBPC3 protein levels to wildtype levels within two weeks following a single dose of AAV:mMYBPC3 at the 3×10</w:t>
      </w:r>
      <w:r>
        <w:rPr>
          <w:rFonts w:ascii="Arial" w:cs="Arial" w:eastAsia="Arial" w:hAnsi="Arial"/>
          <w:sz w:val="15"/>
          <w:szCs w:val="15"/>
          <w:color w:val="auto"/>
        </w:rPr>
        <w:t>13</w:t>
      </w:r>
      <w:r>
        <w:rPr>
          <w:rFonts w:ascii="Arial" w:cs="Arial" w:eastAsia="Arial" w:hAnsi="Arial"/>
          <w:sz w:val="18"/>
          <w:szCs w:val="18"/>
          <w:color w:val="auto"/>
        </w:rPr>
        <w:t xml:space="preserve"> vg/kg and 1×10</w:t>
      </w:r>
      <w:r>
        <w:rPr>
          <w:rFonts w:ascii="Arial" w:cs="Arial" w:eastAsia="Arial" w:hAnsi="Arial"/>
          <w:sz w:val="15"/>
          <w:szCs w:val="15"/>
          <w:color w:val="auto"/>
        </w:rPr>
        <w:t>14</w:t>
      </w:r>
      <w:r>
        <w:rPr>
          <w:rFonts w:ascii="Arial" w:cs="Arial" w:eastAsia="Arial" w:hAnsi="Arial"/>
          <w:sz w:val="18"/>
          <w:szCs w:val="18"/>
          <w:color w:val="auto"/>
        </w:rPr>
        <w:t xml:space="preserve"> vg/kg dose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133985</wp:posOffset>
            </wp:positionV>
            <wp:extent cx="5820410" cy="23399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820410"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 xml:space="preserve">Consistent with observed therapeutic benefit, treatment of </w:t>
      </w:r>
      <w:r>
        <w:rPr>
          <w:rFonts w:ascii="Arial" w:cs="Arial" w:eastAsia="Arial" w:hAnsi="Arial"/>
          <w:sz w:val="17"/>
          <w:szCs w:val="17"/>
          <w:i w:val="1"/>
          <w:iCs w:val="1"/>
          <w:color w:val="auto"/>
        </w:rPr>
        <w:t>MYBPC3</w:t>
      </w:r>
      <w:r>
        <w:rPr>
          <w:rFonts w:ascii="Arial" w:cs="Arial" w:eastAsia="Arial" w:hAnsi="Arial"/>
          <w:sz w:val="17"/>
          <w:szCs w:val="17"/>
          <w:color w:val="auto"/>
        </w:rPr>
        <w:t xml:space="preserve"> KO mice with AAV:mMYBPC3 is also associated with a substantial reduction of expression of genes associated with fibrosis and B-type natriuretic peptide (BNP), a circulating factor associated with heart damage and heart wall stretch. We intend to evaluate the impact of treatment on BNP as a potential PD biomarker in initial clinical studies.</w:t>
      </w:r>
    </w:p>
    <w:p>
      <w:pPr>
        <w:spacing w:after="0" w:line="165"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The figures below shows dose-dependent inhibition of expression of genes associated with cardiac strain (Nppa, Nppb, and Myh7) and fibrosis (</w:t>
      </w:r>
      <w:r>
        <w:rPr>
          <w:rFonts w:ascii="Arial" w:cs="Arial" w:eastAsia="Arial" w:hAnsi="Arial"/>
          <w:sz w:val="17"/>
          <w:szCs w:val="17"/>
          <w:i w:val="1"/>
          <w:iCs w:val="1"/>
          <w:color w:val="auto"/>
        </w:rPr>
        <w:t>Col1a1, Col4a1, and Postn</w:t>
      </w:r>
      <w:r>
        <w:rPr>
          <w:rFonts w:ascii="Arial" w:cs="Arial" w:eastAsia="Arial" w:hAnsi="Arial"/>
          <w:sz w:val="17"/>
          <w:szCs w:val="17"/>
          <w:color w:val="auto"/>
        </w:rPr>
        <w:t>) following a single dose of AAV:mMYBPC3 at the 3×10</w:t>
      </w:r>
      <w:r>
        <w:rPr>
          <w:rFonts w:ascii="Arial" w:cs="Arial" w:eastAsia="Arial" w:hAnsi="Arial"/>
          <w:sz w:val="14"/>
          <w:szCs w:val="14"/>
          <w:color w:val="auto"/>
        </w:rPr>
        <w:t>13</w:t>
      </w:r>
      <w:r>
        <w:rPr>
          <w:rFonts w:ascii="Arial" w:cs="Arial" w:eastAsia="Arial" w:hAnsi="Arial"/>
          <w:sz w:val="17"/>
          <w:szCs w:val="17"/>
          <w:color w:val="auto"/>
        </w:rPr>
        <w:t xml:space="preserve"> vg/kg and 1×10</w:t>
      </w:r>
      <w:r>
        <w:rPr>
          <w:rFonts w:ascii="Arial" w:cs="Arial" w:eastAsia="Arial" w:hAnsi="Arial"/>
          <w:sz w:val="14"/>
          <w:szCs w:val="14"/>
          <w:color w:val="auto"/>
        </w:rPr>
        <w:t>14</w:t>
      </w:r>
      <w:r>
        <w:rPr>
          <w:rFonts w:ascii="Arial" w:cs="Arial" w:eastAsia="Arial" w:hAnsi="Arial"/>
          <w:sz w:val="17"/>
          <w:szCs w:val="17"/>
          <w:color w:val="auto"/>
        </w:rPr>
        <w:t xml:space="preserve"> vg/kg dose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-34290</wp:posOffset>
            </wp:positionV>
            <wp:extent cx="3206115" cy="31889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206115" cy="318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0860"/>
          </w:cols>
          <w:pgMar w:left="320" w:top="459" w:right="71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 xml:space="preserve">Treatment with either TN-201 or AAV:mMYBPC3 in the </w:t>
      </w:r>
      <w:r>
        <w:rPr>
          <w:rFonts w:ascii="Arial" w:cs="Arial" w:eastAsia="Arial" w:hAnsi="Arial"/>
          <w:sz w:val="17"/>
          <w:szCs w:val="17"/>
          <w:i w:val="1"/>
          <w:iCs w:val="1"/>
          <w:color w:val="auto"/>
        </w:rPr>
        <w:t>MYBPC3</w:t>
      </w:r>
      <w:r>
        <w:rPr>
          <w:rFonts w:ascii="Arial" w:cs="Arial" w:eastAsia="Arial" w:hAnsi="Arial"/>
          <w:sz w:val="17"/>
          <w:szCs w:val="17"/>
          <w:color w:val="auto"/>
        </w:rPr>
        <w:t xml:space="preserve"> KO model has not been associated with significant BW differences, clinical observations, or differences in histopathological assessments across dose levels. In addition, no impact on BW has been observed at dose levels between 3×10</w:t>
      </w:r>
      <w:r>
        <w:rPr>
          <w:rFonts w:ascii="Arial" w:cs="Arial" w:eastAsia="Arial" w:hAnsi="Arial"/>
          <w:sz w:val="14"/>
          <w:szCs w:val="14"/>
          <w:color w:val="auto"/>
        </w:rPr>
        <w:t>13</w:t>
      </w:r>
      <w:r>
        <w:rPr>
          <w:rFonts w:ascii="Arial" w:cs="Arial" w:eastAsia="Arial" w:hAnsi="Arial"/>
          <w:sz w:val="17"/>
          <w:szCs w:val="17"/>
          <w:color w:val="auto"/>
        </w:rPr>
        <w:t xml:space="preserve"> vg/kg and 6×10</w:t>
      </w:r>
      <w:r>
        <w:rPr>
          <w:rFonts w:ascii="Arial" w:cs="Arial" w:eastAsia="Arial" w:hAnsi="Arial"/>
          <w:sz w:val="14"/>
          <w:szCs w:val="14"/>
          <w:color w:val="auto"/>
        </w:rPr>
        <w:t>14</w:t>
      </w:r>
      <w:r>
        <w:rPr>
          <w:rFonts w:ascii="Arial" w:cs="Arial" w:eastAsia="Arial" w:hAnsi="Arial"/>
          <w:sz w:val="17"/>
          <w:szCs w:val="17"/>
          <w:color w:val="auto"/>
        </w:rPr>
        <w:t xml:space="preserve"> vg/kg in safety studies in wildtype neonatal mice twelve weeks after dosing. The 6×10</w:t>
      </w:r>
      <w:r>
        <w:rPr>
          <w:rFonts w:ascii="Arial" w:cs="Arial" w:eastAsia="Arial" w:hAnsi="Arial"/>
          <w:sz w:val="14"/>
          <w:szCs w:val="14"/>
          <w:color w:val="auto"/>
        </w:rPr>
        <w:t>14</w:t>
      </w:r>
      <w:r>
        <w:rPr>
          <w:rFonts w:ascii="Arial" w:cs="Arial" w:eastAsia="Arial" w:hAnsi="Arial"/>
          <w:sz w:val="17"/>
          <w:szCs w:val="17"/>
          <w:color w:val="auto"/>
        </w:rPr>
        <w:t xml:space="preserve"> vg/kg dose level is estimated to be six to 20 times greater than the approximated target dose, further supporting a broad therapeutic index.</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Comparison with Previously Published Results for Our MYBPC3 Gene Therapy</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 xml:space="preserve">Our approach is differentiated from previously published MYBPC3 gene therapy approaches. During optimization of our MYBPC3 gene therapies, we discovered a CM-specific promoter, TNP-CM1, with improved performance attributes as compared to the standard cTnT promoter.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analyses confirmed that TNP-CM1 significantly increased expression of the </w:t>
      </w:r>
      <w:r>
        <w:rPr>
          <w:rFonts w:ascii="Arial" w:cs="Arial" w:eastAsia="Arial" w:hAnsi="Arial"/>
          <w:sz w:val="17"/>
          <w:szCs w:val="17"/>
          <w:i w:val="1"/>
          <w:iCs w:val="1"/>
          <w:color w:val="auto"/>
        </w:rPr>
        <w:t>MYBPC3</w:t>
      </w:r>
      <w:r>
        <w:rPr>
          <w:rFonts w:ascii="Arial" w:cs="Arial" w:eastAsia="Arial" w:hAnsi="Arial"/>
          <w:sz w:val="17"/>
          <w:szCs w:val="17"/>
          <w:color w:val="auto"/>
        </w:rPr>
        <w:t xml:space="preserve"> gene compared to what can be achieved with the standard cTnT promoter. See “Business—Our Approach and Capabilities—3. Promoters and Regulatory Elements.” TNP-CM1 has been tested in a hiPSC-CM disease model, in multiple murine models, and in NHPs. As demonstrated below, our proprietary cassette significantly improved heart function in our </w:t>
      </w:r>
      <w:r>
        <w:rPr>
          <w:rFonts w:ascii="Arial" w:cs="Arial" w:eastAsia="Arial" w:hAnsi="Arial"/>
          <w:sz w:val="17"/>
          <w:szCs w:val="17"/>
          <w:i w:val="1"/>
          <w:iCs w:val="1"/>
          <w:color w:val="auto"/>
        </w:rPr>
        <w:t>MYBPC3</w:t>
      </w:r>
      <w:r>
        <w:rPr>
          <w:rFonts w:ascii="Arial" w:cs="Arial" w:eastAsia="Arial" w:hAnsi="Arial"/>
          <w:sz w:val="17"/>
          <w:szCs w:val="17"/>
          <w:color w:val="auto"/>
        </w:rPr>
        <w:t xml:space="preserve"> KO mouse model in comparison to a published construct containing a standard cTnT promoter and utilizing the same AAV capsid. These data are also significant as the </w:t>
      </w:r>
      <w:r>
        <w:rPr>
          <w:rFonts w:ascii="Arial" w:cs="Arial" w:eastAsia="Arial" w:hAnsi="Arial"/>
          <w:sz w:val="17"/>
          <w:szCs w:val="17"/>
          <w:i w:val="1"/>
          <w:iCs w:val="1"/>
          <w:color w:val="auto"/>
        </w:rPr>
        <w:t>MYBPC3</w:t>
      </w:r>
      <w:r>
        <w:rPr>
          <w:rFonts w:ascii="Arial" w:cs="Arial" w:eastAsia="Arial" w:hAnsi="Arial"/>
          <w:sz w:val="17"/>
          <w:szCs w:val="17"/>
          <w:color w:val="auto"/>
        </w:rPr>
        <w:t xml:space="preserve"> KO models were treated at three months of age (rather than two weeks) suggesting that it is possible to reverse cardiac dysfunction even after significant onset of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139065</wp:posOffset>
            </wp:positionV>
            <wp:extent cx="4080510" cy="26657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080510" cy="2665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Planned Clinical Development</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 xml:space="preserve">TN-201 was selected as the development candidate for the MYBPC3 gene therapy program. The manufacturing process for TN-201 drug substance has been locked at the 200L scale. We intend to submit an IND or CTA to the FDA or EMA, respectively, in 2022. If our IND or CTA is approved, we plan to initiate global first-in-human studies in patients with </w:t>
      </w:r>
      <w:r>
        <w:rPr>
          <w:rFonts w:ascii="Arial" w:cs="Arial" w:eastAsia="Arial" w:hAnsi="Arial"/>
          <w:sz w:val="18"/>
          <w:szCs w:val="18"/>
          <w:i w:val="1"/>
          <w:iCs w:val="1"/>
          <w:color w:val="auto"/>
        </w:rPr>
        <w:t>MYBPC3</w:t>
      </w:r>
      <w:r>
        <w:rPr>
          <w:rFonts w:ascii="Arial" w:cs="Arial" w:eastAsia="Arial" w:hAnsi="Arial"/>
          <w:sz w:val="18"/>
          <w:szCs w:val="18"/>
          <w:color w:val="auto"/>
        </w:rPr>
        <w:t xml:space="preserve"> gene mutations. We have obtained useful feedback from regulatory authorities in multiple countries and the FDA has granted orphan drug designation for TN-201.</w:t>
      </w:r>
    </w:p>
    <w:p>
      <w:pPr>
        <w:spacing w:after="0" w:line="18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 xml:space="preserve">As the mechanism of action for TN-201 is relevant for patients with </w:t>
      </w:r>
      <w:r>
        <w:rPr>
          <w:rFonts w:ascii="Arial" w:cs="Arial" w:eastAsia="Arial" w:hAnsi="Arial"/>
          <w:sz w:val="17"/>
          <w:szCs w:val="17"/>
          <w:i w:val="1"/>
          <w:iCs w:val="1"/>
          <w:color w:val="auto"/>
        </w:rPr>
        <w:t>MYBPC3</w:t>
      </w:r>
      <w:r>
        <w:rPr>
          <w:rFonts w:ascii="Arial" w:cs="Arial" w:eastAsia="Arial" w:hAnsi="Arial"/>
          <w:sz w:val="17"/>
          <w:szCs w:val="17"/>
          <w:color w:val="auto"/>
        </w:rPr>
        <w:t xml:space="preserve"> gene mutations that present with either oHCM or nHCM, we intend to explore the effect of TN-201 in both populations in clinical studies. During clinical development, we plan to assess clinically relevant PD markers and echo parameters that have been shown to have meaningful changes within a few weeks to months in prior trials of HCM patients.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20"/>
          </w:cols>
          <w:pgMar w:left="320" w:top="459" w:right="4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 xml:space="preserve">We also plan to initiate a prospective and retrospective natural history study in patients with </w:t>
      </w:r>
      <w:r>
        <w:rPr>
          <w:rFonts w:ascii="Arial" w:cs="Arial" w:eastAsia="Arial" w:hAnsi="Arial"/>
          <w:sz w:val="17"/>
          <w:szCs w:val="17"/>
          <w:i w:val="1"/>
          <w:iCs w:val="1"/>
          <w:color w:val="auto"/>
        </w:rPr>
        <w:t>MYBPC3</w:t>
      </w:r>
      <w:r>
        <w:rPr>
          <w:rFonts w:ascii="Arial" w:cs="Arial" w:eastAsia="Arial" w:hAnsi="Arial"/>
          <w:sz w:val="17"/>
          <w:szCs w:val="17"/>
          <w:color w:val="auto"/>
        </w:rPr>
        <w:t xml:space="preserve"> mutation-associated cardiomyopathy by the end of 2021. The objective of the natural history study, a non-interventional clinical study that follows patients with </w:t>
      </w:r>
      <w:r>
        <w:rPr>
          <w:rFonts w:ascii="Arial" w:cs="Arial" w:eastAsia="Arial" w:hAnsi="Arial"/>
          <w:sz w:val="17"/>
          <w:szCs w:val="17"/>
          <w:i w:val="1"/>
          <w:iCs w:val="1"/>
          <w:color w:val="auto"/>
        </w:rPr>
        <w:t>MYBPC3</w:t>
      </w:r>
      <w:r>
        <w:rPr>
          <w:rFonts w:ascii="Arial" w:cs="Arial" w:eastAsia="Arial" w:hAnsi="Arial"/>
          <w:sz w:val="17"/>
          <w:szCs w:val="17"/>
          <w:color w:val="auto"/>
        </w:rPr>
        <w:t xml:space="preserve"> mutations over time, is to characterize the outcomes, burden of illness, risk factors, quality of life, and biomarkers associated with disease progression in patients with cardiomyopathy due to </w:t>
      </w:r>
      <w:r>
        <w:rPr>
          <w:rFonts w:ascii="Arial" w:cs="Arial" w:eastAsia="Arial" w:hAnsi="Arial"/>
          <w:sz w:val="17"/>
          <w:szCs w:val="17"/>
          <w:i w:val="1"/>
          <w:iCs w:val="1"/>
          <w:color w:val="auto"/>
        </w:rPr>
        <w:t>MYBPC3</w:t>
      </w:r>
      <w:r>
        <w:rPr>
          <w:rFonts w:ascii="Arial" w:cs="Arial" w:eastAsia="Arial" w:hAnsi="Arial"/>
          <w:sz w:val="17"/>
          <w:szCs w:val="17"/>
          <w:color w:val="auto"/>
        </w:rPr>
        <w:t xml:space="preserve"> mutations as well as treatments, procedures, and patient outcomes.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HDAC6i Program for HFpEF and gDCM</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 xml:space="preserve">We are developing an HDAC6i small molecule for various forms of HF, including HFpEF. This disease involves systemic inflammation, left ventricular hypertrophy, fibrosis, and diastolic dysfunction resulting in high morbidity and mortality in affected individuals. HFpEF is one of the greatest areas of unmet need in heart disease with more than three million patients in the United States and currently no approved disease-modifying therapies. Our product candidate, TYA-11631, is a differentiated compound with unique chemical structures and high specificity for HDAC6. We have demonstrated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activity of our HDAC6 molecules in multiple animal models, including significant disease reversal in two different models of HFpEF as well as tolerability in mice and NHPs. Based on publicly available information to date, we believe, TYA-11631 is the first HDAC6i being developed for heart disease. We have initiated IND-enabling activities and intend to submit an IND to the FDA in 2022.</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Overview of HFpEF</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HFpEF is generally defined as HF with an EF greater than or equal to 50%. In patients with HFpEF, the LV is stiffened and does not adequately relax, and increased pressure is needed for the ventricle to properly fill. As a result, blood begins to build up inside the left atrium of the heart and eventually swells into the lungs, veins and tissues of the body. HFpEF is progressive in many patients. Symptoms initially include fatigue, shortness of breath, and tissue swelling, resulting in reduced physical activity. Over time, this results in a substantial limitation in activities and impact on quality of life, and patients are at risk of premature death.</w:t>
      </w:r>
    </w:p>
    <w:p>
      <w:pPr>
        <w:spacing w:after="0" w:line="188"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At least half of all hospital admissions for HF are related to HFpEF and approximately 24% of the HFpEF population is considered to have New York Heart Association Class III or Class IV disease, representing a disease burden that markedly impacts quality of life and limits physical activity. Among patients hospitalized for HFpEF, readmission for HF and mortality rates over a five-year period are as high as 40% and 75%, respectively.</w:t>
      </w:r>
    </w:p>
    <w:p>
      <w:pPr>
        <w:spacing w:after="0" w:line="14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Patients with HFpEF represent approximately half of HF patients. There are estimated to be over 3,000,000 patients diagnosed with HFpEF in the United States. HFpEF prevalence is rapidly increasing, with prevalence anticipated to increase by more than 45% by 2030. The increase in HFpEF prevalence is at least in part due to the high overlap of this condition with diabetes and obesity which are also on the rise in the United States and globally.</w:t>
      </w:r>
    </w:p>
    <w:p>
      <w:pPr>
        <w:spacing w:after="0" w:line="18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Despite limited data demonstrating efficacy in the HFpEF setting, patients generally receive therapies prescribed for HFrEF, including diuretics, beta-blockers, and ACE inhibitors. Patients with HFpEF are generally not responsive to therapies that have been shown to improve outcomes of patients with HFrEF. Without the development of more effective therapies specifically for HFpEF patients, disease management is mostly directed toward treating associated conditions and symptoms. Despite agreement for the need for therapies that alter the trajectory of HFpEF, clinical trials that have enrolled patients with HFpEF have not led to new therapies that meaningfully improve morbidity or mortality for the HFpEF patient population. We believe that HFpEF remains one of the greatest unmet needs in cardiovascular medicine.</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Overview of gDCM</w:t>
      </w:r>
    </w:p>
    <w:p>
      <w:pPr>
        <w:spacing w:after="0" w:line="117"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Genetic abnormalities linked to gDCM are estimated to be present in about 30% to 40% of DCM patients. Variants in more than 40 genes have been linked with gDCM with many patients having more than two mutations meeting criteria for causation of DCM. Despite a common disease phenotype, mutations linked to</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gDCM are present in proteins with diverse cellular locations within the CM, including localization to the nucleus, cellular membrane, sarcomere, and ion channels. Mutations, deletions, and truncations in one such protein, Bcl2-associated anthanogene 3 (BAG3), have been thought to be causative of DCM in a subset of gDCM patients. Patients with BAG3 DCM represents a particularly high unmet need with an average age of onset of 37 years and an increased rate of heart transplant and LVAD placement. For additional information regarding DCM and gDCM, see the “</w:t>
      </w:r>
      <w:r>
        <w:rPr>
          <w:rFonts w:ascii="Arial" w:cs="Arial" w:eastAsia="Arial" w:hAnsi="Arial"/>
          <w:sz w:val="18"/>
          <w:szCs w:val="18"/>
          <w:i w:val="1"/>
          <w:iCs w:val="1"/>
          <w:color w:val="auto"/>
        </w:rPr>
        <w:t>DWORF Program for DCM</w:t>
      </w:r>
      <w:r>
        <w:rPr>
          <w:rFonts w:ascii="Arial" w:cs="Arial" w:eastAsia="Arial" w:hAnsi="Arial"/>
          <w:sz w:val="18"/>
          <w:szCs w:val="18"/>
          <w:color w:val="auto"/>
        </w:rPr>
        <w:t xml:space="preserve"> </w:t>
      </w:r>
      <w:r>
        <w:rPr>
          <w:rFonts w:ascii="Arial" w:cs="Arial" w:eastAsia="Arial" w:hAnsi="Arial"/>
          <w:sz w:val="18"/>
          <w:szCs w:val="18"/>
          <w:i w:val="1"/>
          <w:iCs w:val="1"/>
          <w:color w:val="auto"/>
        </w:rPr>
        <w:t>— Overview of DCM</w:t>
      </w:r>
      <w:r>
        <w:rPr>
          <w:rFonts w:ascii="Arial" w:cs="Arial" w:eastAsia="Arial" w:hAnsi="Arial"/>
          <w:sz w:val="18"/>
          <w:szCs w:val="18"/>
          <w:color w:val="auto"/>
        </w:rPr>
        <w:t>” below.</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Our Solution: HDAC6 inhibitor (TYA-11631)</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have developed a number of highly selective proprietary HDAC6 small molecule inhibitors (HDAC6i), including TYA-11018 and our product candidate, TYA-11631. HDAC inhibitors have long been considered promising targets for many indications in a range of therapeutic areas, including oncology and other indications. Several partially selective HDAC6i are already in clinical development, but none yet for heart disease. There are currently no other HDAC inhibitors in clinical development for heart disease indications and we intend to be the first to advance a selective HDAC6i into clinical development for the treatment of HF.</w:t>
      </w:r>
    </w:p>
    <w:p>
      <w:pPr>
        <w:spacing w:after="0" w:line="188"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Less selective HDAC inhibitors in development in other indications have been associated with dose-limiting toxicities and safety liabilities, such as thrombocytopenia. In contrast, we have identified a number of highly selective and potent HDAC6i with high levels of selectivity for HDAC6. As demonstrated in the figure below, some of our proprietary inhibitors are greater than 1,000 times more selective for HDAC6 than for other HDAC family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144780</wp:posOffset>
            </wp:positionV>
            <wp:extent cx="4663440" cy="20656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663440"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080"/>
          </w:cols>
          <w:pgMar w:left="320" w:top="459" w:right="49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 xml:space="preserve">Internal data indicate that the higher selectivity of our compounds may translate to lower safety risks as compared to other selective compounds. As shown below, in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experiments we have observed reduced off-target effects relative to other pan-HDAC inhibitors or partially selective HDAC6 inhibitors in clinical development, as measured by the relative number of megakaryocyte colonies formed in the presence of the compounds tested at different concentrations. No thrombocytopenia has been observed in animal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134620</wp:posOffset>
            </wp:positionV>
            <wp:extent cx="2871470" cy="28975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871470"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Our product candidate, TYA-11631, has favorable drug-like properties, including pharmacokinetics (PK), oral bioavailability, panel selectivity, protein-binding activity, and cellular toxicity, supporting the potential for once-daily oral dosing in humans. To date, there have been no adverse findings in multiple pilot toxicology studies in rats and NHPs with TYA-11631 and TYA-11018, including no treatment-related mortality, adverse effects in clinical signs, body weight, food consumption, or clinical pathology. We have filed patent applications across multiple chemical series encompassing TYA-11631, TYA-11018, and other potential back-up molecules, as well as patent applications related to methods of use.</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TYA-11631: Preclinical Studies in HFpEF</w:t>
      </w:r>
    </w:p>
    <w:p>
      <w:pPr>
        <w:spacing w:after="0" w:line="117"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Treatment with TYA-11631 has reversed measures of HFpEF, including heart filling defects known as diastolic dysfunction, in multiple animal models. In one HFpEF model developed in-house, we surgically applied moderate aortic banding (mTAC) in wild type mice fed a high fat diet (HFD) for eight weeks. These interventions induced a cardio-metabolic HF phenotype that simulated the systemic and cardiovascular features of HFpEF in humans. Aspects of the HFpEF phenotype included increased LV wall thickness, LV hypertrophy, increased diastolic pressure, impaired LV relaxation and filling, and glucose intolerance, all where the EF is greater than or equal to 50%, called preserved EF.</w:t>
      </w:r>
    </w:p>
    <w:p>
      <w:pPr>
        <w:spacing w:after="0" w:line="176"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After the HFpEF phenotypes were established, animals were dosed orally with TYA-11631 or vehicle for six weeks. As illustrated below, TYA-11631 treatment reversed HFpEF disease phenotype across all studied parameters, including restoration of LV wall thickness, LV end diastolic pressure, LV relaxation and filling, and LV mass, compared to control. In addition, as shown below, the treated mice exhibited a clear trend of decreased lung weight, indicative of improvement in pulmonary congestion consistent with the reduction of filling pressure.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20"/>
          </w:cols>
          <w:pgMar w:left="320" w:top="459"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205740</wp:posOffset>
            </wp:positionV>
            <wp:extent cx="5092065" cy="2948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092065" cy="294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addition, as illustrated below, in multiple studies in HFpEF models, we have also observed an improvement in glucose tolerance suggesting that treatment with a selective HDAC6i may have a positive impact on glucose metabolism.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133985</wp:posOffset>
            </wp:positionV>
            <wp:extent cx="4123055" cy="30175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123055" cy="301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00"/>
          </w:cols>
          <w:pgMar w:left="320" w:top="459" w:right="4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Consistent with the observed improvement in HFpEF phenotype, TYA-11631 treatment in this HFpEF model was also associated with reductions of key biomarkers of fibrosis, hypertrophy and cardiac damage, and inflammation in heart samples compared to levels observed in control animals, as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142875</wp:posOffset>
            </wp:positionV>
            <wp:extent cx="5186045" cy="284607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86045"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TYA-11631: Preclinical Studies in Models of Metabolic Disease</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In addition to improvements in glucose metabolism associated with TYA-11631 treatment in HFpEF mouse models, treatment with TYA-11631 has also lead to improvements in glucose tolerance and insulin sensitivity in a Diet Induced Obesity (DIO) mouse model. As shown below, treatment with a single dose of TYA-11631 improves glucose tolerance in a dose-dependent manner in the DIO model. Furthermore, TYA-11631 treatment improves glucose tolerance in a dose-dependent manner after daily dosing for two weeks and insulin sensitivity in a dose-dependent manner after daily dosing for four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145415</wp:posOffset>
            </wp:positionV>
            <wp:extent cx="5186045" cy="21342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86045"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020"/>
          </w:cols>
          <w:pgMar w:left="320" w:top="459" w:right="5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A single dose treatment of TYA-11631 in the DIO model is also associated with a significant reduction in inflammatory markers in adipose tissue relative to controls as shown below. Inflammatory biomarkers in adipose tissue are thought to be linked to glucose tolerance and insulin sensitivity. For example, adipose IL-6 deficiency has been associated with improvements in glucose tolerance. Loss of IL-10 has also been shown to protect mice from DIO and improve glucose tolerance and insulin sensitivity. Collectively, these data are supportive of a role for HDAC6 inhibition on glucose tolerance and insulin resistance with potential applicability to sub-populations of HFpEF patients with obesity, diabetes, or metabolic syndrome.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128905</wp:posOffset>
            </wp:positionV>
            <wp:extent cx="5186045" cy="144907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86045"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HDAC6 Inhibitors: Preclinical Studies in DCM</w:t>
      </w:r>
    </w:p>
    <w:p>
      <w:pPr>
        <w:spacing w:after="0" w:line="117" w:lineRule="exact"/>
        <w:rPr>
          <w:sz w:val="20"/>
          <w:szCs w:val="20"/>
          <w:color w:val="auto"/>
        </w:rPr>
      </w:pPr>
    </w:p>
    <w:p>
      <w:pPr>
        <w:ind w:left="120" w:right="300" w:firstLine="440"/>
        <w:spacing w:after="0" w:line="275" w:lineRule="auto"/>
        <w:rPr>
          <w:sz w:val="20"/>
          <w:szCs w:val="20"/>
          <w:color w:val="auto"/>
        </w:rPr>
      </w:pPr>
      <w:r>
        <w:rPr>
          <w:rFonts w:ascii="Arial" w:cs="Arial" w:eastAsia="Arial" w:hAnsi="Arial"/>
          <w:sz w:val="17"/>
          <w:szCs w:val="17"/>
          <w:color w:val="auto"/>
        </w:rPr>
        <w:t xml:space="preserve">Through our target identification Precision Medicine platform, HDAC6 was initially identified as a target for a genetically defined subset of DCM, BAG3 mutant DCM. We screened a large chemical library to identify compounds able to reverse sarcomere defects in BAG3-deficient iPSC-CMs. Sarcomere defects were rapidly and systemically assessed through our proprietary machine learning algorithms. Whereas a pan-HDAC inhibitor was identified in the initial compound screen as reversing sarcomere defects, we conducted follow-up screens using RNAi knockdowns of HDAC family members to identify HDAC6 as a potential therapeutic target </w:t>
      </w:r>
      <w:r>
        <w:rPr>
          <w:rFonts w:ascii="Arial" w:cs="Arial" w:eastAsia="Arial" w:hAnsi="Arial"/>
          <w:sz w:val="17"/>
          <w:szCs w:val="17"/>
          <w:i w:val="1"/>
          <w:iCs w:val="1"/>
          <w:color w:val="auto"/>
        </w:rPr>
        <w:t>in vitro</w:t>
      </w:r>
      <w:r>
        <w:rPr>
          <w:rFonts w:ascii="Arial" w:cs="Arial" w:eastAsia="Arial" w:hAnsi="Arial"/>
          <w:sz w:val="17"/>
          <w:szCs w:val="17"/>
          <w:color w:val="auto"/>
        </w:rPr>
        <w:t>.</w:t>
      </w:r>
    </w:p>
    <w:p>
      <w:pPr>
        <w:spacing w:after="0" w:line="176"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 xml:space="preserve">We have validated these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findings by testing our HDAC6i compounds in BAG3 mutant mice models. As shown in the figure below, treatment of a rapidly worsening mouse model of BAG3 mutant DCM with TYA-11018 resulted in a greater than 20% improvement in EF after eight weeks of treatment compared to a control group treated with vehicle.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142875</wp:posOffset>
            </wp:positionV>
            <wp:extent cx="3669030" cy="2434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669030"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040"/>
          </w:cols>
          <w:pgMar w:left="320" w:top="459" w:right="5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contrast to other HDAC proteins, HDAC6 is a tubulin deacetylase. When HDAC6 is inhibited, tubulin acetylation is promoted, leading to increased microtubule stability. Increased microtubule stability has been linked to an increase in assembly of vesicles called autophagosomes which are involved in the clearance of aggregated and misfolded proteins in diseased cells. In the diseased heart, one potential mechanism of action for HDAC6 inhibition is promoting autophagy, driving a clearance of aggregated proteins in the heart, and thus restoring normal cellular function and structure. Protein aggregation is characteristic of some forms of DCM and have been linked to CM and cardiac dysfunction. The BAG3 mutant DCM patient population may be particularly sensitive to this mechanism of action for HDAC6 inhibition. BAG3 facilitates autophagy as a co-chaperone protein with heat shock proteins and mutations in the BAG3 gene may lead to potentially defective autophagy in the heart.</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schematic below shows promotion of autophagy as a potential mechanism of action for HDAC6 inhibition in DCM.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168910</wp:posOffset>
            </wp:positionV>
            <wp:extent cx="3025775" cy="21088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025775"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 xml:space="preserve">The role of HDAC6 inhibition in the promotion of autophagy is supported by biomarker analyses in TYA-11018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efficacy studies in the BAG3 DCM mouse model. As shown in the figure below, one autophagy marker, LC3, increases in correlation with functional measures such as EF in efficacy studies, suggestive of the potential role of autophagy as a mechanism of action for HDAC6 inhibition in DCM.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130810</wp:posOffset>
            </wp:positionV>
            <wp:extent cx="3265805" cy="19284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265805" cy="192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040"/>
          </w:cols>
          <w:pgMar w:left="320" w:top="459" w:right="5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HDAC6 Inhibitors: Potential Mechanism of Action in HFpEF</w:t>
      </w:r>
    </w:p>
    <w:p>
      <w:pPr>
        <w:spacing w:after="0" w:line="11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The pathophysiological mechanisms underlying HFpEF is an active area of scientific research. Key aspects of HFpEF disease biology include oxidative stress and inflammation, cardiac fibrosis, cardiac hypertrophy, cardiac stiffness, which all result in diastolic dysfunction, and decreased ability of the heart to fill its chambers during contraction. Defects in glucose tolerance and insulin sensitivity and overall defective metabolism have also been proposed to play a role in HFpEF onset and progression due to high overlap in the HFpEF population with diabetes and obesity as comorbidities.</w:t>
      </w:r>
    </w:p>
    <w:p>
      <w:pPr>
        <w:spacing w:after="0" w:line="157"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HDAC6 has been generally associated with several of these potential HFpEF mechanisms. Our preclinical data generated to date is consistent with what is known in the published literature and is suggestive of a multi-modal mechanism of action that may address multiple aspects of disease.</w:t>
      </w:r>
    </w:p>
    <w:p>
      <w:pPr>
        <w:spacing w:after="0" w:line="12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schematic below shows a conceptual model of HFpEF disease biology highlighting key aspects (the yellow boxes in the figure below) for which there are external and internal data supporting the potential utility of HDAC6i.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133985</wp:posOffset>
            </wp:positionV>
            <wp:extent cx="5212080" cy="28117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212080"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40" w:right="140" w:hanging="424"/>
        <w:spacing w:after="0" w:line="263" w:lineRule="auto"/>
        <w:tabs>
          <w:tab w:leader="none" w:pos="54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 xml:space="preserve">Inflammation / Oxidative stress: </w:t>
      </w:r>
      <w:r>
        <w:rPr>
          <w:rFonts w:ascii="Arial" w:cs="Arial" w:eastAsia="Arial" w:hAnsi="Arial"/>
          <w:sz w:val="18"/>
          <w:szCs w:val="18"/>
          <w:color w:val="auto"/>
        </w:rPr>
        <w:t>Published studies have linked inhibition of HDAC6 with inflammasome biology and enhancement of regulatory</w:t>
      </w:r>
      <w:r>
        <w:rPr>
          <w:rFonts w:ascii="Arial" w:cs="Arial" w:eastAsia="Arial" w:hAnsi="Arial"/>
          <w:sz w:val="18"/>
          <w:szCs w:val="18"/>
          <w:i w:val="1"/>
          <w:iCs w:val="1"/>
          <w:color w:val="auto"/>
        </w:rPr>
        <w:t xml:space="preserve"> </w:t>
      </w:r>
      <w:r>
        <w:rPr>
          <w:rFonts w:ascii="Arial" w:cs="Arial" w:eastAsia="Arial" w:hAnsi="Arial"/>
          <w:sz w:val="18"/>
          <w:szCs w:val="18"/>
          <w:color w:val="auto"/>
        </w:rPr>
        <w:t>T cell activity. In our preclinical studies, TYA-11631 has shown improvement in inflammatory markers in adipose tissue from the DIO model, while TYA-11018 has shown improvement in inflammatory markers in a BAG3 model of DCM.</w:t>
      </w:r>
    </w:p>
    <w:p>
      <w:pPr>
        <w:spacing w:after="0" w:line="210" w:lineRule="exact"/>
        <w:rPr>
          <w:rFonts w:ascii="Arial" w:cs="Arial" w:eastAsia="Arial" w:hAnsi="Arial"/>
          <w:sz w:val="18"/>
          <w:szCs w:val="18"/>
          <w:color w:val="auto"/>
        </w:rPr>
      </w:pPr>
    </w:p>
    <w:p>
      <w:pPr>
        <w:ind w:left="540" w:right="220" w:hanging="424"/>
        <w:spacing w:after="0" w:line="296" w:lineRule="auto"/>
        <w:tabs>
          <w:tab w:leader="none" w:pos="540" w:val="left"/>
        </w:tabs>
        <w:numPr>
          <w:ilvl w:val="0"/>
          <w:numId w:val="101"/>
        </w:numPr>
        <w:rPr>
          <w:rFonts w:ascii="Arial" w:cs="Arial" w:eastAsia="Arial" w:hAnsi="Arial"/>
          <w:sz w:val="16"/>
          <w:szCs w:val="16"/>
          <w:color w:val="auto"/>
        </w:rPr>
      </w:pPr>
      <w:r>
        <w:rPr>
          <w:rFonts w:ascii="Arial" w:cs="Arial" w:eastAsia="Arial" w:hAnsi="Arial"/>
          <w:sz w:val="16"/>
          <w:szCs w:val="16"/>
          <w:i w:val="1"/>
          <w:iCs w:val="1"/>
          <w:color w:val="auto"/>
        </w:rPr>
        <w:t xml:space="preserve">Defective metabolism / glucose metabolism: </w:t>
      </w:r>
      <w:r>
        <w:rPr>
          <w:rFonts w:ascii="Arial" w:cs="Arial" w:eastAsia="Arial" w:hAnsi="Arial"/>
          <w:sz w:val="16"/>
          <w:szCs w:val="16"/>
          <w:color w:val="auto"/>
        </w:rPr>
        <w:t>In a published study, HDAC6 KO mice had a significant improvement in dexamethasone-induced</w:t>
      </w:r>
      <w:r>
        <w:rPr>
          <w:rFonts w:ascii="Arial" w:cs="Arial" w:eastAsia="Arial" w:hAnsi="Arial"/>
          <w:sz w:val="16"/>
          <w:szCs w:val="16"/>
          <w:i w:val="1"/>
          <w:iCs w:val="1"/>
          <w:color w:val="auto"/>
        </w:rPr>
        <w:t xml:space="preserve"> </w:t>
      </w:r>
      <w:r>
        <w:rPr>
          <w:rFonts w:ascii="Arial" w:cs="Arial" w:eastAsia="Arial" w:hAnsi="Arial"/>
          <w:sz w:val="16"/>
          <w:szCs w:val="16"/>
          <w:color w:val="auto"/>
        </w:rPr>
        <w:t>whole-body glucose intolerance and insulin resistance compared to wildtype mice, suggesting that HDAC6 may be an important regulator of gluconeogenesis and glucose metabolism. In our preclinical studies, TYA-11631 has also shown improvement in glucose tolerance in a HFpEF model; dose-dependent improvements in glucose tolerance and insulin resistance in a DIO mouse model; and improvement in glucose uptake in iPSC-CMs. TYA-11018 has also shown improvement in dysregulated metabolic pathways in a BAG model of DCM.</w:t>
      </w:r>
    </w:p>
    <w:p>
      <w:pPr>
        <w:spacing w:after="0" w:line="188" w:lineRule="exact"/>
        <w:rPr>
          <w:rFonts w:ascii="Arial" w:cs="Arial" w:eastAsia="Arial" w:hAnsi="Arial"/>
          <w:sz w:val="16"/>
          <w:szCs w:val="16"/>
          <w:color w:val="auto"/>
        </w:rPr>
      </w:pPr>
    </w:p>
    <w:p>
      <w:pPr>
        <w:ind w:left="540" w:right="260" w:hanging="424"/>
        <w:spacing w:after="0" w:line="263" w:lineRule="auto"/>
        <w:tabs>
          <w:tab w:leader="none" w:pos="54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 xml:space="preserve">Fibrosis: </w:t>
      </w:r>
      <w:r>
        <w:rPr>
          <w:rFonts w:ascii="Arial" w:cs="Arial" w:eastAsia="Arial" w:hAnsi="Arial"/>
          <w:sz w:val="18"/>
          <w:szCs w:val="18"/>
          <w:color w:val="auto"/>
        </w:rPr>
        <w:t>In published studies, HDAC6 inhibition by siRNA or partially selective inhibitors attenuates myofibroblast markers and HDAC6</w:t>
      </w:r>
      <w:r>
        <w:rPr>
          <w:rFonts w:ascii="Arial" w:cs="Arial" w:eastAsia="Arial" w:hAnsi="Arial"/>
          <w:sz w:val="18"/>
          <w:szCs w:val="18"/>
          <w:i w:val="1"/>
          <w:iCs w:val="1"/>
          <w:color w:val="auto"/>
        </w:rPr>
        <w:t xml:space="preserve"> </w:t>
      </w:r>
      <w:r>
        <w:rPr>
          <w:rFonts w:ascii="Arial" w:cs="Arial" w:eastAsia="Arial" w:hAnsi="Arial"/>
          <w:sz w:val="18"/>
          <w:szCs w:val="18"/>
          <w:color w:val="auto"/>
        </w:rPr>
        <w:t>knockdown has been demonstrated to inhibit CF proliferation. In our preclinical studies, TYA-11631 significantly improved markers of cardiac fibrosis in a HFpEF model.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80" w:hanging="424"/>
        <w:spacing w:after="0" w:line="259" w:lineRule="auto"/>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 xml:space="preserve">Hypertrophy: </w:t>
      </w:r>
      <w:r>
        <w:rPr>
          <w:rFonts w:ascii="Arial" w:cs="Arial" w:eastAsia="Arial" w:hAnsi="Arial"/>
          <w:sz w:val="18"/>
          <w:szCs w:val="18"/>
          <w:color w:val="auto"/>
        </w:rPr>
        <w:t>Published studies illustrate that HDAC inhibitors can prevent cardiac hypertrophy in animal models in response to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hypertrophic stimuli. In a published study, HDAC inhibition suppressed cardiac hypertrophy and fibrosis in a model of hypertension through regulation of HDAC6/HDAC8 enzyme activity. In our preclinical studies, TYA-11631 has also shown improved in LV hypertrophy in multiple HFpEF models.</w:t>
      </w:r>
    </w:p>
    <w:p>
      <w:pPr>
        <w:spacing w:after="0" w:line="213" w:lineRule="exact"/>
        <w:rPr>
          <w:rFonts w:ascii="Arial" w:cs="Arial" w:eastAsia="Arial" w:hAnsi="Arial"/>
          <w:sz w:val="18"/>
          <w:szCs w:val="18"/>
          <w:color w:val="auto"/>
        </w:rPr>
      </w:pPr>
    </w:p>
    <w:p>
      <w:pPr>
        <w:ind w:left="540" w:right="340" w:hanging="424"/>
        <w:spacing w:after="0" w:line="308" w:lineRule="auto"/>
        <w:tabs>
          <w:tab w:leader="none" w:pos="540" w:val="left"/>
        </w:tabs>
        <w:numPr>
          <w:ilvl w:val="0"/>
          <w:numId w:val="102"/>
        </w:numPr>
        <w:rPr>
          <w:rFonts w:ascii="Arial" w:cs="Arial" w:eastAsia="Arial" w:hAnsi="Arial"/>
          <w:sz w:val="17"/>
          <w:szCs w:val="17"/>
          <w:color w:val="auto"/>
        </w:rPr>
      </w:pPr>
      <w:r>
        <w:rPr>
          <w:rFonts w:ascii="Arial" w:cs="Arial" w:eastAsia="Arial" w:hAnsi="Arial"/>
          <w:sz w:val="17"/>
          <w:szCs w:val="17"/>
          <w:i w:val="1"/>
          <w:iCs w:val="1"/>
          <w:color w:val="auto"/>
        </w:rPr>
        <w:t xml:space="preserve">Impaired autophagy: </w:t>
      </w:r>
      <w:r>
        <w:rPr>
          <w:rFonts w:ascii="Arial" w:cs="Arial" w:eastAsia="Arial" w:hAnsi="Arial"/>
          <w:sz w:val="17"/>
          <w:szCs w:val="17"/>
          <w:color w:val="auto"/>
        </w:rPr>
        <w:t>Published studies illustrate the role of reduced autophagy in HFpEF and in aging hearts. In our preclinical studies, TYA-11018 has shown improvement in autophagy in a BAG model of DCM that was correlated with improvement in heart function.</w:t>
      </w:r>
    </w:p>
    <w:p>
      <w:pPr>
        <w:spacing w:after="0" w:line="173" w:lineRule="exact"/>
        <w:rPr>
          <w:rFonts w:ascii="Arial" w:cs="Arial" w:eastAsia="Arial" w:hAnsi="Arial"/>
          <w:sz w:val="17"/>
          <w:szCs w:val="17"/>
          <w:color w:val="auto"/>
        </w:rPr>
      </w:pPr>
    </w:p>
    <w:p>
      <w:pPr>
        <w:jc w:val="both"/>
        <w:ind w:left="540" w:right="220" w:hanging="424"/>
        <w:spacing w:after="0" w:line="263" w:lineRule="auto"/>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 xml:space="preserve">Diastolic dysfunction: </w:t>
      </w:r>
      <w:r>
        <w:rPr>
          <w:rFonts w:ascii="Arial" w:cs="Arial" w:eastAsia="Arial" w:hAnsi="Arial"/>
          <w:sz w:val="18"/>
          <w:szCs w:val="18"/>
          <w:color w:val="auto"/>
        </w:rPr>
        <w:t>In a published study, pan-HDAC inhibitors improved diastolic dysfunction in two distinct murine models of HFpEF and</w:t>
      </w:r>
      <w:r>
        <w:rPr>
          <w:rFonts w:ascii="Arial" w:cs="Arial" w:eastAsia="Arial" w:hAnsi="Arial"/>
          <w:sz w:val="18"/>
          <w:szCs w:val="18"/>
          <w:i w:val="1"/>
          <w:iCs w:val="1"/>
          <w:color w:val="auto"/>
        </w:rPr>
        <w:t xml:space="preserve"> </w:t>
      </w:r>
      <w:r>
        <w:rPr>
          <w:rFonts w:ascii="Arial" w:cs="Arial" w:eastAsia="Arial" w:hAnsi="Arial"/>
          <w:sz w:val="18"/>
          <w:szCs w:val="18"/>
          <w:color w:val="auto"/>
        </w:rPr>
        <w:t>HDAC inhibition improved cardiopulmonary function in a feline model of diastolic dysfunction. In our preclinical studies, TYA-11631 has also shown improved diastolic dysfunction in multiple HFpEF models.</w:t>
      </w:r>
    </w:p>
    <w:p>
      <w:pPr>
        <w:spacing w:after="0" w:line="291"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i w:val="1"/>
          <w:iCs w:val="1"/>
          <w:color w:val="auto"/>
        </w:rPr>
        <w:t>TYA-11631: Planned Clinical Development</w:t>
      </w:r>
    </w:p>
    <w:p>
      <w:pPr>
        <w:spacing w:after="0" w:line="117"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We plan to submit an IND to the FDA in 2022 and, if approved, initiate first-in-human safety studies in healthy volunteers before initiating proof-of-concept studies and proof-of-activity studies. During clinical development, we plan to examine the role of TYA-11631 in sub-populations of HFpEF patients with obesity, diabetes or metabolic syndrome as well as potentially in sub-populations of gDCM where there is stronger alignment between the multi-modal mechanism of action of TYA-11631 with the pathophysiology of the disease.</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PKP2 Program for gARVC</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 xml:space="preserve">We are developing an AAV-based gene therapy designed to deliver a functional </w:t>
      </w:r>
      <w:r>
        <w:rPr>
          <w:rFonts w:ascii="Arial" w:cs="Arial" w:eastAsia="Arial" w:hAnsi="Arial"/>
          <w:sz w:val="17"/>
          <w:szCs w:val="17"/>
          <w:i w:val="1"/>
          <w:iCs w:val="1"/>
          <w:color w:val="auto"/>
        </w:rPr>
        <w:t>PKP2</w:t>
      </w:r>
      <w:r>
        <w:rPr>
          <w:rFonts w:ascii="Arial" w:cs="Arial" w:eastAsia="Arial" w:hAnsi="Arial"/>
          <w:sz w:val="17"/>
          <w:szCs w:val="17"/>
          <w:color w:val="auto"/>
        </w:rPr>
        <w:t xml:space="preserve"> gene in adults with gARVC due to </w:t>
      </w:r>
      <w:r>
        <w:rPr>
          <w:rFonts w:ascii="Arial" w:cs="Arial" w:eastAsia="Arial" w:hAnsi="Arial"/>
          <w:sz w:val="17"/>
          <w:szCs w:val="17"/>
          <w:i w:val="1"/>
          <w:iCs w:val="1"/>
          <w:color w:val="auto"/>
        </w:rPr>
        <w:t>PKP2</w:t>
      </w:r>
      <w:r>
        <w:rPr>
          <w:rFonts w:ascii="Arial" w:cs="Arial" w:eastAsia="Arial" w:hAnsi="Arial"/>
          <w:sz w:val="17"/>
          <w:szCs w:val="17"/>
          <w:color w:val="auto"/>
        </w:rPr>
        <w:t xml:space="preserve"> gene mutation, estimated to affect more than 70,000 patients in the United States. These mutations can cause enlargement of the RV in affected individuals, replacement of heart muscle with fibrotic tissue and fatty deposits, and severely abnormal heart rhythms (arrhythmia) that can make it harder for the heart to function properly and result in sudden cardiac death in some adults and children. Based on publicly available information to date, we believe there are currently no approved treatments that address the underlying genetic cause of this disease. We have demonstrated prevention of disease progression and survival benefit in a murine model after a single dose. Based on publicly available information to date, we believe these data are the first known demonstrations of durable disease modification, survival benefit, and prevention of arrhythmia using an AAV:PKP2 gene therapy construct. This program is currently at the candidate selection stage.</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Overview of ARVC</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ARVC is largely an inherited disease characterized by the progressive loss of muscle cells in the heart’s RV and replacement with a composite of fibrotic tissue and fatty deposits. As a result of this structural change, the heart becomes dilated and is prone to ventricular arrhythmia (VA) and particularly ventricular tachychardia (VT) (abnormally high heart rate).</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When symptoms are present, they tend to occur around 30 years of age, with the mean age of presentation in patients before the age of 40 years old. Patients with ARVC most commonly present with symptoms related to VA (such as palpitations, lightheadedness, and fainting) or cardiac arrest. ARVC is an important cause of sudden cardiac arrest in young patients, and particularly in athletes. The median age at cardiac arrest in ARVC patients is 25 years old.</w:t>
      </w:r>
    </w:p>
    <w:p>
      <w:pPr>
        <w:spacing w:after="0" w:line="18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 xml:space="preserve">ARVC has an estimated prevalence in the general population of approximately 1:2000. Mutations in the </w:t>
      </w:r>
      <w:r>
        <w:rPr>
          <w:rFonts w:ascii="Arial" w:cs="Arial" w:eastAsia="Arial" w:hAnsi="Arial"/>
          <w:sz w:val="18"/>
          <w:szCs w:val="18"/>
          <w:i w:val="1"/>
          <w:iCs w:val="1"/>
          <w:color w:val="auto"/>
        </w:rPr>
        <w:t>PKP2</w:t>
      </w:r>
      <w:r>
        <w:rPr>
          <w:rFonts w:ascii="Arial" w:cs="Arial" w:eastAsia="Arial" w:hAnsi="Arial"/>
          <w:sz w:val="18"/>
          <w:szCs w:val="18"/>
          <w:color w:val="auto"/>
        </w:rPr>
        <w:t xml:space="preserve"> gene are the most common genetic cause of ARVC, with approximately 41% to 46% of ARVC patients carrying pathogenic variants. We therefore estimate more than 70,000 patients in the United States are affected by </w:t>
      </w:r>
      <w:r>
        <w:rPr>
          <w:rFonts w:ascii="Arial" w:cs="Arial" w:eastAsia="Arial" w:hAnsi="Arial"/>
          <w:sz w:val="18"/>
          <w:szCs w:val="18"/>
          <w:i w:val="1"/>
          <w:iCs w:val="1"/>
          <w:color w:val="auto"/>
        </w:rPr>
        <w:t>PKP2</w:t>
      </w:r>
      <w:r>
        <w:rPr>
          <w:rFonts w:ascii="Arial" w:cs="Arial" w:eastAsia="Arial" w:hAnsi="Arial"/>
          <w:sz w:val="18"/>
          <w:szCs w:val="18"/>
          <w:color w:val="auto"/>
        </w:rPr>
        <w:t xml:space="preserve"> mutations.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Mutations of the </w:t>
      </w:r>
      <w:r>
        <w:rPr>
          <w:rFonts w:ascii="Arial" w:cs="Arial" w:eastAsia="Arial" w:hAnsi="Arial"/>
          <w:sz w:val="16"/>
          <w:szCs w:val="16"/>
          <w:i w:val="1"/>
          <w:iCs w:val="1"/>
          <w:color w:val="auto"/>
        </w:rPr>
        <w:t>PKP2</w:t>
      </w:r>
      <w:r>
        <w:rPr>
          <w:rFonts w:ascii="Arial" w:cs="Arial" w:eastAsia="Arial" w:hAnsi="Arial"/>
          <w:sz w:val="16"/>
          <w:szCs w:val="16"/>
          <w:color w:val="auto"/>
        </w:rPr>
        <w:t xml:space="preserve"> gene are inherited in an autosomal dominant fashion i.e. a mutation in one gene is sufficient to cause the disease. Over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14 mutations have been linked to the </w:t>
      </w:r>
      <w:r>
        <w:rPr>
          <w:rFonts w:ascii="Arial" w:cs="Arial" w:eastAsia="Arial" w:hAnsi="Arial"/>
          <w:sz w:val="16"/>
          <w:szCs w:val="16"/>
          <w:i w:val="1"/>
          <w:iCs w:val="1"/>
          <w:color w:val="auto"/>
        </w:rPr>
        <w:t>PKP2</w:t>
      </w:r>
      <w:r>
        <w:rPr>
          <w:rFonts w:ascii="Arial" w:cs="Arial" w:eastAsia="Arial" w:hAnsi="Arial"/>
          <w:sz w:val="16"/>
          <w:szCs w:val="16"/>
          <w:color w:val="auto"/>
        </w:rPr>
        <w:t xml:space="preserve"> gene. Most of these mutations are predicted to result in a truncated protein product, which suggests a disease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mechanism due to loss of function, resulting in haploinsufficiency.</w:t>
      </w:r>
    </w:p>
    <w:p>
      <w:pPr>
        <w:spacing w:after="0" w:line="21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As illustrated below, the PKP2 protein is an integral component of cell adhesion protein complexes known as desmosomes which connect adjacent CMs in the heart. Desmosomes are responsible for stabilizing the heart and for maintaining channels called gap junctions that allow for cellular communication among heart cells, which in turn is important to proper synchronization of CM contractions across the myocardium contributing to each heartbeat.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144780</wp:posOffset>
            </wp:positionV>
            <wp:extent cx="5186045" cy="12515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86045" cy="125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Other components of desmosome include desmoplakin (</w:t>
      </w:r>
      <w:r>
        <w:rPr>
          <w:rFonts w:ascii="Arial" w:cs="Arial" w:eastAsia="Arial" w:hAnsi="Arial"/>
          <w:sz w:val="18"/>
          <w:szCs w:val="18"/>
          <w:i w:val="1"/>
          <w:iCs w:val="1"/>
          <w:color w:val="auto"/>
        </w:rPr>
        <w:t>DSP</w:t>
      </w:r>
      <w:r>
        <w:rPr>
          <w:rFonts w:ascii="Arial" w:cs="Arial" w:eastAsia="Arial" w:hAnsi="Arial"/>
          <w:sz w:val="18"/>
          <w:szCs w:val="18"/>
          <w:color w:val="auto"/>
        </w:rPr>
        <w:t xml:space="preserve"> gene), desmoglein 2 (</w:t>
      </w:r>
      <w:r>
        <w:rPr>
          <w:rFonts w:ascii="Arial" w:cs="Arial" w:eastAsia="Arial" w:hAnsi="Arial"/>
          <w:sz w:val="18"/>
          <w:szCs w:val="18"/>
          <w:i w:val="1"/>
          <w:iCs w:val="1"/>
          <w:color w:val="auto"/>
        </w:rPr>
        <w:t>DSG2</w:t>
      </w:r>
      <w:r>
        <w:rPr>
          <w:rFonts w:ascii="Arial" w:cs="Arial" w:eastAsia="Arial" w:hAnsi="Arial"/>
          <w:sz w:val="18"/>
          <w:szCs w:val="18"/>
          <w:color w:val="auto"/>
        </w:rPr>
        <w:t xml:space="preserve"> gene), desmocollin 2 (</w:t>
      </w:r>
      <w:r>
        <w:rPr>
          <w:rFonts w:ascii="Arial" w:cs="Arial" w:eastAsia="Arial" w:hAnsi="Arial"/>
          <w:sz w:val="18"/>
          <w:szCs w:val="18"/>
          <w:i w:val="1"/>
          <w:iCs w:val="1"/>
          <w:color w:val="auto"/>
        </w:rPr>
        <w:t>DSC2</w:t>
      </w:r>
      <w:r>
        <w:rPr>
          <w:rFonts w:ascii="Arial" w:cs="Arial" w:eastAsia="Arial" w:hAnsi="Arial"/>
          <w:sz w:val="18"/>
          <w:szCs w:val="18"/>
          <w:color w:val="auto"/>
        </w:rPr>
        <w:t xml:space="preserve"> gene), desmin (</w:t>
      </w:r>
      <w:r>
        <w:rPr>
          <w:rFonts w:ascii="Arial" w:cs="Arial" w:eastAsia="Arial" w:hAnsi="Arial"/>
          <w:sz w:val="18"/>
          <w:szCs w:val="18"/>
          <w:i w:val="1"/>
          <w:iCs w:val="1"/>
          <w:color w:val="auto"/>
        </w:rPr>
        <w:t>DES</w:t>
      </w:r>
      <w:r>
        <w:rPr>
          <w:rFonts w:ascii="Arial" w:cs="Arial" w:eastAsia="Arial" w:hAnsi="Arial"/>
          <w:sz w:val="18"/>
          <w:szCs w:val="18"/>
          <w:color w:val="auto"/>
        </w:rPr>
        <w:t xml:space="preserve"> gene), and plakoglobin (</w:t>
      </w:r>
      <w:r>
        <w:rPr>
          <w:rFonts w:ascii="Arial" w:cs="Arial" w:eastAsia="Arial" w:hAnsi="Arial"/>
          <w:sz w:val="18"/>
          <w:szCs w:val="18"/>
          <w:i w:val="1"/>
          <w:iCs w:val="1"/>
          <w:color w:val="auto"/>
        </w:rPr>
        <w:t>JUP</w:t>
      </w:r>
      <w:r>
        <w:rPr>
          <w:rFonts w:ascii="Arial" w:cs="Arial" w:eastAsia="Arial" w:hAnsi="Arial"/>
          <w:sz w:val="18"/>
          <w:szCs w:val="18"/>
          <w:color w:val="auto"/>
        </w:rPr>
        <w:t xml:space="preserve"> gene). Mutations of the </w:t>
      </w:r>
      <w:r>
        <w:rPr>
          <w:rFonts w:ascii="Arial" w:cs="Arial" w:eastAsia="Arial" w:hAnsi="Arial"/>
          <w:sz w:val="18"/>
          <w:szCs w:val="18"/>
          <w:i w:val="1"/>
          <w:iCs w:val="1"/>
          <w:color w:val="auto"/>
        </w:rPr>
        <w:t>DSP</w:t>
      </w:r>
      <w:r>
        <w:rPr>
          <w:rFonts w:ascii="Arial" w:cs="Arial" w:eastAsia="Arial" w:hAnsi="Arial"/>
          <w:sz w:val="18"/>
          <w:szCs w:val="18"/>
          <w:color w:val="auto"/>
        </w:rPr>
        <w:t xml:space="preserve">, </w:t>
      </w:r>
      <w:r>
        <w:rPr>
          <w:rFonts w:ascii="Arial" w:cs="Arial" w:eastAsia="Arial" w:hAnsi="Arial"/>
          <w:sz w:val="18"/>
          <w:szCs w:val="18"/>
          <w:i w:val="1"/>
          <w:iCs w:val="1"/>
          <w:color w:val="auto"/>
        </w:rPr>
        <w:t>DSG2</w:t>
      </w:r>
      <w:r>
        <w:rPr>
          <w:rFonts w:ascii="Arial" w:cs="Arial" w:eastAsia="Arial" w:hAnsi="Arial"/>
          <w:sz w:val="18"/>
          <w:szCs w:val="18"/>
          <w:color w:val="auto"/>
        </w:rPr>
        <w:t xml:space="preserve">, </w:t>
      </w:r>
      <w:r>
        <w:rPr>
          <w:rFonts w:ascii="Arial" w:cs="Arial" w:eastAsia="Arial" w:hAnsi="Arial"/>
          <w:sz w:val="18"/>
          <w:szCs w:val="18"/>
          <w:i w:val="1"/>
          <w:iCs w:val="1"/>
          <w:color w:val="auto"/>
        </w:rPr>
        <w:t>DSC2</w:t>
      </w:r>
      <w:r>
        <w:rPr>
          <w:rFonts w:ascii="Arial" w:cs="Arial" w:eastAsia="Arial" w:hAnsi="Arial"/>
          <w:sz w:val="18"/>
          <w:szCs w:val="18"/>
          <w:color w:val="auto"/>
        </w:rPr>
        <w:t xml:space="preserve">, </w:t>
      </w:r>
      <w:r>
        <w:rPr>
          <w:rFonts w:ascii="Arial" w:cs="Arial" w:eastAsia="Arial" w:hAnsi="Arial"/>
          <w:sz w:val="18"/>
          <w:szCs w:val="18"/>
          <w:i w:val="1"/>
          <w:iCs w:val="1"/>
          <w:color w:val="auto"/>
        </w:rPr>
        <w:t>DES, JUP</w:t>
      </w:r>
      <w:r>
        <w:rPr>
          <w:rFonts w:ascii="Arial" w:cs="Arial" w:eastAsia="Arial" w:hAnsi="Arial"/>
          <w:sz w:val="18"/>
          <w:szCs w:val="18"/>
          <w:color w:val="auto"/>
        </w:rPr>
        <w:t xml:space="preserve"> can also cause gARVC, illustrating the importance of the structural integrity of the desmosome complex. Patients with </w:t>
      </w:r>
      <w:r>
        <w:rPr>
          <w:rFonts w:ascii="Arial" w:cs="Arial" w:eastAsia="Arial" w:hAnsi="Arial"/>
          <w:sz w:val="18"/>
          <w:szCs w:val="18"/>
          <w:i w:val="1"/>
          <w:iCs w:val="1"/>
          <w:color w:val="auto"/>
        </w:rPr>
        <w:t>PKP2</w:t>
      </w:r>
      <w:r>
        <w:rPr>
          <w:rFonts w:ascii="Arial" w:cs="Arial" w:eastAsia="Arial" w:hAnsi="Arial"/>
          <w:sz w:val="18"/>
          <w:szCs w:val="18"/>
          <w:color w:val="auto"/>
        </w:rPr>
        <w:t xml:space="preserve"> mutations typically present at a younger age than patients carrying other mutations linked to ARVC and are thought to follow a similar disease progression to other ARVC patients.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The figure below</w:t>
      </w:r>
      <w:r>
        <w:rPr>
          <w:rFonts w:ascii="Arial" w:cs="Arial" w:eastAsia="Arial" w:hAnsi="Arial"/>
          <w:sz w:val="14"/>
          <w:szCs w:val="14"/>
          <w:color w:val="auto"/>
        </w:rPr>
        <w:t>(2)</w:t>
      </w:r>
      <w:r>
        <w:rPr>
          <w:rFonts w:ascii="Arial" w:cs="Arial" w:eastAsia="Arial" w:hAnsi="Arial"/>
          <w:sz w:val="17"/>
          <w:szCs w:val="17"/>
          <w:color w:val="auto"/>
        </w:rPr>
        <w:t xml:space="preserve"> analyzes heart tissue from an ARVC patient with the </w:t>
      </w:r>
      <w:r>
        <w:rPr>
          <w:rFonts w:ascii="Arial" w:cs="Arial" w:eastAsia="Arial" w:hAnsi="Arial"/>
          <w:sz w:val="17"/>
          <w:szCs w:val="17"/>
          <w:i w:val="1"/>
          <w:iCs w:val="1"/>
          <w:color w:val="auto"/>
        </w:rPr>
        <w:t>PKP2</w:t>
      </w:r>
      <w:r>
        <w:rPr>
          <w:rFonts w:ascii="Arial" w:cs="Arial" w:eastAsia="Arial" w:hAnsi="Arial"/>
          <w:sz w:val="17"/>
          <w:szCs w:val="17"/>
          <w:color w:val="auto"/>
        </w:rPr>
        <w:t xml:space="preserve"> mutation and compares it to the heart tissue from a normal individual. The tissue has been stained for desmosome proteins PKP2 and plakoglobin as well as other transmembrane proteins that are not part of the desmosome but that are also present at cell-cell junctions in different body organs (e.g., N-cadherin). As illustrated, N-cadherin, PKP2, and plakoglobin are all correctly localized to the junctions between CMs in the healthy control sample. However, when the </w:t>
      </w:r>
      <w:r>
        <w:rPr>
          <w:rFonts w:ascii="Arial" w:cs="Arial" w:eastAsia="Arial" w:hAnsi="Arial"/>
          <w:sz w:val="17"/>
          <w:szCs w:val="17"/>
          <w:i w:val="1"/>
          <w:iCs w:val="1"/>
          <w:color w:val="auto"/>
        </w:rPr>
        <w:t>PKP2</w:t>
      </w:r>
      <w:r>
        <w:rPr>
          <w:rFonts w:ascii="Arial" w:cs="Arial" w:eastAsia="Arial" w:hAnsi="Arial"/>
          <w:sz w:val="17"/>
          <w:szCs w:val="17"/>
          <w:color w:val="auto"/>
        </w:rPr>
        <w:t xml:space="preserve"> gene is mutated, N-cadherin continues to correctly localize but both the PKP2 and plakoglobin proteins are no longer properly localized to the desmosome. Based on publicly available information to date, we believe these data illustrate how PKP2 protein is critical to maintaining the structural integrity of the desmosome, and that mutations in the </w:t>
      </w:r>
      <w:r>
        <w:rPr>
          <w:rFonts w:ascii="Arial" w:cs="Arial" w:eastAsia="Arial" w:hAnsi="Arial"/>
          <w:sz w:val="17"/>
          <w:szCs w:val="17"/>
          <w:i w:val="1"/>
          <w:iCs w:val="1"/>
          <w:color w:val="auto"/>
        </w:rPr>
        <w:t>PKP2</w:t>
      </w:r>
      <w:r>
        <w:rPr>
          <w:rFonts w:ascii="Arial" w:cs="Arial" w:eastAsia="Arial" w:hAnsi="Arial"/>
          <w:sz w:val="17"/>
          <w:szCs w:val="17"/>
          <w:color w:val="auto"/>
        </w:rPr>
        <w:t xml:space="preserve"> gene are enough to disrupt this complex in human hearts.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138430</wp:posOffset>
            </wp:positionV>
            <wp:extent cx="4654550" cy="26060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654550"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As a result of this impairment, CMs can become detached from each other when placed under the normal mechanical stress of the beating heart, or under the extra mechanical stress in the heart caused by athletic activity. This detachment causes cell death, which in turn causes inflammation, scar formation, and fat deposition.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3" w:lineRule="exact"/>
        <w:rPr>
          <w:sz w:val="20"/>
          <w:szCs w:val="20"/>
          <w:color w:val="auto"/>
        </w:rPr>
      </w:pPr>
    </w:p>
    <w:p>
      <w:pPr>
        <w:ind w:left="340" w:hanging="224"/>
        <w:spacing w:after="0"/>
        <w:tabs>
          <w:tab w:leader="none" w:pos="340" w:val="left"/>
        </w:tabs>
        <w:numPr>
          <w:ilvl w:val="0"/>
          <w:numId w:val="103"/>
        </w:numPr>
        <w:rPr>
          <w:rFonts w:ascii="Arial" w:cs="Arial" w:eastAsia="Arial" w:hAnsi="Arial"/>
          <w:sz w:val="15"/>
          <w:szCs w:val="15"/>
          <w:color w:val="auto"/>
        </w:rPr>
      </w:pPr>
      <w:r>
        <w:rPr>
          <w:rFonts w:ascii="Arial" w:cs="Arial" w:eastAsia="Arial" w:hAnsi="Arial"/>
          <w:sz w:val="18"/>
          <w:szCs w:val="18"/>
          <w:color w:val="auto"/>
        </w:rPr>
        <w:t xml:space="preserve">Source: Asimaki et. al. </w:t>
      </w:r>
      <w:r>
        <w:rPr>
          <w:rFonts w:ascii="Arial" w:cs="Arial" w:eastAsia="Arial" w:hAnsi="Arial"/>
          <w:sz w:val="18"/>
          <w:szCs w:val="18"/>
          <w:b w:val="1"/>
          <w:bCs w:val="1"/>
          <w:color w:val="auto"/>
        </w:rPr>
        <w:t>NEJM</w:t>
      </w:r>
      <w:r>
        <w:rPr>
          <w:rFonts w:ascii="Arial" w:cs="Arial" w:eastAsia="Arial" w:hAnsi="Arial"/>
          <w:sz w:val="18"/>
          <w:szCs w:val="18"/>
          <w:color w:val="auto"/>
        </w:rPr>
        <w:t xml:space="preserve"> 2009.</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An example of an actual heart from a patient who had ARVC is shown below</w:t>
      </w:r>
      <w:r>
        <w:rPr>
          <w:rFonts w:ascii="Arial" w:cs="Arial" w:eastAsia="Arial" w:hAnsi="Arial"/>
          <w:sz w:val="15"/>
          <w:szCs w:val="15"/>
          <w:color w:val="auto"/>
        </w:rPr>
        <w:t>(3)</w:t>
      </w:r>
      <w:r>
        <w:rPr>
          <w:rFonts w:ascii="Arial" w:cs="Arial" w:eastAsia="Arial" w:hAnsi="Arial"/>
          <w:sz w:val="18"/>
          <w:szCs w:val="18"/>
          <w:color w:val="auto"/>
        </w:rPr>
        <w:t>. This illustrates commonly seen abnormalities in ARVC hearts as a result of the improper function of the desmosome, including dilation (enlargement) of the RV chamber and replacement of healthy heart tissue by fibrotic tissue and fatty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142875</wp:posOffset>
            </wp:positionV>
            <wp:extent cx="2108835" cy="27432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108835"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Following a diagnosis, ARVC patients are typically implanted with an Implantable Cardioverter Defibrillator (ICD) placed to control arrhythmias and treated with beta-blockers. ICD implantation may be associated with complications in some patients, including potential for heart perforation and additional surgery. Patients may progress to catheter ablation procedures which have a high rate of recurrence of VA and have not been shown to reduce risk of sudden cardiac death or improve survival. Despite the availability of these treatments, clinical HF has been documented in up to 40% of ARVC patients, and when heart transplantation is required, transplants occur at an average age of 40 and within seven years of the onset of HF symptoms. There are currently no approved therapies that address the underlying genetic causes of ARVC.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77152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7" w:lineRule="exact"/>
        <w:rPr>
          <w:sz w:val="20"/>
          <w:szCs w:val="20"/>
          <w:color w:val="auto"/>
        </w:rPr>
      </w:pPr>
    </w:p>
    <w:p>
      <w:pPr>
        <w:ind w:left="340" w:hanging="224"/>
        <w:spacing w:after="0"/>
        <w:tabs>
          <w:tab w:leader="none" w:pos="340" w:val="left"/>
        </w:tabs>
        <w:numPr>
          <w:ilvl w:val="0"/>
          <w:numId w:val="104"/>
        </w:numPr>
        <w:rPr>
          <w:rFonts w:ascii="Arial" w:cs="Arial" w:eastAsia="Arial" w:hAnsi="Arial"/>
          <w:sz w:val="15"/>
          <w:szCs w:val="15"/>
          <w:color w:val="auto"/>
        </w:rPr>
      </w:pPr>
      <w:r>
        <w:rPr>
          <w:rFonts w:ascii="Arial" w:cs="Arial" w:eastAsia="Arial" w:hAnsi="Arial"/>
          <w:sz w:val="18"/>
          <w:szCs w:val="18"/>
          <w:color w:val="auto"/>
        </w:rPr>
        <w:t xml:space="preserve">Source: Pinamonti et. al </w:t>
      </w:r>
      <w:r>
        <w:rPr>
          <w:rFonts w:ascii="Arial" w:cs="Arial" w:eastAsia="Arial" w:hAnsi="Arial"/>
          <w:sz w:val="18"/>
          <w:szCs w:val="18"/>
          <w:b w:val="1"/>
          <w:bCs w:val="1"/>
          <w:color w:val="auto"/>
        </w:rPr>
        <w:t>World J Cardiol</w:t>
      </w:r>
      <w:r>
        <w:rPr>
          <w:rFonts w:ascii="Arial" w:cs="Arial" w:eastAsia="Arial" w:hAnsi="Arial"/>
          <w:sz w:val="18"/>
          <w:szCs w:val="18"/>
          <w:color w:val="auto"/>
        </w:rPr>
        <w:t xml:space="preserve"> 2014.</w:t>
      </w:r>
    </w:p>
    <w:p>
      <w:pPr>
        <w:spacing w:after="0" w:line="16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060"/>
          </w:cols>
          <w:pgMar w:left="320" w:top="459" w:right="51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Our Solution: PKP2 Gene Therapy</w:t>
      </w:r>
    </w:p>
    <w:p>
      <w:pPr>
        <w:spacing w:after="0" w:line="117" w:lineRule="exact"/>
        <w:rPr>
          <w:sz w:val="20"/>
          <w:szCs w:val="20"/>
          <w:color w:val="auto"/>
        </w:rPr>
      </w:pPr>
    </w:p>
    <w:p>
      <w:pPr>
        <w:ind w:left="120" w:right="180" w:firstLine="440"/>
        <w:spacing w:after="0" w:line="272" w:lineRule="auto"/>
        <w:rPr>
          <w:sz w:val="20"/>
          <w:szCs w:val="20"/>
          <w:color w:val="auto"/>
        </w:rPr>
      </w:pPr>
      <w:r>
        <w:rPr>
          <w:rFonts w:ascii="Arial" w:cs="Arial" w:eastAsia="Arial" w:hAnsi="Arial"/>
          <w:sz w:val="17"/>
          <w:szCs w:val="17"/>
          <w:color w:val="auto"/>
        </w:rPr>
        <w:t xml:space="preserve">We are developing an AAV-based gene therapy to deliver the fully-functional copy of the </w:t>
      </w:r>
      <w:r>
        <w:rPr>
          <w:rFonts w:ascii="Arial" w:cs="Arial" w:eastAsia="Arial" w:hAnsi="Arial"/>
          <w:sz w:val="17"/>
          <w:szCs w:val="17"/>
          <w:i w:val="1"/>
          <w:iCs w:val="1"/>
          <w:color w:val="auto"/>
        </w:rPr>
        <w:t>PKP2</w:t>
      </w:r>
      <w:r>
        <w:rPr>
          <w:rFonts w:ascii="Arial" w:cs="Arial" w:eastAsia="Arial" w:hAnsi="Arial"/>
          <w:sz w:val="17"/>
          <w:szCs w:val="17"/>
          <w:color w:val="auto"/>
        </w:rPr>
        <w:t xml:space="preserve"> gene to deliver a fully functional copy of the human </w:t>
      </w:r>
      <w:r>
        <w:rPr>
          <w:rFonts w:ascii="Arial" w:cs="Arial" w:eastAsia="Arial" w:hAnsi="Arial"/>
          <w:sz w:val="17"/>
          <w:szCs w:val="17"/>
          <w:i w:val="1"/>
          <w:iCs w:val="1"/>
          <w:color w:val="auto"/>
        </w:rPr>
        <w:t>PKP2</w:t>
      </w:r>
      <w:r>
        <w:rPr>
          <w:rFonts w:ascii="Arial" w:cs="Arial" w:eastAsia="Arial" w:hAnsi="Arial"/>
          <w:sz w:val="17"/>
          <w:szCs w:val="17"/>
          <w:color w:val="auto"/>
        </w:rPr>
        <w:t xml:space="preserve"> gene to the hearts of gARVC patients carrying </w:t>
      </w:r>
      <w:r>
        <w:rPr>
          <w:rFonts w:ascii="Arial" w:cs="Arial" w:eastAsia="Arial" w:hAnsi="Arial"/>
          <w:sz w:val="17"/>
          <w:szCs w:val="17"/>
          <w:i w:val="1"/>
          <w:iCs w:val="1"/>
          <w:color w:val="auto"/>
        </w:rPr>
        <w:t>PKP2</w:t>
      </w:r>
      <w:r>
        <w:rPr>
          <w:rFonts w:ascii="Arial" w:cs="Arial" w:eastAsia="Arial" w:hAnsi="Arial"/>
          <w:sz w:val="17"/>
          <w:szCs w:val="17"/>
          <w:color w:val="auto"/>
        </w:rPr>
        <w:t xml:space="preserve"> mutations. We believe that gene replacement through delivery of the </w:t>
      </w:r>
      <w:r>
        <w:rPr>
          <w:rFonts w:ascii="Arial" w:cs="Arial" w:eastAsia="Arial" w:hAnsi="Arial"/>
          <w:sz w:val="17"/>
          <w:szCs w:val="17"/>
          <w:i w:val="1"/>
          <w:iCs w:val="1"/>
          <w:color w:val="auto"/>
        </w:rPr>
        <w:t>PKP2</w:t>
      </w:r>
      <w:r>
        <w:rPr>
          <w:rFonts w:ascii="Arial" w:cs="Arial" w:eastAsia="Arial" w:hAnsi="Arial"/>
          <w:sz w:val="17"/>
          <w:szCs w:val="17"/>
          <w:color w:val="auto"/>
        </w:rPr>
        <w:t xml:space="preserve"> gene to CMs represents a promising “lock and key” treatment that can address the underlying cause of this disease. As the disease is most often caused by haploinsufficiency, expression of a functional </w:t>
      </w:r>
      <w:r>
        <w:rPr>
          <w:rFonts w:ascii="Arial" w:cs="Arial" w:eastAsia="Arial" w:hAnsi="Arial"/>
          <w:sz w:val="17"/>
          <w:szCs w:val="17"/>
          <w:i w:val="1"/>
          <w:iCs w:val="1"/>
          <w:color w:val="auto"/>
        </w:rPr>
        <w:t>PKP2</w:t>
      </w:r>
      <w:r>
        <w:rPr>
          <w:rFonts w:ascii="Arial" w:cs="Arial" w:eastAsia="Arial" w:hAnsi="Arial"/>
          <w:sz w:val="17"/>
          <w:szCs w:val="17"/>
          <w:color w:val="auto"/>
        </w:rPr>
        <w:t xml:space="preserve"> gene to replace the missing PKP2 protein in CMs is expected to restore proper structure and function of the desmosome. This in turn can prevent adverse heart remodeling and improve heart contraction and electrical function. The </w:t>
      </w:r>
      <w:r>
        <w:rPr>
          <w:rFonts w:ascii="Arial" w:cs="Arial" w:eastAsia="Arial" w:hAnsi="Arial"/>
          <w:sz w:val="17"/>
          <w:szCs w:val="17"/>
          <w:i w:val="1"/>
          <w:iCs w:val="1"/>
          <w:color w:val="auto"/>
        </w:rPr>
        <w:t>PKP2</w:t>
      </w:r>
      <w:r>
        <w:rPr>
          <w:rFonts w:ascii="Arial" w:cs="Arial" w:eastAsia="Arial" w:hAnsi="Arial"/>
          <w:sz w:val="17"/>
          <w:szCs w:val="17"/>
          <w:color w:val="auto"/>
        </w:rPr>
        <w:t xml:space="preserve"> gene will be delivered using AAVs with tropism for the heart and expression of the PKP2 protein will limited to the heart through use of a CM-specific promoter. Our PKP2 gene therapy program, illustrated below, is currently at the candidate selection stage.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138430</wp:posOffset>
            </wp:positionV>
            <wp:extent cx="5186045" cy="213487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86045" cy="213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Preclinical Studies in PKP2-cKO Model</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 xml:space="preserve">We developed a </w:t>
      </w:r>
      <w:r>
        <w:rPr>
          <w:rFonts w:ascii="Arial" w:cs="Arial" w:eastAsia="Arial" w:hAnsi="Arial"/>
          <w:sz w:val="16"/>
          <w:szCs w:val="16"/>
          <w:i w:val="1"/>
          <w:iCs w:val="1"/>
          <w:color w:val="auto"/>
        </w:rPr>
        <w:t>PKP2</w:t>
      </w:r>
      <w:r>
        <w:rPr>
          <w:rFonts w:ascii="Arial" w:cs="Arial" w:eastAsia="Arial" w:hAnsi="Arial"/>
          <w:sz w:val="16"/>
          <w:szCs w:val="16"/>
          <w:color w:val="auto"/>
        </w:rPr>
        <w:t xml:space="preserve"> conditional knockout (</w:t>
      </w:r>
      <w:r>
        <w:rPr>
          <w:rFonts w:ascii="Arial" w:cs="Arial" w:eastAsia="Arial" w:hAnsi="Arial"/>
          <w:sz w:val="16"/>
          <w:szCs w:val="16"/>
          <w:i w:val="1"/>
          <w:iCs w:val="1"/>
          <w:color w:val="auto"/>
        </w:rPr>
        <w:t>PKP2</w:t>
      </w:r>
      <w:r>
        <w:rPr>
          <w:rFonts w:ascii="Arial" w:cs="Arial" w:eastAsia="Arial" w:hAnsi="Arial"/>
          <w:sz w:val="16"/>
          <w:szCs w:val="16"/>
          <w:color w:val="auto"/>
        </w:rPr>
        <w:t xml:space="preserve">-cKO) mouse model that simulates key aspects of gARVC including dilation of the right ventricle, decline in left ventricular heart function, severe arrhythmia, abnormal ECG trace, and early mortality. The onset of symptoms is very rapid and within three weeks after induction of the phenotype. It is worth noting that this </w:t>
      </w:r>
      <w:r>
        <w:rPr>
          <w:rFonts w:ascii="Arial" w:cs="Arial" w:eastAsia="Arial" w:hAnsi="Arial"/>
          <w:sz w:val="16"/>
          <w:szCs w:val="16"/>
          <w:i w:val="1"/>
          <w:iCs w:val="1"/>
          <w:color w:val="auto"/>
        </w:rPr>
        <w:t>PKP2</w:t>
      </w:r>
      <w:r>
        <w:rPr>
          <w:rFonts w:ascii="Arial" w:cs="Arial" w:eastAsia="Arial" w:hAnsi="Arial"/>
          <w:sz w:val="16"/>
          <w:szCs w:val="16"/>
          <w:color w:val="auto"/>
        </w:rPr>
        <w:t xml:space="preserve">-cKO model is homozygous, i.e., both copies of the gene are missing and so there is no production of the PKP2 protein. As expected, the severity of disease and the rate of disease progression in this are both greater than what is normally observed in most </w:t>
      </w:r>
      <w:r>
        <w:rPr>
          <w:rFonts w:ascii="Arial" w:cs="Arial" w:eastAsia="Arial" w:hAnsi="Arial"/>
          <w:sz w:val="16"/>
          <w:szCs w:val="16"/>
          <w:i w:val="1"/>
          <w:iCs w:val="1"/>
          <w:color w:val="auto"/>
        </w:rPr>
        <w:t>PKP2</w:t>
      </w:r>
      <w:r>
        <w:rPr>
          <w:rFonts w:ascii="Arial" w:cs="Arial" w:eastAsia="Arial" w:hAnsi="Arial"/>
          <w:sz w:val="16"/>
          <w:szCs w:val="16"/>
          <w:color w:val="auto"/>
        </w:rPr>
        <w:t xml:space="preserve"> patients who are almost all heterozygous for </w:t>
      </w:r>
      <w:r>
        <w:rPr>
          <w:rFonts w:ascii="Arial" w:cs="Arial" w:eastAsia="Arial" w:hAnsi="Arial"/>
          <w:sz w:val="16"/>
          <w:szCs w:val="16"/>
          <w:i w:val="1"/>
          <w:iCs w:val="1"/>
          <w:color w:val="auto"/>
        </w:rPr>
        <w:t>PKP2</w:t>
      </w:r>
      <w:r>
        <w:rPr>
          <w:rFonts w:ascii="Arial" w:cs="Arial" w:eastAsia="Arial" w:hAnsi="Arial"/>
          <w:sz w:val="16"/>
          <w:szCs w:val="16"/>
          <w:color w:val="auto"/>
        </w:rPr>
        <w:t xml:space="preserve"> gene mutations, i.e., they have one normal, healthy copy of the gene that is producing at least some of the necessary PKP2 protein, plus one defective copy of the gene that is either producing no PKP2 protein at all or that is producing PKP2 protein that does not function properly in the desmosome. The </w:t>
      </w:r>
      <w:r>
        <w:rPr>
          <w:rFonts w:ascii="Arial" w:cs="Arial" w:eastAsia="Arial" w:hAnsi="Arial"/>
          <w:sz w:val="16"/>
          <w:szCs w:val="16"/>
          <w:i w:val="1"/>
          <w:iCs w:val="1"/>
          <w:color w:val="auto"/>
        </w:rPr>
        <w:t>PKP2</w:t>
      </w:r>
      <w:r>
        <w:rPr>
          <w:rFonts w:ascii="Arial" w:cs="Arial" w:eastAsia="Arial" w:hAnsi="Arial"/>
          <w:sz w:val="16"/>
          <w:szCs w:val="16"/>
          <w:color w:val="auto"/>
        </w:rPr>
        <w:t xml:space="preserve">-cKO model is nonetheless useful as it provides important proof of concept for the potentially beneficial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effect of the PKP2 protein replacement via a gene therapy approach.</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 xml:space="preserve">In preclinical studies, we systematically administered AAV:mPKP2 in </w:t>
      </w:r>
      <w:r>
        <w:rPr>
          <w:rFonts w:ascii="Arial" w:cs="Arial" w:eastAsia="Arial" w:hAnsi="Arial"/>
          <w:sz w:val="17"/>
          <w:szCs w:val="17"/>
          <w:i w:val="1"/>
          <w:iCs w:val="1"/>
          <w:color w:val="auto"/>
        </w:rPr>
        <w:t>PKP2</w:t>
      </w:r>
      <w:r>
        <w:rPr>
          <w:rFonts w:ascii="Arial" w:cs="Arial" w:eastAsia="Arial" w:hAnsi="Arial"/>
          <w:sz w:val="17"/>
          <w:szCs w:val="17"/>
          <w:color w:val="auto"/>
        </w:rPr>
        <w:t>-cKO mice in parallel with induction of the ARVC phenotype. As shown in the figures below, AAV:mPKP2 treatment improved several ARVC phenotypes compared to saline-treated controls (HBSS), including preventing right ventricle enlargement, preventing decline of LV function, and improving survival after a single IV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130810</wp:posOffset>
            </wp:positionV>
            <wp:extent cx="5186045" cy="20313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86045"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0800"/>
          </w:cols>
          <w:pgMar w:left="320" w:top="459" w:right="7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In addition, </w:t>
      </w:r>
      <w:r>
        <w:rPr>
          <w:rFonts w:ascii="Arial" w:cs="Arial" w:eastAsia="Arial" w:hAnsi="Arial"/>
          <w:sz w:val="18"/>
          <w:szCs w:val="18"/>
          <w:i w:val="1"/>
          <w:iCs w:val="1"/>
          <w:color w:val="auto"/>
        </w:rPr>
        <w:t>PKP2</w:t>
      </w:r>
      <w:r>
        <w:rPr>
          <w:rFonts w:ascii="Arial" w:cs="Arial" w:eastAsia="Arial" w:hAnsi="Arial"/>
          <w:sz w:val="18"/>
          <w:szCs w:val="18"/>
          <w:color w:val="auto"/>
        </w:rPr>
        <w:t xml:space="preserve"> gene therapy also corrected the hallmark electrophysiological defects associated with ARVC. The graphs below show nearly complete prevention of the arrhythmia in </w:t>
      </w:r>
      <w:r>
        <w:rPr>
          <w:rFonts w:ascii="Arial" w:cs="Arial" w:eastAsia="Arial" w:hAnsi="Arial"/>
          <w:sz w:val="18"/>
          <w:szCs w:val="18"/>
          <w:i w:val="1"/>
          <w:iCs w:val="1"/>
          <w:color w:val="auto"/>
        </w:rPr>
        <w:t>PKP2</w:t>
      </w:r>
      <w:r>
        <w:rPr>
          <w:rFonts w:ascii="Arial" w:cs="Arial" w:eastAsia="Arial" w:hAnsi="Arial"/>
          <w:sz w:val="18"/>
          <w:szCs w:val="18"/>
          <w:color w:val="auto"/>
        </w:rPr>
        <w:t>-cKO animals treated with AAV:mPKP2 versus controls, including prevention of nonsustained ventricular tachycardia (NSVT) and premature ventricular contractions (PVCs), which were reduced nearly to wild levels as apparent from the ECG trace and the from the quantification with a Ventricular Arrythmia Score measuring the incidence of spontaneous arrhythmias during 30 minutes of recording.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145415</wp:posOffset>
            </wp:positionV>
            <wp:extent cx="5203190" cy="43376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203190" cy="4337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0860"/>
          </w:cols>
          <w:pgMar w:left="320" w:top="459" w:right="71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 xml:space="preserve">The graphs below show normalization of the QRS complex in </w:t>
      </w:r>
      <w:r>
        <w:rPr>
          <w:rFonts w:ascii="Arial" w:cs="Arial" w:eastAsia="Arial" w:hAnsi="Arial"/>
          <w:sz w:val="17"/>
          <w:szCs w:val="17"/>
          <w:i w:val="1"/>
          <w:iCs w:val="1"/>
          <w:color w:val="auto"/>
        </w:rPr>
        <w:t>PKP2</w:t>
      </w:r>
      <w:r>
        <w:rPr>
          <w:rFonts w:ascii="Arial" w:cs="Arial" w:eastAsia="Arial" w:hAnsi="Arial"/>
          <w:sz w:val="17"/>
          <w:szCs w:val="17"/>
          <w:color w:val="auto"/>
        </w:rPr>
        <w:t>-cKO animals treated with AAV:mPKP2 versus controls, including prevention of QT elongation (as measured by QT interval) and abnormal P wave and R wave amplitudes (as measured by the P/R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119380</wp:posOffset>
            </wp:positionV>
            <wp:extent cx="5194935" cy="21259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94935"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Based on publicly available information to date, we believe these data are the first known demonstration of durable disease modification, survival benefit, and prevention of arrhythmia using an AAV:PKP2 gene therapy construct.</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Planned Clinical Development</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 xml:space="preserve">We intend to submit an IND or CTA to the FDA or EMA, respectively, no earlier than 2023. If our IND or CTA is approved, we plan to initiate global first-in-human studies in patients with truncation mutations of the </w:t>
      </w:r>
      <w:r>
        <w:rPr>
          <w:rFonts w:ascii="Arial" w:cs="Arial" w:eastAsia="Arial" w:hAnsi="Arial"/>
          <w:sz w:val="18"/>
          <w:szCs w:val="18"/>
          <w:i w:val="1"/>
          <w:iCs w:val="1"/>
          <w:color w:val="auto"/>
        </w:rPr>
        <w:t>PKP2</w:t>
      </w:r>
      <w:r>
        <w:rPr>
          <w:rFonts w:ascii="Arial" w:cs="Arial" w:eastAsia="Arial" w:hAnsi="Arial"/>
          <w:sz w:val="18"/>
          <w:szCs w:val="18"/>
          <w:color w:val="auto"/>
        </w:rPr>
        <w:t xml:space="preserve"> gene.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DWORF Program for DCM and HFrEF</w:t>
      </w:r>
    </w:p>
    <w:p>
      <w:pPr>
        <w:spacing w:after="0" w:line="11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 xml:space="preserve">We are developing an AAV-based gene therapy designed to deliver the </w:t>
      </w:r>
      <w:r>
        <w:rPr>
          <w:rFonts w:ascii="Arial" w:cs="Arial" w:eastAsia="Arial" w:hAnsi="Arial"/>
          <w:sz w:val="16"/>
          <w:szCs w:val="16"/>
          <w:i w:val="1"/>
          <w:iCs w:val="1"/>
          <w:color w:val="auto"/>
        </w:rPr>
        <w:t>DWORF</w:t>
      </w:r>
      <w:r>
        <w:rPr>
          <w:rFonts w:ascii="Arial" w:cs="Arial" w:eastAsia="Arial" w:hAnsi="Arial"/>
          <w:sz w:val="16"/>
          <w:szCs w:val="16"/>
          <w:color w:val="auto"/>
        </w:rPr>
        <w:t xml:space="preserve"> gene for patients with DCM, estimated to affect about one million patients in the United States. DCM is a progressive and life-threatening disease that causes left ventricle (LV) enlargement, LV wall thinning, insufficient contraction, reduced blood flow, ventricular arrhythmias, and can result in premature morbidity and need for heart transplant in affected individuals. DWORF is a muscle-specific micro-peptide first discovered by our co-founder Eric Olson, Ph.D. that acts on the sarcoplasmic/endoplasmic reticulum Ca2+ ATPase 2a (SERCA2a) pathway, widely considered to be a promising target in HF. We and our academic collaborators have accumulated significant preclinical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proof-of-concept evidence for the therapeutic benefit of over-expression of the </w:t>
      </w:r>
      <w:r>
        <w:rPr>
          <w:rFonts w:ascii="Arial" w:cs="Arial" w:eastAsia="Arial" w:hAnsi="Arial"/>
          <w:sz w:val="16"/>
          <w:szCs w:val="16"/>
          <w:i w:val="1"/>
          <w:iCs w:val="1"/>
          <w:color w:val="auto"/>
        </w:rPr>
        <w:t>DWORF</w:t>
      </w:r>
      <w:r>
        <w:rPr>
          <w:rFonts w:ascii="Arial" w:cs="Arial" w:eastAsia="Arial" w:hAnsi="Arial"/>
          <w:sz w:val="16"/>
          <w:szCs w:val="16"/>
          <w:color w:val="auto"/>
        </w:rPr>
        <w:t xml:space="preserve"> gene in multiple murine models, including models of gDCM and HFrEF, as well as tolerability in murine models. Based on publicly available information to date, we believe these are the first demonstrations of the potential benefit of AAV:DWORF. This program is currently at the candidate selection stage.</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Overview of DCM</w:t>
      </w:r>
    </w:p>
    <w:p>
      <w:pPr>
        <w:spacing w:after="0" w:line="117" w:lineRule="exact"/>
        <w:rPr>
          <w:sz w:val="20"/>
          <w:szCs w:val="20"/>
          <w:color w:val="auto"/>
        </w:rPr>
      </w:pPr>
    </w:p>
    <w:p>
      <w:pPr>
        <w:ind w:left="120" w:right="280" w:firstLine="440"/>
        <w:spacing w:after="0" w:line="286" w:lineRule="auto"/>
        <w:rPr>
          <w:sz w:val="20"/>
          <w:szCs w:val="20"/>
          <w:color w:val="auto"/>
        </w:rPr>
      </w:pPr>
      <w:r>
        <w:rPr>
          <w:rFonts w:ascii="Arial" w:cs="Arial" w:eastAsia="Arial" w:hAnsi="Arial"/>
          <w:sz w:val="17"/>
          <w:szCs w:val="17"/>
          <w:color w:val="auto"/>
        </w:rPr>
        <w:t>DCM is broadly defined as HF where the EF is below 40% and the LV walls are thin and over-expanded, leading to insufficient contraction, reduced blood flow pumped by the heart, and abnormal heart rhythms. DCM can be caused by a variety of mechanisms, including genetics, coronary artery disease, high blood pressure, heart attack, and viral infection due to a high risk of ventricular arrythmias.</w:t>
      </w:r>
    </w:p>
    <w:p>
      <w:pPr>
        <w:spacing w:after="0" w:line="165"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DCM is a life-threatening and progressive disease. Once symptoms appear, a patient’s condition typically declines progressively. Typical symptoms of HF due to DCM include shortness of breath, fatigue, swelling in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20"/>
          </w:cols>
          <w:pgMar w:left="32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extremities, or an irregular heartbeat. As the disease progresses, patients become increasingly debilitated and experience sustained shortness of breath, even at rest. Diastolic function, or the heart’s ability to relax and fill with blood, is also impaired because the heart is already expanded and fibrotic. The dilated LV is deprived of an adequate supply of oxygen that may contribute to further fibrosis and the risk of dangerous heart rhythm disturbances. At any stage of the disease, whether or not symptoms have appeared, DCM patients are at risk of sudden cardiac death.</w:t>
      </w:r>
    </w:p>
    <w:p>
      <w:pPr>
        <w:spacing w:after="0" w:line="17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 subset of DCM is caused by genetic mutations in proteins involved in muscle contraction. Mutations in one such protein, phospholamban (PLN), can cause DCM. These mutations are believed to result in abnormal regulation of calcium biology instrumental in muscle contraction, leading to ventricular dilation, fibrosis and HF over time. Some patients with PLN mutations have a high severity of disease, including patients with R9C and R14del mutations.</w:t>
      </w:r>
    </w:p>
    <w:p>
      <w:pPr>
        <w:spacing w:after="0" w:line="187"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It is estimated that DCM affects about one million people in the United States, with genetic abnormalities linked to DCM estimated to be present in about 30% to 40% of DCM patients. PLN mutations are rare with an estimated 0.5% of DCM patients carrying PLN mutations.</w:t>
      </w:r>
    </w:p>
    <w:p>
      <w:pPr>
        <w:spacing w:after="0" w:line="146"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Current therapy for DCM generally uses therapies developed for HFrEF. While current pharmacologic therapies have improved prognosis and the quality of life of DCM patients, the premature morbidity and mortality rate remains unacceptably high. End-stage DCM is the leading indication for use of last line therapies, including LVADs and heart transplantation. Within five years of diagnosis, 43% of patients with advanced DCM have either died or needed a heart transplant. Thus, there is a large unmet need for novel and more individualized therapeutic options.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Overview of HFrEF</w:t>
      </w:r>
    </w:p>
    <w:p>
      <w:pPr>
        <w:spacing w:after="0" w:line="117"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Among patients with HF, the amount of blood that is pumped out of the LV (LV EF), can vary significantly, and is often characterized as reduced if below 40% (HFrEF), mid-range if between 40% to 50% (HFmrEF) or preserved if greater than or equal to 50% of normal LV EF (HFpEF).</w:t>
      </w:r>
    </w:p>
    <w:p>
      <w:pPr>
        <w:spacing w:after="0" w:line="124"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Approximately 50% of HF cases are HFrEF, representing a prevalence of nearly four million patients in the United States. In addition, the incidence and prevalence of HFrEF continues to rise. This increase is driven by an aging population, improved survival from MI and other forms of heart disease, and the increasing prevalence of predisposing risk factors such as diabetes and obesity.</w:t>
      </w:r>
    </w:p>
    <w:p>
      <w:pPr>
        <w:spacing w:after="0" w:line="184"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HFrEF patients continue to have substantial unmet need despite advances in pharmacological treatments, with up to 30% of treated patients experiencing a significant limitation in physical activity. Development of HF continues to be associated with significant morbidity and mortality, with a one-year mortality rate of 7% and one-year hospitalization rate of 32%. Over a five-year period, readmission for HF and mortality rates are as high as 48% and 75%, respectively, highlighting the significant and increasing burden of illness for patients and healthcare systems.</w:t>
      </w:r>
    </w:p>
    <w:p>
      <w:pPr>
        <w:spacing w:after="0" w:line="17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standard of care for HFrEF involves multiple different classes of therapies, including ACE inhibitors, beta blockers, vasodilator, aldosterone antagonists, and others. For end-stage HFrEF patients refractory to medical therapy, the treatment options are limited to LVADs and heart transplantation. LVADs have a finite duration of efficacy and are associated with the potential for fatal complications, frequent hospital readmissions, and high treatment cost. Heart transplant availability is restricted by the scarce supply of donor organs, risk of transplant rejection, and lifelong treatment with immunosuppression therapeutic regimes that are associated with organ damage.</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Our Solution: DWORF Gene Therapy</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 xml:space="preserve">We are developing an AAV-based gene therapy to deliver the </w:t>
      </w:r>
      <w:r>
        <w:rPr>
          <w:rFonts w:ascii="Arial" w:cs="Arial" w:eastAsia="Arial" w:hAnsi="Arial"/>
          <w:sz w:val="18"/>
          <w:szCs w:val="18"/>
          <w:i w:val="1"/>
          <w:iCs w:val="1"/>
          <w:color w:val="auto"/>
        </w:rPr>
        <w:t>DWORF</w:t>
      </w:r>
      <w:r>
        <w:rPr>
          <w:rFonts w:ascii="Arial" w:cs="Arial" w:eastAsia="Arial" w:hAnsi="Arial"/>
          <w:sz w:val="18"/>
          <w:szCs w:val="18"/>
          <w:color w:val="auto"/>
        </w:rPr>
        <w:t xml:space="preserve"> gene to CMs for the treatment of DCM and HFrEF. DWORF is a recently discovered small peptide that localizes primarily to the sarcoplasmic</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40"/>
          </w:cols>
          <w:pgMar w:left="320" w:top="459"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reticulum of the cardiac muscle cell. During muscle cell activation, calcium is released from sarcoplasmic reticulum into the muscle cell’s cytosol and into the sarcomere, leading to muscle contraction. Sarcoplasmic/endoplasmic reticulum Ca2+ ATPase 2a (SERCA2a) is a major isoform of SERCA expressed in CMs and plays an essential role in the regulation of cardiac contractility. SERCA2a transports calcium from the cytosol back into the sarcoplasmic reticulum, preserving the calcium gradient required for contraction. DWORF binds to SERCA2a and displaces the inhibitory PLN peptide, resulting in increased SERCA2a activity, increased levels of calcium pumped into the sarcoplasmic reticulum, and increased muscle contraction, ultimately leading to an improvement in heart function.</w:t>
      </w:r>
    </w:p>
    <w:p>
      <w:pPr>
        <w:spacing w:after="0" w:line="192"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 xml:space="preserve">We believe DWORF is an ideal target for the treatment of HFrEF. DWORF is a small peptide that is readily expressed when delivered by AAV. The small size of the </w:t>
      </w:r>
      <w:r>
        <w:rPr>
          <w:rFonts w:ascii="Arial" w:cs="Arial" w:eastAsia="Arial" w:hAnsi="Arial"/>
          <w:sz w:val="18"/>
          <w:szCs w:val="18"/>
          <w:i w:val="1"/>
          <w:iCs w:val="1"/>
          <w:color w:val="auto"/>
        </w:rPr>
        <w:t>DWORF</w:t>
      </w:r>
      <w:r>
        <w:rPr>
          <w:rFonts w:ascii="Arial" w:cs="Arial" w:eastAsia="Arial" w:hAnsi="Arial"/>
          <w:sz w:val="18"/>
          <w:szCs w:val="18"/>
          <w:color w:val="auto"/>
        </w:rPr>
        <w:t xml:space="preserve"> gene leaves additional room in the AAV capsid to include optimized combinations or promoters and regulatory elements to tailor </w:t>
      </w:r>
      <w:r>
        <w:rPr>
          <w:rFonts w:ascii="Arial" w:cs="Arial" w:eastAsia="Arial" w:hAnsi="Arial"/>
          <w:sz w:val="18"/>
          <w:szCs w:val="18"/>
          <w:i w:val="1"/>
          <w:iCs w:val="1"/>
          <w:color w:val="auto"/>
        </w:rPr>
        <w:t>DWORF</w:t>
      </w:r>
      <w:r>
        <w:rPr>
          <w:rFonts w:ascii="Arial" w:cs="Arial" w:eastAsia="Arial" w:hAnsi="Arial"/>
          <w:sz w:val="18"/>
          <w:szCs w:val="18"/>
          <w:color w:val="auto"/>
        </w:rPr>
        <w:t xml:space="preserve"> gene expression levels. In addition, published studies have shown that </w:t>
      </w:r>
      <w:r>
        <w:rPr>
          <w:rFonts w:ascii="Arial" w:cs="Arial" w:eastAsia="Arial" w:hAnsi="Arial"/>
          <w:sz w:val="18"/>
          <w:szCs w:val="18"/>
          <w:i w:val="1"/>
          <w:iCs w:val="1"/>
          <w:color w:val="auto"/>
        </w:rPr>
        <w:t>DWORF</w:t>
      </w:r>
      <w:r>
        <w:rPr>
          <w:rFonts w:ascii="Arial" w:cs="Arial" w:eastAsia="Arial" w:hAnsi="Arial"/>
          <w:sz w:val="18"/>
          <w:szCs w:val="18"/>
          <w:color w:val="auto"/>
        </w:rPr>
        <w:t xml:space="preserve"> gene expression is lower in failing human hearts compared to non-diseased hearts.</w:t>
      </w:r>
    </w:p>
    <w:p>
      <w:pPr>
        <w:spacing w:after="0" w:line="18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figure below shows expression analyses in human HF tissue. DWORF mRNA is reduced in failing hearts whereas atrial natriuretic peptide (NPPA) mRNA, a marker of congestive HF, is significantly increased in failing hearts.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133985</wp:posOffset>
            </wp:positionV>
            <wp:extent cx="1148715" cy="1423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14871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 xml:space="preserve">One therapeutic hypothesis is that restoring </w:t>
      </w:r>
      <w:r>
        <w:rPr>
          <w:rFonts w:ascii="Arial" w:cs="Arial" w:eastAsia="Arial" w:hAnsi="Arial"/>
          <w:sz w:val="18"/>
          <w:szCs w:val="18"/>
          <w:i w:val="1"/>
          <w:iCs w:val="1"/>
          <w:color w:val="auto"/>
        </w:rPr>
        <w:t>DWORF</w:t>
      </w:r>
      <w:r>
        <w:rPr>
          <w:rFonts w:ascii="Arial" w:cs="Arial" w:eastAsia="Arial" w:hAnsi="Arial"/>
          <w:sz w:val="18"/>
          <w:szCs w:val="18"/>
          <w:color w:val="auto"/>
        </w:rPr>
        <w:t xml:space="preserve"> gene expression to normal levels, through treatment with a </w:t>
      </w:r>
      <w:r>
        <w:rPr>
          <w:rFonts w:ascii="Arial" w:cs="Arial" w:eastAsia="Arial" w:hAnsi="Arial"/>
          <w:sz w:val="18"/>
          <w:szCs w:val="18"/>
          <w:i w:val="1"/>
          <w:iCs w:val="1"/>
          <w:color w:val="auto"/>
        </w:rPr>
        <w:t>DWORF</w:t>
      </w:r>
      <w:r>
        <w:rPr>
          <w:rFonts w:ascii="Arial" w:cs="Arial" w:eastAsia="Arial" w:hAnsi="Arial"/>
          <w:sz w:val="18"/>
          <w:szCs w:val="18"/>
          <w:color w:val="auto"/>
        </w:rPr>
        <w:t xml:space="preserve"> gene therapy, may normalize calcium flux in CMs and increase contractile strength in DCM patients as well as the broader HFrEF patient population. In addition, DCM patients carrying PLN mutations have mutant PLN peptides that inhibit SERCA2a and decrease contraction. </w:t>
      </w:r>
      <w:r>
        <w:rPr>
          <w:rFonts w:ascii="Arial" w:cs="Arial" w:eastAsia="Arial" w:hAnsi="Arial"/>
          <w:sz w:val="18"/>
          <w:szCs w:val="18"/>
          <w:i w:val="1"/>
          <w:iCs w:val="1"/>
          <w:color w:val="auto"/>
        </w:rPr>
        <w:t>DWORF</w:t>
      </w:r>
      <w:r>
        <w:rPr>
          <w:rFonts w:ascii="Arial" w:cs="Arial" w:eastAsia="Arial" w:hAnsi="Arial"/>
          <w:sz w:val="18"/>
          <w:szCs w:val="18"/>
          <w:color w:val="auto"/>
        </w:rPr>
        <w:t xml:space="preserve"> gene therapy produces DWORF peptides that directly compete with mutant PLN peptides by preferentially binding with SERCA2a, which can increase muscle contraction, potentially resulting in halting or even reversal of disease progression.</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00"/>
          </w:cols>
          <w:pgMar w:left="320" w:top="459" w:right="47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 xml:space="preserve">Our DWORF program, illustrated below, is currently at the candidate selection stage with multiple constructs under consideration. </w:t>
      </w:r>
      <w:r>
        <w:rPr>
          <w:rFonts w:ascii="Arial" w:cs="Arial" w:eastAsia="Arial" w:hAnsi="Arial"/>
          <w:sz w:val="17"/>
          <w:szCs w:val="17"/>
          <w:i w:val="1"/>
          <w:iCs w:val="1"/>
          <w:color w:val="auto"/>
        </w:rPr>
        <w:t>DWORF</w:t>
      </w:r>
      <w:r>
        <w:rPr>
          <w:rFonts w:ascii="Arial" w:cs="Arial" w:eastAsia="Arial" w:hAnsi="Arial"/>
          <w:sz w:val="17"/>
          <w:szCs w:val="17"/>
          <w:color w:val="auto"/>
        </w:rPr>
        <w:t xml:space="preserve"> gene expression is limited to the CM through use of a novel CM-specific promoter. Our intended product candidate will use an AAV capsid with high tropism for the heart, either AAV9 or a novel proprietary capsid developed through our capsid engineering capabilities, to deliver the </w:t>
      </w:r>
      <w:r>
        <w:rPr>
          <w:rFonts w:ascii="Arial" w:cs="Arial" w:eastAsia="Arial" w:hAnsi="Arial"/>
          <w:sz w:val="17"/>
          <w:szCs w:val="17"/>
          <w:i w:val="1"/>
          <w:iCs w:val="1"/>
          <w:color w:val="auto"/>
        </w:rPr>
        <w:t>DWORF</w:t>
      </w:r>
      <w:r>
        <w:rPr>
          <w:rFonts w:ascii="Arial" w:cs="Arial" w:eastAsia="Arial" w:hAnsi="Arial"/>
          <w:sz w:val="17"/>
          <w:szCs w:val="17"/>
          <w:color w:val="auto"/>
        </w:rPr>
        <w:t xml:space="preserve"> gene. We are exploring different ROAs including systemic (IV) or delivery directly to the heart through an infusion catheter.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134620</wp:posOffset>
            </wp:positionV>
            <wp:extent cx="5314950" cy="22885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314950"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Preclinical Studies</w:t>
      </w:r>
    </w:p>
    <w:p>
      <w:pPr>
        <w:spacing w:after="0" w:line="225"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i w:val="1"/>
          <w:iCs w:val="1"/>
          <w:color w:val="auto"/>
        </w:rPr>
        <w:t>Results in DCM (with MLP KO model)</w:t>
      </w:r>
      <w:r>
        <w:rPr>
          <w:rFonts w:ascii="Arial" w:cs="Arial" w:eastAsia="Arial" w:hAnsi="Arial"/>
          <w:sz w:val="18"/>
          <w:szCs w:val="18"/>
          <w:color w:val="auto"/>
        </w:rPr>
        <w:t>: Overexpression of</w:t>
      </w:r>
      <w:r>
        <w:rPr>
          <w:rFonts w:ascii="Arial" w:cs="Arial" w:eastAsia="Arial" w:hAnsi="Arial"/>
          <w:sz w:val="18"/>
          <w:szCs w:val="18"/>
          <w:i w:val="1"/>
          <w:iCs w:val="1"/>
          <w:color w:val="auto"/>
        </w:rPr>
        <w:t xml:space="preserve"> DWORF </w:t>
      </w:r>
      <w:r>
        <w:rPr>
          <w:rFonts w:ascii="Arial" w:cs="Arial" w:eastAsia="Arial" w:hAnsi="Arial"/>
          <w:sz w:val="18"/>
          <w:szCs w:val="18"/>
          <w:color w:val="auto"/>
        </w:rPr>
        <w:t>has led to improvements in multiple parameters in mouse models of DCM.</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Our co-founder Eric Olson, Ph.D. has demonstrated that overexpression of </w:t>
      </w:r>
      <w:r>
        <w:rPr>
          <w:rFonts w:ascii="Arial" w:cs="Arial" w:eastAsia="Arial" w:hAnsi="Arial"/>
          <w:sz w:val="18"/>
          <w:szCs w:val="18"/>
          <w:i w:val="1"/>
          <w:iCs w:val="1"/>
          <w:color w:val="auto"/>
        </w:rPr>
        <w:t>DWORF</w:t>
      </w:r>
      <w:r>
        <w:rPr>
          <w:rFonts w:ascii="Arial" w:cs="Arial" w:eastAsia="Arial" w:hAnsi="Arial"/>
          <w:sz w:val="18"/>
          <w:szCs w:val="18"/>
          <w:color w:val="auto"/>
        </w:rPr>
        <w:t xml:space="preserve"> in a transgenic (Tg) model leads to improvements in heart size, normalization of wall thickness and also improvements in EF, as demonstrated in the Muscle Lim Protein (MLP) KO mouse model of DCM, a model considered representative of the broader DCM population.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144780</wp:posOffset>
            </wp:positionV>
            <wp:extent cx="5186045" cy="218567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186045" cy="2185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In addition to improvement in heart function, as shown in the figure below, Tg DWORF overexpression also prevents muscle cell disarray and fibrosis in the MLP KO model of DCM.</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00"/>
          </w:cols>
          <w:pgMar w:left="320" w:top="459" w:right="47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205740</wp:posOffset>
            </wp:positionV>
            <wp:extent cx="5186045" cy="24085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86045"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Treatment with AAV:DWORF constructs has shown similar improvements in heart remodeling following treatment. As shown below, experiments conducted in the lab of Eric Olson demonstrated improvements in heart remodeling with an AAV:DWORF construct in the MLP KO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104775</wp:posOffset>
            </wp:positionV>
            <wp:extent cx="2237105" cy="29832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237105" cy="298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20"/>
          </w:cols>
          <w:pgMar w:left="32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have also demonstrated improvement in the same MLP KO model using our proprietary AAV:DWORF constructs. We have developed multiple proprietary promoters that drive multiple different levels of expression. As shown below, AAV:DWORF constructs containing these promoters (TNP-CM2, TNP-CM4, and TNP-CM7) improved in EF relative to a saline control in the MLP KO mouse model of DCM, with improvements in EF as high as approximately 14% achieved with constructs containing the TNP-CM4 promoter: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144780</wp:posOffset>
            </wp:positionV>
            <wp:extent cx="4457700" cy="248602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457700"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i w:val="1"/>
          <w:iCs w:val="1"/>
          <w:color w:val="auto"/>
        </w:rPr>
        <w:t>Results in DCM (with PLN Mutant Models)</w:t>
      </w:r>
      <w:r>
        <w:rPr>
          <w:rFonts w:ascii="Arial" w:cs="Arial" w:eastAsia="Arial" w:hAnsi="Arial"/>
          <w:sz w:val="18"/>
          <w:szCs w:val="18"/>
          <w:color w:val="auto"/>
        </w:rPr>
        <w:t>: Overexpression of</w:t>
      </w:r>
      <w:r>
        <w:rPr>
          <w:rFonts w:ascii="Arial" w:cs="Arial" w:eastAsia="Arial" w:hAnsi="Arial"/>
          <w:sz w:val="18"/>
          <w:szCs w:val="18"/>
          <w:i w:val="1"/>
          <w:iCs w:val="1"/>
          <w:color w:val="auto"/>
        </w:rPr>
        <w:t xml:space="preserve"> DWORF </w:t>
      </w:r>
      <w:r>
        <w:rPr>
          <w:rFonts w:ascii="Arial" w:cs="Arial" w:eastAsia="Arial" w:hAnsi="Arial"/>
          <w:sz w:val="18"/>
          <w:szCs w:val="18"/>
          <w:color w:val="auto"/>
        </w:rPr>
        <w:t>has also demonstrated meaningful improvements in mouse models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PLN mutant DCM. In experiments conducted in the lab of Eric Olson, mice with PLN R9C mutations are characterized by strong PLN inhibition of the SERCA2a calcium pump, resulting in decreased calcium flux, reduced heart muscle contraction, and decreased heart function. Tg overexpression of </w:t>
      </w:r>
      <w:r>
        <w:rPr>
          <w:rFonts w:ascii="Arial" w:cs="Arial" w:eastAsia="Arial" w:hAnsi="Arial"/>
          <w:sz w:val="18"/>
          <w:szCs w:val="18"/>
          <w:i w:val="1"/>
          <w:iCs w:val="1"/>
          <w:color w:val="auto"/>
        </w:rPr>
        <w:t xml:space="preserve">DWORF </w:t>
      </w:r>
      <w:r>
        <w:rPr>
          <w:rFonts w:ascii="Arial" w:cs="Arial" w:eastAsia="Arial" w:hAnsi="Arial"/>
          <w:sz w:val="18"/>
          <w:szCs w:val="18"/>
          <w:color w:val="auto"/>
        </w:rPr>
        <w:t>has been shown, as illustrated below, to improve fibrosis and heart remodeling in animals six months of age and improve survival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genetic model of HF.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145415</wp:posOffset>
            </wp:positionV>
            <wp:extent cx="3017520" cy="21088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017520"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060"/>
          </w:cols>
          <w:pgMar w:left="320" w:top="459" w:right="51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205740</wp:posOffset>
            </wp:positionV>
            <wp:extent cx="3985895" cy="45345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985895" cy="4534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 xml:space="preserve">We have tested different AAV:DWORF constructs in both healthy and disease mouse models and have not observed any safety signals at clinically relevant levels of </w:t>
      </w:r>
      <w:r>
        <w:rPr>
          <w:rFonts w:ascii="Arial" w:cs="Arial" w:eastAsia="Arial" w:hAnsi="Arial"/>
          <w:sz w:val="18"/>
          <w:szCs w:val="18"/>
          <w:i w:val="1"/>
          <w:iCs w:val="1"/>
          <w:color w:val="auto"/>
        </w:rPr>
        <w:t>DWORF</w:t>
      </w:r>
      <w:r>
        <w:rPr>
          <w:rFonts w:ascii="Arial" w:cs="Arial" w:eastAsia="Arial" w:hAnsi="Arial"/>
          <w:sz w:val="18"/>
          <w:szCs w:val="18"/>
          <w:color w:val="auto"/>
        </w:rPr>
        <w:t xml:space="preserve"> overexpression.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Planned Clinical Development</w:t>
      </w:r>
    </w:p>
    <w:p>
      <w:pPr>
        <w:spacing w:after="0" w:line="117"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After selection of our product candidate, we plan to initiate IND-enabling studies. We intend to submit an IND or CTA to the FDA or EMA, respectively, no earlier than 2023. During clinical development, we plan to examine the role of AAV:DWORF in DCM as well as potentially in sub-populations of HFrEF where there is alignment between AAV:DWORF with the pathophysiology of the disease.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Reprogramming Program for HF due to Prior MI</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are developing an AAV-based approach to cellular regeneration that involves converting (or reprogramming) existing CFs within the heart to turn into new CMs and to replace cells permanently lost due to MI. There are estimated to be more than four million patients in the United States living with HF due to prior MI. The loss of CMs in affected individuals permanently impairs heart contraction, leading to HF and potentially fatal arrhythmias, and the death of approximately 5% to 10% of MI survivors within the first year. There are currently no approved treatments that address the underlying loss of heart tissue. The potential utility of our unique approach to creating new CMs was first demonstrated by our co-founder Deepak Srivastava, M.D. We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20"/>
          </w:cols>
          <w:pgMar w:left="320" w:top="459"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 xml:space="preserve">have discovered a proprietary combination of three genes that can drive robust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reprogramming of CFs to CMs when delivered together in a single AAV capsid. Based on publicly available information to date, we believe our results in a pig model of HF due to prior MI represent the first-ever successful demonstration of the potential benefit of this approach in a human-sized heart. This program is currently at the candidate selection stage.</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Overview of HF due to prior MI</w:t>
      </w:r>
    </w:p>
    <w:p>
      <w:pPr>
        <w:spacing w:after="0" w:line="117"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CAD is the single most common cause of HF. CAD is often associated with an MI, in which blood flow to a section of the heart, usually the LV, becomes limited, causing the cells in that section of the heart, including CMs and CFs, to die. The heart cannot replace the lost CMs while the CFs multiply significantly, resulting in scar tissue formation and stiffening of the LV walls, leading to progressive and irreversible cardiovascular remodeling. As a result, the heart continues to lose its ability to pump as strongly and may fail over time. In addition to HF, these patients also have a persistent risk of arrhythmias and increased likelihood of a second heart attack or sudden death.</w:t>
      </w:r>
    </w:p>
    <w:p>
      <w:pPr>
        <w:spacing w:after="0" w:line="176"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In the United States, greater than 800,000 people have a heart attack every year; of these approximately 200,000 already had a prior heart attack. Approximately 20% of patients age 45 and older will have another heart attack within five years of their first one. Despite advances in treatment options, mortality due to heart attack is still high; data from the U.S. National Vital Statistics Reports shows the median life expectancy among individuals aged 65 to 69 who have had a heart attack is just 8.3 years as compared to 18.7 years among those who have not.</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no known therapies that address the loss of CMs associated with MI and the resulting morbidity and mortality.</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Our Solution: Direct In Vivo Reprogramming of Resident CFs to Create CMs</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 xml:space="preserve">Cellular reprogramming is the process of converting cells of one type into another cell type. Shinya Yamanaka and John Gurdon won the Nobel Prize for their discovery that cells in the body can be reprogrammed to become stem cells, called iPSCs, capable of developing into any other type of cell in the body using a combination of four transcriptional factors. Since then, researchers have also found other combinations of factors capable of directly converting cells from one type to another without first going through the iPSC state. Dr. Srivastava, one of our co-founders and a member of our board of directors, was the first to demonstrate direct reprogramming of CFs into CMs in both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creating the potential for a new approach to cardiac regeneration.</w:t>
      </w:r>
    </w:p>
    <w:p>
      <w:pPr>
        <w:spacing w:after="0" w:line="192"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 xml:space="preserve">Building on this pioneering work, we have developed a novel AAV-based therapy for direct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reprogramming of resident CFs into CMs to replace the CMs lost due to an MI. Our goal is to convert the CFs into new CMs to help repair the heart after an MI, and ultimately slow down, stabilize or even potentially reverse the progression to HF. Our approach leverages substantial in-house advances in our reprogramming factors, capsid engineering, regulatory elements, and drug delivery to translate cardiac reprogramming science towards clinically relevant solutions.</w:t>
      </w:r>
    </w:p>
    <w:p>
      <w:pPr>
        <w:spacing w:after="0" w:line="2" w:lineRule="exact"/>
        <w:rPr>
          <w:sz w:val="20"/>
          <w:szCs w:val="20"/>
          <w:color w:val="auto"/>
        </w:rPr>
      </w:pPr>
    </w:p>
    <w:p>
      <w:pPr>
        <w:ind w:left="1080" w:right="80" w:hanging="532"/>
        <w:spacing w:after="0" w:line="295" w:lineRule="auto"/>
        <w:tabs>
          <w:tab w:leader="none" w:pos="1080" w:val="left"/>
        </w:tabs>
        <w:numPr>
          <w:ilvl w:val="0"/>
          <w:numId w:val="105"/>
        </w:numPr>
        <w:rPr>
          <w:rFonts w:ascii="Arial" w:cs="Arial" w:eastAsia="Arial" w:hAnsi="Arial"/>
          <w:sz w:val="16"/>
          <w:szCs w:val="16"/>
          <w:color w:val="auto"/>
        </w:rPr>
      </w:pPr>
      <w:r>
        <w:rPr>
          <w:rFonts w:ascii="Arial" w:cs="Arial" w:eastAsia="Arial" w:hAnsi="Arial"/>
          <w:sz w:val="16"/>
          <w:szCs w:val="16"/>
          <w:i w:val="1"/>
          <w:iCs w:val="1"/>
          <w:color w:val="auto"/>
        </w:rPr>
        <w:t>Reprogramming factors</w:t>
      </w:r>
      <w:r>
        <w:rPr>
          <w:rFonts w:ascii="Arial" w:cs="Arial" w:eastAsia="Arial" w:hAnsi="Arial"/>
          <w:sz w:val="16"/>
          <w:szCs w:val="16"/>
          <w:color w:val="auto"/>
        </w:rPr>
        <w:t>. Through extensive</w:t>
      </w:r>
      <w:r>
        <w:rPr>
          <w:rFonts w:ascii="Arial" w:cs="Arial" w:eastAsia="Arial" w:hAnsi="Arial"/>
          <w:sz w:val="16"/>
          <w:szCs w:val="16"/>
          <w:i w:val="1"/>
          <w:iCs w:val="1"/>
          <w:color w:val="auto"/>
        </w:rPr>
        <w:t xml:space="preserve"> in vitro </w:t>
      </w:r>
      <w:r>
        <w:rPr>
          <w:rFonts w:ascii="Arial" w:cs="Arial" w:eastAsia="Arial" w:hAnsi="Arial"/>
          <w:sz w:val="16"/>
          <w:szCs w:val="16"/>
          <w:color w:val="auto"/>
        </w:rPr>
        <w:t>screening efforts in actual human CFs, we identified a unique combination of three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genes encoding Myocardin, ASCL1, and miR-133 that together can drive robust direct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reprogramming of CFs to CMs, and that we have designed to fit into a single AAV. We use the term reprogramming factors to refer to such combination of genes and any other combinations of genes that when delivered together in a single AAV into CFs, result in the direct reprogramming of the CFs into CMs.</w:t>
      </w:r>
    </w:p>
    <w:p>
      <w:pPr>
        <w:spacing w:after="0" w:line="66" w:lineRule="exact"/>
        <w:rPr>
          <w:rFonts w:ascii="Arial" w:cs="Arial" w:eastAsia="Arial" w:hAnsi="Arial"/>
          <w:sz w:val="16"/>
          <w:szCs w:val="16"/>
          <w:color w:val="auto"/>
        </w:rPr>
      </w:pPr>
    </w:p>
    <w:p>
      <w:pPr>
        <w:ind w:left="1080" w:right="80" w:hanging="532"/>
        <w:spacing w:after="0" w:line="286" w:lineRule="auto"/>
        <w:tabs>
          <w:tab w:leader="none" w:pos="1080" w:val="left"/>
        </w:tabs>
        <w:numPr>
          <w:ilvl w:val="0"/>
          <w:numId w:val="105"/>
        </w:numPr>
        <w:rPr>
          <w:rFonts w:ascii="Arial" w:cs="Arial" w:eastAsia="Arial" w:hAnsi="Arial"/>
          <w:sz w:val="17"/>
          <w:szCs w:val="17"/>
          <w:color w:val="auto"/>
        </w:rPr>
      </w:pPr>
      <w:r>
        <w:rPr>
          <w:rFonts w:ascii="Arial" w:cs="Arial" w:eastAsia="Arial" w:hAnsi="Arial"/>
          <w:sz w:val="17"/>
          <w:szCs w:val="17"/>
          <w:i w:val="1"/>
          <w:iCs w:val="1"/>
          <w:color w:val="auto"/>
        </w:rPr>
        <w:t>Capsid engineering</w:t>
      </w:r>
      <w:r>
        <w:rPr>
          <w:rFonts w:ascii="Arial" w:cs="Arial" w:eastAsia="Arial" w:hAnsi="Arial"/>
          <w:sz w:val="17"/>
          <w:szCs w:val="17"/>
          <w:color w:val="auto"/>
        </w:rPr>
        <w:t>. While AAV9 can be used to target CMs, it does not sufficiently transduce CFs. We have discovered a novel capsid,</w:t>
      </w:r>
      <w:r>
        <w:rPr>
          <w:rFonts w:ascii="Arial" w:cs="Arial" w:eastAsia="Arial" w:hAnsi="Arial"/>
          <w:sz w:val="17"/>
          <w:szCs w:val="17"/>
          <w:i w:val="1"/>
          <w:iCs w:val="1"/>
          <w:color w:val="auto"/>
        </w:rPr>
        <w:t xml:space="preserve"> </w:t>
      </w:r>
      <w:r>
        <w:rPr>
          <w:rFonts w:ascii="Arial" w:cs="Arial" w:eastAsia="Arial" w:hAnsi="Arial"/>
          <w:sz w:val="17"/>
          <w:szCs w:val="17"/>
          <w:color w:val="auto"/>
        </w:rPr>
        <w:t>TNC-CF1, which has a higher transduction efficiency for human CFs as compared to currently known AAV serotypes. Initial data suggest this novel capsid may also be less susceptible to neutralizing antibodies compared to known serotypes.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75" w:lineRule="auto"/>
        <w:tabs>
          <w:tab w:leader="none" w:pos="1080" w:val="left"/>
        </w:tabs>
        <w:numPr>
          <w:ilvl w:val="0"/>
          <w:numId w:val="106"/>
        </w:numPr>
        <w:rPr>
          <w:rFonts w:ascii="Arial" w:cs="Arial" w:eastAsia="Arial" w:hAnsi="Arial"/>
          <w:sz w:val="17"/>
          <w:szCs w:val="17"/>
          <w:color w:val="auto"/>
        </w:rPr>
      </w:pPr>
      <w:r>
        <w:rPr>
          <w:rFonts w:ascii="Arial" w:cs="Arial" w:eastAsia="Arial" w:hAnsi="Arial"/>
          <w:sz w:val="17"/>
          <w:szCs w:val="17"/>
          <w:i w:val="1"/>
          <w:iCs w:val="1"/>
          <w:color w:val="auto"/>
        </w:rPr>
        <w:t>Regulatory elements</w:t>
      </w:r>
      <w:r>
        <w:rPr>
          <w:rFonts w:ascii="Arial" w:cs="Arial" w:eastAsia="Arial" w:hAnsi="Arial"/>
          <w:sz w:val="17"/>
          <w:szCs w:val="17"/>
          <w:color w:val="auto"/>
        </w:rPr>
        <w:t>. We have pursued rigorous, iterative optimization efforts to create proprietary reprogramming products. We have</w:t>
      </w:r>
      <w:r>
        <w:rPr>
          <w:rFonts w:ascii="Arial" w:cs="Arial" w:eastAsia="Arial" w:hAnsi="Arial"/>
          <w:sz w:val="17"/>
          <w:szCs w:val="17"/>
          <w:i w:val="1"/>
          <w:iCs w:val="1"/>
          <w:color w:val="auto"/>
        </w:rPr>
        <w:t xml:space="preserve"> </w:t>
      </w:r>
      <w:r>
        <w:rPr>
          <w:rFonts w:ascii="Arial" w:cs="Arial" w:eastAsia="Arial" w:hAnsi="Arial"/>
          <w:sz w:val="17"/>
          <w:szCs w:val="17"/>
          <w:color w:val="auto"/>
        </w:rPr>
        <w:t>further optimized Myocardin and cassette regulatory elements to both decrease cassette size and improve reprogramming efficiency. After extensive exploration of single and double promoter strategies, we have selected the CAG promoter to drive robust expression of our reprogramming factors. We limit expression of our reprogramming factors in mature CMs by including a miR-208 binding site that decreases reprogramming factor expression in mature CMs after differentiation from fibroblasts.</w:t>
      </w:r>
    </w:p>
    <w:p>
      <w:pPr>
        <w:spacing w:after="0" w:line="81" w:lineRule="exact"/>
        <w:rPr>
          <w:rFonts w:ascii="Arial" w:cs="Arial" w:eastAsia="Arial" w:hAnsi="Arial"/>
          <w:sz w:val="17"/>
          <w:szCs w:val="17"/>
          <w:color w:val="auto"/>
        </w:rPr>
      </w:pPr>
    </w:p>
    <w:p>
      <w:pPr>
        <w:ind w:left="1080" w:right="120" w:hanging="532"/>
        <w:spacing w:after="0" w:line="259"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Drug delivery</w:t>
      </w:r>
      <w:r>
        <w:rPr>
          <w:rFonts w:ascii="Arial" w:cs="Arial" w:eastAsia="Arial" w:hAnsi="Arial"/>
          <w:sz w:val="18"/>
          <w:szCs w:val="18"/>
          <w:color w:val="auto"/>
        </w:rPr>
        <w:t>. We are developing, in conjunction with leaders in interventional cardiology, a proprietary percutaneous endomyocardial</w:t>
      </w:r>
      <w:r>
        <w:rPr>
          <w:rFonts w:ascii="Arial" w:cs="Arial" w:eastAsia="Arial" w:hAnsi="Arial"/>
          <w:sz w:val="18"/>
          <w:szCs w:val="18"/>
          <w:i w:val="1"/>
          <w:iCs w:val="1"/>
          <w:color w:val="auto"/>
        </w:rPr>
        <w:t xml:space="preserve"> </w:t>
      </w:r>
      <w:r>
        <w:rPr>
          <w:rFonts w:ascii="Arial" w:cs="Arial" w:eastAsia="Arial" w:hAnsi="Arial"/>
          <w:sz w:val="18"/>
          <w:szCs w:val="18"/>
          <w:color w:val="auto"/>
        </w:rPr>
        <w:t>injection catheter (TND-INJ1) to inject and deliver our gene therapies around scars in the heart in a non-surgical, minimally-invasive procedure. Many potential sites for future clinical studies have experience with endomyocardial injection catheters through previous and ongoing cell therapy studies.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schematic below summarizes the components of our intended reprogramming gene therapy product candidate and mechanism of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183515</wp:posOffset>
            </wp:positionV>
            <wp:extent cx="5160645" cy="22371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160645"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040"/>
          </w:cols>
          <w:pgMar w:left="320" w:top="459" w:right="5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Preclinical Studies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 xml:space="preserve">We have conducted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experiments to optimize our direct reprogramming approach</w:t>
      </w:r>
      <w:r>
        <w:rPr>
          <w:rFonts w:ascii="Arial" w:cs="Arial" w:eastAsia="Arial" w:hAnsi="Arial"/>
          <w:sz w:val="18"/>
          <w:szCs w:val="18"/>
          <w:i w:val="1"/>
          <w:iCs w:val="1"/>
          <w:color w:val="auto"/>
        </w:rPr>
        <w:t>.</w:t>
      </w:r>
      <w:r>
        <w:rPr>
          <w:rFonts w:ascii="Arial" w:cs="Arial" w:eastAsia="Arial" w:hAnsi="Arial"/>
          <w:sz w:val="18"/>
          <w:szCs w:val="18"/>
          <w:color w:val="auto"/>
        </w:rPr>
        <w:t xml:space="preserve"> Our most advanced results have been achieved primarily with two different constructs, TN1-002 and TN1-006. A summary of certain preclinical data supporting the Reprogramming program in general and TN1-002 in particular was presented at the ASGCT conference in 2020.</w:t>
      </w:r>
    </w:p>
    <w:p>
      <w:pPr>
        <w:spacing w:after="0" w:line="211" w:lineRule="exact"/>
        <w:rPr>
          <w:sz w:val="20"/>
          <w:szCs w:val="20"/>
          <w:color w:val="auto"/>
        </w:rPr>
      </w:pPr>
    </w:p>
    <w:p>
      <w:pPr>
        <w:ind w:left="1080" w:hanging="532"/>
        <w:spacing w:after="0" w:line="25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Results from in vitro conversion of human CFs</w:t>
      </w:r>
      <w:r>
        <w:rPr>
          <w:rFonts w:ascii="Arial" w:cs="Arial" w:eastAsia="Arial" w:hAnsi="Arial"/>
          <w:sz w:val="18"/>
          <w:szCs w:val="18"/>
          <w:color w:val="auto"/>
        </w:rPr>
        <w:t>. Our reprogramming approach has been optimized</w:t>
      </w:r>
      <w:r>
        <w:rPr>
          <w:rFonts w:ascii="Arial" w:cs="Arial" w:eastAsia="Arial" w:hAnsi="Arial"/>
          <w:sz w:val="18"/>
          <w:szCs w:val="18"/>
          <w:i w:val="1"/>
          <w:iCs w:val="1"/>
          <w:color w:val="auto"/>
        </w:rPr>
        <w:t xml:space="preserve"> in vitro </w:t>
      </w:r>
      <w:r>
        <w:rPr>
          <w:rFonts w:ascii="Arial" w:cs="Arial" w:eastAsia="Arial" w:hAnsi="Arial"/>
          <w:sz w:val="18"/>
          <w:szCs w:val="18"/>
          <w:color w:val="auto"/>
        </w:rPr>
        <w:t>in adult human CFs.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conducted extensive iterative experiments to compare the relative efficiency of various constructs to convert CFs to CMs. CM-specific markers like cTnT and a-Actinin are measured to determine the proportion of cells that have been converted from CFs to CMs. The figure below illustrates the results from such an experiment, demonstrating how our TN1-006 construct can convert approximately 40% of human CFs to CMs: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-8255</wp:posOffset>
            </wp:positionV>
            <wp:extent cx="4406265" cy="51689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406265" cy="5168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20"/>
          </w:cols>
          <w:pgMar w:left="320" w:top="459" w:right="4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79" w:lineRule="auto"/>
        <w:tabs>
          <w:tab w:leader="none" w:pos="1080" w:val="left"/>
        </w:tabs>
        <w:numPr>
          <w:ilvl w:val="0"/>
          <w:numId w:val="108"/>
        </w:numPr>
        <w:rPr>
          <w:rFonts w:ascii="Arial" w:cs="Arial" w:eastAsia="Arial" w:hAnsi="Arial"/>
          <w:sz w:val="17"/>
          <w:szCs w:val="17"/>
          <w:color w:val="auto"/>
        </w:rPr>
      </w:pPr>
      <w:r>
        <w:rPr>
          <w:rFonts w:ascii="Arial" w:cs="Arial" w:eastAsia="Arial" w:hAnsi="Arial"/>
          <w:sz w:val="17"/>
          <w:szCs w:val="17"/>
          <w:i w:val="1"/>
          <w:iCs w:val="1"/>
          <w:color w:val="auto"/>
        </w:rPr>
        <w:t>Results from rodent disease models</w:t>
      </w:r>
      <w:r>
        <w:rPr>
          <w:rFonts w:ascii="Arial" w:cs="Arial" w:eastAsia="Arial" w:hAnsi="Arial"/>
          <w:sz w:val="17"/>
          <w:szCs w:val="17"/>
          <w:color w:val="auto"/>
        </w:rPr>
        <w:t>. We have demonstrated durable and dose-dependent improvement in EF in both mouse and rat models</w:t>
      </w:r>
      <w:r>
        <w:rPr>
          <w:rFonts w:ascii="Arial" w:cs="Arial" w:eastAsia="Arial" w:hAnsi="Arial"/>
          <w:sz w:val="17"/>
          <w:szCs w:val="17"/>
          <w:i w:val="1"/>
          <w:iCs w:val="1"/>
          <w:color w:val="auto"/>
        </w:rPr>
        <w:t xml:space="preserve"> </w:t>
      </w:r>
      <w:r>
        <w:rPr>
          <w:rFonts w:ascii="Arial" w:cs="Arial" w:eastAsia="Arial" w:hAnsi="Arial"/>
          <w:sz w:val="17"/>
          <w:szCs w:val="17"/>
          <w:color w:val="auto"/>
        </w:rPr>
        <w:t>of HF following an induced MI. In our rat model, TN1-006 was injected directly around the scar area formed two weeks after an induced MI. The figure below demonstrates dose-dependent improvement in EF, with an approximately 10% improvement in EF achieved at the highest dose compared to controls that was sustained up to the end of the experiment at 29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134620</wp:posOffset>
            </wp:positionV>
            <wp:extent cx="3223260" cy="327469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223260" cy="3274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020"/>
          </w:cols>
          <w:pgMar w:left="320" w:top="459" w:right="5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279" w:lineRule="auto"/>
        <w:tabs>
          <w:tab w:leader="none" w:pos="1080" w:val="left"/>
        </w:tabs>
        <w:numPr>
          <w:ilvl w:val="0"/>
          <w:numId w:val="109"/>
        </w:numPr>
        <w:rPr>
          <w:rFonts w:ascii="Arial" w:cs="Arial" w:eastAsia="Arial" w:hAnsi="Arial"/>
          <w:sz w:val="17"/>
          <w:szCs w:val="17"/>
          <w:color w:val="auto"/>
        </w:rPr>
      </w:pPr>
      <w:r>
        <w:rPr>
          <w:rFonts w:ascii="Arial" w:cs="Arial" w:eastAsia="Arial" w:hAnsi="Arial"/>
          <w:sz w:val="17"/>
          <w:szCs w:val="17"/>
          <w:i w:val="1"/>
          <w:iCs w:val="1"/>
          <w:color w:val="auto"/>
        </w:rPr>
        <w:t>Results from pig disease model</w:t>
      </w:r>
      <w:r>
        <w:rPr>
          <w:rFonts w:ascii="Arial" w:cs="Arial" w:eastAsia="Arial" w:hAnsi="Arial"/>
          <w:sz w:val="17"/>
          <w:szCs w:val="17"/>
          <w:color w:val="auto"/>
        </w:rPr>
        <w:t>. We have demonstrated durable improvement in EF in a pig model of HF following an induced MI. In a pig</w:t>
      </w:r>
      <w:r>
        <w:rPr>
          <w:rFonts w:ascii="Arial" w:cs="Arial" w:eastAsia="Arial" w:hAnsi="Arial"/>
          <w:sz w:val="17"/>
          <w:szCs w:val="17"/>
          <w:i w:val="1"/>
          <w:iCs w:val="1"/>
          <w:color w:val="auto"/>
        </w:rPr>
        <w:t xml:space="preserve"> </w:t>
      </w:r>
      <w:r>
        <w:rPr>
          <w:rFonts w:ascii="Arial" w:cs="Arial" w:eastAsia="Arial" w:hAnsi="Arial"/>
          <w:sz w:val="17"/>
          <w:szCs w:val="17"/>
          <w:color w:val="auto"/>
        </w:rPr>
        <w:t>model, TN1-002 was injected directly around the scar area formed 28 days after an induced MI. The figure below demonstrates approximately 10% improvement in EF compared to each animal’s own pre-dose baseline and more than 11% improvement compared to control-treated animals that remained sustained until the end of the experiment at nine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134620</wp:posOffset>
            </wp:positionV>
            <wp:extent cx="4320540" cy="36601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320540" cy="3660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100" w:right="60"/>
        <w:spacing w:after="0" w:line="301" w:lineRule="auto"/>
        <w:rPr>
          <w:sz w:val="20"/>
          <w:szCs w:val="20"/>
          <w:color w:val="auto"/>
        </w:rPr>
      </w:pPr>
      <w:r>
        <w:rPr>
          <w:rFonts w:ascii="Arial" w:cs="Arial" w:eastAsia="Arial" w:hAnsi="Arial"/>
          <w:sz w:val="16"/>
          <w:szCs w:val="16"/>
          <w:color w:val="auto"/>
        </w:rPr>
        <w:t>We believe these data compare favorably to published efficacy data for other cell and gene therapy interventions in large animal models. Very few previous therapeutic attempts have achieved meaningful improvement in EF compared to pre-dose baseline in large animal models, with typical improvements, when observed, of less than 5%. From an assessment of the published literature, including a meta-analysis of multiple therapeutics in HFrEF, we believe that each 5% increase in EF is expected to reduce mortality by approximately 15%.</w:t>
      </w:r>
    </w:p>
    <w:p>
      <w:pPr>
        <w:spacing w:after="0" w:line="49" w:lineRule="exact"/>
        <w:rPr>
          <w:sz w:val="20"/>
          <w:szCs w:val="20"/>
          <w:color w:val="auto"/>
        </w:rPr>
      </w:pPr>
    </w:p>
    <w:p>
      <w:pPr>
        <w:ind w:left="1100"/>
        <w:spacing w:after="0" w:line="291" w:lineRule="auto"/>
        <w:rPr>
          <w:sz w:val="20"/>
          <w:szCs w:val="20"/>
          <w:color w:val="auto"/>
        </w:rPr>
      </w:pPr>
      <w:r>
        <w:rPr>
          <w:rFonts w:ascii="Arial" w:cs="Arial" w:eastAsia="Arial" w:hAnsi="Arial"/>
          <w:sz w:val="16"/>
          <w:szCs w:val="16"/>
          <w:color w:val="auto"/>
        </w:rPr>
        <w:t>This pig model is known to have high variability in disease progression among individual animals. In order to confirm that the results obtained with TN1-002 reflected true improvements in heart function, we conducted extensive additional analysis of other parameters, including heart size (for example, LV diameter and volume during systole and diastole), measures of cardiac output (for example, stroke volume), measures of heart injury (for example, troponin levels), and final scar size at the level of individual animals. As shown in the figure below, our analysis revealed high heterogeneity in the change in absolute EF% among individual animal responses to TN1-002 from a decline of -2% to improvement of +24%, and that seven out of ten treated animals were considered “responders” (based on EF% increase of greater than 5% over pre-dose baseline) while three out of ten were considered “non-responders”.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20"/>
          </w:cols>
          <w:pgMar w:left="320" w:top="459"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205740</wp:posOffset>
            </wp:positionV>
            <wp:extent cx="3154680" cy="3437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154680" cy="3437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100" w:right="20"/>
        <w:spacing w:after="0" w:line="263" w:lineRule="auto"/>
        <w:rPr>
          <w:sz w:val="20"/>
          <w:szCs w:val="20"/>
          <w:color w:val="auto"/>
        </w:rPr>
      </w:pPr>
      <w:r>
        <w:rPr>
          <w:rFonts w:ascii="Arial" w:cs="Arial" w:eastAsia="Arial" w:hAnsi="Arial"/>
          <w:sz w:val="18"/>
          <w:szCs w:val="18"/>
          <w:color w:val="auto"/>
        </w:rPr>
        <w:t>Further analysis of responder animals as compared to non-responder animals demonstrated responders generally had improvement in most parameters that were internally consistent and suggestive of positive heart remodeling. By comparison, the pattern of these additional parameters was not internally consistent among non-responders.</w:t>
      </w:r>
    </w:p>
    <w:p>
      <w:pPr>
        <w:spacing w:after="0" w:line="76" w:lineRule="exact"/>
        <w:rPr>
          <w:sz w:val="20"/>
          <w:szCs w:val="20"/>
          <w:color w:val="auto"/>
        </w:rPr>
      </w:pPr>
    </w:p>
    <w:p>
      <w:pPr>
        <w:ind w:left="1100"/>
        <w:spacing w:after="0" w:line="277" w:lineRule="auto"/>
        <w:rPr>
          <w:sz w:val="20"/>
          <w:szCs w:val="20"/>
          <w:color w:val="auto"/>
        </w:rPr>
      </w:pPr>
      <w:r>
        <w:rPr>
          <w:rFonts w:ascii="Arial" w:cs="Arial" w:eastAsia="Arial" w:hAnsi="Arial"/>
          <w:sz w:val="18"/>
          <w:szCs w:val="18"/>
          <w:color w:val="auto"/>
        </w:rPr>
        <w:t>The figure below demonstrates the expected inverse correlation of the degree of EF improvement of responders to the change in heart size, as measured by LV end systolic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133985</wp:posOffset>
            </wp:positionV>
            <wp:extent cx="4123055" cy="24174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123055"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00"/>
          </w:cols>
          <w:pgMar w:left="320" w:top="459" w:right="4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59" w:lineRule="auto"/>
        <w:rPr>
          <w:sz w:val="20"/>
          <w:szCs w:val="20"/>
          <w:color w:val="auto"/>
        </w:rPr>
      </w:pPr>
      <w:r>
        <w:rPr>
          <w:rFonts w:ascii="Arial" w:cs="Arial" w:eastAsia="Arial" w:hAnsi="Arial"/>
          <w:sz w:val="18"/>
          <w:szCs w:val="18"/>
          <w:color w:val="auto"/>
        </w:rPr>
        <w:t>Further analysis of heart samples from responder as compared to non-responder animals from this study revealed that responder animals had significantly higher measurable levels of the TN1-002 vector and the reprogramming factors than the non-responder animals. This provides additional support that the improvements in EF results seen in this experiment were a direct result of the delivery and expression of reprogramming factors by our AAV capsid.</w:t>
      </w:r>
    </w:p>
    <w:p>
      <w:pPr>
        <w:spacing w:after="0" w:line="187" w:lineRule="exact"/>
        <w:rPr>
          <w:sz w:val="20"/>
          <w:szCs w:val="20"/>
          <w:color w:val="auto"/>
        </w:rPr>
      </w:pPr>
    </w:p>
    <w:p>
      <w:pPr>
        <w:ind w:left="1100" w:right="160"/>
        <w:spacing w:after="0" w:line="308" w:lineRule="auto"/>
        <w:rPr>
          <w:sz w:val="20"/>
          <w:szCs w:val="20"/>
          <w:color w:val="auto"/>
        </w:rPr>
      </w:pPr>
      <w:r>
        <w:rPr>
          <w:rFonts w:ascii="Arial" w:cs="Arial" w:eastAsia="Arial" w:hAnsi="Arial"/>
          <w:sz w:val="17"/>
          <w:szCs w:val="17"/>
          <w:color w:val="auto"/>
        </w:rPr>
        <w:t>The figures below illustrate that the level of AAV transduction and transgene expression was observed to be higher in samples obtained from responders compared to non-responders to TN1-002 in the study of reprogramming in the pig model of HF post-MI: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119380</wp:posOffset>
            </wp:positionV>
            <wp:extent cx="3300095" cy="40462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300095" cy="4046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00" w:right="280"/>
        <w:spacing w:after="0" w:line="263" w:lineRule="auto"/>
        <w:rPr>
          <w:sz w:val="20"/>
          <w:szCs w:val="20"/>
          <w:color w:val="auto"/>
        </w:rPr>
      </w:pPr>
      <w:r>
        <w:rPr>
          <w:rFonts w:ascii="Arial" w:cs="Arial" w:eastAsia="Arial" w:hAnsi="Arial"/>
          <w:sz w:val="18"/>
          <w:szCs w:val="18"/>
          <w:color w:val="auto"/>
        </w:rPr>
        <w:t>Our preclinical findings to date provide direction to our ongoing candidate selection efforts. We continue to seek ways to ensure more consistent delivery and expression of our reprogramming factors to CFs, including with the use of novel capsids and novel delivery methods.</w:t>
      </w:r>
    </w:p>
    <w:p>
      <w:pPr>
        <w:spacing w:after="0" w:line="211" w:lineRule="exact"/>
        <w:rPr>
          <w:sz w:val="20"/>
          <w:szCs w:val="20"/>
          <w:color w:val="auto"/>
        </w:rPr>
      </w:pPr>
    </w:p>
    <w:p>
      <w:pPr>
        <w:ind w:left="1080" w:right="220" w:hanging="532"/>
        <w:spacing w:after="0" w:line="277"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Safety</w:t>
      </w:r>
      <w:r>
        <w:rPr>
          <w:rFonts w:ascii="Arial" w:cs="Arial" w:eastAsia="Arial" w:hAnsi="Arial"/>
          <w:sz w:val="18"/>
          <w:szCs w:val="18"/>
          <w:color w:val="auto"/>
        </w:rPr>
        <w:t>. To date, no negative safety findings have been associated with either TN1-002 or TN1-006 in</w:t>
      </w:r>
      <w:r>
        <w:rPr>
          <w:rFonts w:ascii="Arial" w:cs="Arial" w:eastAsia="Arial" w:hAnsi="Arial"/>
          <w:sz w:val="18"/>
          <w:szCs w:val="18"/>
          <w:i w:val="1"/>
          <w:iCs w:val="1"/>
          <w:color w:val="auto"/>
        </w:rPr>
        <w:t xml:space="preserve"> in vivo </w:t>
      </w:r>
      <w:r>
        <w:rPr>
          <w:rFonts w:ascii="Arial" w:cs="Arial" w:eastAsia="Arial" w:hAnsi="Arial"/>
          <w:sz w:val="18"/>
          <w:szCs w:val="18"/>
          <w:color w:val="auto"/>
        </w:rPr>
        <w:t>experiments in rat and pig</w:t>
      </w:r>
      <w:r>
        <w:rPr>
          <w:rFonts w:ascii="Arial" w:cs="Arial" w:eastAsia="Arial" w:hAnsi="Arial"/>
          <w:sz w:val="18"/>
          <w:szCs w:val="18"/>
          <w:i w:val="1"/>
          <w:iCs w:val="1"/>
          <w:color w:val="auto"/>
        </w:rPr>
        <w:t xml:space="preserve"> </w:t>
      </w:r>
      <w:r>
        <w:rPr>
          <w:rFonts w:ascii="Arial" w:cs="Arial" w:eastAsia="Arial" w:hAnsi="Arial"/>
          <w:sz w:val="18"/>
          <w:szCs w:val="18"/>
          <w:color w:val="auto"/>
        </w:rPr>
        <w:t>models, including clinical findings, histopathology, assessment of arrhythmia, and other measures.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Planned Clinical Development</w:t>
      </w:r>
    </w:p>
    <w:p>
      <w:pPr>
        <w:spacing w:after="0" w:line="117"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We have received feedback from the FDA through an INTERACT (INitial Targeted Engagement for Regulatory Advice on CBER producTs) review to inform the design of our future preclinical studies. After selection of our product candidate, we plan to initiate IND-enabling studies. We intend to submit an IND or CTA to the FDA or EMA, respectively, no earlier than 2023.</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020"/>
          </w:cols>
          <w:pgMar w:left="320" w:top="459" w:right="5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Our development plan is anticipated to include patients with advanced HF due to prior MI who meet qualifications for a heart transplant or LVAD as well as a broader patient population with severe ischemic cardiomyopathy. In the future, we also may explore potential for development in other forms of HF caused by a loss of CMs, but not involving a myocardial infarction.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Pipeline Expansion Opportunities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believe the versatility of our three product platforms and our related differentiated capabilities enables us to rapidly expand our portfolio beyond the initial areas of focus. In addition to the named programs in our current pipeline, there are several programs emerging from each of our platforms that are intended to address rare genetic cardiomyopathies as well as more prevalent forms of heart disease. We continue to research, discover and evaluate new programs arising from our three product platforms. We also continue to explore opportunities to collaborate with leading academic and biopharmaceutical organizations with complementary science and capabilities that share our bold vision for the development of next-generation therapies to benefit individuals and families fighting heart disease.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Third Party Agreements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2020 License Agreement with The Board of Regents of the University of Texas System on behalf of UTSW</w:t>
      </w:r>
    </w:p>
    <w:p>
      <w:pPr>
        <w:spacing w:after="0" w:line="11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We have licensed intellectual property from UTSW in a license agreement effective January 10, 2020 with regard to our DWORF program. We entered into the license agreement with The Board of Regents of the University of Texas System on behalf of UTSW for a worldwide license to develop and commercialize products covered by the UTSW-licensed intellectual property relating to therapeutics overexpressing the peptide named DWORF for all uses. Our license under the license agreement is exclusive with respect to the UTSW patent rights licensed thereunder and non-exclusive with respect to the UTSW tangible materials provided thereunder. All of the DWORF gene therapy product candidates currently in our pipeline rely upon the license granted to us under this agreement. Such license is subject to (a) certain non-commercial rights reserved by UTSW and (b) certain rights retained by the U.S. government, including so called march-in rights.</w:t>
      </w:r>
    </w:p>
    <w:p>
      <w:pPr>
        <w:spacing w:after="0" w:line="17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Under the license agreement, we are obligated to make milestone payments to UTSW aggregating up to $2.75 million upon the achievement of specified development and regulatory approval milestones and up to $12 million upon the achievement of specified sales milestones, in each case, for products covered by the UTSW licensed patent rights. We are also obligated to pay single-digit royalties to UTSW based on net sales by us or our affiliates and sublicensees of products covered by the UTSW licensed patent rights. In addition, in the event we grant a sublicense or an option to obtain a sublicense under the UTSW licensed patent rights, we are obligated to pay UTSW a specified portion of the income we receive therefrom. Further, in the event we undergo a change of control, we may be obligated to make a payment to UTSW of up to $3 million.</w:t>
      </w:r>
    </w:p>
    <w:p>
      <w:pPr>
        <w:spacing w:after="0" w:line="164"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Our royalty obligations with respect to each product covered by UTSW licensed patent rights in a country extend until the latest of expiration of the last-to-expire patent claim licensed from UTSW covering the product in the country, the exclusivity term covering the product in the country and a specified number of years after the first commercial sale of the product in the country.</w:t>
      </w:r>
    </w:p>
    <w:p>
      <w:pPr>
        <w:spacing w:after="0" w:line="184"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Under the license agreement, we are obligated to use a certain level of effort to develop and commercialize one or more products covered by the UTSW licensed patent rights and to achieve certain development or regulatory approval milestones within set times, subject to certain extensions and required payments for such extensions.</w:t>
      </w:r>
    </w:p>
    <w:p>
      <w:pPr>
        <w:spacing w:after="0" w:line="184"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UTSW has the right to terminate the license agreement for our uncured material breach of the license agreement, including if we fail to use a certain level of effort to achieve specified development or regulatory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approval milestones within specified timeframes, or if we unsuccessfully challenge the validity of the UTSW licensed patent rights or for certain events related to our bankruptcy. We have the right to terminate the agreement at any time.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biotechnology and pharmaceutical industries are characterized by rapidly advancing technologies, intense competition and a strong emphasis on intellectual property. We believe our three product platforms, scientific know-how, five core internal capabilities, and experience provides us with competitive advantages. However, we face substantial competition from many different sources, including large and specialty pharmaceutical companies and biotechnology companies, academic research institutions and governmental agencies, and public and private research institutions. Any product candidate we develop and commercialize will have to compete with existing therapies as well as therapies currently in development and that may be developed in the future.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Due to the depth and diversity of our pipeline, we may face competition from a variety of companies, including:</w:t>
      </w:r>
    </w:p>
    <w:p>
      <w:pPr>
        <w:spacing w:after="0" w:line="127" w:lineRule="exact"/>
        <w:rPr>
          <w:sz w:val="20"/>
          <w:szCs w:val="20"/>
          <w:color w:val="auto"/>
        </w:rPr>
      </w:pPr>
    </w:p>
    <w:p>
      <w:pPr>
        <w:ind w:left="1080" w:right="500" w:hanging="532"/>
        <w:spacing w:after="0" w:line="266"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 xml:space="preserve">General cardiovascular drug development: </w:t>
      </w:r>
      <w:r>
        <w:rPr>
          <w:rFonts w:ascii="Arial" w:cs="Arial" w:eastAsia="Arial" w:hAnsi="Arial"/>
          <w:sz w:val="18"/>
          <w:szCs w:val="18"/>
          <w:color w:val="auto"/>
        </w:rPr>
        <w:t>Companies known to have approved products and active drug development efforts for</w:t>
      </w:r>
      <w:r>
        <w:rPr>
          <w:rFonts w:ascii="Arial" w:cs="Arial" w:eastAsia="Arial" w:hAnsi="Arial"/>
          <w:sz w:val="18"/>
          <w:szCs w:val="18"/>
          <w:b w:val="1"/>
          <w:bCs w:val="1"/>
          <w:color w:val="auto"/>
        </w:rPr>
        <w:t xml:space="preserve"> </w:t>
      </w:r>
      <w:r>
        <w:rPr>
          <w:rFonts w:ascii="Arial" w:cs="Arial" w:eastAsia="Arial" w:hAnsi="Arial"/>
          <w:sz w:val="18"/>
          <w:szCs w:val="18"/>
          <w:color w:val="auto"/>
        </w:rPr>
        <w:t>cardiovascular disease include but are not limited to AstraZeneca, Bayer, Bristol Myers Squibb, Cytokinetics, Eli Lilly, Johnson &amp; Johnson/Janssen, Maze Therapeutics, Merck, Novartis, and Novo Nordisk;</w:t>
      </w:r>
    </w:p>
    <w:p>
      <w:pPr>
        <w:spacing w:after="0" w:line="81" w:lineRule="exact"/>
        <w:rPr>
          <w:rFonts w:ascii="Arial" w:cs="Arial" w:eastAsia="Arial" w:hAnsi="Arial"/>
          <w:sz w:val="18"/>
          <w:szCs w:val="18"/>
          <w:color w:val="auto"/>
        </w:rPr>
      </w:pPr>
    </w:p>
    <w:p>
      <w:pPr>
        <w:ind w:left="1080" w:right="140" w:hanging="532"/>
        <w:spacing w:after="0" w:line="266"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 xml:space="preserve">Gene Therapy platform: </w:t>
      </w:r>
      <w:r>
        <w:rPr>
          <w:rFonts w:ascii="Arial" w:cs="Arial" w:eastAsia="Arial" w:hAnsi="Arial"/>
          <w:sz w:val="18"/>
          <w:szCs w:val="18"/>
          <w:color w:val="auto"/>
        </w:rPr>
        <w:t>Companies known to be pursuing gene therapy approaches for the heart include but are not limited to 4D</w:t>
      </w:r>
      <w:r>
        <w:rPr>
          <w:rFonts w:ascii="Arial" w:cs="Arial" w:eastAsia="Arial" w:hAnsi="Arial"/>
          <w:sz w:val="18"/>
          <w:szCs w:val="18"/>
          <w:b w:val="1"/>
          <w:bCs w:val="1"/>
          <w:color w:val="auto"/>
        </w:rPr>
        <w:t xml:space="preserve"> </w:t>
      </w:r>
      <w:r>
        <w:rPr>
          <w:rFonts w:ascii="Arial" w:cs="Arial" w:eastAsia="Arial" w:hAnsi="Arial"/>
          <w:sz w:val="18"/>
          <w:szCs w:val="18"/>
          <w:color w:val="auto"/>
        </w:rPr>
        <w:t>Molecular Therapeutics, Bayer, Bristol Myers Squibb, BioMarin Pharmaceutical, DiNAQOR, Nuevocor, Precigen, Renova Therapeutics, Renovacor, Rocket Pharmaceuticals, Sardicor, Stride Bio, and uniQure;</w:t>
      </w:r>
    </w:p>
    <w:p>
      <w:pPr>
        <w:spacing w:after="0" w:line="81" w:lineRule="exact"/>
        <w:rPr>
          <w:rFonts w:ascii="Arial" w:cs="Arial" w:eastAsia="Arial" w:hAnsi="Arial"/>
          <w:sz w:val="18"/>
          <w:szCs w:val="18"/>
          <w:color w:val="auto"/>
        </w:rPr>
      </w:pPr>
    </w:p>
    <w:p>
      <w:pPr>
        <w:ind w:left="1080" w:right="120" w:hanging="532"/>
        <w:spacing w:after="0" w:line="266"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 xml:space="preserve">Cellular Regeneration platform: </w:t>
      </w:r>
      <w:r>
        <w:rPr>
          <w:rFonts w:ascii="Arial" w:cs="Arial" w:eastAsia="Arial" w:hAnsi="Arial"/>
          <w:sz w:val="18"/>
          <w:szCs w:val="18"/>
          <w:color w:val="auto"/>
        </w:rPr>
        <w:t>Companies known to be pursuing approaches to cellular regeneration for the heart include but are not</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to AstraZeneca, Bayer, BioCardia, Cardior Pharmaceuticals, Jaan Biotherapeutics, Khloris Biosciences, Mesoblast, Mogrify, Sana Biotechnologies and Xylocor Therapeutics; and</w:t>
      </w:r>
    </w:p>
    <w:p>
      <w:pPr>
        <w:spacing w:after="0" w:line="81" w:lineRule="exact"/>
        <w:rPr>
          <w:rFonts w:ascii="Arial" w:cs="Arial" w:eastAsia="Arial" w:hAnsi="Arial"/>
          <w:sz w:val="18"/>
          <w:szCs w:val="18"/>
          <w:color w:val="auto"/>
        </w:rPr>
      </w:pPr>
    </w:p>
    <w:p>
      <w:pPr>
        <w:ind w:left="1080" w:hanging="532"/>
        <w:spacing w:after="0" w:line="282"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 xml:space="preserve">Precision Medicine platform: </w:t>
      </w:r>
      <w:r>
        <w:rPr>
          <w:rFonts w:ascii="Arial" w:cs="Arial" w:eastAsia="Arial" w:hAnsi="Arial"/>
          <w:sz w:val="18"/>
          <w:szCs w:val="18"/>
          <w:color w:val="auto"/>
        </w:rPr>
        <w:t>Companies known to be pursuing approaches to drug discovery for the heart using disease models based on</w:t>
      </w:r>
      <w:r>
        <w:rPr>
          <w:rFonts w:ascii="Arial" w:cs="Arial" w:eastAsia="Arial" w:hAnsi="Arial"/>
          <w:sz w:val="18"/>
          <w:szCs w:val="18"/>
          <w:b w:val="1"/>
          <w:bCs w:val="1"/>
          <w:color w:val="auto"/>
        </w:rPr>
        <w:t xml:space="preserve"> </w:t>
      </w:r>
      <w:r>
        <w:rPr>
          <w:rFonts w:ascii="Arial" w:cs="Arial" w:eastAsia="Arial" w:hAnsi="Arial"/>
          <w:sz w:val="18"/>
          <w:szCs w:val="18"/>
          <w:color w:val="auto"/>
        </w:rPr>
        <w:t>iPSC-CMs include but are not limited to DiNAQOR and Tara Biosystems.</w:t>
      </w:r>
    </w:p>
    <w:p>
      <w:pPr>
        <w:spacing w:after="0" w:line="166"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We cannot predict whether other therapies may be developed that demonstrate greater efficacy, and we may have direct and substantial competition from such therapies in the future. We expect to face increasing competition as new, more effective treatments enter the market and further advancements in technologies are made. We expect market adoption of any treatments that we develop and commercialize to be dependent on, among other things, efficacy, safety, delivery, price and the availability of reimbursement from government and other third-party payors.</w:t>
      </w:r>
    </w:p>
    <w:p>
      <w:pPr>
        <w:spacing w:after="0" w:line="15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Many of our current or potential competitors, either alone or with their collaboration partners, have significantly greater financial resources and expertise in research and development, manufacturing, preclinical testing, conducting clinical trials and marketing approved products than we do. Mergers and acquisitions in the pharmaceutical, biotechnology and gene therapy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companies also compete with us in recruiting and retaining qualified scientific and management personnel and establishing clinical trial sites and patient registration for clinical trials, as well as in acquiring technologies complementary to, or necessary for, our product candidates.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20"/>
          </w:cols>
          <w:pgMar w:left="32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Our success depends in part on our ability to obtain and maintain intellectual property protection for our product candidates, technology and know-how, to operate without infringing, misappropriating or otherwise violating the intellectual property or other the proprietary rights of others and to prevent others from infringing, misappropriating or otherwise violating our intellectual property or other proprietary rights. To protect our intellectual property rights, we primarily rely on patent and trade secret laws, confidentiality procedures, and employee disclosure and invention assignment agreements. Our policy is to seek to protect our proprietary position by, among other methods, pursuing patent applications in the United States and in certain jurisdictions outside of the United States related to our proprietary technology, inventions, improvements and product candidates that are important to the development and implementation of our business. Our patent portfolio is intended to cover our product candidates and components thereof, their methods of use and processes for their manufacture, our proprietary reagents and assays and any other inventions that are commercially important to our business. The development of our product candidates and technology is at an early stage and consequently, our patent portfolio is also at an early stage. We have in-licensed one issued U.S. patent, own one issued U.S. patent, and own one allowed U.S. patent application relating to our technology and product candidates. Many of our and our licensors’ patent applications are either at the provisional stage or at an early stage in prosecution. We cannot be sure that any patents will be granted with respect to any of our pending patent applications or with respect to any patent applications filed by us in the future, nor can we be sure that any patents that may be granted to us in the future will be commercially useful in protecting our technology and product candidates.</w:t>
      </w:r>
    </w:p>
    <w:p>
      <w:pPr>
        <w:spacing w:after="0" w:line="184" w:lineRule="exact"/>
        <w:rPr>
          <w:sz w:val="20"/>
          <w:szCs w:val="20"/>
          <w:color w:val="auto"/>
        </w:rPr>
      </w:pPr>
    </w:p>
    <w:p>
      <w:pPr>
        <w:ind w:left="120" w:right="600" w:firstLine="440"/>
        <w:spacing w:after="0" w:line="342" w:lineRule="auto"/>
        <w:rPr>
          <w:sz w:val="20"/>
          <w:szCs w:val="20"/>
          <w:color w:val="auto"/>
        </w:rPr>
      </w:pPr>
      <w:r>
        <w:rPr>
          <w:rFonts w:ascii="Arial" w:cs="Arial" w:eastAsia="Arial" w:hAnsi="Arial"/>
          <w:sz w:val="16"/>
          <w:szCs w:val="16"/>
          <w:color w:val="auto"/>
        </w:rPr>
        <w:t>Our owned and exclusively licensed patent portfolio covers various aspects of our programs and technology, including our small-molecule compounds, gene delivery vectors, and gene therapy programs. Further details on certain segments of our patent portfolio are included below.</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Gene Therapy Platform</w:t>
      </w:r>
    </w:p>
    <w:p>
      <w:pPr>
        <w:spacing w:after="0" w:line="117" w:lineRule="exact"/>
        <w:rPr>
          <w:sz w:val="20"/>
          <w:szCs w:val="20"/>
          <w:color w:val="auto"/>
        </w:rPr>
      </w:pPr>
    </w:p>
    <w:p>
      <w:pPr>
        <w:ind w:left="120" w:right="220" w:firstLine="440"/>
        <w:spacing w:after="0" w:line="272" w:lineRule="auto"/>
        <w:rPr>
          <w:sz w:val="20"/>
          <w:szCs w:val="20"/>
          <w:color w:val="auto"/>
        </w:rPr>
      </w:pPr>
      <w:r>
        <w:rPr>
          <w:rFonts w:ascii="Arial" w:cs="Arial" w:eastAsia="Arial" w:hAnsi="Arial"/>
          <w:sz w:val="17"/>
          <w:szCs w:val="17"/>
          <w:i w:val="1"/>
          <w:iCs w:val="1"/>
          <w:color w:val="auto"/>
        </w:rPr>
        <w:t>MYBPC3</w:t>
      </w:r>
      <w:r>
        <w:rPr>
          <w:rFonts w:ascii="Arial" w:cs="Arial" w:eastAsia="Arial" w:hAnsi="Arial"/>
          <w:sz w:val="17"/>
          <w:szCs w:val="17"/>
          <w:color w:val="auto"/>
        </w:rPr>
        <w:t>: With regard to our MYBPC3 program, as of July 1, 2021, we solely own two pending Patent Cooperation Treaty (PCT) patent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applications and one pending U.S. patent application which the USPTO has allowed and which we expect to issue as a U.S. patent in due course. Any U.S. or foreign patents issued from national stage filings of the PCT patent applications are expected to expire in 2041, assuming payment of all appropriate maintenance, renewal, annuity or other governmental fees and that national phase entries are timely made based upon the pending PCT applications, and without taking potential patent term extensions or adjustments into account. The pending U.S. provisional patent applications cover various aspects of our MYBPC3 lead products, including </w:t>
      </w:r>
      <w:r>
        <w:rPr>
          <w:rFonts w:ascii="Arial" w:cs="Arial" w:eastAsia="Arial" w:hAnsi="Arial"/>
          <w:sz w:val="17"/>
          <w:szCs w:val="17"/>
          <w:i w:val="1"/>
          <w:iCs w:val="1"/>
          <w:color w:val="auto"/>
        </w:rPr>
        <w:t>MYBPC3</w:t>
      </w:r>
      <w:r>
        <w:rPr>
          <w:rFonts w:ascii="Arial" w:cs="Arial" w:eastAsia="Arial" w:hAnsi="Arial"/>
          <w:sz w:val="17"/>
          <w:szCs w:val="17"/>
          <w:color w:val="auto"/>
        </w:rPr>
        <w:t xml:space="preserve"> gene expression vectors, recombinant AAV (rAAV) virions, rAAV viral genomes, expression cassettes, and methods of using such compositions for therapeutic indications.</w:t>
      </w:r>
    </w:p>
    <w:p>
      <w:pPr>
        <w:spacing w:after="0" w:line="17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i w:val="1"/>
          <w:iCs w:val="1"/>
          <w:color w:val="auto"/>
        </w:rPr>
        <w:t>PKP2</w:t>
      </w:r>
      <w:r>
        <w:rPr>
          <w:rFonts w:ascii="Arial" w:cs="Arial" w:eastAsia="Arial" w:hAnsi="Arial"/>
          <w:sz w:val="17"/>
          <w:szCs w:val="17"/>
          <w:color w:val="auto"/>
        </w:rPr>
        <w:t>: With regard to our PKP2 program, as of July 1, 2021, we solely own three pending U.S. provisional patent applications. Patents claiming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priority to these three U.S. provisional patent applications, if issued, are expected to expire between 2041 and 2042, assuming payment of all appropriate maintenance, renewal, annuity or other governmental fees and without taking potential patent term extensions or adjustments into account. These provisional patent applications are related to proprietary </w:t>
      </w:r>
      <w:r>
        <w:rPr>
          <w:rFonts w:ascii="Arial" w:cs="Arial" w:eastAsia="Arial" w:hAnsi="Arial"/>
          <w:sz w:val="17"/>
          <w:szCs w:val="17"/>
          <w:i w:val="1"/>
          <w:iCs w:val="1"/>
          <w:color w:val="auto"/>
        </w:rPr>
        <w:t>PKP2</w:t>
      </w:r>
      <w:r>
        <w:rPr>
          <w:rFonts w:ascii="Arial" w:cs="Arial" w:eastAsia="Arial" w:hAnsi="Arial"/>
          <w:sz w:val="17"/>
          <w:szCs w:val="17"/>
          <w:color w:val="auto"/>
        </w:rPr>
        <w:t xml:space="preserve"> gene expression vectors and methods of use.</w:t>
      </w:r>
    </w:p>
    <w:p>
      <w:pPr>
        <w:spacing w:after="0" w:line="17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i w:val="1"/>
          <w:iCs w:val="1"/>
          <w:color w:val="auto"/>
        </w:rPr>
        <w:t>DWORF</w:t>
      </w:r>
      <w:r>
        <w:rPr>
          <w:rFonts w:ascii="Arial" w:cs="Arial" w:eastAsia="Arial" w:hAnsi="Arial"/>
          <w:sz w:val="16"/>
          <w:szCs w:val="16"/>
          <w:color w:val="auto"/>
        </w:rPr>
        <w:t>: With regard to our DWORF program, as of July 1, 2021, we exclusively license one U.S. patent and one pending U.S. patent application</w:t>
      </w:r>
      <w:r>
        <w:rPr>
          <w:rFonts w:ascii="Arial" w:cs="Arial" w:eastAsia="Arial" w:hAnsi="Arial"/>
          <w:sz w:val="16"/>
          <w:szCs w:val="16"/>
          <w:i w:val="1"/>
          <w:iCs w:val="1"/>
          <w:color w:val="auto"/>
        </w:rPr>
        <w:t xml:space="preserve"> </w:t>
      </w:r>
      <w:r>
        <w:rPr>
          <w:rFonts w:ascii="Arial" w:cs="Arial" w:eastAsia="Arial" w:hAnsi="Arial"/>
          <w:sz w:val="16"/>
          <w:szCs w:val="16"/>
          <w:color w:val="auto"/>
        </w:rPr>
        <w:t>from UTSW (the UT Patents). The U.S. patent is expected to expire, and the pending U.S. patent application, if issued, is expected to expire, in 2037, assuming payment of all appropriate maintenance, renewal, annuity or other governmental fees and without taking potential patent term extensions or adjustments into account. The UT Patents covers methods of enhancing activity of the SERCA pump using the DWORF peptide and using such methods to treat heart disease. Furthermore, we solely own a pending U.S. provisional patent application related to proprietary vectors and methods of use. Patents claiming priority to this U.S. provisional patent application, if issued, are expected to expire in 2041, assuming payment of all appropriate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20"/>
          </w:cols>
          <w:pgMar w:left="320" w:top="459"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maintenance, renewal, annuity or other governmental fees, and without taking potential patent term extensions or adjustments into account.</w:t>
      </w:r>
    </w:p>
    <w:p>
      <w:pPr>
        <w:spacing w:after="0" w:line="34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Cellular Regeneration Platform</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With respect to our Cellular Regeneration platform, as of July 1, 2021, we solely own three patent families directed to product candidates in our Reprogramming program, including two pending PCT patent applications, one issued U.S. patent, one pending non-provisional U.S. patent application and nine foreign counterparts of these patent applications. Any U.S. or foreign patents issued from national stage filings of the PCT patent applications are expected to expire between 2039 and 2041, assuming payment of all appropriate maintenance, renewal, annuity or other governmental fees and that national phase entries are timely made based upon the pending PCT applications, and without taking potential patent term extensions or adjustments into account. The three patent families cover various aspects of our Reprogramming program, including gene delivery vectors, methods of treating a heart condition, engineered myocardin proteins, vectors encoding engineered myocardins, and methods of use. Additionally, we solely own a fourth patent family that is directed to AAV-based gene vectors for cardiac cell transduction, with one pending international PCT patent application. Any U.S. or foreign patents issued from national stage filings of this PCT patent application are expected to expire in 2040, assuming payment of all appropriate maintenance, renewal, annuity or other governmental fees and that national phase entries are timely made based upon the pending PCT applications, and without taking potential patent term extensions or adjustments into account.</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Precision Medicine Platform</w:t>
      </w:r>
    </w:p>
    <w:p>
      <w:pPr>
        <w:spacing w:after="0" w:line="117"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With regard to our HDAC6i program, as of July 1, 2021, we solely own two pending PCT patent applications and four pending U.S. provisional patent applications. Any U.S. or foreign patents issued from national stage filings of these PCT patent applications are expected to expire in 2040, assuming payment of all appropriate maintenance, renewal, annuity or other governmental fees and that national phase entries are timely made based upon the pending PCT applications, and without taking potential patent term extensions or adjustments into account. Our patent applications cover our lead HDAC6i compounds and various analogs.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Trade Secrets</w:t>
      </w:r>
    </w:p>
    <w:p>
      <w:pPr>
        <w:spacing w:after="0" w:line="117"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In addition to our reliance on patent protection for our technology and product candidates, we also rely on trade secret protection of our confidential information and know-how relating to our proprietary technology, product platforms and product candidates. Through development of internal manufacturing capabilities for AAV-based gene vectors, we have secured proprietary know-how and trade secrets related to our most-advanced programs as well as vector technologies widely applicable to potential AAV therapies. However, trade secrets can be difficult to protect. We seek to protect our trade secrets, proprietary technology and processes, in part, by entering into confidentiality and invention assignment agreements with our employees, consultants, scientific advisors, contractors and other third parties. However, we cannot guarantee that we have entered into such agreements with each party that has or may have had access to our trade secrets or proprietary information or has been involved in the development of intellectual property. Additionally, these agreements may be breached and we may not have adequate remedies for any breach. Furthermore, third parties may independently develop substantially equivalent proprietary information and techniques or otherwise gain access to our trade secrets or disclose our technology. As a result, we may not be able to meaningfully protect our trade secrets. We also seek to preserve the integrity and confidentiality of our data and trade secrets by maintaining physical security of our premises and physical and electronic security of our information technology systems. However, such security measures may be breached and we may not have adequate remedies for such breaches.</w:t>
      </w:r>
    </w:p>
    <w:p>
      <w:pPr>
        <w:spacing w:after="0" w:line="168" w:lineRule="exact"/>
        <w:rPr>
          <w:sz w:val="20"/>
          <w:szCs w:val="20"/>
          <w:color w:val="auto"/>
        </w:rPr>
      </w:pPr>
    </w:p>
    <w:p>
      <w:pPr>
        <w:jc w:val="center"/>
        <w:ind w:left="420" w:right="460"/>
        <w:spacing w:after="0" w:line="449" w:lineRule="auto"/>
        <w:rPr>
          <w:sz w:val="20"/>
          <w:szCs w:val="20"/>
          <w:color w:val="auto"/>
        </w:rPr>
      </w:pPr>
      <w:r>
        <w:rPr>
          <w:rFonts w:ascii="Arial" w:cs="Arial" w:eastAsia="Arial" w:hAnsi="Arial"/>
          <w:sz w:val="18"/>
          <w:szCs w:val="18"/>
          <w:color w:val="auto"/>
        </w:rPr>
        <w:t>For more information regarding the risks related to our intellectual property, see “Risk Factors—Risks Related to Our Intellectual Property.” 191</w:t>
      </w:r>
    </w:p>
    <w:p>
      <w:pPr>
        <w:sectPr>
          <w:pgSz w:w="11900" w:h="16838" w:orient="portrait"/>
          <w:cols w:equalWidth="0" w:num="1">
            <w:col w:w="11120"/>
          </w:cols>
          <w:pgMar w:left="320" w:top="459"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We intend to rely on our internal manufacturing capabilities for the production of drug substance for initial clinical studies of our MYBPC3 gene therapy program. Over time we intend to rely on a combination of our internal manufacturing capabilities as well as on external CDMOs for our portfolio programs as they progress through various stages of clinical development and eventually to commercialization, if approved.</w:t>
      </w:r>
    </w:p>
    <w:p>
      <w:pPr>
        <w:spacing w:after="0" w:line="16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plan to fully integrate and internalize AAV manufacturing capabilities to support our initial product candidates from our Gene Therapy and Cellular Regeneration platforms. We have established an in-house Pilot Plant Operation facility that operates at the 200L scale to support all non-clinical studies including IND-enabling efficacy, pharmacology and toxicology studies. This facility is compliant with Good Laboratory Practice (GLP) regulations and can produce materials sufficient for large animal studies including pigs and NHPs. Our initial production at this scale has been at yields and with full to empty capsid ratios that compare favorably to industry standards.</w:t>
      </w:r>
    </w:p>
    <w:p>
      <w:pPr>
        <w:spacing w:after="0" w:line="188"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have initiated construction of a dedicated cGMP facility for drug product manufacturing in the San Francisco Bay Area that we expect will be operational in the first half of 2022. The facility will initially produce drug product at the 1000L scale to support first-in-human studies for our MYBPC3 program. The facility will use a modular pod design that will support scale-out and scale-up of manufacturing capacity in response to evolving needs.</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addition to our internal cGMP manufacturing capabilities, we have also negotiated and entered into master service agreements with two CDMOs for additional capacity and risk mitigation. Additionally, we will rely on third parties for certain manufacturing related release assays, for which we intend to secure dual-sourced capacity for risk mitigation.</w:t>
      </w:r>
    </w:p>
    <w:p>
      <w:pPr>
        <w:spacing w:after="0" w:line="184"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To optimize our use of resources and utilize extensive experience in small molecule manufacturing, we intend to work with CDMOs for our small molecule programs. We intend to initiate cGMP manufacturing for our HDAC6 inhibitor program, TYA-11631, before the end of 2021.</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Government authorities in the United States at the federal, state and local level and in other countries regulate, among other things, the research, development, testing, manufacture, quality control, approval, labeling, packaging, storage, record-keeping, promotion, advertising, distribution, post-approval monitoring and reporting, marketing and export and import of biologic and small molecule therapeutic products. Generally, before a new therapeutic product can be marketed, considerable data demonstrating a biologic candidate’s quality, safety, purity and potency, or a small molecule candidate’s quality, safety and efficacy, must be obtained, organized into a format specific for each regulatory authority, submitted for review and approved by the regulatory authority. For biologic candidates, potency is similar to efficacy and is interpreted to mean the specific ability or capacity of the product, as indicated by appropriate laboratory tests or by adequately controlled clinical data obtained through the administration of the product in the manner intended, to effect a given result.</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 Biologic and Small Molecule Drug Product Development</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the United States, the FDA regulates small molecule and biologic therapeutic products under the Food, Drug and Cosmetic Act (FDCA) and the Public Health Service Act (PHSA). Biopharmaceuticals, including both small molecule and biologic products, also are subject to other federal, state and local statutes and regulations.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post-market may subject an applicant to administrative or judicial sanctions. These sanctions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20"/>
          </w:cols>
          <w:pgMar w:left="320" w:top="459" w:right="4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could include, among other actions, the FDA’s refusal to approve pending applications, withdrawal of an approval,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us.</w:t>
      </w:r>
    </w:p>
    <w:p>
      <w:pPr>
        <w:spacing w:after="0" w:line="187"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Biologics must be licensed by the FDA through a biologics license application (BLA), and small molecule products must be approved by the FDA through a new drug application (NDA), before they may be legally marketed in the United States. The process generally involves the following:</w:t>
      </w:r>
    </w:p>
    <w:p>
      <w:pPr>
        <w:spacing w:after="0" w:line="29" w:lineRule="exact"/>
        <w:rPr>
          <w:sz w:val="20"/>
          <w:szCs w:val="20"/>
          <w:color w:val="auto"/>
        </w:rPr>
      </w:pPr>
    </w:p>
    <w:p>
      <w:pPr>
        <w:ind w:left="1080" w:right="20" w:hanging="532"/>
        <w:spacing w:after="0" w:line="277"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Completion of extensive preclinical studies in accordance with applicable regulations, including studies conducted in accordance with GLP requirements;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30" w:lineRule="exact"/>
        <w:rPr>
          <w:rFonts w:ascii="Arial" w:cs="Arial" w:eastAsia="Arial" w:hAnsi="Arial"/>
          <w:sz w:val="18"/>
          <w:szCs w:val="18"/>
          <w:color w:val="auto"/>
        </w:rPr>
      </w:pPr>
    </w:p>
    <w:p>
      <w:pPr>
        <w:ind w:left="1080" w:right="600" w:hanging="532"/>
        <w:spacing w:after="0" w:line="277"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(IRB), or ethics committee at each clinical trial site before each trial may be initiated;</w:t>
      </w:r>
    </w:p>
    <w:p>
      <w:pPr>
        <w:spacing w:after="0" w:line="75" w:lineRule="exact"/>
        <w:rPr>
          <w:rFonts w:ascii="Arial" w:cs="Arial" w:eastAsia="Arial" w:hAnsi="Arial"/>
          <w:sz w:val="18"/>
          <w:szCs w:val="18"/>
          <w:color w:val="auto"/>
        </w:rPr>
      </w:pPr>
    </w:p>
    <w:p>
      <w:pPr>
        <w:ind w:left="1080" w:right="160" w:hanging="532"/>
        <w:spacing w:after="0" w:line="263"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applicable IND regulations, GCP requirements and other clinical trial-related regulations to establish the safety and potency or efficacy of the investigational product for each proposed indication;</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Submission to the FDA of a BLA or NDA;</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or NDA to accept the filing for review;</w:t>
      </w:r>
    </w:p>
    <w:p>
      <w:pPr>
        <w:spacing w:after="0" w:line="130"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Satisfactory completion of a FDA pre-approval inspection of the manufacturing facility or facilities where biologic or small molecule product will be produced to assess compliance with cGMP requirements to assure that the facilities, methods and controls are adequate to preserve the biologic’s identity, strength, purity, potency, and quality controls, or the small molecule product’s identity, chemistry, and quality controls;</w:t>
      </w:r>
    </w:p>
    <w:p>
      <w:pPr>
        <w:spacing w:after="0" w:line="92"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Potential FDA audit of the preclinical study and/or clinical trial sites that generated the data in support of the BLA or NDA;</w:t>
      </w:r>
    </w:p>
    <w:p>
      <w:pPr>
        <w:spacing w:after="0" w:line="130" w:lineRule="exact"/>
        <w:rPr>
          <w:rFonts w:ascii="Arial" w:cs="Arial" w:eastAsia="Arial" w:hAnsi="Arial"/>
          <w:sz w:val="18"/>
          <w:szCs w:val="18"/>
          <w:color w:val="auto"/>
        </w:rPr>
      </w:pPr>
    </w:p>
    <w:p>
      <w:pPr>
        <w:ind w:left="1080" w:right="520" w:hanging="532"/>
        <w:spacing w:after="0" w:line="277"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Satisfactory completion of other studies required by the FDA, including immunogenicity, carcinogenicity, genotoxicity, and stability studies;</w:t>
      </w:r>
    </w:p>
    <w:p>
      <w:pPr>
        <w:spacing w:after="0" w:line="75" w:lineRule="exact"/>
        <w:rPr>
          <w:rFonts w:ascii="Arial" w:cs="Arial" w:eastAsia="Arial" w:hAnsi="Arial"/>
          <w:sz w:val="18"/>
          <w:szCs w:val="18"/>
          <w:color w:val="auto"/>
        </w:rPr>
      </w:pPr>
    </w:p>
    <w:p>
      <w:pPr>
        <w:ind w:left="1080" w:right="680" w:hanging="532"/>
        <w:spacing w:after="0" w:line="277"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FDA review and approval of the BLA or NDA, including consideration of the views of any FDA advisory committee, prior to any commercial marketing or sale of the biologic or small molecular therapeutic in the United States; and</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REMS, and the potential requirement to conduct post-approval studies.</w:t>
      </w:r>
    </w:p>
    <w:p>
      <w:pPr>
        <w:spacing w:after="0" w:line="170"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data required to support a BLA or NDA are generated in two distinct developmental stages: preclinical and clinical. The preclinical and clinical testing and approval process requires substantial time, effort and financial resources, and we cannot be certain that any approvals for any future product candidates will be granted on a timely basis, or at all.</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Preclinical Studies and IND</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 xml:space="preserve">Preclinical studies include laboratory evaluation of product biochemistry, formulation and stability, as well as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animal studies to assess the potential for toxicity and to establish a rationale for therapeutic use for supporting subsequent clinical testing. The conduct of preclinical studies is subject to federal regulations and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40"/>
          </w:cols>
          <w:pgMar w:left="320" w:top="459" w:right="4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requirements, including GLP regulations for safety/toxicology studies. An IND sponsor must submit the results of the preclinical tests, together with manufacturing information, analytical data, any available clinical data or literature and a proposed clinical protocol, among other things, to the FDA as part of an IND. An IND is a request for authorization from the FDA to administer an investigational product to humans and must become effective before human clinical trials may begin. Some long-term preclinical testing, such as animal tests of reproductive adverse events and carcinogenicity, may continue after the IND is submitted. An IND automatically becomes effective 30 days after receipt by the FDA, unless before that time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to commence.</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Clinical Trials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clinical stage of development involves the administration of the investigational product to healthy volunteers or patients under the supervision of qualified investigators, generally physicians not employed by or under the trial sponsor’s control, in accordance with GCP requirements,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also are requirements governing the reporting of ongoing clinical trials and completed clinical trial results to public registries.</w:t>
      </w:r>
    </w:p>
    <w:p>
      <w:pPr>
        <w:spacing w:after="0" w:line="185"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 BLA or NDA. The FDA will accept a well-designed and well-conducted foreign clinical trial not conducted under an IND if the trial was conducted in accordance with GCP requirements and the FDA is able to validate the data through an onsite inspection if deemed necessary.</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Clinical trials in the United States generally are conducted in three sequential phases, known as Phase 1, Phase 2 and Phase 3, and may overlap.</w:t>
      </w:r>
    </w:p>
    <w:p>
      <w:pPr>
        <w:spacing w:after="0" w:line="154" w:lineRule="exact"/>
        <w:rPr>
          <w:sz w:val="20"/>
          <w:szCs w:val="20"/>
          <w:color w:val="auto"/>
        </w:rPr>
      </w:pPr>
    </w:p>
    <w:p>
      <w:pPr>
        <w:ind w:left="1080" w:right="300" w:hanging="532"/>
        <w:spacing w:after="0" w:line="263"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Phase 1 clinical trials generally involve a small number of healthy volunteers or disease-affected patients who are initially exposed to a single dose and then multiple doses of the product candidate. The primary purpose of these clinical trials is to assess the metabolism, pharmacologic action, tolerability and safety of the drug.</w:t>
      </w:r>
    </w:p>
    <w:p>
      <w:pPr>
        <w:spacing w:after="0" w:line="89" w:lineRule="exact"/>
        <w:rPr>
          <w:rFonts w:ascii="Arial" w:cs="Arial" w:eastAsia="Arial" w:hAnsi="Arial"/>
          <w:sz w:val="18"/>
          <w:szCs w:val="18"/>
          <w:color w:val="auto"/>
        </w:rPr>
      </w:pPr>
    </w:p>
    <w:p>
      <w:pPr>
        <w:ind w:left="1080" w:right="20" w:hanging="532"/>
        <w:spacing w:after="0" w:line="263"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Phase 2 clinical trials involve studies in disease-affected patients to determine the dose required to produce the desired benefits. At the same time, safety and further pharmacokinetic and pharmacodynamic information is collected, possible adverse effects and safety risks are identified and a preliminary evaluation of efficacy is conducted.</w:t>
      </w:r>
    </w:p>
    <w:p>
      <w:pPr>
        <w:spacing w:after="0" w:line="89" w:lineRule="exact"/>
        <w:rPr>
          <w:rFonts w:ascii="Arial" w:cs="Arial" w:eastAsia="Arial" w:hAnsi="Arial"/>
          <w:sz w:val="18"/>
          <w:szCs w:val="18"/>
          <w:color w:val="auto"/>
        </w:rPr>
      </w:pPr>
    </w:p>
    <w:p>
      <w:pPr>
        <w:ind w:left="1080" w:right="20" w:hanging="532"/>
        <w:spacing w:after="0" w:line="279" w:lineRule="auto"/>
        <w:tabs>
          <w:tab w:leader="none" w:pos="10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Phase 3 clinical trials generally involve a large number of patients at multiple sites and are designed to provide the data necessary to demonstrate the effectiveness of the product for its intended use, its safety in use and to establish the overall benefit/risk relationship of the product and provide an adequate basis for product approval. These trials may include comparisons with placebo and/or other comparator treatments. The duration of treatment is often extended to mimic the actual use of a product during marketing.</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00"/>
          </w:cols>
          <w:pgMar w:left="320" w:top="459" w:right="47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 BLA or NDA.</w:t>
      </w:r>
    </w:p>
    <w:p>
      <w:pPr>
        <w:spacing w:after="0" w:line="18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 xml:space="preserve">Progress reports detailing the results of the clinical trials, among other information, must be submitted at least annually to the FDA and written IND safety reports must be submitted to the FDA and the investigators for serious and unexpected suspected adverse events, findings from other studies suggesting a significant risk to humans exposed to the investigational product, findings from animal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testing that suggest a significant risk for human subjects and any clinically important increase in the rate of a serious suspected adverse reaction over that listed in the protocol or investigator brochure.</w:t>
      </w:r>
    </w:p>
    <w:p>
      <w:pPr>
        <w:spacing w:after="0" w:line="188"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Phase 1, Phase 2 and Phase 3 clinical trials may not be completed successfully within any specified period, if at all. The FDA or the sponsor may suspend or terminate a clinical trial at any time on various grounds, including a finding that the research subjects or patients are being exposed to an unacceptable health risk or non-compliance with GCP requirements. Similarly, an IRB can suspend or terminate approval of a clinical trial at its institution if the clinical trial is not being conducted in accordance with the IRB’s requirements or if the investigational product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check-points based on access to certain data from the trial. Concurrent with clinical trials, companies usually complete additional animal studies and also must develop additional information about the biochemical and physical characteristics of the investigational product as well as finalize a process for manufacturing the product in commercial quantities in accordance with cGMP requirements. The manufacturing process must be capable of consistently producing quality batches of the product and, among other things, companies must develop methods for testing the identity, strength, quality and purity of the final product. Additionally, appropriate packaging must be selected and tested and stability studies must be conducted to demonstrate that the product candidates do not undergo unacceptable deterioration over their shelf life.</w:t>
      </w:r>
    </w:p>
    <w:p>
      <w:pPr>
        <w:spacing w:after="0" w:line="168"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Further, as a result of the COVID-19 pandemic, the extent and length of which are uncertain, we will be required to develop and implement additional clinical trial policies and procedures designed to help protect trial participants from the COVID-19 virus, which may include using telemedicine visits and remote monitoring of patients and clinical sites. We will also need to ensure data from our clinical studies that may be disrupted as a result of the pandemic is collected pursuant to the trial protocol and is consistent with GCPs, with any material protocol deviation reviewed and approved by the site IRB. Patients who may miss scheduled appoints, any interruption in trial drug supply, or other consequence that may result in incomplete data being generated during a trial as a result of the pandemic must be adequately documented and justified. For example, on March 18, 2020, the FDA issued a guidance, as updated subsequently by the FDA, on conducting clinical trials during the pandemic. The guidance describes a number of considerations for sponsors of clinical trials impacted by the pandemic, including the requirement to include in the clinical trial report (or as a separate document) contingency measures implemented to manage the trial and any disruption of the trial as a result of COVID-19, among others. Other industry guidance issued by the FDA during the COVID-19 pandemic includes manufacturing, supply chain, and drug and biological product inspections during the COVID-19 public health emergency; GMP considerations for responding to COVID-19 infection in employees in biopharmaceutical manufacturing; and remote interactive evaluations of drug manufacturing and bioresearch monitoring facilities, among others. If new guidance and policies are promulgated by the FDA that require changes in our clinical protocol or clinical development plans, our anticipated timelines and regulatory approval may be delayed or materially impacted.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NDA and BLA Review Process</w:t>
      </w:r>
    </w:p>
    <w:p>
      <w:pPr>
        <w:spacing w:after="0" w:line="117"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Following completion of the clinical trials, data is analyzed to assess whether the investigational product is safe and effective for the proposed indicated use or uses. The results of preclinical studies and clinical trials are then submitted to the FDA as part of a BLA for a biologic product or an NDA for a small molecule drug product,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00"/>
          </w:cols>
          <w:pgMar w:left="320" w:top="459" w:right="47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along with proposed labeling, biochemistry and manufacturing information to ensure product quality, identity, purity and other relevant data. In short, the BLA or NDA is a request for approval to market the biologic or drug product for one or more specified indications and must contain proof of safety, purity and potency for a biologic, or safety and efficacy for a small molecule drug product. The application may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the FDA. FDA approval of a BLA or NDA must be obtained before the product may be marketed in the United States.</w:t>
      </w:r>
    </w:p>
    <w:p>
      <w:pPr>
        <w:spacing w:after="0" w:line="166"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Under the Prescription Drug User Fee Act (PDUFA), as amended, each BLA or NDA must be accompanied by a user fee. FDA adjusts the PDUFA user fees on an annual basis. According to the FDA’s FY 2021 fee schedule, effective through September 30, 2021, the user fee for an application requiring clinical data, such as a BLA or NDA, is approximately $2.9 million. PDUFA also imposes an annual program fee for each marketed human prescription drug product ($336,432 in 2021) and an annual establishment fee on facilities used to manufacture prescription biologics or small molecular drug products. Fee waivers or reductions are available in certain circumstances, including a waiver of the application fee for the first application filed by a small business. Additionally, no user fees are assessed on BLAs or NDA for products designated as orphan drugs, unless the product also includes a non-orphan indication.</w:t>
      </w:r>
    </w:p>
    <w:p>
      <w:pPr>
        <w:spacing w:after="0" w:line="195"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FDA reviews all submitted BLAs and NDAs before it accepts them for filing and may request additional information rather than accepting the BLA or NDA for filing. The FDA must make a decision on accepting a BLA or NDA for filing within 60 days of receipt. Once the submission is accepted for filing, the FDA begins an in-depth review of the BLA or NDA. Under the goals and policies agreed to by the FDA under PDUFA, the FDA has ten months, from the filing date, in which to complete its initial review of an original BLA or NDA and respond to the applicant, and six months from the filing date of an original BLA or NDA designated for priority review. The FDA does not always meet its PDUFA goal dates for standard and priority BLAs or NDAs, and the review process is often extended by FDA requests for additional information or clarification.</w:t>
      </w:r>
    </w:p>
    <w:p>
      <w:pPr>
        <w:spacing w:after="0" w:line="164"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Before approving a BLA or NDA,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may audit data from clinical trials to ensure compliance with GCP requirements. Additionally, the FDA may refer applications for novel drug products or drug products which present difficult questions of safety or efficacy to an advisory committee, typically a panel that includes physicians and other experts, for review, evaluation and a recommendation as to whether the application should be approved and under what conditions, if any. The FDA is not bound by recommendations of an advisory committee, but it considers such recommendations when making decisions on approval. The FDA likely will reanalyze the clinical trial data, which could result in extensive discussions between the FDA and the applicant during the review process. After the FDA evaluates a BLA or NDA, it will issue an approval letter or a Complete Response Letter. An approval letter authorizes commercial marketing of the drug product with specific prescribing information for specific indications. A Complete Response Letter indicates that the review cycle of the application is complete and the application will not be approved in its present form. A Complete Response Letter usually describes all of the specific deficiencies in the BLA or NDA identified by the FDA. The Complete Response Letter may require additional clinical data, additional pivotal Phase 3 clinical trial(s) and/ or other significant and time-consuming requirements related to clinical trials, preclinical studies or manufacturing. If a Complete Response Letter is issued, the applicant may either resubmit the BLA or NDA, addressing all of the deficiencies identified in the letter, or withdraw the application. Even if such data and information are submitted, the FDA may decide that the BLA or NDA does not satisfy the criteria for approval. Data obtained from clinical trials are not always conclusive and the FDA may interpret data differently than we interpret the same data.</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20"/>
          </w:cols>
          <w:pgMar w:left="320" w:top="459" w:right="4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Orphan Drugs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Under the Orphan Drug Act, the FDA may grant orphan designation to a drug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the product available in the United States for this type of disease or condition will be recovered from sales of the product.</w:t>
      </w:r>
    </w:p>
    <w:p>
      <w:pPr>
        <w:spacing w:after="0" w:line="187" w:lineRule="exact"/>
        <w:rPr>
          <w:sz w:val="20"/>
          <w:szCs w:val="20"/>
          <w:color w:val="auto"/>
        </w:rPr>
      </w:pPr>
    </w:p>
    <w:p>
      <w:pPr>
        <w:ind w:left="120" w:right="280" w:firstLine="440"/>
        <w:spacing w:after="0" w:line="286" w:lineRule="auto"/>
        <w:rPr>
          <w:sz w:val="20"/>
          <w:szCs w:val="20"/>
          <w:color w:val="auto"/>
        </w:rPr>
      </w:pPr>
      <w:r>
        <w:rPr>
          <w:rFonts w:ascii="Arial" w:cs="Arial" w:eastAsia="Arial" w:hAnsi="Arial"/>
          <w:sz w:val="17"/>
          <w:szCs w:val="17"/>
          <w:color w:val="auto"/>
        </w:rPr>
        <w:t>For biologic or small molecule drug products, an orphan drug designation must be requested before submitting a BLA or NDA. After the FDA grants orphan drug designation, the identity of the therapeutic agent and its potential orphan use are disclosed publicly by the FDA. Orphan drug designation does not convey any advantage in or shorten the duration of the regulatory review and approval process.</w:t>
      </w:r>
    </w:p>
    <w:p>
      <w:pPr>
        <w:spacing w:after="0" w:line="165"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If a product that has orphan designation subsequently receives the first FDA approval for the disease or condition for which it has such designation, the product is entitled to orphan drug exclusivity, which means that the FDA may not approve any other applications to market the same drug for the same indication for seven years from the date of such approval, except in limited circumstances, such as a showing of clinical superiority to the product with orphan exclusivity by means of greater effectiveness, greater safety or providing a major contribution to patient care or in instances of drug supply issues. However, competitors may receive approval of either a different product for the same indication or the same product for a different indication but that could be used off-label in the orphan indication. Orphan drug exclusivity also could block the approval of one of our products for seven years if a competitor obtains approval before we do for the same product, as defined by the FDA, for the same indication we are seeking approval, or if a product candidate is determined to be contained within the scope of the competitor’s product for the same indication or disease. If one of our products designated as an orphan drug receives marketing approval for an indication broader than the indication for which it is designated, it may not be entitled to orphan drug exclusivity. Orphan drug status in the European Union has similar, but not identical, requirements and benefits.</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The FDA has a fast-track program that is intended to expedite or facilitate the process for reviewing new drug products that meet certain criteria. Specifically, new drug products are eligible for fast-track designation if they are intended to treat a serious or life-threatening condition and preclinical or clinical data demonstrate the potential to address unmet medical needs for the condition. Fast track designation applies to both the product and the specific indication for which it is being studied. The sponsor can request the FDA to designate the product for fast-track status any time before receiving a BLA or NDA approval, but ideally no later than the pre-BLA or pre-NDA meeting.</w:t>
      </w:r>
    </w:p>
    <w:p>
      <w:pPr>
        <w:spacing w:after="0" w:line="176"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Any product submitted to the FDA for marketing, including under a fast-track program, may be eligible for other types of FDA programs intended to expedite development and review, such as priority review and accelerated approval. Any product is eligible for priority review if it treats a serious or life-threatening condition and, if approved, would provide a significant improvement in safety and effectiveness compared to available therapies.</w:t>
      </w:r>
    </w:p>
    <w:p>
      <w:pPr>
        <w:spacing w:after="0" w:line="149"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A product may also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(IMM), which is reasonably likely to predict an effect on IMM or other clinical benefit. As a condition of approval, the FDA may require that a sponsor of a drug product receiving accelerated approval to perform adequate and well-controlled post-marketing clinical trials. If the FDA concludes that a biologic or small molecule drug product shown to be potent or effective for the proposed indication can be safely used only if distribution or use is restricted, it may require such post-marketing</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20"/>
          </w:cols>
          <w:pgMar w:left="320" w:top="459" w:right="4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restrictions as it deems necessary to assure safe use of the product. In some cases, FDA may limit the scope of the indication. Such restrictions could have a materially adverse effect on our business and our ability to obtain profitability.</w:t>
      </w:r>
    </w:p>
    <w:p>
      <w:pPr>
        <w:spacing w:after="0" w:line="170"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Additionally, a drug product may be eligible for designation as a breakthrough therapy if the product is intended, alone or in combination with one or more other drug products, to treat a serious or life-threatening condition and preliminary clinical evidence indicates that the product may demonstrate substantial improvement over currently approved therapies on one or more clinically significant endpoints. The benefits of breakthrough therapy designation include the same benefits as fast-track designation, plus intensive guidance from the FDA to ensure an efficient drug development program. Fast track designation, priority review, accelerated approval and breakthrough therapy designation do not change the standards for approval, but may expedite the development or approval process. Depending on other factors that impact clinical trial timelines and development, such as our ability to identify and onboard clinical sites and rates of study participant enrollment and drop-out, we may not realize all the benefits of these expedited or accelerated review programs.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Abbreviated Licensure Pathway of Biological Products as Biosimilars or Interchangeable Biosimilars</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Patient Protection and Affordable Care Act (Affordable Care Act or ACA), signed into law in 2010, includes the Biologics Price Competition and Innovation Act of 2009 (BPCIA), which created an abbreviated approval pathway for biological products shown to be highly similar to an FDA-licensed reference biological product. The BPCIA attempts to minimize duplicative testing, and thereby lower development costs and increase patient access to affordable treatments. An application for licensure of a biosimilar product must include information demonstrating biosimilarity based upon the following, unless the FDA determines otherwise:</w:t>
      </w:r>
    </w:p>
    <w:p>
      <w:pPr>
        <w:spacing w:after="0" w:line="93" w:lineRule="exact"/>
        <w:rPr>
          <w:sz w:val="20"/>
          <w:szCs w:val="20"/>
          <w:color w:val="auto"/>
        </w:rPr>
      </w:pPr>
    </w:p>
    <w:p>
      <w:pPr>
        <w:ind w:left="1080" w:right="380" w:hanging="532"/>
        <w:spacing w:after="0" w:line="277"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Analytical studies demonstrating that the proposed biosimilar product is highly similar to the approved product notwithstanding minor differences in clinically inactive components;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Animal studies (including the assessment of toxicity); and</w:t>
      </w:r>
    </w:p>
    <w:p>
      <w:pPr>
        <w:spacing w:after="0" w:line="130" w:lineRule="exact"/>
        <w:rPr>
          <w:rFonts w:ascii="Arial" w:cs="Arial" w:eastAsia="Arial" w:hAnsi="Arial"/>
          <w:sz w:val="18"/>
          <w:szCs w:val="18"/>
          <w:color w:val="auto"/>
        </w:rPr>
      </w:pPr>
    </w:p>
    <w:p>
      <w:pPr>
        <w:ind w:left="1080" w:right="100" w:hanging="532"/>
        <w:spacing w:after="0" w:line="342" w:lineRule="auto"/>
        <w:tabs>
          <w:tab w:leader="none" w:pos="10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 clinical trial or trials (including the assessment of immunogenicity and pharmacokinetic or pharmacodynamic) sufficient to demonstrate safety, purity and potency in one or more conditions for which the reference product is licensed and intended to be used.</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an application must include information demonstrating that:</w:t>
      </w:r>
    </w:p>
    <w:p>
      <w:pPr>
        <w:spacing w:after="0" w:line="131" w:lineRule="exact"/>
        <w:rPr>
          <w:sz w:val="20"/>
          <w:szCs w:val="20"/>
          <w:color w:val="auto"/>
        </w:rPr>
      </w:pPr>
    </w:p>
    <w:p>
      <w:pPr>
        <w:ind w:left="1080" w:hanging="532"/>
        <w:spacing w:after="0" w:line="342" w:lineRule="auto"/>
        <w:tabs>
          <w:tab w:leader="none" w:pos="10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proposed biosimilar product and reference product utilize the same mechanism of action for the condition(s) of use prescribed, recommended or suggested in the proposed labeling, but only to the extent the mechanism(s) of action are known for the reference product;</w:t>
      </w:r>
    </w:p>
    <w:p>
      <w:pPr>
        <w:spacing w:after="0" w:line="29" w:lineRule="exact"/>
        <w:rPr>
          <w:rFonts w:ascii="Arial" w:cs="Arial" w:eastAsia="Arial" w:hAnsi="Arial"/>
          <w:sz w:val="16"/>
          <w:szCs w:val="16"/>
          <w:color w:val="auto"/>
        </w:rPr>
      </w:pPr>
    </w:p>
    <w:p>
      <w:pPr>
        <w:ind w:left="1080" w:right="280" w:hanging="532"/>
        <w:spacing w:after="0" w:line="277"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condition or conditions of use prescribed, recommended or suggested in the labeling for the proposed biosimilar product have been previously approved for the reference product;</w:t>
      </w:r>
    </w:p>
    <w:p>
      <w:pPr>
        <w:spacing w:after="0" w:line="75"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route of administration, the dosage form and the strength of the proposed biosimilar product are the same as those for the reference product; and</w:t>
      </w:r>
    </w:p>
    <w:p>
      <w:pPr>
        <w:spacing w:after="0" w:line="75" w:lineRule="exact"/>
        <w:rPr>
          <w:rFonts w:ascii="Arial" w:cs="Arial" w:eastAsia="Arial" w:hAnsi="Arial"/>
          <w:sz w:val="18"/>
          <w:szCs w:val="18"/>
          <w:color w:val="auto"/>
        </w:rPr>
      </w:pPr>
    </w:p>
    <w:p>
      <w:pPr>
        <w:ind w:left="1080" w:right="640" w:hanging="532"/>
        <w:spacing w:after="0" w:line="277"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facility in which the biological product is manufactured, processed, packed or held meets standards designed to assure that the biological product continues to be safe, pure and potent.</w:t>
      </w:r>
    </w:p>
    <w:p>
      <w:pPr>
        <w:spacing w:after="0" w:line="170"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Biosimilarity means that the biological product is highly similar to the reference product notwithstanding minor differences in clinically inactive components, and that there are no clinically meaningful differences between the biological product and the reference product in terms of the safety, purity and potency of the product. In addition, the law provides for a designation of “interchangeability” between the reference and biosimilar products, whereby the biosimilar may be substituted for the reference product without the intervention of the healthcare provider who prescribed the reference product. The higher standard of interchangeability must be demonstrated by information sufficient to show that:</w:t>
      </w:r>
    </w:p>
    <w:p>
      <w:pPr>
        <w:spacing w:after="0" w:line="82" w:lineRule="exact"/>
        <w:rPr>
          <w:sz w:val="20"/>
          <w:szCs w:val="20"/>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proposed product is biosimilar to the reference product;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40"/>
          </w:cols>
          <w:pgMar w:left="320" w:top="459"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proposed product is expected to produce the same clinical result as the reference product in any given patient; and</w:t>
      </w:r>
    </w:p>
    <w:p>
      <w:pPr>
        <w:spacing w:after="0" w:line="130" w:lineRule="exact"/>
        <w:rPr>
          <w:rFonts w:ascii="Arial" w:cs="Arial" w:eastAsia="Arial" w:hAnsi="Arial"/>
          <w:sz w:val="18"/>
          <w:szCs w:val="18"/>
          <w:color w:val="auto"/>
        </w:rPr>
      </w:pPr>
    </w:p>
    <w:p>
      <w:pPr>
        <w:ind w:left="1080" w:right="100" w:hanging="532"/>
        <w:spacing w:after="0" w:line="263"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For a product that is administered more than once to an individual, the risk to the patient in terms of safety or diminished efficacy of alternating or switching between the biosimilar and the reference product is no greater than the risk of using the reference product without such alternation or switch.</w:t>
      </w:r>
    </w:p>
    <w:p>
      <w:pPr>
        <w:spacing w:after="0" w:line="184"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FDA approval is required before a biosimilar may be marketed in the United States. However, complexities associated with the large and intricate structures of biological products and the process by which such products are manufactured pose significant hurdles to the FDA’s implementation of the law that are still being worked out by the FDA. For example, the FDA has discretion over the kind and amount of scientific evidence—laboratory, preclinical and/or clinical—required to demonstrate biosimilarity to a licensed biological product.</w:t>
      </w:r>
    </w:p>
    <w:p>
      <w:pPr>
        <w:spacing w:after="0" w:line="171" w:lineRule="exact"/>
        <w:rPr>
          <w:sz w:val="20"/>
          <w:szCs w:val="20"/>
          <w:color w:val="auto"/>
        </w:rPr>
      </w:pPr>
    </w:p>
    <w:p>
      <w:pPr>
        <w:jc w:val="both"/>
        <w:ind w:left="120" w:right="40" w:firstLine="440"/>
        <w:spacing w:after="0" w:line="254" w:lineRule="auto"/>
        <w:rPr>
          <w:sz w:val="20"/>
          <w:szCs w:val="20"/>
          <w:color w:val="auto"/>
        </w:rPr>
      </w:pPr>
      <w:r>
        <w:rPr>
          <w:rFonts w:ascii="Arial" w:cs="Arial" w:eastAsia="Arial" w:hAnsi="Arial"/>
          <w:sz w:val="18"/>
          <w:szCs w:val="18"/>
          <w:color w:val="auto"/>
        </w:rPr>
        <w:t>The FDA intends to consider the totality of the evidence provided by a sponsor to support a demonstration of biosimilarity and recommends that sponsors use a stepwise approach in the development of their biosimilar products. Biosimilar product applications thus may not be required to duplicate the entirety of preclinical and clinical testing used to establish the underlying safety and effectiveness of the reference product. However, the FDA may refuse to approve a biosimilar application if there is insufficient information to show that the active ingredients are the same or to demonstrate that any impurities or differences in active ingredients do not affect the safety, purity or potency of the biosimilar product. In addition, as with BLAs, biosimilar product applications will not be approved unless the product is manufactured in facilities designed to assure and preserve the biological product’s safety, purity and potency.</w:t>
      </w:r>
    </w:p>
    <w:p>
      <w:pPr>
        <w:spacing w:after="0" w:line="195"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The submission of a biosimilar application does not guarantee that the FDA will accept the application for filing and review, as the FDA may refuse to accept applications that it finds are insufficiently complete. The FDA will treat a biosimilar application or supplement as incomplete if, among other reasons, any applicable user fees assessed under the Biosimilar User Fee Act of 2012 have not been paid. In addition, the FDA may accept an application for filing but deny approval on the basis that the sponsor has not demonstrated biosimilarity, in which case the sponsor may choose to conduct further analytical, preclinical or clinical studies and submit a BLA for licensure as a new biological product.</w:t>
      </w:r>
    </w:p>
    <w:p>
      <w:pPr>
        <w:spacing w:after="0" w:line="176"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timing of final FDA approval of a biosimilar for commercial distribution depends on a variety of factors, including whether the manufacturer of the branded product is entitled to one or more statutory exclusivity periods, during which time the FDA is prohibited from approving any products that are biosimilar to the branded product. The FDA cannot approve a biosimilar application for twelve years from the date of first licensure of the reference product.</w:t>
      </w:r>
    </w:p>
    <w:p>
      <w:pPr>
        <w:spacing w:after="0" w:line="18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Additionally, a biosimilar product sponsor may not submit an application for four years from the date of first licensure of the reference product. A reference product may also be entitled to exclusivity under other statutory provisions. For example, a reference product designated for a rare disease or condition (an orphan drug) may be entitled to seven years of exclusivity, in which case no product that is biosimilar to the reference product may be approved until either the end of the twelve-year period provided under the biosimilarity statute or the end of the seven-year orphan drug exclusivity period, whichever occurs later. In certain circumstances, a regulatory exclusivity period can extend beyond the life of a patent, and thus block biosimilarity applications from being approved on or after the patent expiration date. In addition, the FDA may under certain circumstances extend the exclusivity period for the reference product by an additional six months if the FDA requests, and the manufacturer undertakes, studies on the effect of its product in children, a so-called pediatric extension.</w:t>
      </w:r>
    </w:p>
    <w:p>
      <w:pPr>
        <w:spacing w:after="0" w:line="178"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The first biological product determined to be interchangeable with a branded product for any condition of use is also entitled to a period of exclusivity, during which time the FDA may not determine that another product is interchangeable with the reference product for any condition of use. This exclusivity period extends until the earlier of: one year after the first commercial marketing of the first interchangeable product; 18 months after</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20"/>
          </w:cols>
          <w:pgMar w:left="320" w:top="459" w:right="4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auto"/>
        </w:rPr>
        <w:t>resolution of a patent infringement suit against the applicant that submitted the application for the first interchangeable product, based on a final court decision regarding all of the patents in the litigation or dismissal of the litigation with or without prejudice; 42 months after approval of the first interchangeable product, if a patent infringement suit against the applicant that submitted the application for the first interchangeable product is still ongoing; or 18 months after approval of the first interchangeable product if the applicant that submitted the application for the first interchangeable product has not been sued.</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Abbreviated NDA Pathway for Generic Drug Products</w:t>
      </w:r>
    </w:p>
    <w:p>
      <w:pPr>
        <w:spacing w:after="0" w:line="117"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The Drug Price Competition and Patent Term Restoration Act of 1984, commonly known as “the Hatch-Waxman Act,” established abbreviated FDA approval procedures for drugs that are shown to be bioequivalent to drugs previously approved by the FDA through its NDA process, which are commonly referred to as the “innovator” or “reference” drugs. Approval to market and to distribute these bioequivalent drugs is obtained by filing an abbreviated NDA (ANDA) with the FDA. An ANDA is a comprehensive submission that contains, among other things, data and information pertaining to the API, drug product formulation, specifications, stability, analytical methods, manufacturing process validation data, quality control procedures and bioequivalence. Rather than demonstrating safety and effectiveness, an ANDA applicant must demonstrate that its product is bioequivalent to an approved reference drug. In certain situations, an applicant may submit an ANDA for a product with a strength or dosage form that differs from a reference drug based upon FDA approval of an ANDA Suitability Petition. The FDA will approve an ANDA Suitability Petition if it finds that the product does not raise questions of safety and efficacy requiring new clinical data. ANDAs generally cannot be submitted for products that are not bioequivalent to the referenced drug or that are labeled for a use that is not approved for the reference drug. Applicants seeking to market such products can submit an NDA under Section 505(b)(2) of the FDCA with supportive data from clinical trials.</w:t>
      </w:r>
    </w:p>
    <w:p>
      <w:pPr>
        <w:spacing w:after="0" w:line="28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Following approval of a new product, the manufacturer and the approved product are subject to continuing regulation by the FDA, including, among other things, monitoring and record-keeping requirements, requirements to report adverse experiences and comply with promotion and advertising requirements, which include restrictions on promoting drugs for unapproved uses or patient populations, known as “off-label use,” and limitations on industry-sponsored scientific and educational activities. Although physicians may prescribe legally available drugs for off-label uses, manufacturers may not market or promote such uses. Prescription drug promotional materials must be submitted to the FDA in conjunction with their first use. Further, if there are any modifications to the drug product, including changes in indications, labeling or manufacturing processes or facilities, the applicant may be required to submit and obtain FDA approval of a new application or supplement, which may require the development of additional data or preclinical studies and clinical trials.</w:t>
      </w:r>
    </w:p>
    <w:p>
      <w:pPr>
        <w:spacing w:after="0" w:line="17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FDA may also place other conditions on approvals including the requirement for REMS, to assure the safe use of the product.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spacing w:after="0" w:line="188"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82" w:lineRule="exact"/>
        <w:rPr>
          <w:sz w:val="20"/>
          <w:szCs w:val="20"/>
          <w:color w:val="auto"/>
        </w:rPr>
      </w:pPr>
    </w:p>
    <w:p>
      <w:pPr>
        <w:ind w:left="5480" w:right="280" w:hanging="4932"/>
        <w:spacing w:after="0" w:line="449" w:lineRule="auto"/>
        <w:tabs>
          <w:tab w:leader="none" w:pos="1079"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 200</w:t>
      </w:r>
    </w:p>
    <w:p>
      <w:pPr>
        <w:sectPr>
          <w:pgSz w:w="11900" w:h="16838" w:orient="portrait"/>
          <w:cols w:equalWidth="0" w:num="1">
            <w:col w:w="11100"/>
          </w:cols>
          <w:pgMar w:left="320" w:top="459" w:right="47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Warning letters, or holds on post-approval clinical studies;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Applications, or suspension or revocation of product license approvals;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and biologics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FDA Regulation of Combination Biologic-Medical Device Products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Certain products may be comprised of components, such as biologic components and device components, that would normally be regulated under different types of regulatory authorities and frequently by different Centers at the FDA. These products are known as combination products. Under the FDCA and its implementing regulations, the FDA is charged with assigning a Center with primary jurisdiction, or a lead Center, for review of a combination product. The designation of a lead Center generally eliminates the need to receive approvals from more than one FDA component for combination products, although it does not preclude consultations by the lead Center with other components of the FDA. The determination of which Center will be the lead Center is based on the “primary mode of action” of the combination product. Thus, if the primary mode of action of a biologic-device combination product candidate is attributable to the biologic product candidate, the FDA Center responsible for premarket review of the drug product would have primary jurisdiction for the combination product. The FDA has also established an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w:t>
      </w:r>
    </w:p>
    <w:p>
      <w:pPr>
        <w:spacing w:after="0" w:line="179"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A combination product with a biologic product candidate as the primary mode of action generally would be reviewed and approved pursuant to the biologic approval processes under the FDCA. In reviewing the BLA application for such a product, however, FDA reviewers in the Center for Biologics Evaluation and Research could consult with their counterparts in the device center to ensure that the device component of the combination product meet applicable requirements regarding safety, effectiveness, durability and performance. In addition, under FDA regulations, combination products are subject to cGMP requirements applicable to both biologics and devices, including the Quality System (QS), regulations applicable to medical devices.</w:t>
      </w:r>
    </w:p>
    <w:p>
      <w:pPr>
        <w:spacing w:after="0" w:line="192"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We may develop one or more of our biologic product candidates in combination with a novel delivery medical device, such as an injection catheter device for more precise delivery of a biologic product candidate. Regulatory review of such combination product candidate will increase the timing, cost, and the complexity of the FDA review and approval process, and subject us to additional regulations and exposure to liability. Pending discussion with the FDA, if the medical device is considered a significant risk device under the FDA’s Investigational Device Exemption (IDE) regulations, then we may be required to comply with the IDE regulations for clinical studies in addition to the IND regulations and may be required to submit both an IDE and an IND before commencing clinical testing of the combination product. We cannot provide any assurance regarding how FDA will regulate our combination product, or if we will be successful in obtaining approval for any combination product.</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060"/>
          </w:cols>
          <w:pgMar w:left="320" w:top="459" w:right="51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510(k) clearance process</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To obtain 510(k) clearance, a pre-market notification is submitted to the FDA demonstrating that the proposed device is substantially equivalent to a previously cleared 510(k) device or a device that was in commercial distribution before May 28, 1976 for which the FDA has not yet required the submission of a PMA application. The FDA’s 510(k) clearance process may take three to twelve months from the date the application is submitted and filed with the FDA, but may take longer if FDA requests additional information, among other reasons. In some cases, the FDA may require clinical data to support substantial equivalence. In reviewing a pre-market notification submission, the FDA may request additional information, which may significantly prolong the review process. Notwithstanding compliance with all these requirements, clearance is never assured.</w:t>
      </w:r>
    </w:p>
    <w:p>
      <w:pPr>
        <w:spacing w:after="0" w:line="164" w:lineRule="exact"/>
        <w:rPr>
          <w:sz w:val="20"/>
          <w:szCs w:val="20"/>
          <w:color w:val="auto"/>
        </w:rPr>
      </w:pPr>
    </w:p>
    <w:p>
      <w:pPr>
        <w:ind w:left="120" w:right="260" w:firstLine="440"/>
        <w:spacing w:after="0" w:line="311" w:lineRule="auto"/>
        <w:rPr>
          <w:sz w:val="20"/>
          <w:szCs w:val="20"/>
          <w:color w:val="auto"/>
        </w:rPr>
      </w:pPr>
      <w:r>
        <w:rPr>
          <w:rFonts w:ascii="Arial" w:cs="Arial" w:eastAsia="Arial" w:hAnsi="Arial"/>
          <w:sz w:val="16"/>
          <w:szCs w:val="16"/>
          <w:color w:val="auto"/>
        </w:rPr>
        <w:t>After a device receives 510(k) clearance, any subsequent modification of the device that could significantly affect its safety or effectiveness, or that would constitute a major change in its intended use, will require a new 510(k) clearance or require a PMA. In addition, the FDA may make substantial changes to industry requirements, including which devices are eligible for 510(k) clearance, which may significantly affect the process.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 novo classification process</w:t>
      </w:r>
    </w:p>
    <w:p>
      <w:pPr>
        <w:spacing w:after="0" w:line="117"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If a new medical device does not qualify for the 510(k) premarket notification process because no predicate device to which it is substantially equivalent can be identified, the device is automatically classified into Class III. The Food and Drug Administration Modernization Act of 1997 established a different route to market for low to moderate risk medical devices that are automatically placed into Class III due to the absence of a predicate device, called the “Request for Evaluation of Automatic Class III Designation,” or the de novo classification process. This process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If the manufacturer seeks reclassification into Class II, the manufacturer must include a draft proposal for special controls that are necessary to provide a reasonable assurance of the safety and effectiveness of the medical device. The FDA may reject the reclassification petition if it identifies a legally marketed predicate device that would be appropriate for a 510(k) or determines that the device is not low to moderate risk and requires PMA or that general controls would be inadequate to control the risks and special controls cannot be developed. Obtaining FDA marketing authorization, de novo down-classification, or approval for medical devices is expensive and uncertain, and may take several years, and generally requires significant scientific and clinical data.</w:t>
      </w:r>
    </w:p>
    <w:p>
      <w:pPr>
        <w:spacing w:after="0" w:line="28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PMA approval process</w:t>
      </w:r>
    </w:p>
    <w:p>
      <w:pPr>
        <w:spacing w:after="0" w:line="11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The PMA process, including the gathering of clinical and nonclinical data and the submission to and review by the FDA, can take several years or longer. The applicant must prepare and provide the FDA with reasonable assurance of the device’s safety and effectiveness, including information about the device and its components regarding, among other things, device design, manufacturing, and labeling. PMA applications are subject to an application fee. In addition, PMAs for medical devices must generally include the results from extensive preclinical and adequate and well-controlled clinical trials to establish the safety and effectiveness of the device for each indication for which FDA approval is sought. As part of the PMA review, the FDA will typically inspect the manufacturer’s facilities for compliance with the Quality System Regulation (QSR), which imposes extensive testing, control, documentation, and other QA and GMP requirements.</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U.S. Regulatory Matters</w:t>
      </w:r>
    </w:p>
    <w:p>
      <w:pPr>
        <w:spacing w:after="0" w:line="117"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Manufacturing, sales, promotion and other activities following product approval are also subject to regulation by numerous regulatory authorities in the United States in addition to the FDA, including the Centers for Medicare &amp; Medicaid Services (CMS), other divisions of the Department of Health and Human Services, the Department of Justice, the Drug Enforcement Administration, the Consumer Product Safety Commission, the Federal Trade Commission, the Occupational Safety &amp; Health Administration, the Environmental Protection Agency, and state and local governments.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20"/>
          </w:cols>
          <w:pgMar w:left="320" w:top="459" w:right="4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For example, in the United States, sales, marketing and scientific and educational programs must also comply with state and federal fraud and abuse laws. These laws include the federal Anti-Kickback Statute, which makes it illegal for any person, including a prescription drug manufacturer (or a party acting on its behalf), to knowingly and willfully solicit, receive, offer or pay any remuneration that is intended to induce or reward referrals, including the purchase, recommendation, order or prescription of a particular drug, for which payment may be made under a federal healthcare program, such as Medicare or Medicaid. Violations of this law are punishable by up to five years in prison, criminal fines, administrative civil money penalties and exclusion from participation in federal healthcare programs. Moreover, the ACA provides that the government may assert that a claim including items or services resulting from a violation of the federal Anti-Kickback Statute constitutes a false or fraudulent claim for purposes of the False Claims Act.</w:t>
      </w:r>
    </w:p>
    <w:p>
      <w:pPr>
        <w:spacing w:after="0" w:line="192"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Pricing and rebate programs must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Products must meet applicable child-resistant packaging requirements under the U.S. Poison Prevention Packaging Act. Manufacturing, sales, promotion and other activities also are potentially subject to federal and state consumer protection and unfair competition laws.</w:t>
      </w:r>
    </w:p>
    <w:p>
      <w:pPr>
        <w:spacing w:after="0" w:line="18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distribution of biologic and pharmaceutical products is subject to additional requirements and regulations, including extensive record-keeping, licensing, storage and security requirements intended to prevent the unauthorized sale of pharmaceutical products.</w:t>
      </w:r>
    </w:p>
    <w:p>
      <w:pPr>
        <w:spacing w:after="0" w:line="170" w:lineRule="exact"/>
        <w:rPr>
          <w:sz w:val="20"/>
          <w:szCs w:val="20"/>
          <w:color w:val="auto"/>
        </w:rPr>
      </w:pPr>
    </w:p>
    <w:p>
      <w:pPr>
        <w:ind w:left="120" w:right="280" w:firstLine="440"/>
        <w:spacing w:after="0" w:line="273" w:lineRule="auto"/>
        <w:rPr>
          <w:sz w:val="20"/>
          <w:szCs w:val="20"/>
          <w:color w:val="auto"/>
        </w:rPr>
      </w:pPr>
      <w:r>
        <w:rPr>
          <w:rFonts w:ascii="Arial" w:cs="Arial" w:eastAsia="Arial" w:hAnsi="Arial"/>
          <w:sz w:val="17"/>
          <w:szCs w:val="17"/>
          <w:color w:val="auto"/>
        </w:rPr>
        <w:t>The failure to comply with any of these laws or regulatory requirements subjects firms to possible legal or regulatory action. Depending on the circumstances, failure to meet applicable regulatory requirements can result in criminal prosecution, fines or other penalties, injunctions, requests for recall, seizure of products, total or partial suspension of production, denial or withdrawal of product approvals or refusal to allow a firm to enter into supply contracts, including government contracts. Any action against us for violation of these laws, even if we successfully defend against it, could cause us to incur significant legal expenses and divert our management’s attention from the operation of our business. Prohibitions or restrictions on sales or withdrawal of future products marketed by us could materially affect our business in an adverse way.</w:t>
      </w:r>
    </w:p>
    <w:p>
      <w:pPr>
        <w:spacing w:after="0" w:line="178"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Changes in regulations, statutes or the interpretation of existing regulations could impact our business in the future by requiring, for example: changes to our manufacturing arrangements; additions or modifications to product labeling; the recall or discontinuation of our products; or additional record-keeping requirements. If any such changes were to be imposed, they could adversely affect the operation of our business.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 Data Privacy and Security Laws</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In the United States, there are a broad variety of laws, rules, regulations and standards relating to privacy, data protection and information security that may apply to our activities, such as state data breach notification laws, state personal data privacy laws (for example, the California Consumer Privacy Act of 2018 (CCPA)), state health information privacy laws, and federal and state consumer protection laws (for example, Section 5(c) of the Federal Trade Commission Act). A range of enforcement agencies exist at both the state and federal levels that can enforce these laws, rules, regulations and standards. For example, the CCPA, which took effect on January 1, 2020, requires covered businesses that process personal information of California residents to disclose their data collection, use, and sharing practices. Further, the CCPA provides California residents with new data privacy rights (including the ability to opt out of certain disclosures of personal information), imposes new operational requirements for covered businesses, provides for significant civil penalties for violations as well as a private right of action for certain data breaches and statutory damages (that is expected to increase data breach class action litigation and result in significant exposure to costly legal judgements and settlements). Aspects of the CCPA and its interpretation and enforcement remain uncertain. In addition, California voters passed the California Privacy Rights Act of 2020 (CPRA) in November 2020, which becomes effective in most material</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120"/>
          </w:cols>
          <w:pgMar w:left="320" w:top="459" w:right="4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respects on January 1, 2023. The CPRA will, among other things, give California residents the ability to limit use of certain sensitive personal information, further restrict the use of cross-contextual advertising, establish restrictions on the retention of personal information, expand the types of data breaches subject to the CCPA’s private right of action, provide for increased penalties for CPRA violations concerning California residents under the age of 16, and establish a new California Privacy Protection Agency to implement and enforce the new CCPA and CPRA. Although there are limited exemptions for clinical trial data under the CCPA, the CCPA and other similar laws could impact our business activities, depending on their interpretation. Further, laws in all 50 states require businesses to provide notice to customers whose personal data has been disclosed as a result of a data breach. We will continue to monitor and assess the impact of these state laws, which may impose substantial penalties for violations, impose significant costs for investigation and compliance, allow private class-action litigation and carry significant potential liability for our business. For more information, see “Risk Factors— Risks Related to Regulatory Approval and Other Legal Compliance Matters—We are subject to stringent laws, rules, regulations, policies, industry standards and contractual obligations regarding data privacy and security and may be subject to additional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 Patent-Term Restoration and Marketing Exclusivity</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Depending upon the timing, duration and specifics of FDA approval of any future product candidates, some of our U.S. patents may be eligible for limited patent term extension under the Hatch-Waxman Act. The Hatch-Waxman Act permits restoration of the patent term of up to five years as compensation for patent term lost during product development and FDA regulatory review process. Patent-term restoration, however, cannot extend the remaining term of a patent beyond a total of 14 years from the product’s approval date. The patent-term restoration period is generally one-half the time between the effective date of an IND and the submission date of a BLA or NDA plus the time between the submission date of a BLA or NDA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may apply for restoration of patent term for our currently owned or licensed patents to add patent life beyond its current expiration date, depending on the expected length of the clinical trials and other factors involved in the filing of the relevant BLA or NDA. However, there can be no assurance that our pending patent applications will issue or that we will benefit from any patent term extension or favorable adjustments to the terms of any patents we may own or in-license in the future.</w:t>
      </w:r>
    </w:p>
    <w:p>
      <w:pPr>
        <w:spacing w:after="0" w:line="179"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Market exclusivity provisions under the FDCA also can delay the submission or the approval of certain applications. A reference biological product is granted twelve years of data exclusivity from the time of first licensure of the product, and the FDA will not accept an application for a biosimilar or interchangeable product based on the reference biological product until four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case-by-case basis with data submitted by the sponsor.</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120"/>
          </w:cols>
          <w:pgMar w:left="320" w:top="459" w:right="4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FDCA provides a five-year period of non-patent marketing exclusivity 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ANDA, or a 505(b)(2) NDA submitted by another company for a generic version of such drug where the applicant does not own or have a legal right of reference to all the data required for approval. However, an application may be submitted after four years if it contains a certification of patent invalidity or non-infringement with respect to one or more patents listed for the drug in the FDA’s Approved Drug Products with Therapeutic Equivalence Evaluations publication. The FDCA also provides three years of marketing exclusivity for a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 or generate such data themselves.</w:t>
      </w:r>
    </w:p>
    <w:p>
      <w:pPr>
        <w:spacing w:after="0" w:line="29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European Union Drug Development</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Similar to the United States, the various phases of preclinical and clinical research in the European Union are subject to significant regulatory controls. Although the EU Clinical Trials Directive 2001/20/EC has sought to harmonize the EU clinical trials regulatory framework, setting out common rules for the control and authorization of clinical trials in the European Union, the EU Member States have transposed and applied the provisions of the Directive differently. This has led to significant variations in the member state regimes. Under the current regime, before a clinical trial can be initiated, it must be approved in each of the EU countries where the trial is to be conducted by two distinct bodies: the National Competent Authority (NCA) and one or more Ethics Committees (ECs). Under the current regime, all suspected unexpected serious adverse reactions to the investigated drug that occur during the clinical trial have to be reported to the NCA and ECs of the Member State where they occurred.</w:t>
      </w:r>
    </w:p>
    <w:p>
      <w:pPr>
        <w:spacing w:after="0" w:line="166"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The EU clinical trials legislation currently is undergoing a transition process mainly aimed at harmonizing and streamlining clinical-trial authorization, simplifying adverse-event reporting procedures, improving the supervision of clinical trials and increasing their transparency. Recently enacted Clinical Trials Regulation EU No 536/2014 ensures that the rules for conducting clinical trials in the European Union will be identical. In the meantime, Clinical Trials Directive 2001/20/EC continues to govern all clinical trials performed in the European Union.</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EU Drug Review and Approval</w:t>
      </w:r>
    </w:p>
    <w:p>
      <w:pPr>
        <w:spacing w:after="0" w:line="117"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In the European Economic Area (EEA), which is comprised of the 27 Member States of the European Union (including Norway and excluding Croatia), Iceland and Liechtenstein, medicinal products can only be commercialized after obtaining a Marketing Authorization (MA). There are two types of Marketing Authorizations:</w:t>
      </w:r>
    </w:p>
    <w:p>
      <w:pPr>
        <w:spacing w:after="0" w:line="89" w:lineRule="exact"/>
        <w:rPr>
          <w:sz w:val="20"/>
          <w:szCs w:val="20"/>
          <w:color w:val="auto"/>
        </w:rPr>
      </w:pPr>
    </w:p>
    <w:p>
      <w:pPr>
        <w:ind w:left="1080" w:right="20" w:hanging="532"/>
        <w:spacing w:after="0" w:line="255"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Community MA is issued by the European Commission through the Centralized Procedure, based on the opinion of the Committee for Medicinal Products for Human Use (CHMP), of the EMA, and is valid throughout the entire territory of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120"/>
          </w:cols>
          <w:pgMar w:left="320" w:top="459" w:right="4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40"/>
        <w:spacing w:after="0" w:line="263" w:lineRule="auto"/>
        <w:rPr>
          <w:sz w:val="20"/>
          <w:szCs w:val="20"/>
          <w:color w:val="auto"/>
        </w:rPr>
      </w:pPr>
      <w:r>
        <w:rPr>
          <w:rFonts w:ascii="Arial" w:cs="Arial" w:eastAsia="Arial" w:hAnsi="Arial"/>
          <w:sz w:val="18"/>
          <w:szCs w:val="18"/>
          <w:color w:val="auto"/>
        </w:rPr>
        <w:t>diseases. The Centralized Procedure is optional for products containing a new active substance not yet authorized in the EEA, or for products that constitute a significant therapeutic, scientific or technical innovation or for products that are in the interest of public health in the European Union.</w:t>
      </w:r>
    </w:p>
    <w:p>
      <w:pPr>
        <w:spacing w:after="0" w:line="89" w:lineRule="exact"/>
        <w:rPr>
          <w:sz w:val="20"/>
          <w:szCs w:val="20"/>
          <w:color w:val="auto"/>
        </w:rPr>
      </w:pPr>
    </w:p>
    <w:p>
      <w:pPr>
        <w:ind w:left="1080" w:hanging="532"/>
        <w:spacing w:after="0" w:line="269" w:lineRule="auto"/>
        <w:tabs>
          <w:tab w:leader="none" w:pos="108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(RMS). The competent authority of the RMS prepares a draft assessment report, a draft summary of the product characteristics (SPC) and a draft of the labeling and package leaflet, which are sent to the other Member States (referred to as the Member States Concerned) for their approval. If the Member States Concerned raise no objections, based on a potential serious risk to public health, to the assessment, SPC, labeling or packaging proposed by the RMS, the product is subsequently granted a national MA in all the Member States (i.e., in the RMS and the Member States Concerned).</w:t>
      </w:r>
    </w:p>
    <w:p>
      <w:pPr>
        <w:spacing w:after="0" w:line="182"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Foreign Data Privacy and Security Laws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Outside of the United States, legal requirements relating to the collection, storage, processing, and transfer of personal data continue to evolve. For example, in the EU, the GDPR requires data controllers to implement more stringent operational requirements for processors and controllers of personal data, including transparent and expanded disclosure to data subjects about how their personal data is to be used, limitations on retention of information, mandatory data breach notification requirements, and higher standards for data controllers to demonstrate that they have obtained valid consent for certain data processing activities. Failure to comply with the GDPR may result in fines up to €20,000,000 or 4% of the total worldwide annual turnover of the preceding financial year, whichever is higher, and other administrative penalties. The GDPR may increase our responsibility and liability in relation to personal data that we may process, and we may be required to implement additional measures in an effort to comply with the GDPR and with other laws, rules and regulations in the EU, including those of EU member states, relating to privacy and data protection. We are also subject to the UK GDPR, a version of the GDPR as implemented into UK law. If our efforts to comply with GDPR or other applicable foreign laws, rules and regulations are not successful, or are perceived to be unsuccessful, it could adversely affect our business. For more information, see “Risk Factors—Risks Related to Regulatory Approval and Other Legal Compliance Matters—We are subject to stringent laws, rules, regulations, policies, industry standards and contractual obligations regarding data privacy and security and may be subject to additional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Sales of our products will depend, in part, on the extent to which our products will be covered by third-party payors, such as government health programs, commercial insurance and managed healthcare organizations. In the United States, no uniform policy of coverage and reimbursement for drug products exists. Accordingly, decisions regarding the extent of coverage and amount of reimbursement to be provided for any of our products will be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120"/>
          </w:cols>
          <w:pgMar w:left="320" w:top="459" w:right="4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made on a payor-by-payor basis. As a result, the coverage determination process is often a time-consuming and costly process that will require us to provide scientific and clinical support for the use of our products to each payor separately, with no assurance that coverage and adequate reimbursement will be obtained.</w:t>
      </w:r>
    </w:p>
    <w:p>
      <w:pPr>
        <w:spacing w:after="0" w:line="184"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The U.S. government, state legislatures, and foreign governments have shown significant interest in implementing cost containment programs to limit the growth of government-paid healthcare costs, including price-controls, restrictions on reimbursement and requirements for substitution of generic products for branded prescription drugs. For example, the ACA contains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Adoption of general controls and measures, coupled with the tightening of restrictive policies in jurisdictions with existing controls and measures, could limit payments for pharmaceutical drugs.</w:t>
      </w:r>
    </w:p>
    <w:p>
      <w:pPr>
        <w:spacing w:after="0" w:line="19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Medicaid Drug Rebate Program requires pharmaceutical manufacturers to enter into and have in effect a national rebate agreement with the Secretary of the Department of Health and Human Services as a condition for states to receive federal matching funds for the manufacturer’s outpatient drugs furnished to Medicaid patients. The ACA made several changes to the Medicaid Drug Rebate Program, including increasing pharmaceutical manufacturers’ rebate liability by raising the minimum basic Medicaid rebate on most branded prescription drugs from 15.1% of average manufacturer price (AMP), to 23.1% of AMP and adding a new rebate calculation for “line extensions” (i.e., new formulations, such as extended release formulations) of solid oral dosage forms of branded products, as well as potentially impacting their rebate liability by modifying the statutory definition of AMP. The ACA also expanded the universe of Medicaid utilization subject to drug rebates by requiring pharmaceutical manufacturers to pay rebates on Medicaid managed care utilization and by enlarging the population potentially eligible for Medicaid drug benefits. The CMS has proposed to expand Medicaid rebate liability to the territories of the United States as well.</w:t>
      </w:r>
    </w:p>
    <w:p>
      <w:pPr>
        <w:spacing w:after="0" w:line="181"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The Medicare Prescription Drug, Improvement and Modernization Act of 2003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While all Medicare drug plans must give at least a standard level of coverage set by Medicare,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for which we receive marketing approval. However, any negotiated prices for our products covered by a Part D prescription drug plan likely will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179" w:lineRule="exact"/>
        <w:rPr>
          <w:sz w:val="20"/>
          <w:szCs w:val="20"/>
          <w:color w:val="auto"/>
        </w:rPr>
      </w:pPr>
    </w:p>
    <w:p>
      <w:pPr>
        <w:jc w:val="both"/>
        <w:ind w:left="120" w:right="180" w:firstLine="440"/>
        <w:spacing w:after="0" w:line="286" w:lineRule="auto"/>
        <w:rPr>
          <w:sz w:val="20"/>
          <w:szCs w:val="20"/>
          <w:color w:val="auto"/>
        </w:rPr>
      </w:pPr>
      <w:r>
        <w:rPr>
          <w:rFonts w:ascii="Arial" w:cs="Arial" w:eastAsia="Arial" w:hAnsi="Arial"/>
          <w:sz w:val="17"/>
          <w:szCs w:val="17"/>
          <w:color w:val="auto"/>
        </w:rPr>
        <w:t>For a drug product to receive federal reimbursement under the Medicaid or Medicare Part B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w:t>
      </w:r>
    </w:p>
    <w:p>
      <w:pPr>
        <w:spacing w:after="0" w:line="16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As noted above, the marketability of any products for which we receive regulatory approval for commercial sale may suffer if the government and third-party payors fail to provide adequate coverage and reimbursement. An increasing emphasis on cost containment measures in the United States has increased and we expect it will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120"/>
          </w:cols>
          <w:pgMar w:left="320" w:top="459" w:right="4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60"/>
        <w:spacing w:after="0" w:line="263" w:lineRule="auto"/>
        <w:rPr>
          <w:sz w:val="20"/>
          <w:szCs w:val="20"/>
          <w:color w:val="auto"/>
        </w:rPr>
      </w:pPr>
      <w:r>
        <w:rPr>
          <w:rFonts w:ascii="Arial" w:cs="Arial" w:eastAsia="Arial" w:hAnsi="Arial"/>
          <w:sz w:val="18"/>
          <w:szCs w:val="18"/>
          <w:color w:val="auto"/>
        </w:rPr>
        <w:t>continue to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84"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In addition, in most foreign countries,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in order to control the prices of medicinal products for human use. A member state may approve a specific price for the medicinal product or it may instead adopt a system of direct or indirect controls on the profitability of the company placing the medicinal product in the market. There can be no assurance that any country that has price controls or reimbursement limitations for pharmaceutical products will allow favorable reimbursement and pricing arrangements for any of our products. Historically, products launched in the European Union do not follow price structures of the United States and generally, prices tend to be significantly lower.</w:t>
      </w:r>
    </w:p>
    <w:p>
      <w:pPr>
        <w:spacing w:after="0" w:line="192"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are unable to predict the future course of federal or state healthcare legislation in U.S. or foreign legislation directed at containing or lowering the cost of healthcare and prescription drug prices. These and any further changes in the law or regulatory framework that reduce our revenue or increase our costs could have a material and adverse effect on our business, financial condition and results of operations. It is also possible that additional governmental action will be taken to address the COVID-19 pandemic. The continuing efforts of the government, insurance companies, managed care organizations, and other payors of healthcare services and medical products to contain or reduce costs of healthcare and/or impose price controls may adversely affect the demand for our product candidates, if approved, and our ability to achieve or maintain profitability.</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As of June 30, 2021, we had more than 85 full-time employees, with approximately 47 engaged in research and development activities and approximately 25 engaged in manufacturing activities. None of our employees are represented by a labor union or covered under a collective bargaining agreement. We consider our relationship with our employees to be good, in part as measured by relatively high scores from employees surveys and our relatively low turnover.</w:t>
      </w:r>
    </w:p>
    <w:p>
      <w:pPr>
        <w:spacing w:after="0" w:line="18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jc w:val="both"/>
        <w:ind w:left="120" w:right="560" w:firstLine="440"/>
        <w:spacing w:after="0" w:line="286" w:lineRule="auto"/>
        <w:rPr>
          <w:sz w:val="20"/>
          <w:szCs w:val="20"/>
          <w:color w:val="auto"/>
        </w:rPr>
      </w:pPr>
      <w:r>
        <w:rPr>
          <w:rFonts w:ascii="Arial" w:cs="Arial" w:eastAsia="Arial" w:hAnsi="Arial"/>
          <w:sz w:val="17"/>
          <w:szCs w:val="17"/>
          <w:color w:val="auto"/>
        </w:rPr>
        <w:t>Our corporate headquarters are in South San Francisco, where we lease a facility containing approximately 32,370 square feet of office and laboratory space located at 171 Oyster Point Blvd., 5</w:t>
      </w:r>
      <w:r>
        <w:rPr>
          <w:rFonts w:ascii="Arial" w:cs="Arial" w:eastAsia="Arial" w:hAnsi="Arial"/>
          <w:sz w:val="14"/>
          <w:szCs w:val="14"/>
          <w:color w:val="auto"/>
        </w:rPr>
        <w:t>th</w:t>
      </w:r>
      <w:r>
        <w:rPr>
          <w:rFonts w:ascii="Arial" w:cs="Arial" w:eastAsia="Arial" w:hAnsi="Arial"/>
          <w:sz w:val="17"/>
          <w:szCs w:val="17"/>
          <w:color w:val="auto"/>
        </w:rPr>
        <w:t xml:space="preserve"> Floor, South San Francisco, CA 94080. The lease expires on May 31, 2025, unless earlier terminated in accordance with the lease, and we may renew the lease term for two additional five-year periods.</w:t>
      </w:r>
    </w:p>
    <w:p>
      <w:pPr>
        <w:spacing w:after="0" w:line="165" w:lineRule="exact"/>
        <w:rPr>
          <w:sz w:val="20"/>
          <w:szCs w:val="20"/>
          <w:color w:val="auto"/>
        </w:rPr>
      </w:pPr>
    </w:p>
    <w:p>
      <w:pPr>
        <w:jc w:val="both"/>
        <w:ind w:left="120" w:right="440" w:firstLine="440"/>
        <w:spacing w:after="0" w:line="263" w:lineRule="auto"/>
        <w:rPr>
          <w:sz w:val="20"/>
          <w:szCs w:val="20"/>
          <w:color w:val="auto"/>
        </w:rPr>
      </w:pPr>
      <w:r>
        <w:rPr>
          <w:rFonts w:ascii="Arial" w:cs="Arial" w:eastAsia="Arial" w:hAnsi="Arial"/>
          <w:sz w:val="18"/>
          <w:szCs w:val="18"/>
          <w:color w:val="auto"/>
        </w:rPr>
        <w:t>We also have subleased space at another facility in South San Francisco containing approximately 24,000 square feet of additional office and laboratory space located at 131 Oyster Point Blvd, 4</w:t>
      </w:r>
      <w:r>
        <w:rPr>
          <w:rFonts w:ascii="Arial" w:cs="Arial" w:eastAsia="Arial" w:hAnsi="Arial"/>
          <w:sz w:val="15"/>
          <w:szCs w:val="15"/>
          <w:color w:val="auto"/>
        </w:rPr>
        <w:t>th</w:t>
      </w:r>
      <w:r>
        <w:rPr>
          <w:rFonts w:ascii="Arial" w:cs="Arial" w:eastAsia="Arial" w:hAnsi="Arial"/>
          <w:sz w:val="18"/>
          <w:szCs w:val="18"/>
          <w:color w:val="auto"/>
        </w:rPr>
        <w:t xml:space="preserve"> Floor, South San Francisco, CA 94080. The sublease expires on November 30, 2021, unless earlier terminated in accordance with the sublease.</w:t>
      </w:r>
    </w:p>
    <w:p>
      <w:pPr>
        <w:spacing w:after="0" w:line="184"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We also have a leased space at a facility in Union City containing additional manufacturing and office space located at 33498 Central Avenue, Union City, CA 94587. The lease expires ten years and three months following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140"/>
          </w:cols>
          <w:pgMar w:left="320" w:top="459" w:right="4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date the premises is delivered by the landlord in the required condition, unless earlier terminated in accordance with the lease. We may renew the lease term for one additional five-year period.</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believe that these existing facilities are adequate for our current needs and that suitable additional or alternative space will be available in the future on commercially reasonable terms, if required.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0980"/>
          </w:cols>
          <w:pgMar w:left="320" w:top="459" w:right="59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Key Employees, and Directors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the names and positions of our executive officers, key employees, and directors and their ages as of June 30, 2021:</w:t>
      </w: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4120" w:type="dxa"/>
            <w:vAlign w:val="bottom"/>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28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5520" w:type="dxa"/>
            <w:vAlign w:val="bottom"/>
          </w:tcPr>
          <w:p>
            <w:pPr>
              <w:spacing w:after="0"/>
              <w:rPr>
                <w:sz w:val="14"/>
                <w:szCs w:val="14"/>
                <w:color w:val="auto"/>
              </w:rPr>
            </w:pPr>
          </w:p>
        </w:tc>
      </w:tr>
      <w:tr>
        <w:trPr>
          <w:trHeight w:val="209"/>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Executive Officers: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520" w:type="dxa"/>
            <w:vAlign w:val="bottom"/>
            <w:shd w:val="clear" w:color="auto" w:fill="CCEEFF"/>
          </w:tcPr>
          <w:p>
            <w:pPr>
              <w:spacing w:after="0"/>
              <w:rPr>
                <w:sz w:val="18"/>
                <w:szCs w:val="18"/>
                <w:color w:val="auto"/>
              </w:rPr>
            </w:pPr>
          </w:p>
        </w:tc>
      </w:tr>
      <w:tr>
        <w:trPr>
          <w:trHeight w:val="283"/>
        </w:trPr>
        <w:tc>
          <w:tcPr>
            <w:tcW w:w="4480" w:type="dxa"/>
            <w:vAlign w:val="bottom"/>
            <w:gridSpan w:val="2"/>
          </w:tcPr>
          <w:p>
            <w:pPr>
              <w:spacing w:after="0"/>
              <w:rPr>
                <w:sz w:val="20"/>
                <w:szCs w:val="20"/>
                <w:color w:val="auto"/>
              </w:rPr>
            </w:pPr>
            <w:r>
              <w:rPr>
                <w:rFonts w:ascii="Arial" w:cs="Arial" w:eastAsia="Arial" w:hAnsi="Arial"/>
                <w:sz w:val="18"/>
                <w:szCs w:val="18"/>
                <w:color w:val="auto"/>
              </w:rPr>
              <w:t>Faraz Ali, M.B.A.</w:t>
            </w:r>
          </w:p>
        </w:tc>
        <w:tc>
          <w:tcPr>
            <w:tcW w:w="240" w:type="dxa"/>
            <w:vAlign w:val="bottom"/>
          </w:tcPr>
          <w:p>
            <w:pPr>
              <w:jc w:val="right"/>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24"/>
                <w:szCs w:val="24"/>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Chief Executive Officer, Secretary and Director</w:t>
            </w:r>
          </w:p>
        </w:tc>
      </w:tr>
      <w:tr>
        <w:trPr>
          <w:trHeight w:val="68"/>
        </w:trPr>
        <w:tc>
          <w:tcPr>
            <w:tcW w:w="360" w:type="dxa"/>
            <w:vAlign w:val="bottom"/>
          </w:tcPr>
          <w:p>
            <w:pPr>
              <w:spacing w:after="0"/>
              <w:rPr>
                <w:sz w:val="5"/>
                <w:szCs w:val="5"/>
                <w:color w:val="auto"/>
              </w:rPr>
            </w:pPr>
          </w:p>
        </w:tc>
        <w:tc>
          <w:tcPr>
            <w:tcW w:w="4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520" w:type="dxa"/>
            <w:vAlign w:val="bottom"/>
          </w:tcPr>
          <w:p>
            <w:pPr>
              <w:spacing w:after="0"/>
              <w:rPr>
                <w:sz w:val="5"/>
                <w:szCs w:val="5"/>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Hoey, Ph.D.</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8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Scientific Officer</w:t>
            </w:r>
          </w:p>
        </w:tc>
      </w:tr>
      <w:tr>
        <w:trPr>
          <w:trHeight w:val="284"/>
        </w:trPr>
        <w:tc>
          <w:tcPr>
            <w:tcW w:w="4480" w:type="dxa"/>
            <w:vAlign w:val="bottom"/>
            <w:gridSpan w:val="2"/>
          </w:tcPr>
          <w:p>
            <w:pPr>
              <w:spacing w:after="0"/>
              <w:rPr>
                <w:sz w:val="20"/>
                <w:szCs w:val="20"/>
                <w:color w:val="auto"/>
              </w:rPr>
            </w:pPr>
            <w:r>
              <w:rPr>
                <w:rFonts w:ascii="Arial" w:cs="Arial" w:eastAsia="Arial" w:hAnsi="Arial"/>
                <w:sz w:val="18"/>
                <w:szCs w:val="18"/>
                <w:color w:val="auto"/>
              </w:rPr>
              <w:t>Leone D. Patterson, M.B.A.</w:t>
            </w:r>
          </w:p>
        </w:tc>
        <w:tc>
          <w:tcPr>
            <w:tcW w:w="240" w:type="dxa"/>
            <w:vAlign w:val="bottom"/>
          </w:tcPr>
          <w:p>
            <w:pPr>
              <w:jc w:val="right"/>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24"/>
                <w:szCs w:val="24"/>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Chief Financial and Business Officer</w:t>
            </w:r>
          </w:p>
        </w:tc>
      </w:tr>
      <w:tr>
        <w:trPr>
          <w:trHeight w:val="67"/>
        </w:trPr>
        <w:tc>
          <w:tcPr>
            <w:tcW w:w="360" w:type="dxa"/>
            <w:vAlign w:val="bottom"/>
          </w:tcPr>
          <w:p>
            <w:pPr>
              <w:spacing w:after="0"/>
              <w:rPr>
                <w:sz w:val="5"/>
                <w:szCs w:val="5"/>
                <w:color w:val="auto"/>
              </w:rPr>
            </w:pPr>
          </w:p>
        </w:tc>
        <w:tc>
          <w:tcPr>
            <w:tcW w:w="4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520" w:type="dxa"/>
            <w:vAlign w:val="bottom"/>
          </w:tcPr>
          <w:p>
            <w:pPr>
              <w:spacing w:after="0"/>
              <w:rPr>
                <w:sz w:val="5"/>
                <w:szCs w:val="5"/>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Whittemore (Whit) Tingley, M.D., Ph.D.</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8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Medical Officer</w:t>
            </w:r>
          </w:p>
        </w:tc>
      </w:tr>
      <w:tr>
        <w:trPr>
          <w:trHeight w:val="283"/>
        </w:trPr>
        <w:tc>
          <w:tcPr>
            <w:tcW w:w="44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Key Employees:</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520" w:type="dxa"/>
            <w:vAlign w:val="bottom"/>
          </w:tcPr>
          <w:p>
            <w:pPr>
              <w:spacing w:after="0"/>
              <w:rPr>
                <w:sz w:val="24"/>
                <w:szCs w:val="24"/>
                <w:color w:val="auto"/>
              </w:rPr>
            </w:pPr>
          </w:p>
        </w:tc>
      </w:tr>
      <w:tr>
        <w:trPr>
          <w:trHeight w:val="68"/>
        </w:trPr>
        <w:tc>
          <w:tcPr>
            <w:tcW w:w="360" w:type="dxa"/>
            <w:vAlign w:val="bottom"/>
          </w:tcPr>
          <w:p>
            <w:pPr>
              <w:spacing w:after="0"/>
              <w:rPr>
                <w:sz w:val="5"/>
                <w:szCs w:val="5"/>
                <w:color w:val="auto"/>
              </w:rPr>
            </w:pPr>
          </w:p>
        </w:tc>
        <w:tc>
          <w:tcPr>
            <w:tcW w:w="4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520" w:type="dxa"/>
            <w:vAlign w:val="bottom"/>
          </w:tcPr>
          <w:p>
            <w:pPr>
              <w:spacing w:after="0"/>
              <w:rPr>
                <w:sz w:val="5"/>
                <w:szCs w:val="5"/>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Kee-Hong Kim, Ph.D.</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8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 Manufacturing/Technical Operations</w:t>
            </w:r>
          </w:p>
        </w:tc>
      </w:tr>
      <w:tr>
        <w:trPr>
          <w:trHeight w:val="283"/>
        </w:trPr>
        <w:tc>
          <w:tcPr>
            <w:tcW w:w="4480" w:type="dxa"/>
            <w:vAlign w:val="bottom"/>
            <w:gridSpan w:val="2"/>
          </w:tcPr>
          <w:p>
            <w:pPr>
              <w:spacing w:after="0"/>
              <w:rPr>
                <w:sz w:val="20"/>
                <w:szCs w:val="20"/>
                <w:color w:val="auto"/>
              </w:rPr>
            </w:pPr>
            <w:r>
              <w:rPr>
                <w:rFonts w:ascii="Arial" w:cs="Arial" w:eastAsia="Arial" w:hAnsi="Arial"/>
                <w:sz w:val="18"/>
                <w:szCs w:val="18"/>
                <w:color w:val="auto"/>
              </w:rPr>
              <w:t>Matthew Pollman, M.D.</w:t>
            </w:r>
          </w:p>
        </w:tc>
        <w:tc>
          <w:tcPr>
            <w:tcW w:w="240" w:type="dxa"/>
            <w:vAlign w:val="bottom"/>
          </w:tcPr>
          <w:p>
            <w:pPr>
              <w:jc w:val="right"/>
              <w:spacing w:after="0"/>
              <w:rPr>
                <w:sz w:val="20"/>
                <w:szCs w:val="20"/>
                <w:color w:val="auto"/>
              </w:rPr>
            </w:pPr>
            <w:r>
              <w:rPr>
                <w:rFonts w:ascii="Arial" w:cs="Arial" w:eastAsia="Arial" w:hAnsi="Arial"/>
                <w:sz w:val="18"/>
                <w:szCs w:val="18"/>
                <w:color w:val="auto"/>
              </w:rPr>
              <w:t>59</w:t>
            </w:r>
          </w:p>
        </w:tc>
        <w:tc>
          <w:tcPr>
            <w:tcW w:w="280" w:type="dxa"/>
            <w:vAlign w:val="bottom"/>
          </w:tcPr>
          <w:p>
            <w:pPr>
              <w:spacing w:after="0"/>
              <w:rPr>
                <w:sz w:val="24"/>
                <w:szCs w:val="24"/>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Vice President of Clinical Development</w:t>
            </w:r>
          </w:p>
        </w:tc>
      </w:tr>
      <w:tr>
        <w:trPr>
          <w:trHeight w:val="68"/>
        </w:trPr>
        <w:tc>
          <w:tcPr>
            <w:tcW w:w="360" w:type="dxa"/>
            <w:vAlign w:val="bottom"/>
          </w:tcPr>
          <w:p>
            <w:pPr>
              <w:spacing w:after="0"/>
              <w:rPr>
                <w:sz w:val="5"/>
                <w:szCs w:val="5"/>
                <w:color w:val="auto"/>
              </w:rPr>
            </w:pPr>
          </w:p>
        </w:tc>
        <w:tc>
          <w:tcPr>
            <w:tcW w:w="4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520" w:type="dxa"/>
            <w:vAlign w:val="bottom"/>
          </w:tcPr>
          <w:p>
            <w:pPr>
              <w:spacing w:after="0"/>
              <w:rPr>
                <w:sz w:val="5"/>
                <w:szCs w:val="5"/>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Jay Vora, Ph.D., M.B.A.</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 Portfolio and Program Management</w:t>
            </w:r>
          </w:p>
        </w:tc>
      </w:tr>
      <w:tr>
        <w:trPr>
          <w:trHeight w:val="284"/>
        </w:trPr>
        <w:tc>
          <w:tcPr>
            <w:tcW w:w="44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520" w:type="dxa"/>
            <w:vAlign w:val="bottom"/>
          </w:tcPr>
          <w:p>
            <w:pPr>
              <w:spacing w:after="0"/>
              <w:rPr>
                <w:sz w:val="24"/>
                <w:szCs w:val="24"/>
                <w:color w:val="auto"/>
              </w:rPr>
            </w:pPr>
          </w:p>
        </w:tc>
      </w:tr>
      <w:tr>
        <w:trPr>
          <w:trHeight w:val="68"/>
        </w:trPr>
        <w:tc>
          <w:tcPr>
            <w:tcW w:w="360" w:type="dxa"/>
            <w:vAlign w:val="bottom"/>
          </w:tcPr>
          <w:p>
            <w:pPr>
              <w:spacing w:after="0"/>
              <w:rPr>
                <w:sz w:val="5"/>
                <w:szCs w:val="5"/>
                <w:color w:val="auto"/>
              </w:rPr>
            </w:pPr>
          </w:p>
        </w:tc>
        <w:tc>
          <w:tcPr>
            <w:tcW w:w="4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520" w:type="dxa"/>
            <w:vAlign w:val="bottom"/>
          </w:tcPr>
          <w:p>
            <w:pPr>
              <w:spacing w:after="0"/>
              <w:rPr>
                <w:sz w:val="5"/>
                <w:szCs w:val="5"/>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 Casdin, M.B.A.(1)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8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83"/>
        </w:trPr>
        <w:tc>
          <w:tcPr>
            <w:tcW w:w="4480" w:type="dxa"/>
            <w:vAlign w:val="bottom"/>
            <w:gridSpan w:val="2"/>
          </w:tcPr>
          <w:p>
            <w:pPr>
              <w:spacing w:after="0"/>
              <w:rPr>
                <w:sz w:val="20"/>
                <w:szCs w:val="20"/>
                <w:color w:val="auto"/>
              </w:rPr>
            </w:pPr>
            <w:r>
              <w:rPr>
                <w:rFonts w:ascii="Arial" w:cs="Arial" w:eastAsia="Arial" w:hAnsi="Arial"/>
                <w:sz w:val="18"/>
                <w:szCs w:val="18"/>
                <w:color w:val="auto"/>
              </w:rPr>
              <w:t>Jin-Long Chen, Ph.D.(3)</w:t>
            </w:r>
          </w:p>
        </w:tc>
        <w:tc>
          <w:tcPr>
            <w:tcW w:w="240" w:type="dxa"/>
            <w:vAlign w:val="bottom"/>
          </w:tcPr>
          <w:p>
            <w:pPr>
              <w:jc w:val="right"/>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24"/>
                <w:szCs w:val="24"/>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68"/>
        </w:trPr>
        <w:tc>
          <w:tcPr>
            <w:tcW w:w="360" w:type="dxa"/>
            <w:vAlign w:val="bottom"/>
          </w:tcPr>
          <w:p>
            <w:pPr>
              <w:spacing w:after="0"/>
              <w:rPr>
                <w:sz w:val="5"/>
                <w:szCs w:val="5"/>
                <w:color w:val="auto"/>
              </w:rPr>
            </w:pPr>
          </w:p>
        </w:tc>
        <w:tc>
          <w:tcPr>
            <w:tcW w:w="4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520" w:type="dxa"/>
            <w:vAlign w:val="bottom"/>
          </w:tcPr>
          <w:p>
            <w:pPr>
              <w:spacing w:after="0"/>
              <w:rPr>
                <w:sz w:val="5"/>
                <w:szCs w:val="5"/>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V. Goeddel, Ph.D.(3)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8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83"/>
        </w:trPr>
        <w:tc>
          <w:tcPr>
            <w:tcW w:w="4480" w:type="dxa"/>
            <w:vAlign w:val="bottom"/>
            <w:gridSpan w:val="2"/>
          </w:tcPr>
          <w:p>
            <w:pPr>
              <w:spacing w:after="0"/>
              <w:rPr>
                <w:sz w:val="20"/>
                <w:szCs w:val="20"/>
                <w:color w:val="auto"/>
              </w:rPr>
            </w:pPr>
            <w:r>
              <w:rPr>
                <w:rFonts w:ascii="Arial" w:cs="Arial" w:eastAsia="Arial" w:hAnsi="Arial"/>
                <w:sz w:val="18"/>
                <w:szCs w:val="18"/>
                <w:color w:val="auto"/>
              </w:rPr>
              <w:t>JeenJoo (JJ) Kang, Ph.D.(1)</w:t>
            </w:r>
          </w:p>
        </w:tc>
        <w:tc>
          <w:tcPr>
            <w:tcW w:w="240" w:type="dxa"/>
            <w:vAlign w:val="bottom"/>
          </w:tcPr>
          <w:p>
            <w:pPr>
              <w:jc w:val="right"/>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24"/>
                <w:szCs w:val="24"/>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68"/>
        </w:trPr>
        <w:tc>
          <w:tcPr>
            <w:tcW w:w="360" w:type="dxa"/>
            <w:vAlign w:val="bottom"/>
          </w:tcPr>
          <w:p>
            <w:pPr>
              <w:spacing w:after="0"/>
              <w:rPr>
                <w:sz w:val="5"/>
                <w:szCs w:val="5"/>
                <w:color w:val="auto"/>
              </w:rPr>
            </w:pPr>
          </w:p>
        </w:tc>
        <w:tc>
          <w:tcPr>
            <w:tcW w:w="4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520" w:type="dxa"/>
            <w:vAlign w:val="bottom"/>
          </w:tcPr>
          <w:p>
            <w:pPr>
              <w:spacing w:after="0"/>
              <w:rPr>
                <w:sz w:val="5"/>
                <w:szCs w:val="5"/>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Deepak Srivastava, M.D.(3)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84"/>
        </w:trPr>
        <w:tc>
          <w:tcPr>
            <w:tcW w:w="4480" w:type="dxa"/>
            <w:vAlign w:val="bottom"/>
            <w:gridSpan w:val="2"/>
          </w:tcPr>
          <w:p>
            <w:pPr>
              <w:spacing w:after="0"/>
              <w:rPr>
                <w:sz w:val="20"/>
                <w:szCs w:val="20"/>
                <w:color w:val="auto"/>
              </w:rPr>
            </w:pPr>
            <w:r>
              <w:rPr>
                <w:rFonts w:ascii="Arial" w:cs="Arial" w:eastAsia="Arial" w:hAnsi="Arial"/>
                <w:sz w:val="18"/>
                <w:szCs w:val="18"/>
                <w:color w:val="auto"/>
              </w:rPr>
              <w:t>Catherine Stehman-Breen, M.D.(2)</w:t>
            </w:r>
          </w:p>
        </w:tc>
        <w:tc>
          <w:tcPr>
            <w:tcW w:w="240" w:type="dxa"/>
            <w:vAlign w:val="bottom"/>
          </w:tcPr>
          <w:p>
            <w:pPr>
              <w:jc w:val="right"/>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24"/>
                <w:szCs w:val="24"/>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67"/>
        </w:trPr>
        <w:tc>
          <w:tcPr>
            <w:tcW w:w="360" w:type="dxa"/>
            <w:vAlign w:val="bottom"/>
          </w:tcPr>
          <w:p>
            <w:pPr>
              <w:spacing w:after="0"/>
              <w:rPr>
                <w:sz w:val="5"/>
                <w:szCs w:val="5"/>
                <w:color w:val="auto"/>
              </w:rPr>
            </w:pPr>
          </w:p>
        </w:tc>
        <w:tc>
          <w:tcPr>
            <w:tcW w:w="4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520" w:type="dxa"/>
            <w:vAlign w:val="bottom"/>
          </w:tcPr>
          <w:p>
            <w:pPr>
              <w:spacing w:after="0"/>
              <w:rPr>
                <w:sz w:val="5"/>
                <w:szCs w:val="5"/>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T. Walsh, M.B.A.(1)(2)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84"/>
        </w:trPr>
        <w:tc>
          <w:tcPr>
            <w:tcW w:w="4480" w:type="dxa"/>
            <w:vAlign w:val="bottom"/>
            <w:gridSpan w:val="2"/>
          </w:tcPr>
          <w:p>
            <w:pPr>
              <w:spacing w:after="0"/>
              <w:rPr>
                <w:sz w:val="20"/>
                <w:szCs w:val="20"/>
                <w:color w:val="auto"/>
              </w:rPr>
            </w:pPr>
            <w:r>
              <w:rPr>
                <w:rFonts w:ascii="Arial" w:cs="Arial" w:eastAsia="Arial" w:hAnsi="Arial"/>
                <w:sz w:val="18"/>
                <w:szCs w:val="18"/>
                <w:color w:val="auto"/>
              </w:rPr>
              <w:t>R. Sanders (Sandy) Williams, M.D.(2)</w:t>
            </w:r>
          </w:p>
        </w:tc>
        <w:tc>
          <w:tcPr>
            <w:tcW w:w="240" w:type="dxa"/>
            <w:vAlign w:val="bottom"/>
          </w:tcPr>
          <w:p>
            <w:pPr>
              <w:jc w:val="right"/>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24"/>
                <w:szCs w:val="24"/>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Member of the corporate governance and nominating committee.</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120" w:right="200" w:firstLine="440"/>
        <w:spacing w:after="0" w:line="293" w:lineRule="auto"/>
        <w:rPr>
          <w:sz w:val="20"/>
          <w:szCs w:val="20"/>
          <w:color w:val="auto"/>
        </w:rPr>
      </w:pPr>
      <w:r>
        <w:rPr>
          <w:rFonts w:ascii="Arial" w:cs="Arial" w:eastAsia="Arial" w:hAnsi="Arial"/>
          <w:sz w:val="16"/>
          <w:szCs w:val="16"/>
          <w:b w:val="1"/>
          <w:bCs w:val="1"/>
          <w:i w:val="1"/>
          <w:iCs w:val="1"/>
          <w:color w:val="auto"/>
        </w:rPr>
        <w:t xml:space="preserve">Faraz Ali, M.B.A. </w:t>
      </w:r>
      <w:r>
        <w:rPr>
          <w:rFonts w:ascii="Arial" w:cs="Arial" w:eastAsia="Arial" w:hAnsi="Arial"/>
          <w:sz w:val="16"/>
          <w:szCs w:val="16"/>
          <w:color w:val="auto"/>
        </w:rPr>
        <w:t>has served as our Chief Executive Officer and Secretary since June 2018 and as a member of our board of directors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2018. Prior to joining us, Mr. Ali was Chief Business Officer at REGENXBIO, a public biotechnology company, from February 2016 to January 2018. From May 2011 to February 2016, Mr. Ali was Vice President, Global Commercial Development and External Affairs at bluebird bio, a public biotechnology company. From August 2001 to November 2010, Mr. Ali held various roles at Genzyme, including Head of U.S. Marketing and Strategic Planning for the rare disease business unit. Prior to Genzyme, Mr. Ali served in leadership roles at GE Corporate and GE Healthcare. Mr. Ali holds a B.S. in Electrical Engineering from Stanford University and an M.B.A. with distinction from Harvard Business School.</w:t>
      </w:r>
    </w:p>
    <w:p>
      <w:pPr>
        <w:spacing w:after="0" w:line="164"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We believe Mr. Ali is qualified to serve on our board of directors because of the perspective and experience he brings as our Chief Executive Officer, his experience in leadership and corporate development positions in the biotechnology industry and with companies focused on gene therapies and therapies for rare and orphan diseases, and his educational background.</w:t>
      </w:r>
    </w:p>
    <w:p>
      <w:pPr>
        <w:spacing w:after="0" w:line="184"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b w:val="1"/>
          <w:bCs w:val="1"/>
          <w:i w:val="1"/>
          <w:iCs w:val="1"/>
          <w:color w:val="auto"/>
        </w:rPr>
        <w:t xml:space="preserve">Timothy Hoey, Ph.D. </w:t>
      </w:r>
      <w:r>
        <w:rPr>
          <w:rFonts w:ascii="Arial" w:cs="Arial" w:eastAsia="Arial" w:hAnsi="Arial"/>
          <w:sz w:val="18"/>
          <w:szCs w:val="18"/>
          <w:color w:val="auto"/>
        </w:rPr>
        <w:t>has served as our Chief Scientific Officer since August 2017. From 2005 to June 2017, he held various roles at OncoMed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Pharmaceuticals, a public biotechnology company, including as the Senior Vice-President, Cancer Biology and co-Chief Scientific Officer from January 2016 to June 2017. From 1993 to 2005, Dr. Hoey served in various roles at Tularik, a public biopharmaceutical company acquired by Amgen in 2004, including as Director, Biology Department at both Tularik and Amgen. Dr. Hoey received a B.S. in Biology from the University of Michigan and a Ph.D. in Biological Sciences from Columbia University.</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140"/>
          </w:cols>
          <w:pgMar w:left="320" w:top="459" w:right="4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b w:val="1"/>
          <w:bCs w:val="1"/>
          <w:i w:val="1"/>
          <w:iCs w:val="1"/>
          <w:color w:val="auto"/>
        </w:rPr>
        <w:t xml:space="preserve">Leone D. Patterson, M.B.A. </w:t>
      </w:r>
      <w:r>
        <w:rPr>
          <w:rFonts w:ascii="Arial" w:cs="Arial" w:eastAsia="Arial" w:hAnsi="Arial"/>
          <w:sz w:val="17"/>
          <w:szCs w:val="17"/>
          <w:color w:val="auto"/>
        </w:rPr>
        <w:t>began serving as our Chief Financial and Business Officer in June 2021. Prior to joining us, Ms. Patterson served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President and Chief Financial Officer of Adverum Biotechnologies, a public biotechnology company, from February 2021 to June 2021, and as its President from December 2019 to June 2021. She also served as Adverum’s Chief Financial Officer from June 2016 to April 2019, as its Chief Executive Officer from May 2018 to June 2020, and as a member of its board of directors from October 2018 to June 2020. From March 2015 to June 2016, Ms. Patterson served as the Chief Financial Officer of Diadexus, a public diagnostics company. Diadexus voluntarily filed for Chapter 7 bankruptcy in June 2016 while Ms. Patterson was its Chief Financial Officer. Before that, she was Vice President and Chief Financial Officer of Transcept Pharmaceuticals, a private biopharmaceutical company, from June 2012 until it was acquired by Paratek Pharmaceuticals in October 2014. From November 2010 to June 2012, Ms. Patterson served as Vice President and Global Corporate Controller of NetApp. From July 2007 to November 2010, Ms. Patterson was Vice President of Finance at Exelixis. Before Exelixis, Ms. Patterson served as Vice President of Global Business Planning and Analysis of the Vaccines and Diagnostics Division of Novartis AG, from April 2006 to July 2007. From 1999 to 2006, she held various positions, including Vice President, Corporate Controller, at Chiron (now part of Novartis). From 1989 to 1999, Ms. Patterson worked in the audit practice of accounting firm KPMG, where she held various positions including Senior Manager. Ms. Patterson currently serves on the board of directors and as the Chair of the audit committee of Nkarta, a public biotechnology company, and Eliem Therapeutics, a private biotechnology company. Ms. Patterson holds a B.S. in Business Administration and Accounting from Chapman University and an Executive M.B.A. from St. Mary’s College. Ms. Patterson is also a Certified Public Accountant (inactive status).</w:t>
      </w:r>
    </w:p>
    <w:p>
      <w:pPr>
        <w:spacing w:after="0" w:line="182"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b w:val="1"/>
          <w:bCs w:val="1"/>
          <w:i w:val="1"/>
          <w:iCs w:val="1"/>
          <w:color w:val="auto"/>
        </w:rPr>
        <w:t xml:space="preserve">Whittemore (Whit) Tingley, M.D., Ph.D. </w:t>
      </w:r>
      <w:r>
        <w:rPr>
          <w:rFonts w:ascii="Arial" w:cs="Arial" w:eastAsia="Arial" w:hAnsi="Arial"/>
          <w:sz w:val="17"/>
          <w:szCs w:val="17"/>
          <w:color w:val="auto"/>
        </w:rPr>
        <w:t>has served as our Chief Medical Officer since December 2018. Before joining us, he served as the 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of Clinical Research, Cardiology, at Cytokinetics, a public biotechnology company, from September 2017 to December 2018. From 2009 to September 2017, Dr. Tingley held various medical director and group medical director roles at Genentech. Before that, Dr. Tingley was adjunct assistant professor of medicine in the cardiology division at the University of California, San Francisco, and was an attending cardiologist in the UCSF Cardiology Faculty Practice. Dr. Tingley earned a B.A. degree from Brown University and an M.D. and a Ph.D. from the Johns Hopkins University School of Medicine. He completed internship and residency programs at the Johns Hopkins Hospital, a cardiology fellowship at University of California, San Francisco and post-doctoral research at Gladstone Institutes.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Employees</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b w:val="1"/>
          <w:bCs w:val="1"/>
          <w:i w:val="1"/>
          <w:iCs w:val="1"/>
          <w:color w:val="auto"/>
        </w:rPr>
        <w:t xml:space="preserve">Kee-Hong Kim, Ph.D. </w:t>
      </w:r>
      <w:r>
        <w:rPr>
          <w:rFonts w:ascii="Arial" w:cs="Arial" w:eastAsia="Arial" w:hAnsi="Arial"/>
          <w:sz w:val="17"/>
          <w:szCs w:val="17"/>
          <w:color w:val="auto"/>
        </w:rPr>
        <w:t>has served as our Senior Vice President, Manufacturing/Technical Operations since October 2018. Before joining us, 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as the Senior Vice President, Technical Operations of Agilis Biotherapeutics, a private biotechnology company, from September 2017 to August 2018. From February 2016 to August 2017, Dr. Kim was a Director at Shire, a public biopharmaceutical company, first as the head of gene therapy process development then as the global CMC lead of gene therapy. From April 2015 to January 2016, Dr. Kim ran his own biopharmaceutical consulting firm. Before that, he served as the Director of Process Development at Avalanche Biotechnologies from March 2013 to April 2015. Earlier in his career, Dr. Kim also served as a Senior Process Development Engineer at Dendreon Corp and held various leadership roles at several technical organizations including Aeras TB Foundation and Walter Reed Army Medical Center. He received a Ph.D. in biochemical engineering from Colorado State University and completed his post-doctoral training at Cornell University.</w:t>
      </w:r>
    </w:p>
    <w:p>
      <w:pPr>
        <w:spacing w:after="0" w:line="17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b w:val="1"/>
          <w:bCs w:val="1"/>
          <w:i w:val="1"/>
          <w:iCs w:val="1"/>
          <w:color w:val="auto"/>
        </w:rPr>
        <w:t xml:space="preserve">Matthew Pollman, M.D. </w:t>
      </w:r>
      <w:r>
        <w:rPr>
          <w:rFonts w:ascii="Arial" w:cs="Arial" w:eastAsia="Arial" w:hAnsi="Arial"/>
          <w:sz w:val="18"/>
          <w:szCs w:val="18"/>
          <w:color w:val="auto"/>
        </w:rPr>
        <w:t>has served as our Senior Vice President, Clinical Development since June 2021, and previously he was as a consultant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our company from October 2018 to June 2021. Dr. Pollman currently serves as a member of the board of directors of NaviGate Cardiac Structures, a private medical device company, and Perfusion Solutions, a private medical supply company. He has also served on the External Selection Committee of NIH Center for Accelerated Innovations at Cleveland Clinic since September 2013. Prior to joining us, he served as the Executive Vice President of NaviGate Cardiac Structures, a private medical device company, from June 2016 to June 2021. In addition, he served as the Chief Medical Officer of Juventas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120"/>
          </w:cols>
          <w:pgMar w:left="320" w:top="459" w:right="4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Therapeutics, a private biotechnology company, from June 2016 to January 2019, and as a member of the board of directors of Juventas Therapeutics from June 2008 to January 2019. Prior to that, Dr. Pollman was the Chairman of Guided Interventions, a private medical device company from August 2013 to May 2017. From July 2008 to July 2013, he served as a Founder, President, and Chief Scientific Officer of CV Ingenuity, a private medical device company. Earlier in his career, he served on the faculty at Harvard Medical School and Morehouse School of Medicine, as the Medical Director, Research and Development at Abbott, a public medical device company, and as Director of the New Ventures Group at Guidant Corporation, a public medical device company, until its acquisition by Abbott. Dr. Pollman earned a B.S from Southwestern Adventist University, and an M.S. and M.D. from Loma Linda University, and completed his medical training at University of California San Francisco, Stanford University, and Brigham and Women’s Hospital.</w:t>
      </w:r>
    </w:p>
    <w:p>
      <w:pPr>
        <w:spacing w:after="0" w:line="192"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b w:val="1"/>
          <w:bCs w:val="1"/>
          <w:i w:val="1"/>
          <w:iCs w:val="1"/>
          <w:color w:val="auto"/>
        </w:rPr>
        <w:t xml:space="preserve">Jay Vora, Ph.D., M.B.A. </w:t>
      </w:r>
      <w:r>
        <w:rPr>
          <w:rFonts w:ascii="Arial" w:cs="Arial" w:eastAsia="Arial" w:hAnsi="Arial"/>
          <w:sz w:val="17"/>
          <w:szCs w:val="17"/>
          <w:color w:val="auto"/>
        </w:rPr>
        <w:t>has served as our Senior Vice President, Portfolio and Program Management since November 2020. From November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2017 to October 2020, Dr. Vora served as Head of Alliance Management at Sangamo Therapeutics, a public biotechnology company, and program leader on one of Sangamo’s gene therapy programs. Before then, he was the Vice President of Program and Alliance Management at REGENXBIO from November 2015 to May 2017, where he supported multiple AAV-based gene therapy programs. Prior to that, Dr. Vora held roles in product development and program management at BioMarin and Chiron Corporation and worked in management consulting at PRTM. Dr. Vora earned a B.S. in pharmacy from University of Mumbai, an M.S. in medicinal chemistry from the University of Cincinnati, an M.B.A. from the Haas School of Business at the University of California, Berkeley, and a Ph.D. in Pharmaceutical Sciences from Northeastern University.</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Directors</w:t>
      </w:r>
    </w:p>
    <w:p>
      <w:pPr>
        <w:spacing w:after="0" w:line="12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b w:val="1"/>
          <w:bCs w:val="1"/>
          <w:i w:val="1"/>
          <w:iCs w:val="1"/>
          <w:color w:val="auto"/>
        </w:rPr>
        <w:t xml:space="preserve">Eli Casdin, M.B.A. </w:t>
      </w:r>
      <w:r>
        <w:rPr>
          <w:rFonts w:ascii="Arial" w:cs="Arial" w:eastAsia="Arial" w:hAnsi="Arial"/>
          <w:sz w:val="16"/>
          <w:szCs w:val="16"/>
          <w:color w:val="auto"/>
        </w:rPr>
        <w:t>has served as a member of our board of directors since August 2019 and as a member of our audit committee since September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2019. Since founding Casdin Capital LLC in 2011, Mr. Casdin has served as its Chief Investment Officer. Mr. Casdin has served as Chief Executive Officer and a director of CM Life Sciences, Inc., CM Life Sciences II Inc., and CM Life Sciences III Inc., respectively, since July 2020, December 2020, and January 2021, all blank check companies. Mr. Casdin also served as a director of Exact Science, a public biotechnology company, from October 2017 to September 2020. From 2007 to July 2011, Mr. Casdin served as a Vice President and Analyst at Alliance Bernstein, with a focus on the life science and healthcare industries. Mr. Casdin was an Associate at Bear Stearns in 2007, and an Analyst at Cooper Hill Partners, one of the earliest biotechnology-focused investment firms, from 2003 to 2006. Mr. Casdin earned a B.S. from Columbia University and an M.B.A. from Columbia Business School and he currently serves on the Columbia University School of General Studies Board of Directors.</w:t>
      </w:r>
    </w:p>
    <w:p>
      <w:pPr>
        <w:spacing w:after="0" w:line="165"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We believe Mr. Casdin is qualified to serve on our board because his extensive expertise and experience analyzing and investing in the life sciences industry.</w:t>
      </w:r>
    </w:p>
    <w:p>
      <w:pPr>
        <w:spacing w:after="0" w:line="170"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b w:val="1"/>
          <w:bCs w:val="1"/>
          <w:i w:val="1"/>
          <w:iCs w:val="1"/>
          <w:color w:val="auto"/>
        </w:rPr>
        <w:t xml:space="preserve">Jin-Long Chen, Ph.D. </w:t>
      </w:r>
      <w:r>
        <w:rPr>
          <w:rFonts w:ascii="Arial" w:cs="Arial" w:eastAsia="Arial" w:hAnsi="Arial"/>
          <w:sz w:val="16"/>
          <w:szCs w:val="16"/>
          <w:color w:val="auto"/>
        </w:rPr>
        <w:t>has served as member of our board of directors since October 2016. Dr. Chen is the founder of NGM Biopharmaceuticals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has served as a member of the NGM board of directors and as Chief Scientific Officer since January 2008. He was also NGM’s President until November 2014. Previously, Dr. Chen held various positions at Amgen, most recently as Vice President, Metabolic Disorders. Prior to joining Amgen when Amgen acquired Tularik in 2004, Dr. Chen served as Vice President of Biology at Tularik. Dr. Chen received a B.S. in nutrition and food science from Fu-Jen Catholic University and a Ph.D. in molecular and cell biology from the University of California, Berkeley.</w:t>
      </w:r>
    </w:p>
    <w:p>
      <w:pPr>
        <w:spacing w:after="0" w:line="161"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We believe Dr. Chen is qualified to serve on our board because of his extensive medical research experience, and his experience as a founder, executive, and director of a public biopharmaceutical company.</w:t>
      </w:r>
    </w:p>
    <w:p>
      <w:pPr>
        <w:spacing w:after="0" w:line="170"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b w:val="1"/>
          <w:bCs w:val="1"/>
          <w:i w:val="1"/>
          <w:iCs w:val="1"/>
          <w:color w:val="auto"/>
        </w:rPr>
        <w:t xml:space="preserve">David V. Goeddel, Ph.D. </w:t>
      </w:r>
      <w:r>
        <w:rPr>
          <w:rFonts w:ascii="Arial" w:cs="Arial" w:eastAsia="Arial" w:hAnsi="Arial"/>
          <w:sz w:val="16"/>
          <w:szCs w:val="16"/>
          <w:color w:val="auto"/>
        </w:rPr>
        <w:t>has served as a member of our board of directors since August 2016 and as a member of our compensation committee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December 2018. Dr. Goeddel has served as a Managing Partner of The Column Group, a venture capital firm, since 2007. Dr. Goeddel is a member of the board of directors at NGM Biopharmaceuticals, a public biopharmaceutical company. Additionally, Dr. Goeddel serves on the board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120"/>
          </w:cols>
          <w:pgMar w:left="320" w:top="459" w:right="4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of directors for A2 Biotherapeutics (Chairman), Surrozen and Hexagon Bio (Chairman), all privately held biopharmaceutical companies. Dr. Goeddel co-founded Tularik in November 1991, was Vice President of Research until 1996, and served as Chief Executive Officer from 1996 until 2004. He then served as Amgen’s first Senior Vice President until May 2006. Prior to Tularik, he was the first scientist hired by Genentech, and from 1978 to 1993 served in various positions, including Fellow, Staff Scientist and Director of Molecular Biology. His pioneering work in the fields of gene cloning and expression of human proteins was the basis for five marketed therapeutics developed by Genentech, including human insulin, human growth hormone, interferon-alpha, interferon-gamma and tissue plasminogen activator. Dr. Goeddel has received numerous scientific awards including the Scheele Medal, the Eli Lilly Award in Biological Chemistry, the Inventor of the Year Award, the Jacob Heskel Gabbay Award, the Howley Prize for Arthritis Research and the Warren Alpert Foundation Prize. He is a member of the National Academy of Sciences and the American Academy of Arts and Sciences. He holds a B.A. in chemistry from the University of California, San Diego and a Ph.D. in biochemistry from the University of Colorado.</w:t>
      </w:r>
    </w:p>
    <w:p>
      <w:pPr>
        <w:spacing w:after="0" w:line="166"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We believe Dr. Goeddel is qualified to serve on our board of directors because of his experience serving as a board member of public and private life sciences companies, his experience as a founder and Chief Executive Officer of a public biopharmaceutical company, his depth of knowledge and substantial experience as a research scientist, his extensive experience in investing in diverse biotechnology companies and his experience as a public company board member, including within the biotechnology industry.</w:t>
      </w:r>
    </w:p>
    <w:p>
      <w:pPr>
        <w:spacing w:after="0" w:line="187"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b w:val="1"/>
          <w:bCs w:val="1"/>
          <w:i w:val="1"/>
          <w:iCs w:val="1"/>
          <w:color w:val="auto"/>
        </w:rPr>
        <w:t xml:space="preserve">JeenJoo (JJ) Kang, Ph.D. </w:t>
      </w:r>
      <w:r>
        <w:rPr>
          <w:rFonts w:ascii="Arial" w:cs="Arial" w:eastAsia="Arial" w:hAnsi="Arial"/>
          <w:sz w:val="16"/>
          <w:szCs w:val="16"/>
          <w:color w:val="auto"/>
        </w:rPr>
        <w:t>has served as a member of our board of directors since August 2016. Dr. Kang has also served as a member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committee since December 2018, as a member of our audit committee since September 2019, and as our President, Treasurer and Secretary from August 2016 to June 2018. Dr. Kang has served as a Venture Partner at The Column Group since 2020, and prior to that served as an Associate beginning in 2015, then as a Partner from 2019 to 2020. She has served as the Chief Executive Officer of Appia Bio, a private biotechnology company, since July 2020. Previously, she worked at FibroGen in project management and corporate strategy from 2005 to 2009. Dr. Kang earned a B.A. in Chemistry from Harvard University and a Ph.D. in chemical biology at the California Institute of Technology.</w:t>
      </w:r>
    </w:p>
    <w:p>
      <w:pPr>
        <w:spacing w:after="0" w:line="164"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We believe Dr. Kang is qualified to serve on our board of directors due to her educational background and her experience in investing in the life sciences industry.</w:t>
      </w:r>
    </w:p>
    <w:p>
      <w:pPr>
        <w:spacing w:after="0" w:line="170" w:lineRule="exact"/>
        <w:rPr>
          <w:sz w:val="20"/>
          <w:szCs w:val="20"/>
          <w:color w:val="auto"/>
        </w:rPr>
      </w:pPr>
    </w:p>
    <w:p>
      <w:pPr>
        <w:ind w:left="120" w:right="280" w:firstLine="440"/>
        <w:spacing w:after="0" w:line="290" w:lineRule="auto"/>
        <w:rPr>
          <w:sz w:val="20"/>
          <w:szCs w:val="20"/>
          <w:color w:val="auto"/>
        </w:rPr>
      </w:pPr>
      <w:r>
        <w:rPr>
          <w:rFonts w:ascii="Arial" w:cs="Arial" w:eastAsia="Arial" w:hAnsi="Arial"/>
          <w:sz w:val="16"/>
          <w:szCs w:val="16"/>
          <w:b w:val="1"/>
          <w:bCs w:val="1"/>
          <w:i w:val="1"/>
          <w:iCs w:val="1"/>
          <w:color w:val="auto"/>
        </w:rPr>
        <w:t xml:space="preserve">Deepak Srivastava, M.D. </w:t>
      </w:r>
      <w:r>
        <w:rPr>
          <w:rFonts w:ascii="Arial" w:cs="Arial" w:eastAsia="Arial" w:hAnsi="Arial"/>
          <w:sz w:val="16"/>
          <w:szCs w:val="16"/>
          <w:color w:val="auto"/>
        </w:rPr>
        <w:t>has served as a member of our board of directors since October 2016. Dr. Srivastava has been a consultant for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since September 2016 and Chairman of our Scientific Advisory Board since October 2016. Dr. Srivastava has been President of Gladstone Institutes since January 2018. He is currently the Younger Family Professor and a senior investigator at the Gladstone Institute of Cardiovascular Disease and director of the Roddenberry Stem Cell Center. Since 2005, Dr. Srivastava has been a professor in the Departments of Pediatrics and Biochemistry and Biophysics at UC San Francisco, and he is the Wilma and Adeline Pirag Distinguished Professor in pediatric developmental cardiology. He is the immediate past-president of the International Society for Stem Cell Research. Dr. Srivastava is a member of the American Academy of Arts and Sciences and the National Academy of Medicine. He received a B.S. from Rice University and an M.D. from the University of Texas. He trained in pediatrics at the University of California, San Francisco, and in pediatric cardiology at Harvard Medical School.</w:t>
      </w:r>
    </w:p>
    <w:p>
      <w:pPr>
        <w:spacing w:after="0" w:line="16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 xml:space="preserve">We believe Dr. Srivastava is qualified to serve on our board because of his scientific and educational background and his extensive expertise in the cardiovascular field and as a co-Founder of the company with specific expertise in the science of using direct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reprogramming approach to cellular regeneration.</w:t>
      </w:r>
    </w:p>
    <w:p>
      <w:pPr>
        <w:spacing w:after="0" w:line="184"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b w:val="1"/>
          <w:bCs w:val="1"/>
          <w:i w:val="1"/>
          <w:iCs w:val="1"/>
          <w:color w:val="auto"/>
        </w:rPr>
        <w:t xml:space="preserve">Catherine Stehman-Breen, M.D. </w:t>
      </w:r>
      <w:r>
        <w:rPr>
          <w:rFonts w:ascii="Arial" w:cs="Arial" w:eastAsia="Arial" w:hAnsi="Arial"/>
          <w:sz w:val="17"/>
          <w:szCs w:val="17"/>
          <w:color w:val="auto"/>
        </w:rPr>
        <w:t>has served as a member of our board of directors since June 2020. Beginning in December 2020, Dr. Stehman-Breen has served as the Chief Executive Officer and a member of the board of directors of Chroma Medicine, a private biotechnology company. From July 2019 to December 2020, Dr. Stehman-Breen served as Chief Development Officer of Obsidian Therapeutics, a private biotechnology company. Since March 2018, she has served as an entrepreneur-in-residence at Atlas Ventures, a venture capital</w:t>
      </w:r>
    </w:p>
    <w:p>
      <w:pPr>
        <w:spacing w:after="0" w:line="10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120"/>
          </w:cols>
          <w:pgMar w:left="320" w:top="459" w:right="4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91" w:lineRule="auto"/>
        <w:rPr>
          <w:sz w:val="20"/>
          <w:szCs w:val="20"/>
          <w:color w:val="auto"/>
        </w:rPr>
      </w:pPr>
      <w:r>
        <w:rPr>
          <w:rFonts w:ascii="Arial" w:cs="Arial" w:eastAsia="Arial" w:hAnsi="Arial"/>
          <w:sz w:val="16"/>
          <w:szCs w:val="16"/>
          <w:color w:val="auto"/>
        </w:rPr>
        <w:t>firm. Dr. Stehman-Brown serves as a director of Generation Bio, a public biotechnology company. Dr. Stehman-Breen also serves a member of the board of directors of Dyne Therapeutics, a public biotechnology company. She also previously served as Dyne’s Chief Medical Officer from March</w:t>
      </w:r>
    </w:p>
    <w:p>
      <w:pPr>
        <w:ind w:left="120"/>
        <w:spacing w:after="0" w:line="288" w:lineRule="auto"/>
        <w:rPr>
          <w:sz w:val="20"/>
          <w:szCs w:val="20"/>
          <w:color w:val="auto"/>
        </w:rPr>
      </w:pPr>
      <w:r>
        <w:rPr>
          <w:rFonts w:ascii="Arial" w:cs="Arial" w:eastAsia="Arial" w:hAnsi="Arial"/>
          <w:sz w:val="16"/>
          <w:szCs w:val="16"/>
          <w:color w:val="auto"/>
        </w:rPr>
        <w:t>2018 to July 2019. From April 2018 to July 2019, Dr. Stehman-Breen served as Chief Medical Officer Disarm Therapeutics, a private biotechnology company. From March 2017 to December 2017, she served as Chief Medical Officer of Sarepta Therapeutics, a public biopharmaceutical company. Before that, she served as Vice President, Clinical Development and Regulatory Affairs at Regeneron Pharmaceuticals, a public biotechnology company, from January 2015 to March 2017. From 2003 to 2015, she held senior leadership roles at Amgen including Vice President, Global Development, leading the neuroscience, nephrology and bone therapeutic areas. Dr. Stehman-Breen earned a B.A. in biology and psychology from Colby College, an M.S. in epidemiology from the University of Washington, where she also completed her residency and fellowship training, and an M.D. from the University of Chicago in 1990. Dr. Stehman-Breen spent six years as a faculty member in the Division of Nephrology at the University of Washington.</w:t>
      </w:r>
    </w:p>
    <w:p>
      <w:pPr>
        <w:spacing w:after="0" w:line="168"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believe Dr. Stehman-Breen is qualified to serve on our board based on her medical expertise, her experience with clinical development and regulatory affairs in many therapeutics areas, her expertise as an executive in the biotechnology industry and her experience as a public company board member, including within the biotechnology industry.</w:t>
      </w:r>
    </w:p>
    <w:p>
      <w:pPr>
        <w:spacing w:after="0" w:line="184"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b w:val="1"/>
          <w:bCs w:val="1"/>
          <w:i w:val="1"/>
          <w:iCs w:val="1"/>
          <w:color w:val="auto"/>
        </w:rPr>
        <w:t xml:space="preserve">Jeffrey T. Walsh, M.B.A. </w:t>
      </w:r>
      <w:r>
        <w:rPr>
          <w:rFonts w:ascii="Arial" w:cs="Arial" w:eastAsia="Arial" w:hAnsi="Arial"/>
          <w:sz w:val="17"/>
          <w:szCs w:val="17"/>
          <w:color w:val="auto"/>
        </w:rPr>
        <w:t>has served as a member of our board of directors since March 2020 and as a member of our audit committee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2020. Since 2011, Mr. Walsh has served in various roles at bluebird bio, including most recently as Strategic Advisor from January 2020 to April 2021, and previously as Chief Operating Officer, Chief Financial Officer, and Chief Strategy Officer. From 2008 to 2011, Mr. Walsh served as Chief Business Officer of Taligen Therapeutics, Inc. until it was acquired by Alexion Pharmaceuticals, Inc. Mr. Walsh started his career at SmithKline Beecham Corporation in finance and worldwide business development roles from 1987 to 1995. He subsequently held senior business development, finance, sales and operations roles at Allscripts Healthcare Solutions Inc. from 1995 to 1998, PathoGenesis Corp. from 1998 to 2000, EXACT Sciences Corporation from 2000 to 2004, and Inotek Pharmaceuticals Corp. from 2004 to 2008. He received a B.A. in sociology and economics from Yale University and an M.B.A. from the Kellogg Graduate School of Management at Northwestern University.</w:t>
      </w:r>
    </w:p>
    <w:p>
      <w:pPr>
        <w:spacing w:after="0" w:line="178"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We believe that Mr. Walsh’s qualifications to serve on our board of directors include his leadership and management experience in the biotechnology industry and his experience in finance and business development and strategic planning as an executive officer at multiple healthcare companies.</w:t>
      </w:r>
    </w:p>
    <w:p>
      <w:pPr>
        <w:spacing w:after="0" w:line="184"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b w:val="1"/>
          <w:bCs w:val="1"/>
          <w:i w:val="1"/>
          <w:iCs w:val="1"/>
          <w:color w:val="auto"/>
        </w:rPr>
        <w:t xml:space="preserve">R. Sanders (Sandy) Williams, M.D. </w:t>
      </w:r>
      <w:r>
        <w:rPr>
          <w:rFonts w:ascii="Arial" w:cs="Arial" w:eastAsia="Arial" w:hAnsi="Arial"/>
          <w:sz w:val="16"/>
          <w:szCs w:val="16"/>
          <w:color w:val="auto"/>
        </w:rPr>
        <w:t>has served as a member of our board of directors since October 2016 and as a member of our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since December 2018. Dr. Williams has served as the President Emeritus of Gladstone Institutes, a non-profit biomedical research enterprise since January 2018 and previously served as its President from November 2009 to December 2017. Dr. Williams also served as the Chief Executive Officer of Gladstone Foundation, a not-for-profit organization supporting Gladstone Institutes from January 2016 to December 2018. Since January 2018, Dr. Williams has served as Professor of Medicine and Senior Advisor for International Strategy at Duke University and, beginning in February 2021, is acting as its Interim Vice President for Research and Innovation. Dr. Williams has also served as a Professor of Medicine at the University of California, San Francisco since 2010. From 2010 to 2017, Dr. Williams was the President and the Robert W. and Linda L. Mahley Distinguished Professor of Medicine of Gladstone Institutes. Prior to this, Dr. Williams served in various roles, including as Dean and Senior Vice Chancellor of the Duke University School of Medicine, from 2001 to 2010. He was the founding Dean of the Duke-NUS Graduate Medical School, Singapore, from 2003 to 2008 and served on its Governing Board from 2003 to 2010. From 1990 to 2001, Dr. Williams was Chief of Cardiology and Director of the Ryburn Center for Molecular Cardiology at the University of Texas, Southwestern Medical Center. Dr. Williams is a member of the board of directors of the Laboratory Corporation of America Holdings, a public diagnostic technologies company, serving on the audit committee and chairing the quality and compliance committee. Dr. Williams also serves as a member of the board of directors of Amgen,</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120"/>
          </w:cols>
          <w:pgMar w:left="320" w:top="459" w:right="4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Inc., a biotechnology company, serving as a member of the governance and nominating and corporate responsibility and compliance committees. Dr. Williams was elected to the National Academy of Medicine in 2002. Dr. Williams received an A.B. from Princeton University and an M.D. from Duke University.</w:t>
      </w:r>
    </w:p>
    <w:p>
      <w:pPr>
        <w:spacing w:after="0" w:line="184" w:lineRule="exact"/>
        <w:rPr>
          <w:sz w:val="20"/>
          <w:szCs w:val="20"/>
          <w:color w:val="auto"/>
        </w:rPr>
      </w:pPr>
    </w:p>
    <w:p>
      <w:pPr>
        <w:ind w:left="120" w:right="340" w:firstLine="440"/>
        <w:spacing w:after="0" w:line="308" w:lineRule="auto"/>
        <w:rPr>
          <w:sz w:val="20"/>
          <w:szCs w:val="20"/>
          <w:color w:val="auto"/>
        </w:rPr>
      </w:pPr>
      <w:r>
        <w:rPr>
          <w:rFonts w:ascii="Arial" w:cs="Arial" w:eastAsia="Arial" w:hAnsi="Arial"/>
          <w:sz w:val="17"/>
          <w:szCs w:val="17"/>
          <w:color w:val="auto"/>
        </w:rPr>
        <w:t>We believe Dr. Williams is qualified to serve on our board because of his scientific and educational background, his extensive expertise in the cardiovascular field, and his experience as a public company board member, including within the biotechnology industry.</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Family Relationships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 and Bankruptcy</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There are no material legal proceedings to which any of our directors is a party adverse to us or in which any such person has a material interest adverse to 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board of directors currently consists of nine members. After the completion of this offering, the number of directors will be fixed from time to time by our board of directors, subject to the terms of our amended and restated certificate of incorporation and amended and restated bylaws. Each of our current directors will continue to serve as a director until the election and qualification of his or her successor, or until his or her earlier death, resignation or removal.</w:t>
      </w:r>
    </w:p>
    <w:p>
      <w:pPr>
        <w:spacing w:after="0" w:line="187"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Our amended and restated certificate of incorporation will provide that our board of directors will be divided into three classes with staggered three-year terms. Only one class of directors will be elected at each annual meeting of stockholders, with the other classes continuing for the remainder of their respective three-year terms. Our current directors will be divided among the three classes as follows:</w:t>
      </w:r>
    </w:p>
    <w:p>
      <w:pPr>
        <w:spacing w:after="0" w:line="71" w:lineRule="exact"/>
        <w:rPr>
          <w:sz w:val="20"/>
          <w:szCs w:val="20"/>
          <w:color w:val="auto"/>
        </w:rPr>
      </w:pPr>
    </w:p>
    <w:p>
      <w:pPr>
        <w:ind w:left="1080" w:hanging="532"/>
        <w:spacing w:after="0" w:line="277"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Class I directors will be David V. Goeddel, Jeffrey T. Walsh, and R. Sanders (Sandy) Williams, and their terms will expire at the annual meeting of stockholders to be held in 2022;</w:t>
      </w:r>
    </w:p>
    <w:p>
      <w:pPr>
        <w:spacing w:after="0" w:line="75"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Class II directors will be Eli Casdin, Jin-Long Chen, and Catherine Stehman-Brown, and their terms will expire at the annual meeting of stockholders to be held in 2023; and</w:t>
      </w:r>
    </w:p>
    <w:p>
      <w:pPr>
        <w:spacing w:after="0" w:line="75" w:lineRule="exact"/>
        <w:rPr>
          <w:rFonts w:ascii="Arial" w:cs="Arial" w:eastAsia="Arial" w:hAnsi="Arial"/>
          <w:sz w:val="18"/>
          <w:szCs w:val="18"/>
          <w:color w:val="auto"/>
        </w:rPr>
      </w:pPr>
    </w:p>
    <w:p>
      <w:pPr>
        <w:ind w:left="1080" w:right="280" w:hanging="532"/>
        <w:spacing w:after="0" w:line="277"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Class III directors will be Faraz Ali, JeenJoo (JJ) Kang, and Deepak Srivastava, and their terms will expire at the annual meeting of stockholders to be held in 2024.</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At each annual meeting of stockholders, upon the expiration of the term of a class of directors, the successor to each such director in the class will be elected to serve from the time of election and qualification until the third annual meeting following his or her election and until his or her successor is duly elected and qualified, in accordance with our amended and restated certificate of incorporation. Any additional directorships resulting from an increase in the number of directors will be distributed among the three classes so that, as nearly as possible, each class will consist of one third of our directors.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classification of our board of directors may have the effect of delaying or preventing changes in control of our company.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Upon the completion of this offering, we anticipate that our common stock will be listed on Nasdaq Global Market. Under the rules of Nasdaq Stock Market LLC (Nasdaq), independent directors must comprise a majority of a listed company’s board of directors within one year of the completion of this offering. In addition, the rules of Nasdaq require that, subject to specified exceptions, each member of a listed company’s audit, compensation and corporate governance and nominating committees be independent. Audit committee members and</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100"/>
          </w:cols>
          <w:pgMar w:left="320" w:top="459" w:right="47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compensation committee members must also satisfy the independence criteria set forth in Rule 10A-3 and Rule 10C-1, respectively, under the Securities Exchange Act of 1934, as amended (the Exchange Act).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8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To be considered to be independent for purposes of Rule 10A-3 and under the rules of Nasdaq,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w:t>
      </w:r>
    </w:p>
    <w:p>
      <w:pPr>
        <w:spacing w:after="0" w:line="18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To be considered independent for purposes of Rule 10C-1 and under the rules of Nasdaq, the board of directors must affirmatively determine that each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(i) the source of compensation of such director, including any consulting, advisory or other compensatory fee paid by the company to such director and (ii) whether such director is affiliated with the company, a subsidiary of the company or an affiliate of a subsidiary of the company.</w:t>
      </w:r>
    </w:p>
    <w:p>
      <w:pPr>
        <w:spacing w:after="0" w:line="192" w:lineRule="exact"/>
        <w:rPr>
          <w:sz w:val="20"/>
          <w:szCs w:val="20"/>
          <w:color w:val="auto"/>
        </w:rPr>
      </w:pPr>
    </w:p>
    <w:p>
      <w:pPr>
        <w:ind w:left="120" w:right="100" w:firstLine="440"/>
        <w:spacing w:after="0" w:line="284" w:lineRule="auto"/>
        <w:rPr>
          <w:sz w:val="20"/>
          <w:szCs w:val="20"/>
          <w:color w:val="auto"/>
        </w:rPr>
      </w:pPr>
      <w:r>
        <w:rPr>
          <w:rFonts w:ascii="Arial" w:cs="Arial" w:eastAsia="Arial" w:hAnsi="Arial"/>
          <w:sz w:val="16"/>
          <w:szCs w:val="16"/>
          <w:color w:val="auto"/>
        </w:rPr>
        <w:t>Our board of directors undertook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or her background, employment and affiliations, including family relationships, our board of directors has determined that Eli Casdin, Jin-Long Chen, David V. Goeddel, JeenJoo (JJ) Kang, Deepak Srivastava, Catherine Stehman-Breen, Jeffrey T. Walsh, and R. Sanders (Sandy) Williams representing eight of our nine directors, do not have a relationship that would interfere with the exercise of independent judgment in carrying out the responsibilities of a director and</w:t>
      </w:r>
    </w:p>
    <w:p>
      <w:pPr>
        <w:spacing w:after="0" w:line="4" w:lineRule="exact"/>
        <w:rPr>
          <w:sz w:val="20"/>
          <w:szCs w:val="20"/>
          <w:color w:val="auto"/>
        </w:rPr>
      </w:pPr>
    </w:p>
    <w:p>
      <w:pPr>
        <w:ind w:left="120"/>
        <w:spacing w:after="0"/>
        <w:tabs>
          <w:tab w:leader="none" w:pos="6800" w:val="left"/>
        </w:tabs>
        <w:rPr>
          <w:sz w:val="20"/>
          <w:szCs w:val="20"/>
          <w:color w:val="auto"/>
        </w:rPr>
      </w:pPr>
      <w:r>
        <w:rPr>
          <w:rFonts w:ascii="Arial" w:cs="Arial" w:eastAsia="Arial" w:hAnsi="Arial"/>
          <w:sz w:val="17"/>
          <w:szCs w:val="17"/>
          <w:color w:val="auto"/>
        </w:rPr>
        <w:t>that each of these directors is “independent” as that term is defined under the rules of</w:t>
      </w:r>
      <w:r>
        <w:rPr>
          <w:sz w:val="20"/>
          <w:szCs w:val="20"/>
          <w:color w:val="auto"/>
        </w:rPr>
        <w:tab/>
      </w:r>
      <w:r>
        <w:rPr>
          <w:rFonts w:ascii="Arial" w:cs="Arial" w:eastAsia="Arial" w:hAnsi="Arial"/>
          <w:sz w:val="13"/>
          <w:szCs w:val="13"/>
          <w:color w:val="auto"/>
        </w:rPr>
        <w:t>.</w:t>
      </w:r>
    </w:p>
    <w:p>
      <w:pPr>
        <w:spacing w:after="0" w:line="222"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 Party Transactions.”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Our board of directors is currently chaired by David V. Goeddel. As a general policy, our board of directors believes that separation of the positions of Chair of our board of directors and Chief Executive Officer reinforces the independence of our board of directors from management, creates an environment that encourages objective oversight of management’s performance and enhances the effectiveness of our board of directors as a whole. As such, Mr. Ali serves as our Chief Executive Officer while Dr. Goeddel serves as the Chair of our board of directors but is not an officer. We currently expect and intend the positions of Chair of our board of directors and Chief Executive Officer to continue to be held by two individuals in the future.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the Board in Risk Oversight</w:t>
      </w:r>
    </w:p>
    <w:p>
      <w:pPr>
        <w:spacing w:after="0" w:line="121"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The compensation committee is responsible for overseeing the management of risks relating to our executive compensation plans and arrangements. The audit committee is responsible for overseeing the management of risks relating to</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100"/>
          </w:cols>
          <w:pgMar w:left="320" w:top="459" w:right="47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accounting matters and financial reporting. The corporate governance and nominating committee is responsible for overseeing the management of risks associated with the independence of our board of directors and potential conflicts of interest. Although each committee is responsible for evaluating certain risks and overseeing the management of such risks, our entire board of directors is regularly informed through discussions from committee members about such risks.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left="120" w:right="760" w:firstLine="440"/>
        <w:spacing w:after="0" w:line="308" w:lineRule="auto"/>
        <w:rPr>
          <w:sz w:val="20"/>
          <w:szCs w:val="20"/>
          <w:color w:val="auto"/>
        </w:rPr>
      </w:pPr>
      <w:r>
        <w:rPr>
          <w:rFonts w:ascii="Arial" w:cs="Arial" w:eastAsia="Arial" w:hAnsi="Arial"/>
          <w:sz w:val="17"/>
          <w:szCs w:val="17"/>
          <w:color w:val="auto"/>
        </w:rPr>
        <w:t>Prior to the completion of this offering, our board of directors will have an audit committee, a compensation committee and a corporate governance and nominating committee, each of which will have the composition and the responsibilities described below.</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Upon the effectiveness of the registration statement of which this prospectus forms a part, the members of our audit committee will be Eli Casdin, JeenJoo (JJ) Kang, and Jeffrey T. Walsh. Mr. Walsh will be the chair of our audit committee and is an audit committee financial expert, as that term is defined under the SEC rules implementing Section 407 of the Sarbanes-Oxley Act of 2002, and possesses financial sophistication, as defined under the rules of Nasdaq. Our audit committee will oversee our corporate accounting and financial reporting process and assist our board of directors in monitoring our financial systems. Our audit committee will also:</w:t>
      </w:r>
    </w:p>
    <w:p>
      <w:pPr>
        <w:spacing w:after="0" w:line="93" w:lineRule="exact"/>
        <w:rPr>
          <w:sz w:val="20"/>
          <w:szCs w:val="20"/>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select and hire the independent registered public accounting firm to audit our financial statements;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help to ensure the independence and performance of the independent registered public accounting firm;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approve audit and non-audit services and fees;</w:t>
      </w:r>
    </w:p>
    <w:p>
      <w:pPr>
        <w:spacing w:after="0" w:line="130" w:lineRule="exact"/>
        <w:rPr>
          <w:rFonts w:ascii="Arial" w:cs="Arial" w:eastAsia="Arial" w:hAnsi="Arial"/>
          <w:sz w:val="18"/>
          <w:szCs w:val="18"/>
          <w:color w:val="auto"/>
        </w:rPr>
      </w:pPr>
    </w:p>
    <w:p>
      <w:pPr>
        <w:jc w:val="both"/>
        <w:ind w:left="1080" w:right="180" w:hanging="532"/>
        <w:spacing w:after="0" w:line="263"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review financial statements and discuss with management and the independent registered public accounting firm our annual audited and quarterly financial statements, the results of the independent audit and the quarterly reviews and the reports and certifications regarding internal controls over financial reporting and disclosure controls;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prepare the audit committee report that the SEC requires to be included in our annual proxy statement;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review reports and communications from the independent registered public accounting firm;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review the adequacy and effectiveness of our internal controls and disclosure controls and procedure;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review our policies on risk assessment and risk management;</w:t>
      </w:r>
    </w:p>
    <w:p>
      <w:pPr>
        <w:spacing w:after="0" w:line="130" w:lineRule="exact"/>
        <w:rPr>
          <w:rFonts w:ascii="Arial" w:cs="Arial" w:eastAsia="Arial" w:hAnsi="Arial"/>
          <w:sz w:val="18"/>
          <w:szCs w:val="18"/>
          <w:color w:val="auto"/>
        </w:rPr>
      </w:pPr>
    </w:p>
    <w:p>
      <w:pPr>
        <w:ind w:left="1080" w:right="440" w:hanging="532"/>
        <w:spacing w:after="0" w:line="277"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review and monitor conflicts of interest situations, and approve or prohibit any involvement in matters that may involve a conflict of interest or taking of a corporate opportunity;</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review related party transactions; and</w:t>
      </w:r>
    </w:p>
    <w:p>
      <w:pPr>
        <w:spacing w:after="0" w:line="130"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establish and oversee procedures for the receipt, retention and treatment of accounting related complaints and the confidential submission by our employees of concerns regarding questionable accounting or auditing matters.</w:t>
      </w:r>
    </w:p>
    <w:p>
      <w:pPr>
        <w:spacing w:after="0" w:line="170" w:lineRule="exact"/>
        <w:rPr>
          <w:sz w:val="20"/>
          <w:szCs w:val="20"/>
          <w:color w:val="auto"/>
        </w:rPr>
      </w:pPr>
    </w:p>
    <w:p>
      <w:pPr>
        <w:ind w:left="120" w:right="640" w:firstLine="440"/>
        <w:spacing w:after="0" w:line="342" w:lineRule="auto"/>
        <w:rPr>
          <w:sz w:val="20"/>
          <w:szCs w:val="20"/>
          <w:color w:val="auto"/>
        </w:rPr>
      </w:pPr>
      <w:r>
        <w:rPr>
          <w:rFonts w:ascii="Arial" w:cs="Arial" w:eastAsia="Arial" w:hAnsi="Arial"/>
          <w:sz w:val="16"/>
          <w:szCs w:val="16"/>
          <w:color w:val="auto"/>
        </w:rPr>
        <w:t>Our audit committee will operate under a written charter, to be effective upon the effectiveness of the registration statement of which this prospectus forms a part, which will satisfy the applicable rules of the SEC and the listing standards of the Nasdaq Stock Market.</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Upon the effectiveness of the registration statement of which this prospectus forms a part, the members of our compensation committee will be Catherine Stehman-Brown, Jeffrey T. Walsh, and R. Sanders (Sandy) Williams. Dr. Williams will be the chair of our compensation committee. Our compensation committee will oversee our compensation policies, plans and benefits programs. The compensation committee will also:</w:t>
      </w:r>
    </w:p>
    <w:p>
      <w:pPr>
        <w:spacing w:after="0" w:line="54" w:lineRule="exact"/>
        <w:rPr>
          <w:sz w:val="20"/>
          <w:szCs w:val="20"/>
          <w:color w:val="auto"/>
        </w:rPr>
      </w:pPr>
    </w:p>
    <w:p>
      <w:pPr>
        <w:ind w:left="5480" w:right="2660" w:hanging="4932"/>
        <w:spacing w:after="0" w:line="449" w:lineRule="auto"/>
        <w:tabs>
          <w:tab w:leader="none" w:pos="1079" w:val="left"/>
        </w:tabs>
        <w:numPr>
          <w:ilvl w:val="0"/>
          <w:numId w:val="125"/>
        </w:numPr>
        <w:rPr>
          <w:rFonts w:ascii="Arial" w:cs="Arial" w:eastAsia="Arial" w:hAnsi="Arial"/>
          <w:sz w:val="18"/>
          <w:szCs w:val="18"/>
          <w:color w:val="auto"/>
        </w:rPr>
      </w:pPr>
      <w:r>
        <w:rPr>
          <w:rFonts w:ascii="Arial" w:cs="Arial" w:eastAsia="Arial" w:hAnsi="Arial"/>
          <w:sz w:val="18"/>
          <w:szCs w:val="18"/>
          <w:color w:val="auto"/>
        </w:rPr>
        <w:t>oversee our overall compensation philosophy and compensation policies, plans and benefit programs; 217</w:t>
      </w:r>
    </w:p>
    <w:p>
      <w:pPr>
        <w:sectPr>
          <w:pgSz w:w="11900" w:h="16838" w:orient="portrait"/>
          <w:cols w:equalWidth="0" w:num="1">
            <w:col w:w="11060"/>
          </w:cols>
          <w:pgMar w:left="320" w:top="459" w:right="51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review and approve compensation for our executive officers and directors;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prepare the compensation committee report that the SEC will require to be included in our annual proxy statement;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administer our equity compensation plans.</w:t>
      </w:r>
    </w:p>
    <w:p>
      <w:pPr>
        <w:spacing w:after="0" w:line="225"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Our compensation committee will operate under a written charter, to be effective upon the effectiveness of the registration statement of which this prospectus forms a part, which will satisfy the applicable rules of the SEC and the listing standards of the Nasdaq Stock Market.</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Corporate Governance and Nominating Committee</w:t>
      </w:r>
    </w:p>
    <w:p>
      <w:pPr>
        <w:spacing w:after="0" w:line="117"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Upon the effectiveness of the registration statement of which this prospectus forms a part, the members of our corporate governance and nominating committee will be Jin-Long Chen, David V. Goeddel, and Deepak Srivastava. Dr. Srivastava will be the chair of our corporate governance and nominating committee. Our corporate governance and nominating committee will oversee and assist our board of directors in reviewing and recommending nominees for election as directors. Specifically, the corporate governance and nominating committee will:</w:t>
      </w:r>
    </w:p>
    <w:p>
      <w:pPr>
        <w:spacing w:after="0" w:line="77" w:lineRule="exact"/>
        <w:rPr>
          <w:sz w:val="20"/>
          <w:szCs w:val="20"/>
          <w:color w:val="auto"/>
        </w:rPr>
      </w:pPr>
    </w:p>
    <w:p>
      <w:pPr>
        <w:ind w:left="1080" w:right="300" w:hanging="532"/>
        <w:spacing w:after="0" w:line="277"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identify, evaluate and make recommendations to our board of directors regarding nominees for election to our board of directors and its committees;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consider and make recommendations to our board of directors regarding the composition of our board of directors and its committees;</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review developments in corporate governance practices;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evaluate the adequacy of our corporate governance practices and reporting;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evaluate the performance of our board of directors and of individual directors.</w:t>
      </w:r>
    </w:p>
    <w:p>
      <w:pPr>
        <w:spacing w:after="0" w:line="225" w:lineRule="exact"/>
        <w:rPr>
          <w:sz w:val="20"/>
          <w:szCs w:val="20"/>
          <w:color w:val="auto"/>
        </w:rPr>
      </w:pPr>
    </w:p>
    <w:p>
      <w:pPr>
        <w:jc w:val="both"/>
        <w:ind w:left="120" w:right="80" w:firstLine="440"/>
        <w:spacing w:after="0" w:line="342" w:lineRule="auto"/>
        <w:rPr>
          <w:sz w:val="20"/>
          <w:szCs w:val="20"/>
          <w:color w:val="auto"/>
        </w:rPr>
      </w:pPr>
      <w:r>
        <w:rPr>
          <w:rFonts w:ascii="Arial" w:cs="Arial" w:eastAsia="Arial" w:hAnsi="Arial"/>
          <w:sz w:val="16"/>
          <w:szCs w:val="16"/>
          <w:color w:val="auto"/>
        </w:rPr>
        <w:t>Our corporate governance and nominating committee will operate under a written charter, to be effective upon the effectiveness of the registration statement of which this prospectus forms a part, which will satisfy the applicable rules of the SEC and the listing standards of the Nasdaq Stock Market.</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Prior to this offering, we had not implemented a formal policy with respect to compensation payable to our non-employee directors. We reimburse our directors for expenses associated with attending meetings of our board of directors and its committees.</w:t>
      </w:r>
    </w:p>
    <w:p>
      <w:pPr>
        <w:spacing w:after="0" w:line="170"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following table presents the total compensation each of our non-employee directors received during the year ended December 31, 2020. In addition, in June 2021, Mr. Walsh was awarded an option to purchase 10,000 shares of our common stock.</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6760" w:type="dxa"/>
            <w:vAlign w:val="bottom"/>
            <w:vMerge w:val="restart"/>
          </w:tcPr>
          <w:p>
            <w:pPr>
              <w:spacing w:after="0"/>
              <w:rPr>
                <w:sz w:val="14"/>
                <w:szCs w:val="14"/>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Option</w:t>
            </w:r>
          </w:p>
        </w:tc>
        <w:tc>
          <w:tcPr>
            <w:tcW w:w="182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rPr>
              <w:t>All Other</w:t>
            </w: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6760" w:type="dxa"/>
            <w:vAlign w:val="bottom"/>
            <w:vMerge w:val="continue"/>
          </w:tcPr>
          <w:p>
            <w:pPr>
              <w:spacing w:after="0"/>
              <w:rPr>
                <w:sz w:val="15"/>
                <w:szCs w:val="15"/>
                <w:color w:val="auto"/>
              </w:rPr>
            </w:pPr>
          </w:p>
        </w:tc>
        <w:tc>
          <w:tcPr>
            <w:tcW w:w="1360" w:type="dxa"/>
            <w:vAlign w:val="bottom"/>
            <w:gridSpan w:val="2"/>
          </w:tcPr>
          <w:p>
            <w:pPr>
              <w:jc w:val="right"/>
              <w:ind w:right="560"/>
              <w:spacing w:after="0" w:line="158" w:lineRule="exact"/>
              <w:rPr>
                <w:sz w:val="20"/>
                <w:szCs w:val="20"/>
                <w:color w:val="auto"/>
              </w:rPr>
            </w:pPr>
            <w:r>
              <w:rPr>
                <w:rFonts w:ascii="Arial" w:cs="Arial" w:eastAsia="Arial" w:hAnsi="Arial"/>
                <w:sz w:val="14"/>
                <w:szCs w:val="14"/>
                <w:b w:val="1"/>
                <w:bCs w:val="1"/>
                <w:u w:val="single" w:color="auto"/>
                <w:color w:val="auto"/>
                <w:w w:val="91"/>
              </w:rPr>
              <w:t>Awards($</w:t>
            </w:r>
            <w:r>
              <w:rPr>
                <w:rFonts w:ascii="Arial" w:cs="Arial" w:eastAsia="Arial" w:hAnsi="Arial"/>
                <w:sz w:val="14"/>
                <w:szCs w:val="14"/>
                <w:b w:val="1"/>
                <w:bCs w:val="1"/>
                <w:color w:val="auto"/>
                <w:w w:val="91"/>
              </w:rPr>
              <w:t>)(1)</w:t>
            </w:r>
          </w:p>
        </w:tc>
        <w:tc>
          <w:tcPr>
            <w:tcW w:w="1820" w:type="dxa"/>
            <w:vAlign w:val="bottom"/>
            <w:gridSpan w:val="2"/>
          </w:tcPr>
          <w:p>
            <w:pPr>
              <w:jc w:val="right"/>
              <w:ind w:right="740"/>
              <w:spacing w:after="0" w:line="158" w:lineRule="exact"/>
              <w:rPr>
                <w:sz w:val="20"/>
                <w:szCs w:val="20"/>
                <w:color w:val="auto"/>
              </w:rPr>
            </w:pPr>
            <w:r>
              <w:rPr>
                <w:rFonts w:ascii="Arial" w:cs="Arial" w:eastAsia="Arial" w:hAnsi="Arial"/>
                <w:sz w:val="14"/>
                <w:szCs w:val="14"/>
                <w:b w:val="1"/>
                <w:bCs w:val="1"/>
                <w:color w:val="auto"/>
                <w:w w:val="89"/>
              </w:rPr>
              <w:t xml:space="preserve">Compensation </w:t>
            </w: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w:t>
            </w: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1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Eli Casdin, M.B.A.</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Jin-Long Chen, Ph.D.</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V. Goeddel, Ph.D.</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JeenJoo (JJ) Kang, Ph.D.</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Deepak Srivastava, M.D.</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75,000(2)</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Catherine Stehman-Breen, M.D.</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151,983</w:t>
            </w:r>
          </w:p>
        </w:tc>
        <w:tc>
          <w:tcPr>
            <w:tcW w:w="18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151,983</w:t>
            </w: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T. Walsh, M.B.A.</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142,713</w:t>
            </w:r>
          </w:p>
        </w:tc>
        <w:tc>
          <w:tcPr>
            <w:tcW w:w="18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142,713</w:t>
            </w:r>
          </w:p>
        </w:tc>
        <w:tc>
          <w:tcPr>
            <w:tcW w:w="0" w:type="dxa"/>
            <w:vAlign w:val="bottom"/>
          </w:tcPr>
          <w:p>
            <w:pPr>
              <w:spacing w:after="0"/>
              <w:rPr>
                <w:sz w:val="1"/>
                <w:szCs w:val="1"/>
                <w:color w:val="auto"/>
              </w:rPr>
            </w:pPr>
          </w:p>
        </w:tc>
      </w:tr>
      <w:tr>
        <w:trPr>
          <w:trHeight w:val="230"/>
        </w:trPr>
        <w:tc>
          <w:tcPr>
            <w:tcW w:w="7120" w:type="dxa"/>
            <w:vAlign w:val="bottom"/>
            <w:gridSpan w:val="2"/>
          </w:tcPr>
          <w:p>
            <w:pPr>
              <w:spacing w:after="0"/>
              <w:rPr>
                <w:sz w:val="20"/>
                <w:szCs w:val="20"/>
                <w:color w:val="auto"/>
              </w:rPr>
            </w:pPr>
            <w:r>
              <w:rPr>
                <w:rFonts w:ascii="Arial" w:cs="Arial" w:eastAsia="Arial" w:hAnsi="Arial"/>
                <w:sz w:val="18"/>
                <w:szCs w:val="18"/>
                <w:color w:val="auto"/>
              </w:rPr>
              <w:t>R. Sanders (Sandy) Williams, M.D.</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right="40" w:hanging="424"/>
        <w:spacing w:after="0" w:line="263" w:lineRule="auto"/>
        <w:tabs>
          <w:tab w:leader="none" w:pos="5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amounts disclosed represent the aggregate grant date fair value of the award as calculated in accordance with ASC 718. The assumptions used in calculating the grant date fair value of the award disclosed in this column are set forth in Note 2 to our audited financial statements included elsewhere in this prospectus.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140"/>
          </w:cols>
          <w:pgMar w:left="320" w:top="459" w:right="4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540"/>
        <w:spacing w:after="0" w:line="258" w:lineRule="auto"/>
        <w:rPr>
          <w:sz w:val="20"/>
          <w:szCs w:val="20"/>
          <w:color w:val="auto"/>
        </w:rPr>
      </w:pPr>
      <w:r>
        <w:rPr>
          <w:rFonts w:ascii="Arial" w:cs="Arial" w:eastAsia="Arial" w:hAnsi="Arial"/>
          <w:sz w:val="18"/>
          <w:szCs w:val="18"/>
          <w:color w:val="auto"/>
        </w:rPr>
        <w:t>These amounts do not correspond to the actual value that may be recognized by the named executive officers upon vesting of the applicable awards.</w:t>
      </w:r>
    </w:p>
    <w:p>
      <w:pPr>
        <w:spacing w:after="0" w:line="1" w:lineRule="exact"/>
        <w:rPr>
          <w:sz w:val="20"/>
          <w:szCs w:val="20"/>
          <w:color w:val="auto"/>
        </w:rPr>
      </w:pPr>
    </w:p>
    <w:p>
      <w:pPr>
        <w:ind w:left="540" w:hanging="424"/>
        <w:spacing w:after="0"/>
        <w:tabs>
          <w:tab w:leader="none" w:pos="5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amount disclosed relates to compensation paid under the Company’s consulting agreement with Dr. Srivastava.</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121" w:lineRule="exact"/>
        <w:rPr>
          <w:sz w:val="20"/>
          <w:szCs w:val="20"/>
          <w:color w:val="auto"/>
        </w:rPr>
      </w:pPr>
    </w:p>
    <w:p>
      <w:pPr>
        <w:jc w:val="both"/>
        <w:ind w:left="120" w:right="400" w:firstLine="440"/>
        <w:spacing w:after="0" w:line="279" w:lineRule="auto"/>
        <w:rPr>
          <w:sz w:val="20"/>
          <w:szCs w:val="20"/>
          <w:color w:val="auto"/>
        </w:rPr>
      </w:pPr>
      <w:r>
        <w:rPr>
          <w:rFonts w:ascii="Arial" w:cs="Arial" w:eastAsia="Arial" w:hAnsi="Arial"/>
          <w:sz w:val="17"/>
          <w:szCs w:val="17"/>
          <w:color w:val="auto"/>
        </w:rPr>
        <w:t>In June 2021, our board of directors adopted, and in July 2021 our stockholders approved, a new compensation policy for our non-employee directors that will be effective as of the date of the effectiveness of the registration statement of which this prospectus forms a part. This policy was developed with input from our compensation committee’s independent compensation consultant, Compensia, regarding practices and compensation levels at comparable companies. It is designed to attract, retain and reward our non-employee directors.</w:t>
      </w:r>
    </w:p>
    <w:p>
      <w:pPr>
        <w:spacing w:after="0" w:line="171"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Under this director compensation policy, each non-employee director will receive cash and equity compensation for his or her services as a member of our board of directors, as described below. We also will reimburse our non-employee directors for reasonable, customary and documented travel expenses to meetings of our board of directors or its committees.</w:t>
      </w:r>
    </w:p>
    <w:p>
      <w:pPr>
        <w:spacing w:after="0" w:line="184"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director compensation policy includes a maximum annual limit of $500,000 of cash compensation and equity awards that may be paid, issued or granted to a non-employee director in any fiscal year. For purposes of these limitations, the value of an equity award is based on its grant date fair value. Any cash compensation paid or equity awards granted to a person for his or her services as an employee, for his or her services as a consultant (other than as a non-employee director), or prior to the date of the effectiveness of the registration statement of which this prospectus forms a part will not count for purposes of the limitation. The maximum limit does not reflect the intended size of any potential compensation or equity awards to our non-employee directors.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117"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Following the completion of this offering, each non-employee director will be paid an annual cash retainer of $35,000. In addition, each non-employee director who serves as chair or chair or member of a committee will be entitled to receive the following cash compensation under the policy for his or her services:</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Board Chair:</w:t>
            </w:r>
          </w:p>
        </w:tc>
        <w:tc>
          <w:tcPr>
            <w:tcW w:w="3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30,000</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Lead Independent Director:</w:t>
            </w:r>
          </w:p>
        </w:tc>
        <w:tc>
          <w:tcPr>
            <w:tcW w:w="30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20,000</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Audit Committee Chair:</w:t>
            </w:r>
          </w:p>
        </w:tc>
        <w:tc>
          <w:tcPr>
            <w:tcW w:w="3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15,000</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Audit Committee Member:</w:t>
            </w:r>
          </w:p>
        </w:tc>
        <w:tc>
          <w:tcPr>
            <w:tcW w:w="30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7,500</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Committee Chair:</w:t>
            </w:r>
          </w:p>
        </w:tc>
        <w:tc>
          <w:tcPr>
            <w:tcW w:w="3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10,000</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Compensation Committee Member:</w:t>
            </w:r>
          </w:p>
        </w:tc>
        <w:tc>
          <w:tcPr>
            <w:tcW w:w="30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Nominating and Corporate Governance Committee Chair:</w:t>
            </w:r>
          </w:p>
        </w:tc>
        <w:tc>
          <w:tcPr>
            <w:tcW w:w="3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Nominating and Corporate Governance Committee Member:</w:t>
            </w:r>
          </w:p>
        </w:tc>
        <w:tc>
          <w:tcPr>
            <w:tcW w:w="30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4,000</w:t>
            </w:r>
          </w:p>
        </w:tc>
      </w:tr>
    </w:tbl>
    <w:p>
      <w:pPr>
        <w:spacing w:after="0" w:line="187" w:lineRule="exact"/>
        <w:rPr>
          <w:sz w:val="20"/>
          <w:szCs w:val="20"/>
          <w:color w:val="auto"/>
        </w:rPr>
      </w:pPr>
    </w:p>
    <w:p>
      <w:pPr>
        <w:ind w:left="120" w:right="460" w:firstLine="440"/>
        <w:spacing w:after="0" w:line="311" w:lineRule="auto"/>
        <w:rPr>
          <w:sz w:val="20"/>
          <w:szCs w:val="20"/>
          <w:color w:val="auto"/>
        </w:rPr>
      </w:pPr>
      <w:r>
        <w:rPr>
          <w:rFonts w:ascii="Arial" w:cs="Arial" w:eastAsia="Arial" w:hAnsi="Arial"/>
          <w:sz w:val="16"/>
          <w:szCs w:val="16"/>
          <w:color w:val="auto"/>
        </w:rPr>
        <w:t>The above-listed fees for service as chair or members of committees are payable in addition to the non-employee director retainer. Each non-employee director who serves as a committee chair will receive only the additional annual cash fee as the chair of the committee, and not the additional annual fee as a member of the committee. All cash payments to non-employee directors are paid quarterly in arrears on a prorated basis.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i w:val="1"/>
          <w:iCs w:val="1"/>
          <w:color w:val="auto"/>
        </w:rPr>
        <w:t xml:space="preserve">Initial Award. </w:t>
      </w:r>
      <w:r>
        <w:rPr>
          <w:rFonts w:ascii="Arial" w:cs="Arial" w:eastAsia="Arial" w:hAnsi="Arial"/>
          <w:sz w:val="18"/>
          <w:szCs w:val="18"/>
          <w:color w:val="auto"/>
        </w:rPr>
        <w:t>Each person who first becomes a non-employee director after the effective date of the director compensation policy will receive, on</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trading day on or after the date that the person first becomes a non-employee director, an initial award (the Initial Award) of stock options to purchase shares of our common stock with grant date fair value equal to $320,000. The Initial Award will be scheduled to vest in equal installments as to one thirty-sixth (1/36th) of the shares of our common stock subject to the Initial Award on a monthly basis following the Initial Award’s grant date, on the same day of the month as the grant date, subject to continued services to us through the applicable vesting dates. If the person was a member of our board of</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140"/>
          </w:cols>
          <w:pgMar w:left="320" w:top="459" w:right="4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directors and also an employee, then becoming a non-employee director due to termination of employment will not entitle the person to an Initial Award.</w:t>
      </w:r>
    </w:p>
    <w:p>
      <w:pPr>
        <w:spacing w:after="0" w:line="248"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i w:val="1"/>
          <w:iCs w:val="1"/>
          <w:color w:val="auto"/>
        </w:rPr>
        <w:t xml:space="preserve">Annual Award. </w:t>
      </w:r>
      <w:r>
        <w:rPr>
          <w:rFonts w:ascii="Arial" w:cs="Arial" w:eastAsia="Arial" w:hAnsi="Arial"/>
          <w:sz w:val="18"/>
          <w:szCs w:val="18"/>
          <w:color w:val="auto"/>
        </w:rPr>
        <w:t>Each non-employee director who has served continuously as a non-employee director for no less than 6 months as of the date of an</w:t>
      </w:r>
      <w:r>
        <w:rPr>
          <w:rFonts w:ascii="Arial" w:cs="Arial" w:eastAsia="Arial" w:hAnsi="Arial"/>
          <w:sz w:val="18"/>
          <w:szCs w:val="18"/>
          <w:i w:val="1"/>
          <w:iCs w:val="1"/>
          <w:color w:val="auto"/>
        </w:rPr>
        <w:t xml:space="preserve"> </w:t>
      </w:r>
      <w:r>
        <w:rPr>
          <w:rFonts w:ascii="Arial" w:cs="Arial" w:eastAsia="Arial" w:hAnsi="Arial"/>
          <w:sz w:val="18"/>
          <w:szCs w:val="18"/>
          <w:color w:val="auto"/>
        </w:rPr>
        <w:t>annual meeting of our stockholders occurring following the effective date of our non-employee director compensation policy will receive, on the first trading day immediately after the date of each annual meeting, an annual award (the Annual Award) of stock options to purchase shares of our common stock with grant date fair value equal to $160,000. Each Annual Award will be scheduled to vest in full upon the first anniversary of the date of grant or, if earlier, the day immediately before the date of the next annual meeting of the Company that occurs after the Annual Award’s grant date, subject to continued services to us through the applicable vesting date.</w:t>
      </w:r>
    </w:p>
    <w:p>
      <w:pPr>
        <w:spacing w:after="0" w:line="192"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In the event of our change in control, as defined in our 2021 Plan (or its successor plan, as applicable), each non-employee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then outstanding equity awards covering shares of our common stock will accelerate vesting in full, provided that he or she remains a non-employee director through the date of our change in control.</w:t>
      </w:r>
    </w:p>
    <w:p>
      <w:pPr>
        <w:spacing w:after="0" w:line="184"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i w:val="1"/>
          <w:iCs w:val="1"/>
          <w:color w:val="auto"/>
        </w:rPr>
        <w:t xml:space="preserve">Other Award Terms. </w:t>
      </w:r>
      <w:r>
        <w:rPr>
          <w:rFonts w:ascii="Arial" w:cs="Arial" w:eastAsia="Arial" w:hAnsi="Arial"/>
          <w:sz w:val="17"/>
          <w:szCs w:val="17"/>
          <w:color w:val="auto"/>
        </w:rPr>
        <w:t>Each Initial Award and Annual Award will be granted under our 2021 Equity Incentive Plan (or its successor plan, as</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and form of award agreement under such plan. These awards will have a maximum term to expiration of 10 years from their grant and a per share exercise price equal to 100% of the fair market value of a share of our common stock on the award’s grant date.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2021 Non-Employee Director Equity Awards</w:t>
      </w:r>
    </w:p>
    <w:p>
      <w:pPr>
        <w:spacing w:after="0" w:line="121"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In June 2021, our board of directors approved an option grant to Jeffrey T. Walsh to provide him additional incentives to remain with us and to promote further alignment between his interests and those of our stockholders. The number of shares subject to the option grant is 10,000 and the exercise price per share is $9.36. The grant is subject to the terms and conditions of the 2016 Plan and form of option agreement thereunder, and will vest as to 1/12th of the total shares subject to the grant each month following the vesting commencement date, subject to Mr. Walsh’s continued service with us, and further subject to vesting acceleration under certain circumstances as described under “—Non-Employee Director Compensation Policy.”</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 Participation</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None of the members of our board of directors who will serve on our compensation committee upon the effectiveness of the registration statement of which this prospectus forms a part is or has been an officer or employee of our company.</w:t>
      </w:r>
    </w:p>
    <w:p>
      <w:pPr>
        <w:spacing w:after="0" w:line="62" w:lineRule="exact"/>
        <w:rPr>
          <w:sz w:val="20"/>
          <w:szCs w:val="20"/>
          <w:color w:val="auto"/>
        </w:rPr>
      </w:pPr>
    </w:p>
    <w:p>
      <w:pPr>
        <w:ind w:left="120" w:right="320" w:firstLine="440"/>
        <w:spacing w:after="0" w:line="286" w:lineRule="auto"/>
        <w:rPr>
          <w:sz w:val="20"/>
          <w:szCs w:val="20"/>
          <w:color w:val="auto"/>
        </w:rPr>
      </w:pPr>
      <w:r>
        <w:rPr>
          <w:rFonts w:ascii="Arial" w:cs="Arial" w:eastAsia="Arial" w:hAnsi="Arial"/>
          <w:sz w:val="17"/>
          <w:szCs w:val="17"/>
          <w:color w:val="auto"/>
        </w:rPr>
        <w:t>None of our executive officers currently serves, or in the past fiscal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left="120" w:right="40" w:firstLine="440"/>
        <w:spacing w:after="0" w:line="285" w:lineRule="auto"/>
        <w:rPr>
          <w:sz w:val="20"/>
          <w:szCs w:val="20"/>
          <w:color w:val="auto"/>
        </w:rPr>
      </w:pPr>
      <w:r>
        <w:rPr>
          <w:rFonts w:ascii="Arial" w:cs="Arial" w:eastAsia="Arial" w:hAnsi="Arial"/>
          <w:sz w:val="16"/>
          <w:szCs w:val="16"/>
          <w:color w:val="auto"/>
        </w:rPr>
        <w:t>In June 2021, our board of directors adopted a written code of business conduct and ethics that will apply to our directors, officers and employees, including our principal executive officer, principal financial officer, principal accounting officer or controller or persons performing similar functions. Following this offering, the code of business conduct and ethics will be available on our website at www.tenayatherapeutics.com. We intend to disclose future amendments to such code, or any waivers of its requirements, applicable to any principal executive officer, principal financial officer, principal accounting officer or controller or persons performing similar functions or our directors on our website identified above or in a current report on Form</w:t>
      </w:r>
    </w:p>
    <w:p>
      <w:pPr>
        <w:spacing w:after="0" w:line="2" w:lineRule="exact"/>
        <w:rPr>
          <w:sz w:val="20"/>
          <w:szCs w:val="20"/>
          <w:color w:val="auto"/>
        </w:rPr>
      </w:pPr>
    </w:p>
    <w:p>
      <w:pPr>
        <w:ind w:left="120" w:right="160"/>
        <w:spacing w:after="0" w:line="260" w:lineRule="auto"/>
        <w:rPr>
          <w:sz w:val="20"/>
          <w:szCs w:val="20"/>
          <w:color w:val="auto"/>
        </w:rPr>
      </w:pPr>
      <w:r>
        <w:rPr>
          <w:rFonts w:ascii="Arial" w:cs="Arial" w:eastAsia="Arial" w:hAnsi="Arial"/>
          <w:sz w:val="18"/>
          <w:szCs w:val="18"/>
          <w:color w:val="auto"/>
        </w:rPr>
        <w:t>8-K. Information contained on, or accessible through, our website is not incorporated by reference into this prospectus and should not be considered to be part of this prospectus. The inclusion of our website address in this prospectus is an inactive textual reference only.</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120"/>
          </w:cols>
          <w:pgMar w:left="320" w:top="459" w:right="4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Our named executive officers for 2020, which consist of our principal executive officer and the next two most highly compensated executive officers during 2020, are:</w:t>
      </w:r>
    </w:p>
    <w:p>
      <w:pPr>
        <w:spacing w:after="0" w:line="76" w:lineRule="exact"/>
        <w:rPr>
          <w:sz w:val="20"/>
          <w:szCs w:val="20"/>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Faraz Ali, M.B.A., Chief Executive Officer;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Timothy Hoey, Ph.D., Chief Scientific Officer;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Whittemore (Whit) Tingley, M.D., Ph.D., Chief Medical Officer.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information regarding the compensation of our named executive officers for the year ended December 31, 2020.</w:t>
      </w:r>
    </w:p>
    <w:p>
      <w:pPr>
        <w:spacing w:after="0" w:line="25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Salary</w:t>
            </w:r>
          </w:p>
        </w:tc>
        <w:tc>
          <w:tcPr>
            <w:tcW w:w="9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Bonus</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Option</w:t>
            </w:r>
          </w:p>
        </w:tc>
        <w:tc>
          <w:tcPr>
            <w:tcW w:w="11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All Other</w:t>
            </w:r>
          </w:p>
        </w:tc>
        <w:tc>
          <w:tcPr>
            <w:tcW w:w="7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374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Year</w:t>
            </w:r>
          </w:p>
        </w:tc>
        <w:tc>
          <w:tcPr>
            <w:tcW w:w="9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Awards</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3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40" w:type="dxa"/>
            <w:vAlign w:val="bottom"/>
          </w:tcPr>
          <w:p>
            <w:pPr>
              <w:jc w:val="right"/>
              <w:ind w:right="157"/>
              <w:spacing w:after="0" w:line="15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640" w:type="dxa"/>
            <w:vAlign w:val="bottom"/>
          </w:tcPr>
          <w:p>
            <w:pPr>
              <w:jc w:val="right"/>
              <w:ind w:right="157"/>
              <w:spacing w:after="0" w:line="15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($)(1)</w:t>
            </w:r>
          </w:p>
        </w:tc>
        <w:tc>
          <w:tcPr>
            <w:tcW w:w="260" w:type="dxa"/>
            <w:vAlign w:val="bottom"/>
          </w:tcPr>
          <w:p>
            <w:pPr>
              <w:spacing w:after="0"/>
              <w:rPr>
                <w:sz w:val="15"/>
                <w:szCs w:val="15"/>
                <w:color w:val="auto"/>
              </w:rPr>
            </w:pPr>
          </w:p>
        </w:tc>
        <w:tc>
          <w:tcPr>
            <w:tcW w:w="900" w:type="dxa"/>
            <w:vAlign w:val="bottom"/>
          </w:tcPr>
          <w:p>
            <w:pPr>
              <w:jc w:val="right"/>
              <w:ind w:right="279"/>
              <w:spacing w:after="0" w:line="15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660" w:type="dxa"/>
            <w:vAlign w:val="bottom"/>
          </w:tcPr>
          <w:p>
            <w:pPr>
              <w:jc w:val="right"/>
              <w:ind w:right="157"/>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Faraz Ali, M.B.A.</w:t>
            </w: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2020</w:t>
            </w: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425,000</w:t>
            </w: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126,500</w:t>
            </w: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197,500</w:t>
            </w:r>
          </w:p>
        </w:tc>
        <w:tc>
          <w:tcPr>
            <w:tcW w:w="2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1,300</w:t>
            </w:r>
          </w:p>
        </w:tc>
        <w:tc>
          <w:tcPr>
            <w:tcW w:w="2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750,300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5500" w:type="dxa"/>
            <w:vAlign w:val="bottom"/>
            <w:gridSpan w:val="2"/>
          </w:tcPr>
          <w:p>
            <w:pPr>
              <w:spacing w:after="0"/>
              <w:rPr>
                <w:sz w:val="20"/>
                <w:szCs w:val="20"/>
                <w:color w:val="auto"/>
              </w:rPr>
            </w:pPr>
            <w:r>
              <w:rPr>
                <w:rFonts w:ascii="Arial" w:cs="Arial" w:eastAsia="Arial" w:hAnsi="Arial"/>
                <w:sz w:val="18"/>
                <w:szCs w:val="18"/>
                <w:color w:val="auto"/>
              </w:rPr>
              <w:t>Timothy Hoey, Ph.D.</w:t>
            </w:r>
          </w:p>
        </w:tc>
        <w:tc>
          <w:tcPr>
            <w:tcW w:w="900" w:type="dxa"/>
            <w:vAlign w:val="bottom"/>
            <w:gridSpan w:val="3"/>
          </w:tcPr>
          <w:p>
            <w:pPr>
              <w:ind w:left="260"/>
              <w:spacing w:after="0"/>
              <w:rPr>
                <w:sz w:val="20"/>
                <w:szCs w:val="20"/>
                <w:color w:val="auto"/>
              </w:rPr>
            </w:pPr>
            <w:r>
              <w:rPr>
                <w:rFonts w:ascii="Arial" w:cs="Arial" w:eastAsia="Arial" w:hAnsi="Arial"/>
                <w:sz w:val="18"/>
                <w:szCs w:val="18"/>
                <w:color w:val="auto"/>
              </w:rPr>
              <w:t>2020</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375,000</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95,000</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46,800</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3,557</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520,357</w:t>
            </w:r>
          </w:p>
        </w:tc>
        <w:tc>
          <w:tcPr>
            <w:tcW w:w="0" w:type="dxa"/>
            <w:vAlign w:val="bottom"/>
          </w:tcPr>
          <w:p>
            <w:pPr>
              <w:spacing w:after="0"/>
              <w:rPr>
                <w:sz w:val="1"/>
                <w:szCs w:val="1"/>
                <w:color w:val="auto"/>
              </w:rPr>
            </w:pPr>
          </w:p>
        </w:tc>
      </w:tr>
      <w:tr>
        <w:trPr>
          <w:trHeight w:val="230"/>
        </w:trPr>
        <w:tc>
          <w:tcPr>
            <w:tcW w:w="550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Scientific Officer</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3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Whittemore (Whit) Tingley, M.D., Ph.D.</w:t>
            </w:r>
          </w:p>
        </w:tc>
        <w:tc>
          <w:tcPr>
            <w:tcW w:w="9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2020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371,000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95,000</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1,520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467,520</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Medical Officer</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40" w:hanging="424"/>
        <w:spacing w:after="0" w:line="259" w:lineRule="auto"/>
        <w:tabs>
          <w:tab w:leader="none" w:pos="5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amounts disclosed represent the aggregate grant date fair value of the award as calculated in accordance with ASC 718. The assumptions used in calculating the grant date fair value of the award disclosed in this column are set forth in Note 2 to our audited financial statements included elsewhere in this prospectus. These amounts do not correspond to the actual value that may be recognized by the named executive officers upon vesting of the applicable awards.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Fiscal Year End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information concerning outstanding equity awards held by each of our named executive officers as of December 31,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Option Awards</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Borders>
              <w:top w:val="single" w:sz="8" w:color="auto"/>
            </w:tcBorders>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Number of</w:t>
            </w:r>
          </w:p>
        </w:tc>
        <w:tc>
          <w:tcPr>
            <w:tcW w:w="1320" w:type="dxa"/>
            <w:vAlign w:val="bottom"/>
            <w:tcBorders>
              <w:top w:val="single" w:sz="8" w:color="auto"/>
            </w:tcBorders>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Number of</w:t>
            </w:r>
          </w:p>
        </w:tc>
        <w:tc>
          <w:tcPr>
            <w:tcW w:w="5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Borders>
              <w:top w:val="single" w:sz="8" w:color="auto"/>
            </w:tcBorders>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4"/>
              </w:rPr>
              <w:t>Number of</w:t>
            </w:r>
          </w:p>
        </w:tc>
        <w:tc>
          <w:tcPr>
            <w:tcW w:w="7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Market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3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3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Option</w:t>
            </w: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Shares of</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of</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3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780" w:type="dxa"/>
            <w:vAlign w:val="bottom"/>
            <w:gridSpan w:val="2"/>
            <w:vMerge w:val="continue"/>
          </w:tcPr>
          <w:p>
            <w:pPr>
              <w:spacing w:after="0"/>
              <w:rPr>
                <w:sz w:val="12"/>
                <w:szCs w:val="12"/>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Option</w:t>
            </w:r>
          </w:p>
        </w:tc>
        <w:tc>
          <w:tcPr>
            <w:tcW w:w="11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Stock that</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Stock that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Grant</w:t>
            </w: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Options</w:t>
            </w:r>
          </w:p>
        </w:tc>
        <w:tc>
          <w:tcPr>
            <w:tcW w:w="13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Options</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6"/>
              </w:rPr>
              <w:t>Exercise</w:t>
            </w:r>
          </w:p>
        </w:tc>
        <w:tc>
          <w:tcPr>
            <w:tcW w:w="1060" w:type="dxa"/>
            <w:vAlign w:val="bottom"/>
            <w:gridSpan w:val="2"/>
            <w:vMerge w:val="continue"/>
          </w:tcPr>
          <w:p>
            <w:pPr>
              <w:spacing w:after="0"/>
              <w:rPr>
                <w:sz w:val="12"/>
                <w:szCs w:val="12"/>
                <w:color w:val="auto"/>
              </w:rPr>
            </w:pPr>
          </w:p>
        </w:tc>
        <w:tc>
          <w:tcPr>
            <w:tcW w:w="11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Have Not</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Exercisable</w:t>
            </w:r>
          </w:p>
        </w:tc>
        <w:tc>
          <w:tcPr>
            <w:tcW w:w="13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Price</w:t>
            </w: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Expiration</w:t>
            </w: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Vested</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63"/>
        </w:trPr>
        <w:tc>
          <w:tcPr>
            <w:tcW w:w="360" w:type="dxa"/>
            <w:vAlign w:val="bottom"/>
            <w:tcBorders>
              <w:bottom w:val="single" w:sz="8" w:color="auto"/>
            </w:tcBorders>
            <w:vMerge w:val="continue"/>
          </w:tcPr>
          <w:p>
            <w:pPr>
              <w:spacing w:after="0"/>
              <w:rPr>
                <w:sz w:val="13"/>
                <w:szCs w:val="13"/>
                <w:color w:val="auto"/>
              </w:rPr>
            </w:pPr>
          </w:p>
        </w:tc>
        <w:tc>
          <w:tcPr>
            <w:tcW w:w="31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right"/>
              <w:ind w:right="460"/>
              <w:spacing w:after="0" w:line="158" w:lineRule="exact"/>
              <w:rPr>
                <w:sz w:val="20"/>
                <w:szCs w:val="20"/>
                <w:color w:val="auto"/>
              </w:rPr>
            </w:pPr>
            <w:r>
              <w:rPr>
                <w:rFonts w:ascii="Arial" w:cs="Arial" w:eastAsia="Arial" w:hAnsi="Arial"/>
                <w:sz w:val="14"/>
                <w:szCs w:val="14"/>
                <w:b w:val="1"/>
                <w:bCs w:val="1"/>
                <w:color w:val="auto"/>
              </w:rPr>
              <w:t>Date(1)</w:t>
            </w: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3"/>
                <w:szCs w:val="13"/>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3"/>
                <w:szCs w:val="13"/>
                <w:color w:val="auto"/>
              </w:rPr>
            </w:pPr>
          </w:p>
        </w:tc>
        <w:tc>
          <w:tcPr>
            <w:tcW w:w="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($)(2)</w:t>
            </w:r>
          </w:p>
        </w:tc>
        <w:tc>
          <w:tcPr>
            <w:tcW w:w="260" w:type="dxa"/>
            <w:vAlign w:val="bottom"/>
          </w:tcPr>
          <w:p>
            <w:pPr>
              <w:spacing w:after="0"/>
              <w:rPr>
                <w:sz w:val="13"/>
                <w:szCs w:val="13"/>
                <w:color w:val="auto"/>
              </w:rPr>
            </w:pPr>
          </w:p>
        </w:tc>
        <w:tc>
          <w:tcPr>
            <w:tcW w:w="10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2"/>
              </w:rPr>
              <w:t>Date</w:t>
            </w: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3"/>
                <w:szCs w:val="13"/>
                <w:color w:val="auto"/>
              </w:rPr>
            </w:pPr>
          </w:p>
        </w:tc>
        <w:tc>
          <w:tcPr>
            <w:tcW w:w="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($)(3)</w:t>
            </w:r>
          </w:p>
        </w:tc>
        <w:tc>
          <w:tcPr>
            <w:tcW w:w="0" w:type="dxa"/>
            <w:vAlign w:val="bottom"/>
          </w:tcPr>
          <w:p>
            <w:pPr>
              <w:spacing w:after="0"/>
              <w:rPr>
                <w:sz w:val="1"/>
                <w:szCs w:val="1"/>
                <w:color w:val="auto"/>
              </w:rPr>
            </w:pPr>
          </w:p>
        </w:tc>
      </w:tr>
      <w:tr>
        <w:trPr>
          <w:trHeight w:val="20"/>
        </w:trPr>
        <w:tc>
          <w:tcPr>
            <w:tcW w:w="34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Faraz Ali, M.B.A.</w:t>
            </w:r>
          </w:p>
        </w:tc>
        <w:tc>
          <w:tcPr>
            <w:tcW w:w="20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60" w:type="dxa"/>
            <w:vAlign w:val="bottom"/>
            <w:gridSpan w:val="2"/>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9/6/2018</w:t>
            </w:r>
          </w:p>
        </w:tc>
        <w:tc>
          <w:tcPr>
            <w:tcW w:w="260" w:type="dxa"/>
            <w:vAlign w:val="bottom"/>
            <w:vMerge w:val="continue"/>
            <w:shd w:val="clear" w:color="auto" w:fill="CCEEFF"/>
          </w:tcPr>
          <w:p>
            <w:pPr>
              <w:spacing w:after="0"/>
              <w:rPr>
                <w:sz w:val="17"/>
                <w:szCs w:val="17"/>
                <w:color w:val="auto"/>
              </w:rPr>
            </w:pPr>
          </w:p>
        </w:tc>
        <w:tc>
          <w:tcPr>
            <w:tcW w:w="122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425,000(4)</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6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0.66</w:t>
            </w:r>
          </w:p>
        </w:tc>
        <w:tc>
          <w:tcPr>
            <w:tcW w:w="260" w:type="dxa"/>
            <w:vAlign w:val="bottom"/>
            <w:vMerge w:val="continue"/>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9/5/2028</w:t>
            </w:r>
          </w:p>
        </w:tc>
        <w:tc>
          <w:tcPr>
            <w:tcW w:w="26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40" w:type="dxa"/>
            <w:vAlign w:val="bottom"/>
            <w:vMerge w:val="continue"/>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3/10/2020</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7,812</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33,854(5)</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2.70</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3/9/2030</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3460" w:type="dxa"/>
            <w:vAlign w:val="bottom"/>
            <w:gridSpan w:val="2"/>
          </w:tcPr>
          <w:p>
            <w:pPr>
              <w:spacing w:after="0"/>
              <w:rPr>
                <w:sz w:val="20"/>
                <w:szCs w:val="20"/>
                <w:color w:val="auto"/>
              </w:rPr>
            </w:pPr>
            <w:r>
              <w:rPr>
                <w:rFonts w:ascii="Arial" w:cs="Arial" w:eastAsia="Arial" w:hAnsi="Arial"/>
                <w:sz w:val="18"/>
                <w:szCs w:val="18"/>
                <w:color w:val="auto"/>
              </w:rPr>
              <w:t>Timothy Hoey, Ph.D.</w:t>
            </w:r>
          </w:p>
        </w:tc>
        <w:tc>
          <w:tcPr>
            <w:tcW w:w="1340" w:type="dxa"/>
            <w:vAlign w:val="bottom"/>
            <w:gridSpan w:val="3"/>
          </w:tcPr>
          <w:p>
            <w:pPr>
              <w:jc w:val="right"/>
              <w:ind w:right="260"/>
              <w:spacing w:after="0"/>
              <w:rPr>
                <w:sz w:val="20"/>
                <w:szCs w:val="20"/>
                <w:color w:val="auto"/>
              </w:rPr>
            </w:pPr>
            <w:r>
              <w:rPr>
                <w:rFonts w:ascii="Arial" w:cs="Arial" w:eastAsia="Arial" w:hAnsi="Arial"/>
                <w:sz w:val="18"/>
                <w:szCs w:val="18"/>
                <w:color w:val="auto"/>
              </w:rPr>
              <w:t>9/17/2017</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0.42</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9/16/2027</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27,778(6)</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156,668</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2/6/2019</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33,333(7)</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0.78</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2/5/2029</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color w:val="auto"/>
              </w:rPr>
              <w:t>2/7/2020</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2,291</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7,708(5)</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2.70</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2/6/2030</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3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Whittemore (Whit) Tingley, M.D., Ph.D.</w:t>
            </w:r>
          </w:p>
        </w:tc>
        <w:tc>
          <w:tcPr>
            <w:tcW w:w="13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12/10/2018</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75,000(8)</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0.78</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12/9/2028</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Each of the outstanding equity awards was granted pursuant to our Amended and Restated 2016 Equity Incentive Plan (the 2016 Plan).</w:t>
      </w:r>
    </w:p>
    <w:p>
      <w:pPr>
        <w:spacing w:after="0" w:line="34" w:lineRule="exact"/>
        <w:rPr>
          <w:rFonts w:ascii="Arial" w:cs="Arial" w:eastAsia="Arial" w:hAnsi="Arial"/>
          <w:sz w:val="17"/>
          <w:szCs w:val="17"/>
          <w:color w:val="auto"/>
        </w:rPr>
      </w:pPr>
    </w:p>
    <w:p>
      <w:pPr>
        <w:ind w:left="540" w:hanging="424"/>
        <w:spacing w:after="0"/>
        <w:tabs>
          <w:tab w:leader="none" w:pos="54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This column represents the fair market value of a share of our common stock on the date of grant, as determined by our board of directors.</w:t>
      </w:r>
    </w:p>
    <w:p>
      <w:pPr>
        <w:spacing w:after="0" w:line="1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140"/>
          </w:cols>
          <w:pgMar w:left="320" w:top="459" w:right="4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line="258" w:lineRule="auto"/>
        <w:tabs>
          <w:tab w:leader="none" w:pos="5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This column represents the fair market value of a share of our common stock as of December 31, 2020, the market value has been calculated based on an estimated per-share common stock value of $5.64 per share as of December 31, 2020.</w:t>
      </w:r>
    </w:p>
    <w:p>
      <w:pPr>
        <w:spacing w:after="0" w:line="1" w:lineRule="exact"/>
        <w:rPr>
          <w:rFonts w:ascii="Arial" w:cs="Arial" w:eastAsia="Arial" w:hAnsi="Arial"/>
          <w:sz w:val="18"/>
          <w:szCs w:val="18"/>
          <w:color w:val="auto"/>
        </w:rPr>
      </w:pPr>
    </w:p>
    <w:p>
      <w:pPr>
        <w:ind w:left="540" w:right="180" w:hanging="424"/>
        <w:spacing w:after="0" w:line="250" w:lineRule="auto"/>
        <w:tabs>
          <w:tab w:leader="none" w:pos="5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1/5th of the shares subject to this option vested on the first anniversary of the vesting commencement date and 1/60th of the shares vest monthly thereafter, subject to the optionee’s continued status as a service provider through each vest date. All of the shares underlying this option are subject to an early exercise provision.</w:t>
      </w:r>
    </w:p>
    <w:p>
      <w:pPr>
        <w:spacing w:after="0" w:line="1" w:lineRule="exact"/>
        <w:rPr>
          <w:rFonts w:ascii="Arial" w:cs="Arial" w:eastAsia="Arial" w:hAnsi="Arial"/>
          <w:sz w:val="18"/>
          <w:szCs w:val="18"/>
          <w:color w:val="auto"/>
        </w:rPr>
      </w:pPr>
    </w:p>
    <w:p>
      <w:pPr>
        <w:ind w:left="540" w:right="60" w:hanging="424"/>
        <w:spacing w:after="0" w:line="250" w:lineRule="auto"/>
        <w:tabs>
          <w:tab w:leader="none" w:pos="5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1/48th of the shares subject to this option vest monthly after the grant date, subject to the optionee’s continued status as a service provider through each vest date.</w:t>
      </w:r>
    </w:p>
    <w:p>
      <w:pPr>
        <w:ind w:left="540" w:right="240" w:hanging="424"/>
        <w:spacing w:after="0" w:line="250" w:lineRule="auto"/>
        <w:tabs>
          <w:tab w:leader="none" w:pos="5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shares were acquired pursuant to an early exercise provision and remain subject to our repurchase right in accordance with the vesting schedule of the exercised option. 1/4th of the total number of shares subject to the option vested on August 14, 2018 and 1/48th of the total number of shares subject to the option vest monthly thereafter, subject to the optionee’s continued status as a service provider through each vest date.</w:t>
      </w:r>
    </w:p>
    <w:p>
      <w:pPr>
        <w:spacing w:after="0" w:line="1" w:lineRule="exact"/>
        <w:rPr>
          <w:rFonts w:ascii="Arial" w:cs="Arial" w:eastAsia="Arial" w:hAnsi="Arial"/>
          <w:sz w:val="18"/>
          <w:szCs w:val="18"/>
          <w:color w:val="auto"/>
        </w:rPr>
      </w:pPr>
    </w:p>
    <w:p>
      <w:pPr>
        <w:ind w:left="540" w:right="60" w:hanging="424"/>
        <w:spacing w:after="0" w:line="250" w:lineRule="auto"/>
        <w:tabs>
          <w:tab w:leader="none" w:pos="5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1/48th of the shares subject to this option vest monthly after the grant date, subject to the optionee’s continued status as a service provider through each vest date. All of the shares underlying this option are subject to an early exercise provision.</w:t>
      </w:r>
    </w:p>
    <w:p>
      <w:pPr>
        <w:ind w:left="540" w:right="180" w:hanging="424"/>
        <w:spacing w:after="0" w:line="255" w:lineRule="auto"/>
        <w:tabs>
          <w:tab w:leader="none" w:pos="5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1/4th of the shares subject to this option vested on the first anniversary of the vesting commencement date and 1/48th of the shares vest monthly thereafter, subject to the optionee’s continued status as a service provider through each vest date. All of the shares underlying this option are subject to an early exercise provision.</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2021 Executive Officer Equity Awards</w:t>
      </w:r>
    </w:p>
    <w:p>
      <w:pPr>
        <w:spacing w:after="0" w:line="121"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In January 2021, our compensation committee approved option grants to Dr. Hoey covering 16,666 shares and to Dr. Tingley covering 25,000 shares, in each case, at an exercise price per share of $5.64. In February 2021, our board of directors approved an option grant to Mr. Ali covering 416,666 shares at an exercise price per share of $5.64. In June 2021, our board of directors approved option grants to Mr. Ali covering 166,666 shares and to Dr. Tingley covering 108,333 shares, in each case, at an exercise price per share of $9.36. These grants were made to provide them additional incentives to remain with us and to promote further alignment between their interests and those of our stockholders. In July 2021, our board of directors approved a new hire option grant to Ms. Patterson covering 354,166 shares at an exercise price per share of $10.56.</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These grants are subject to the terms and conditions of the 2016 Plan and form of option agreement thereunder, and the grants to Mr. Ali,</w:t>
      </w:r>
    </w:p>
    <w:p>
      <w:pPr>
        <w:spacing w:after="0" w:line="35" w:lineRule="exact"/>
        <w:rPr>
          <w:sz w:val="20"/>
          <w:szCs w:val="20"/>
          <w:color w:val="auto"/>
        </w:rPr>
      </w:pPr>
    </w:p>
    <w:p>
      <w:pPr>
        <w:ind w:left="120" w:right="180"/>
        <w:spacing w:after="0" w:line="273" w:lineRule="auto"/>
        <w:rPr>
          <w:sz w:val="20"/>
          <w:szCs w:val="20"/>
          <w:color w:val="auto"/>
        </w:rPr>
      </w:pPr>
      <w:r>
        <w:rPr>
          <w:rFonts w:ascii="Arial" w:cs="Arial" w:eastAsia="Arial" w:hAnsi="Arial"/>
          <w:sz w:val="17"/>
          <w:szCs w:val="17"/>
          <w:color w:val="auto"/>
        </w:rPr>
        <w:t>Dr. Hoey, and Dr. Tingley vest as to 1/48th of the total shares subject to the grant each month following the vesting commencement date, and the grant to Ms. Patterson vests as to 25% on the one-year anniversary of Ms. Patterson’s start date and as to 1/48th of the total shares subject to the grant each month following such anniversary date, in each case subject to the executive officer’s continued service with us, and further subject to vesting acceleration under certain circumstances as described under “—Potential payments upon termination or change in control.”</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Employment Arrangements</w:t>
      </w:r>
    </w:p>
    <w:p>
      <w:pPr>
        <w:spacing w:after="0" w:line="121" w:lineRule="exact"/>
        <w:rPr>
          <w:sz w:val="20"/>
          <w:szCs w:val="20"/>
          <w:color w:val="auto"/>
        </w:rPr>
      </w:pPr>
    </w:p>
    <w:p>
      <w:pPr>
        <w:ind w:left="120" w:right="820" w:firstLine="440"/>
        <w:spacing w:after="0" w:line="277" w:lineRule="auto"/>
        <w:rPr>
          <w:sz w:val="20"/>
          <w:szCs w:val="20"/>
          <w:color w:val="auto"/>
        </w:rPr>
      </w:pPr>
      <w:r>
        <w:rPr>
          <w:rFonts w:ascii="Arial" w:cs="Arial" w:eastAsia="Arial" w:hAnsi="Arial"/>
          <w:sz w:val="18"/>
          <w:szCs w:val="18"/>
          <w:color w:val="auto"/>
        </w:rPr>
        <w:t>Each of our current executive officers has executed our standard form of confidential information, invention assignment and arbitration agreement.</w:t>
      </w:r>
    </w:p>
    <w:p>
      <w:pPr>
        <w:spacing w:after="0" w:line="170"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We have entered into an employment offer letter agreement with each of our named executive officers in connection with his or her employment with us. These offer letters provide for “at will” employment.</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Faraz Ali, M.B.A.</w:t>
      </w:r>
    </w:p>
    <w:p>
      <w:pPr>
        <w:spacing w:after="0" w:line="117"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We have entered into a confirmatory employment letter with Mr. Ali, our Chief Executive Officer. The confirmatory employment letter has no specific term and provides for at-will employment. Mr. Ali’s current annual base salary is $475,000 and his annual target bonus is 35% of his annual base salary.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120"/>
          </w:cols>
          <w:pgMar w:left="320" w:top="459" w:right="4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Timothy Hoey, Ph.D.</w:t>
      </w:r>
    </w:p>
    <w:p>
      <w:pPr>
        <w:spacing w:after="0" w:line="117"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We have entered into a confirmatory employment letter with Dr. Hoey, our Chief Scientific Officer. The confirmatory employment letter has no specific term and provides for at-will employment. Dr. Hoey’s current annual base salary is $385,000 and his annual target bonus is 30% of his annual base salary.</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Leone D. Patterson, M.B.A.</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have entered into an employment letter with Ms. Patterson, our Chief Financial and Business Officer. Ms. Patterson began employment in June 2021. The employment letter has no specific term and provides for at-will employment. Ms. Patterson’s current annual base salary is $400,000 and her annual target bonus is 30% of her annual base salary.</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Whittemore (Whit) Tingley, M.D., Ph.D.</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have entered into a confirmatory employment letter with Dr. Tingley, our Chief Medical Officer. The confirmatory employment letter has no specific term and provides for at-will employment. Dr. Tingley’s current annual base salary is $402,000 and his annual target bonus is 30% of his annual base salary.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Executive Change in Control and Severance Plan</w:t>
      </w:r>
    </w:p>
    <w:p>
      <w:pPr>
        <w:spacing w:after="0" w:line="117"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In June 2021, our board of directors adopted an Executive Change in Control and Severance Plan, or the Executive Severance Plan, pursuant to which our named executive officers and certain other key employees are eligible to receive severance benefits, as specified in and subject to the employee signing a participation agreement under our Executive Severance Plan. This Executive Severance Plan was developed with input from Compensia regarding severance practices at comparable companies. It is designed to attract, retain and reward senior level employees. The Executive Severance Plan will be in lieu of any other severance payments and benefits to which such key employee was entitled prior to signing the participation agreement.</w:t>
      </w:r>
    </w:p>
    <w:p>
      <w:pPr>
        <w:spacing w:after="0" w:line="192"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Each of our named executive officers has signed a participation agreement under our Executive Severance Plan providing for the rights to the applicable payments and benefits described below.</w:t>
      </w:r>
    </w:p>
    <w:p>
      <w:pPr>
        <w:spacing w:after="0" w:line="170"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the event of a “qualifying termination” of the employment of a named executive officer, which generally includes a termination of employment by us for a reason other than “cause” or the named executive officer’s death or “disability” (as such terms are defined in our Executive Severance Plan), but in the case of Mr. Ali includes a termination of employment by him for “good reason” or by us for a reason other than “cause” or his death or disability, in all cases, that occurs outside the change in control period (as described below), then the named executive officer will be entitled to the following payments and benefits:</w:t>
      </w:r>
    </w:p>
    <w:p>
      <w:pPr>
        <w:spacing w:after="0" w:line="93" w:lineRule="exact"/>
        <w:rPr>
          <w:sz w:val="20"/>
          <w:szCs w:val="20"/>
          <w:color w:val="auto"/>
        </w:rPr>
      </w:pPr>
    </w:p>
    <w:p>
      <w:pPr>
        <w:ind w:left="1080" w:right="140" w:hanging="532"/>
        <w:spacing w:after="0" w:line="277"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lump sum payment equal to nine months of the named executive officer’s annual base salary as in effect immediately prior to his or her qualifying termination of employment, or twelve months in the case of Mr. Ali; and</w:t>
      </w:r>
    </w:p>
    <w:p>
      <w:pPr>
        <w:spacing w:after="0" w:line="75" w:lineRule="exact"/>
        <w:rPr>
          <w:rFonts w:ascii="Arial" w:cs="Arial" w:eastAsia="Arial" w:hAnsi="Arial"/>
          <w:sz w:val="18"/>
          <w:szCs w:val="18"/>
          <w:color w:val="auto"/>
        </w:rPr>
      </w:pPr>
    </w:p>
    <w:p>
      <w:pPr>
        <w:ind w:left="1080" w:right="500" w:hanging="532"/>
        <w:spacing w:after="0" w:line="308" w:lineRule="auto"/>
        <w:tabs>
          <w:tab w:leader="none" w:pos="108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continued health coverage under COBRA or a lump sum payment equal to the premium cost of continued health coverage under the Consolidated Omnibus Reconciliation Act of 1985 as amended, or COBRA, for a period of twelve months.</w:t>
      </w:r>
    </w:p>
    <w:p>
      <w:pPr>
        <w:spacing w:after="0" w:line="146"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In the event of a termination of employment by the named executive officer for “good reason” or by us for a reason other than “cause” or the named executive officer’s death or disability, in each case, within a period beginning upon and ending twelve months following a “change in control” (as defined in our Executive Severance Plan), or in the case of Mr. Ali beginning three months prior to and ending 18 months following a</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100"/>
          </w:cols>
          <w:pgMar w:left="320" w:top="459" w:right="47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“change in control” (such period, in either case, the “change in control period”), then the named executive officer will be entitled to the following payments and benefits:</w:t>
      </w:r>
    </w:p>
    <w:p>
      <w:pPr>
        <w:spacing w:after="0" w:line="76" w:lineRule="exact"/>
        <w:rPr>
          <w:sz w:val="20"/>
          <w:szCs w:val="20"/>
          <w:color w:val="auto"/>
        </w:rPr>
      </w:pPr>
    </w:p>
    <w:p>
      <w:pPr>
        <w:ind w:left="1080" w:right="300" w:hanging="532"/>
        <w:spacing w:after="0" w:line="277"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 lump sum payment equal to 12 months of the named executive officer’s annual base salary as in effect immediately prior to his or her qualifying termination of employment;</w:t>
      </w:r>
    </w:p>
    <w:p>
      <w:pPr>
        <w:spacing w:after="0" w:line="75" w:lineRule="exact"/>
        <w:rPr>
          <w:rFonts w:ascii="Arial" w:cs="Arial" w:eastAsia="Arial" w:hAnsi="Arial"/>
          <w:sz w:val="18"/>
          <w:szCs w:val="18"/>
          <w:color w:val="auto"/>
        </w:rPr>
      </w:pPr>
    </w:p>
    <w:p>
      <w:pPr>
        <w:ind w:left="1080" w:right="440" w:hanging="532"/>
        <w:spacing w:after="0" w:line="277"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continued health coverage under COBRA or a lump sum payment equal to the cost of continued health coverage under COBRA for a period of 12 months;</w:t>
      </w:r>
    </w:p>
    <w:p>
      <w:pPr>
        <w:spacing w:after="0" w:line="75" w:lineRule="exact"/>
        <w:rPr>
          <w:rFonts w:ascii="Arial" w:cs="Arial" w:eastAsia="Arial" w:hAnsi="Arial"/>
          <w:sz w:val="18"/>
          <w:szCs w:val="18"/>
          <w:color w:val="auto"/>
        </w:rPr>
      </w:pPr>
    </w:p>
    <w:p>
      <w:pPr>
        <w:ind w:left="1080" w:right="240" w:hanging="532"/>
        <w:spacing w:after="0" w:line="342" w:lineRule="auto"/>
        <w:tabs>
          <w:tab w:leader="none" w:pos="10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100% accelerated vesting of all outstanding equity awards, and, with respect to equity awards with performance-based vesting, all performance goals or other vesting criteria will be deemed achieved at 100% of target levels for the relevant performance period(s); and</w:t>
      </w:r>
    </w:p>
    <w:p>
      <w:pPr>
        <w:spacing w:after="0" w:line="29" w:lineRule="exact"/>
        <w:rPr>
          <w:rFonts w:ascii="Arial" w:cs="Arial" w:eastAsia="Arial" w:hAnsi="Arial"/>
          <w:sz w:val="16"/>
          <w:szCs w:val="16"/>
          <w:color w:val="auto"/>
        </w:rPr>
      </w:pPr>
    </w:p>
    <w:p>
      <w:pPr>
        <w:ind w:left="1080" w:right="460" w:hanging="532"/>
        <w:spacing w:after="0" w:line="277"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 the case of Mr. Ali, a lump sum payment equal to 100% of his target annual bonus for the year in which the qualifying termination occurs.</w:t>
      </w:r>
    </w:p>
    <w:p>
      <w:pPr>
        <w:spacing w:after="0" w:line="170"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receipt of the payments and benefits provided for under the Executive Severance Plan described above is conditioned on the named executive officer signing and not revoking a separation and release of claims agreement and such release becoming effective and irrevocable no later than the 60th day following the named executive officer’s involuntary termination of employment, as well as continued compliance with the invention assignment and confidentiality agreement applicable to the named executive officer.</w:t>
      </w:r>
    </w:p>
    <w:p>
      <w:pPr>
        <w:spacing w:after="0" w:line="18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In addition, if any of the payments or benefits provided for under the Executive Severance Plan or otherwise payable to a named executive officer would constitute “parachute payments” within the meaning of Section 280G of the Code and could be subject to the related excise tax, the named executive officer will receive either full payment of such payments and benefits or such lesser amount that would result in no portion of the payments and benefits being subject to the excise tax, whichever results in the greater amount of after-tax benefits to them. The Executive Severance Plan does not require us to provide any tax gross-up payments to the named executive officers.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Benefit and Stock Plans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In June 2021, our board of directors adopted, and in July 2021 our stockholders approved, our 2021 Equity Incentive Plan (2021 Plan). The 2021 Plan will become effective on the business day immediately prior to the effective date of the registration statement of which this prospectus forms a part. Our 2021 Plan provides for the grant of incentive stock options, within the meaning of Section 422 of the Internal Revenue Code (the Code), to our employees and any of our parent and subsidiary corporations’ employees, and for the grant of nonstatutory stock options, restricted stock, restricted stock units, stock appreciation rights, performance units, and performance shares to our employees, directors, and consultants and our subsidiary corporations’ employees and consultants.</w:t>
      </w:r>
    </w:p>
    <w:p>
      <w:pPr>
        <w:spacing w:after="0" w:line="19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i w:val="1"/>
          <w:iCs w:val="1"/>
          <w:color w:val="auto"/>
        </w:rPr>
        <w:t>Authorized shares</w:t>
      </w:r>
      <w:r>
        <w:rPr>
          <w:rFonts w:ascii="Arial" w:cs="Arial" w:eastAsia="Arial" w:hAnsi="Arial"/>
          <w:sz w:val="17"/>
          <w:szCs w:val="17"/>
          <w:color w:val="auto"/>
        </w:rPr>
        <w:t>. A total of 4,000,000 shares of our common stock are reserved for issuance pursuant to our 2021 Plan. In addition, the shares</w:t>
      </w:r>
      <w:r>
        <w:rPr>
          <w:rFonts w:ascii="Arial" w:cs="Arial" w:eastAsia="Arial" w:hAnsi="Arial"/>
          <w:sz w:val="17"/>
          <w:szCs w:val="17"/>
          <w:i w:val="1"/>
          <w:iCs w:val="1"/>
          <w:color w:val="auto"/>
        </w:rPr>
        <w:t xml:space="preserve"> </w:t>
      </w:r>
      <w:r>
        <w:rPr>
          <w:rFonts w:ascii="Arial" w:cs="Arial" w:eastAsia="Arial" w:hAnsi="Arial"/>
          <w:sz w:val="17"/>
          <w:szCs w:val="17"/>
          <w:color w:val="auto"/>
        </w:rPr>
        <w:t>reserved for issuance under our 2021 Plan will also include shares of our common stock subject to or issued pursuant to awards granted under our 2016 Plan that, after the effective date of the registration statement of which this prospectus forms a part, expire or otherwise terminate without having been exercised in full, are tendered to or withheld by us for payment of an exercise price or for tax withholding obligations, or are forfeited to or repurchased by us due to failure to vest (provided that the maximum number of shares that may be added to the 2021 Plan is 2,430,000 shares). The number of shares available for issuance under our 2021 Plan will also include an annual increase on the first day of each fiscal year beginning with our 2022 fiscal year, equal to the least of: 4,000,000 shares; four percent (4%) of the outstanding shares of our common stock as of the last day of the immediately preceding fiscal year; or such other amount as our board of directors may determine. This annual increase will operate only until the ten year anniversary of our board’s approval of the 2021 Plan.</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120"/>
          </w:cols>
          <w:pgMar w:left="320" w:top="459" w:right="4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If an award expires or becomes unexercisable without having been exercised in full, is surrendered pursuant to an exchange program, or, with respect to restricted stock, restricted stock units, performance units or performance shares, is forfeited to or repurchased by us due to failure to vest, the unpurchased shares (or for awards other than stock options or stock appreciation rights, the forfeited or repurchased shares) will become available for future grant or sale under the 2021 Plan (unless the 2021 Plan has terminated). With respect to stock appreciation rights, only the net shares actually issued will cease to be available under the 2021 Plan and all remaining shares under stock appreciation rights will remain available for future grant or sale under the 2021 Plan (unless the 2021 Plan has terminated). Shares that have actually been issued under the 2021 Plan will not be returned to the 2021 Plan except if shares issued pursuant to awards of restricted stock, restricted stock units, performance shares, or performance units are repurchased by or forfeited to us due to failure to vest, such shares will become available for future grant under the 2021 Plan. Shares used to pay the exercise price of an award or satisfy the tax withholding obligations related to an award will become available for future grant or sale under the 2021 Plan. To the extent an award is paid out in cash rather than shares, such cash payment will not result in a reduction in the number of shares available for issuance under the 2021 Plan.</w:t>
      </w:r>
    </w:p>
    <w:p>
      <w:pPr>
        <w:spacing w:after="0" w:line="182"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Our board of directors or one or more committees appointed by our board of directors will administer our 2021 Plan.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committee of our board of directors will initially administer our 2021 Plan. In addition, if we determine it is desirable to qualify transactions under our 2021 Plan as exempt under Rule 16b-3 of the Exchange Act, such transactions will be structured to satisfy the requirements for exemption under Rule 16b-3. Subject to the provisions of our 2021 Plan, the administrator has the power to administer our 2021 Plan and make all determinations deemed necessary or advisable for administering the 2021 Plan, including but not limited to, the power to determine the fair market value of our common stock, select the service providers to whom awards may be granted, determine the number of shares covered by each award, approve forms of award agreements for use under the 2021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construe and interpret the terms of our 2021 Plan and awards granted under it, prescribe, amend and rescind rules relating to our 2021 Plan, including creating sub-plans, modify or amend each award, including but not limited to the discretionary authority to extend the post-termination exercisability period of awards, and allow a participant to defer the receipt of payment of cash or the delivery of shares that would otherwise be due to such participant under an award. The administrator also has the authority to allow participants the opportunity to transfer outstanding awards to a financial institution or other person or entity selected by the administrator and to institute an exchange program by which outstanding awards may be surrendered or cancelled in exchange for awards of the same type, which may have a higher or lower exercise price and/or different terms, awards of a different type, and/or cash or by which the exercise price of an outstanding award is increased or reduced. The administrator’s decisions, interpretations, and other actions are final and binding on all participants.</w:t>
      </w:r>
    </w:p>
    <w:p>
      <w:pPr>
        <w:spacing w:after="0" w:line="17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i w:val="1"/>
          <w:iCs w:val="1"/>
          <w:color w:val="auto"/>
        </w:rPr>
        <w:t>Stock options</w:t>
      </w:r>
      <w:r>
        <w:rPr>
          <w:rFonts w:ascii="Arial" w:cs="Arial" w:eastAsia="Arial" w:hAnsi="Arial"/>
          <w:sz w:val="17"/>
          <w:szCs w:val="17"/>
          <w:color w:val="auto"/>
        </w:rPr>
        <w:t>. Stock options may be granted under our 2021 Plan. The exercise price of options granted under our 2021 Plan must at least be equal</w:t>
      </w:r>
      <w:r>
        <w:rPr>
          <w:rFonts w:ascii="Arial" w:cs="Arial" w:eastAsia="Arial" w:hAnsi="Arial"/>
          <w:sz w:val="17"/>
          <w:szCs w:val="17"/>
          <w:i w:val="1"/>
          <w:iCs w:val="1"/>
          <w:color w:val="auto"/>
        </w:rPr>
        <w:t xml:space="preserve"> </w:t>
      </w:r>
      <w:r>
        <w:rPr>
          <w:rFonts w:ascii="Arial" w:cs="Arial" w:eastAsia="Arial" w:hAnsi="Arial"/>
          <w:sz w:val="17"/>
          <w:szCs w:val="17"/>
          <w:color w:val="auto"/>
        </w:rPr>
        <w:t>to the fair market value of our common stock on the date of grant. The term of an option may not exceed ten years. With respect to any participant who owns more than 10% of the voting power of all classes of our (or any parent or subsidiary of ours) outstanding stock, the term of an incentive stock option granted to such participant must not exceed five years and the exercise price must equal at least 110% of the fair market value on the grant date. The administrator will determine the methods of payment of the exercise price of an option, which may include cash, shares or other property acceptable to the administrator, as well as other types of consideration permitted by applicable law. After the termination of service of an employee, director, or consultant, he or she may exercise his or her option for the period of time stated in his or her option agreement. In the absence of a specified time in an award agreement, if termination is due to death or disability, the option will remain exercisable for twelve months following the termination of service. In all other cases, in the absence of a specified time in an award agreement, the option will remain exercisable for three months following the termination of service. An option, however, may not be exercised later than the expiration of its term. Subject to the provisions of our 2021 Plan, the administrator determines the other terms of options.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120"/>
          </w:cols>
          <w:pgMar w:left="320" w:top="459" w:right="4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i w:val="1"/>
          <w:iCs w:val="1"/>
          <w:color w:val="auto"/>
        </w:rPr>
        <w:t>Stock appreciation rights</w:t>
      </w:r>
      <w:r>
        <w:rPr>
          <w:rFonts w:ascii="Arial" w:cs="Arial" w:eastAsia="Arial" w:hAnsi="Arial"/>
          <w:sz w:val="17"/>
          <w:szCs w:val="17"/>
          <w:color w:val="auto"/>
        </w:rPr>
        <w:t>. Stock appreciation rights may be granted under our 2021 Plan. Stock appreciation rights allow the recipient to receive</w:t>
      </w:r>
      <w:r>
        <w:rPr>
          <w:rFonts w:ascii="Arial" w:cs="Arial" w:eastAsia="Arial" w:hAnsi="Arial"/>
          <w:sz w:val="17"/>
          <w:szCs w:val="17"/>
          <w:i w:val="1"/>
          <w:iCs w:val="1"/>
          <w:color w:val="auto"/>
        </w:rPr>
        <w:t xml:space="preserve"> </w:t>
      </w:r>
      <w:r>
        <w:rPr>
          <w:rFonts w:ascii="Arial" w:cs="Arial" w:eastAsia="Arial" w:hAnsi="Arial"/>
          <w:sz w:val="17"/>
          <w:szCs w:val="17"/>
          <w:color w:val="auto"/>
        </w:rPr>
        <w:t>the appreciation in the fair market value of our common stock between the exercise date and the date of grant. Stock appreciation rights may not have a term exceeding ten years. After the termination of service of an employee, director, or consultant, he or she may exercise his or her stock appreciation right for the period of time stated in his or her stock appreciation rights agreement. In the absence of a specified time in an award agreement, if termination is due to death or disability, the stock appreciation rights will remain exercisable for twelve months following the termination of service. In all other cases, in the absence of a specified time in an award agreement, the stock appreciation rights will remain exercisable for three months following the termination of service. However, in no event may a stock appreciation right be exercised later than the expiration of its term. Subject to the provisions of our 2021 Plan, the administrator determines the other terms of stock appreciation rights, including when such rights become exercisable and whether to pay any increased appreciation in cash or with shares of our common stock, or a combination thereof, except that the per share exercise price for the shares to be issued pursuant to the exercise of a stock appreciation right will be no less than 100% of the fair market value per share on the date of grant.</w:t>
      </w:r>
    </w:p>
    <w:p>
      <w:pPr>
        <w:spacing w:after="0" w:line="182"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i w:val="1"/>
          <w:iCs w:val="1"/>
          <w:color w:val="auto"/>
        </w:rPr>
        <w:t>Restricted stock</w:t>
      </w:r>
      <w:r>
        <w:rPr>
          <w:rFonts w:ascii="Arial" w:cs="Arial" w:eastAsia="Arial" w:hAnsi="Arial"/>
          <w:sz w:val="17"/>
          <w:szCs w:val="17"/>
          <w:color w:val="auto"/>
        </w:rPr>
        <w:t>. Restricted stock may be granted under our 2021 Plan. Restricted stock awards are grants of shares of our common stock that vest</w:t>
      </w:r>
      <w:r>
        <w:rPr>
          <w:rFonts w:ascii="Arial" w:cs="Arial" w:eastAsia="Arial" w:hAnsi="Arial"/>
          <w:sz w:val="17"/>
          <w:szCs w:val="17"/>
          <w:i w:val="1"/>
          <w:iCs w:val="1"/>
          <w:color w:val="auto"/>
        </w:rPr>
        <w:t xml:space="preserve"> </w:t>
      </w:r>
      <w:r>
        <w:rPr>
          <w:rFonts w:ascii="Arial" w:cs="Arial" w:eastAsia="Arial" w:hAnsi="Arial"/>
          <w:sz w:val="17"/>
          <w:szCs w:val="17"/>
          <w:color w:val="auto"/>
        </w:rPr>
        <w:t>in accordance with terms and conditions established by the administrator. The administrator will determine the number of shares of restricted stock granted to any employee, director, or consultant and, subject to the provisions of our 2021 Plan, will determine the terms and conditions of such awards. The administrator may impose whatever vesting conditions it determines to be appropriate (for example, the administrator may set restrictions based on the achievement of specific performance goals or continued service to us), except the administrator, in its sole discretion, may accelerate the time at which any restrictions will lapse or be removed. Recipients of restricted stock awards generally will have voting and dividend rights with respect to such shares upon grant without regard to vesting, unless the administrator provides otherwise. Shares of restricted stock that do not vest are subject to our right of repurchase or forfeiture.</w:t>
      </w:r>
    </w:p>
    <w:p>
      <w:pPr>
        <w:spacing w:after="0" w:line="178"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i w:val="1"/>
          <w:iCs w:val="1"/>
          <w:color w:val="auto"/>
        </w:rPr>
        <w:t>Restricted stock units</w:t>
      </w:r>
      <w:r>
        <w:rPr>
          <w:rFonts w:ascii="Arial" w:cs="Arial" w:eastAsia="Arial" w:hAnsi="Arial"/>
          <w:sz w:val="17"/>
          <w:szCs w:val="17"/>
          <w:color w:val="auto"/>
        </w:rPr>
        <w:t>. Restricted stock units may be granted under our 2021 Plan. Restricted stock units are bookkeeping entries representing an</w:t>
      </w:r>
      <w:r>
        <w:rPr>
          <w:rFonts w:ascii="Arial" w:cs="Arial" w:eastAsia="Arial" w:hAnsi="Arial"/>
          <w:sz w:val="17"/>
          <w:szCs w:val="17"/>
          <w:i w:val="1"/>
          <w:iCs w:val="1"/>
          <w:color w:val="auto"/>
        </w:rPr>
        <w:t xml:space="preserve"> </w:t>
      </w:r>
      <w:r>
        <w:rPr>
          <w:rFonts w:ascii="Arial" w:cs="Arial" w:eastAsia="Arial" w:hAnsi="Arial"/>
          <w:sz w:val="17"/>
          <w:szCs w:val="17"/>
          <w:color w:val="auto"/>
        </w:rPr>
        <w:t>amount equal to the fair market value of one share of our common stock. Subject to the provisions of our 2021 Plan, the administrator determines the terms and conditions of RSUs, including the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in shares or in some combination thereof. In addition, the administrator, in its sole discretion, may accelerate the time at which any restrictions will lapse or be removed.</w:t>
      </w:r>
    </w:p>
    <w:p>
      <w:pPr>
        <w:spacing w:after="0" w:line="17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i w:val="1"/>
          <w:iCs w:val="1"/>
          <w:color w:val="auto"/>
        </w:rPr>
        <w:t>Performance units and performance shares</w:t>
      </w:r>
      <w:r>
        <w:rPr>
          <w:rFonts w:ascii="Arial" w:cs="Arial" w:eastAsia="Arial" w:hAnsi="Arial"/>
          <w:sz w:val="17"/>
          <w:szCs w:val="17"/>
          <w:color w:val="auto"/>
        </w:rPr>
        <w:t>. Performance units and performance shares may be granted under our 2021 Plan. Performance units</w:t>
      </w:r>
      <w:r>
        <w:rPr>
          <w:rFonts w:ascii="Arial" w:cs="Arial" w:eastAsia="Arial" w:hAnsi="Arial"/>
          <w:sz w:val="17"/>
          <w:szCs w:val="17"/>
          <w:i w:val="1"/>
          <w:iCs w:val="1"/>
          <w:color w:val="auto"/>
        </w:rPr>
        <w:t xml:space="preserve"> </w:t>
      </w:r>
      <w:r>
        <w:rPr>
          <w:rFonts w:ascii="Arial" w:cs="Arial" w:eastAsia="Arial" w:hAnsi="Arial"/>
          <w:sz w:val="17"/>
          <w:szCs w:val="17"/>
          <w:color w:val="auto"/>
        </w:rPr>
        <w:t>and performance shares are awards that will result in a payment to a participant only if performance objectives established by the administrator are achieved or the awards otherwise vest. The administrator will establish performance objectives or other vesting criteria in its discretion, which, depending on the extent to which they are met, will determine the number or the value of performance units and performance shares to be paid out to participants. The administrator may set performance objectives based on the achievement of company-wide, divisional, business unit, or individual goals (including, but not limited to, continued employment or service), applicable federal or state securities laws or any other basis determined by the administrator in its discretion. After the grant of a performance unit or performance share, the administrator, in its sole discretion, may reduce or waive any performance objectives or other vesting provisions for such performance units or performance shares. Performance units will have an initial value established by the administrator on or prior to the grant date. Performance shares will have an initial value equal to the fair market value of our common stock on the grant date. The administrator, in its sole discretion, may pay out earned performance units or performance shares in cash, shares, or in some combination thereof.</w:t>
      </w:r>
    </w:p>
    <w:p>
      <w:pPr>
        <w:spacing w:after="0" w:line="182"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i w:val="1"/>
          <w:iCs w:val="1"/>
          <w:color w:val="auto"/>
        </w:rPr>
        <w:t>Non-transferability of awards</w:t>
      </w:r>
      <w:r>
        <w:rPr>
          <w:rFonts w:ascii="Arial" w:cs="Arial" w:eastAsia="Arial" w:hAnsi="Arial"/>
          <w:sz w:val="18"/>
          <w:szCs w:val="18"/>
          <w:color w:val="auto"/>
        </w:rPr>
        <w:t>. Unless the administrator provides otherwise, our 2021 Plan generally does not allow for the transfer of awards and</w:t>
      </w:r>
      <w:r>
        <w:rPr>
          <w:rFonts w:ascii="Arial" w:cs="Arial" w:eastAsia="Arial" w:hAnsi="Arial"/>
          <w:sz w:val="18"/>
          <w:szCs w:val="18"/>
          <w:i w:val="1"/>
          <w:iCs w:val="1"/>
          <w:color w:val="auto"/>
        </w:rPr>
        <w:t xml:space="preserve"> </w:t>
      </w:r>
      <w:r>
        <w:rPr>
          <w:rFonts w:ascii="Arial" w:cs="Arial" w:eastAsia="Arial" w:hAnsi="Arial"/>
          <w:sz w:val="18"/>
          <w:szCs w:val="18"/>
          <w:color w:val="auto"/>
        </w:rPr>
        <w:t>only the recipient of an award may exercise an award during his or her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120"/>
          </w:cols>
          <w:pgMar w:left="320" w:top="459" w:right="4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lifetime. If the administrator makes an award transferrable, such award will contain such additional terms and conditions as the administrator deems appropriate.</w:t>
      </w:r>
    </w:p>
    <w:p>
      <w:pPr>
        <w:spacing w:after="0" w:line="170"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i w:val="1"/>
          <w:iCs w:val="1"/>
          <w:color w:val="auto"/>
        </w:rPr>
        <w:t>Certain adjustments</w:t>
      </w:r>
      <w:r>
        <w:rPr>
          <w:rFonts w:ascii="Arial" w:cs="Arial" w:eastAsia="Arial" w:hAnsi="Arial"/>
          <w:sz w:val="17"/>
          <w:szCs w:val="17"/>
          <w:color w:val="auto"/>
        </w:rPr>
        <w:t>. In the event of certain changes in our capitalization, to prevent diminution or enlargement of the benefits or potential benefits</w:t>
      </w:r>
      <w:r>
        <w:rPr>
          <w:rFonts w:ascii="Arial" w:cs="Arial" w:eastAsia="Arial" w:hAnsi="Arial"/>
          <w:sz w:val="17"/>
          <w:szCs w:val="17"/>
          <w:i w:val="1"/>
          <w:iCs w:val="1"/>
          <w:color w:val="auto"/>
        </w:rPr>
        <w:t xml:space="preserve"> </w:t>
      </w:r>
      <w:r>
        <w:rPr>
          <w:rFonts w:ascii="Arial" w:cs="Arial" w:eastAsia="Arial" w:hAnsi="Arial"/>
          <w:sz w:val="17"/>
          <w:szCs w:val="17"/>
          <w:color w:val="auto"/>
        </w:rPr>
        <w:t>available under our 2021 Plan, the administrator will adjust the number and class of shares that may be delivered under our 2021 Plan and/or the number, class, and price of shares covered by each outstanding award and the numerical share limits set forth in our 2021 Plan.</w:t>
      </w:r>
    </w:p>
    <w:p>
      <w:pPr>
        <w:spacing w:after="0" w:line="165"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i w:val="1"/>
          <w:iCs w:val="1"/>
          <w:color w:val="auto"/>
        </w:rPr>
        <w:t>Dissolution or liquidation</w:t>
      </w:r>
      <w:r>
        <w:rPr>
          <w:rFonts w:ascii="Arial" w:cs="Arial" w:eastAsia="Arial" w:hAnsi="Arial"/>
          <w:sz w:val="17"/>
          <w:szCs w:val="17"/>
          <w:color w:val="auto"/>
        </w:rPr>
        <w:t>. In the event of our proposed liquidation or dissolution, the administrator will notify participants as soon as practicable</w:t>
      </w:r>
      <w:r>
        <w:rPr>
          <w:rFonts w:ascii="Arial" w:cs="Arial" w:eastAsia="Arial" w:hAnsi="Arial"/>
          <w:sz w:val="17"/>
          <w:szCs w:val="17"/>
          <w:i w:val="1"/>
          <w:iCs w:val="1"/>
          <w:color w:val="auto"/>
        </w:rPr>
        <w:t xml:space="preserve"> </w:t>
      </w:r>
      <w:r>
        <w:rPr>
          <w:rFonts w:ascii="Arial" w:cs="Arial" w:eastAsia="Arial" w:hAnsi="Arial"/>
          <w:sz w:val="17"/>
          <w:szCs w:val="17"/>
          <w:color w:val="auto"/>
        </w:rPr>
        <w:t>and, to the extent not exercised, all awards will terminate immediately prior to the consummation of such proposed transaction.</w:t>
      </w:r>
    </w:p>
    <w:p>
      <w:pPr>
        <w:spacing w:after="0" w:line="146"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i w:val="1"/>
          <w:iCs w:val="1"/>
          <w:color w:val="auto"/>
        </w:rPr>
        <w:t>Merger or change in control</w:t>
      </w:r>
      <w:r>
        <w:rPr>
          <w:rFonts w:ascii="Arial" w:cs="Arial" w:eastAsia="Arial" w:hAnsi="Arial"/>
          <w:sz w:val="18"/>
          <w:szCs w:val="18"/>
          <w:color w:val="auto"/>
        </w:rPr>
        <w:t>. Our 2021 Plan provides that in the event of a merger or change in control, as defined under our 2021 Plan, each</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award will be treated as the administrator determines, without a participant’s consent. The administrator is not required to treat all awards, all awards held by a participant or all awards of the same type similarly.</w:t>
      </w:r>
    </w:p>
    <w:p>
      <w:pPr>
        <w:spacing w:after="0" w:line="184"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If a successor corporation does not assume or substitute for any outstanding award, then the participant will fully vest in and have the right to exercise all of his or her outstanding options and stock appreciation rights, all restrictions on restricted stock and restricted stock units will lapse, and for awards with performance-based vesting, unless specifically provided for otherwise under the applicable award agreement or other agreement or policy applicable to the participant, all performance goals or other vesting criteria will be deemed achieved at 100% of target levels and all other terms and conditions met. If an option or stock appreciation right is not assumed or substituted in the event of a change in control, the administrator will notify the participant in writing or electronically that such option or stock appreciation right will be exercisable for a period of time determined by the administrator in its sole discretion and the option or stock appreciation right will terminate upon the expiration of such period.</w:t>
      </w:r>
    </w:p>
    <w:p>
      <w:pPr>
        <w:spacing w:after="0" w:line="166"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For awards granted to an outside director, in the event of a change in control, the outside director will fully vest in and have the right to exercise all of his or her outstanding options and stock appreciation rights, all restrictions on restricted stock and restricted stock units will lapse and, for awards with performance-based vesting, unless specifically provided for otherwise under the applicable award agreement or other agreement or policy applicable to the participant, all performance goals or other vesting criteria will be deemed achieved at 100% of target levels and all other terms and conditions met.</w:t>
      </w:r>
    </w:p>
    <w:p>
      <w:pPr>
        <w:spacing w:after="0" w:line="188"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i w:val="1"/>
          <w:iCs w:val="1"/>
          <w:color w:val="auto"/>
        </w:rPr>
        <w:t>Clawback</w:t>
      </w:r>
      <w:r>
        <w:rPr>
          <w:rFonts w:ascii="Arial" w:cs="Arial" w:eastAsia="Arial" w:hAnsi="Arial"/>
          <w:sz w:val="17"/>
          <w:szCs w:val="17"/>
          <w:color w:val="auto"/>
        </w:rPr>
        <w:t>. Awards will be subject to any clawback policy of ours, and the administrator also may specify in an award agreement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participant’s rights, payments, and/or benefits with respect to an award will be subject to reduction, cancellation, forfeiture, and/or recoupment upon the occurrence of certain specified events. Our board of directors may require a participant to forfeit, return, or reimburse us all or a portion of the award and/or shares issued under the award, any amounts paid under the award, and any payments or proceeds paid or provided upon disposition of the shares issued under the award in order to comply with such clawback policy or applicable laws.</w:t>
      </w:r>
    </w:p>
    <w:p>
      <w:pPr>
        <w:spacing w:after="0" w:line="176"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i w:val="1"/>
          <w:iCs w:val="1"/>
          <w:color w:val="auto"/>
        </w:rPr>
        <w:t>Amendment; termination</w:t>
      </w:r>
      <w:r>
        <w:rPr>
          <w:rFonts w:ascii="Arial" w:cs="Arial" w:eastAsia="Arial" w:hAnsi="Arial"/>
          <w:sz w:val="18"/>
          <w:szCs w:val="18"/>
          <w:color w:val="auto"/>
        </w:rPr>
        <w:t>. The administrator has the authority to amend, alter, suspend or terminate our 2021 Plan, provided such action does not</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materially impair the rights of any participant.</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17"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In June 2021, our board of directors adopted, and in July 2021 our stockholders approved, our 2021 Employee Stock Purchase Plan (ESPP). Our ESPP will become effective on the business day immediately prior to the effective date of the registration statement of which this prospectus forms a part. However, no offering period or purchase period under the ESPP will begin unless and until otherwise determined by our board of directors.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120"/>
          </w:cols>
          <w:pgMar w:left="320" w:top="459" w:right="4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i w:val="1"/>
          <w:iCs w:val="1"/>
          <w:color w:val="auto"/>
        </w:rPr>
        <w:t>Authorized shares</w:t>
      </w:r>
      <w:r>
        <w:rPr>
          <w:rFonts w:ascii="Arial" w:cs="Arial" w:eastAsia="Arial" w:hAnsi="Arial"/>
          <w:sz w:val="17"/>
          <w:szCs w:val="17"/>
          <w:color w:val="auto"/>
        </w:rPr>
        <w:t>. A total of 800,000 shares of our common stock will be available for sale under our ESPP. The number of shares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that will be available for sale under our ESPP also includes an annual increase on the first day of each fiscal year following the fiscal year in which the first offering period under the ESPP commences, equal to the least of: 800,000 shares; one percent (1%) of the outstanding shares of our common stock as of the last day of the immediately preceding fiscal year; or such other amount as our board of directors may determine. This annual increase will operate only until the ten year anniversary of our board’s approval of our ESPP.</w:t>
      </w:r>
    </w:p>
    <w:p>
      <w:pPr>
        <w:spacing w:after="0" w:line="176"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i w:val="1"/>
          <w:iCs w:val="1"/>
          <w:color w:val="auto"/>
        </w:rPr>
        <w:t>ESPP administration</w:t>
      </w:r>
      <w:r>
        <w:rPr>
          <w:rFonts w:ascii="Arial" w:cs="Arial" w:eastAsia="Arial" w:hAnsi="Arial"/>
          <w:sz w:val="18"/>
          <w:szCs w:val="18"/>
          <w:color w:val="auto"/>
        </w:rPr>
        <w:t>. We expect that the compensation committee of our board of directors will administer our ESPP and will have full and</w:t>
      </w:r>
      <w:r>
        <w:rPr>
          <w:rFonts w:ascii="Arial" w:cs="Arial" w:eastAsia="Arial" w:hAnsi="Arial"/>
          <w:sz w:val="18"/>
          <w:szCs w:val="18"/>
          <w:i w:val="1"/>
          <w:iCs w:val="1"/>
          <w:color w:val="auto"/>
        </w:rPr>
        <w:t xml:space="preserve"> </w:t>
      </w:r>
      <w:r>
        <w:rPr>
          <w:rFonts w:ascii="Arial" w:cs="Arial" w:eastAsia="Arial" w:hAnsi="Arial"/>
          <w:sz w:val="18"/>
          <w:szCs w:val="18"/>
          <w:color w:val="auto"/>
        </w:rPr>
        <w:t>exclusive discretionary authority to construe, interpret, and apply the terms of the ESPP, delegate ministerial duties to any of our employees, designate separate offerings under the ESPP, designate our subsidiaries and affiliates as participating in the ESPP, determine eligibility, adjudicate all disputed claims filed under the ESPP, and establish procedures that it deems necessary for the administration of the ESPP, including, but not limited to, adopting such procedures and sub-plans as are necessary or appropriate to permit participation in the ESPP by employees who are foreign nationals or employed outside the United States. The administrator’s findings, decisions and determinations are final and binding on all participants to the full extent permitted by law.</w:t>
      </w:r>
    </w:p>
    <w:p>
      <w:pPr>
        <w:spacing w:after="0" w:line="195"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Subject to the administrator implementing an offering period, generally, all of our employees will be eligible to participate if they are</w:t>
      </w:r>
      <w:r>
        <w:rPr>
          <w:rFonts w:ascii="Arial" w:cs="Arial" w:eastAsia="Arial" w:hAnsi="Arial"/>
          <w:sz w:val="18"/>
          <w:szCs w:val="18"/>
          <w:i w:val="1"/>
          <w:iCs w:val="1"/>
          <w:color w:val="auto"/>
        </w:rPr>
        <w:t xml:space="preserve"> </w:t>
      </w:r>
      <w:r>
        <w:rPr>
          <w:rFonts w:ascii="Arial" w:cs="Arial" w:eastAsia="Arial" w:hAnsi="Arial"/>
          <w:sz w:val="18"/>
          <w:szCs w:val="18"/>
          <w:color w:val="auto"/>
        </w:rPr>
        <w:t>customarily employed by us, or any participating subsidiary or affiliate, for at least 20 hours per week and more than five months in any calendar year. The administrator, in its discretion, may, prior to an enrollment date, for all options to be granted on such enrollment date in an offering, determine that an employee who (1) has not completed at least two years of service (or a lesser period of time determined by the administrator) since his or her last hire date, (2) customarily works not more than 20 hours per week (or a lesser period of time determined by the administrator), (3) customarily works not more than five months per calendar year (or a lesser period of time determined by the administrator), (4) is a highly compensated employee within the meaning of Section 414(q) of the Code, or (5) is a highly compensated employee within the meaning of Section 414(q) of the Code with compensation above a certain level or is an officer or subject to disclosure requirements under Section 16(a) of the Exchange Act, is or is not eligible to participate in such offering period.</w:t>
      </w:r>
    </w:p>
    <w:p>
      <w:pPr>
        <w:spacing w:after="0" w:line="196" w:lineRule="exact"/>
        <w:rPr>
          <w:sz w:val="20"/>
          <w:szCs w:val="20"/>
          <w:color w:val="auto"/>
        </w:rPr>
      </w:pPr>
    </w:p>
    <w:p>
      <w:pPr>
        <w:ind w:left="120" w:right="240" w:firstLine="440"/>
        <w:spacing w:after="0" w:line="275" w:lineRule="auto"/>
        <w:rPr>
          <w:sz w:val="20"/>
          <w:szCs w:val="20"/>
          <w:color w:val="auto"/>
        </w:rPr>
      </w:pPr>
      <w:r>
        <w:rPr>
          <w:rFonts w:ascii="Arial" w:cs="Arial" w:eastAsia="Arial" w:hAnsi="Arial"/>
          <w:sz w:val="17"/>
          <w:szCs w:val="17"/>
          <w:color w:val="auto"/>
        </w:rPr>
        <w:t>However, an employee may not be granted rights to purchase shares of our common stock under our ESPP if such employee: immediately after the grant would own capital stock and/or hold outstanding options to purchase such stock possessing five percent (5%) or more of the total combined voting power or value of all classes of capital stock of ours or of any parent or subsidiary of ours; or holds rights to purchase shares of our common stock under all employee stock purchase plans of ours or any parent or subsidiary of ours that accrue at a rate that exceeds $25,000 worth of shares of our common stock for each calendar year in which such rights are outstanding at any time.</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Offering and Purchase Periods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ESPP will include a component that allows us to make offerings intended to qualify under Section 423 of the Code and a component that allows us to make offerings not intended to qualify under Section 423 of the Code to designated companies, as described in the ESPP. Offering periods will begin and end on such dates as may be determined by the administrator in its discretion, in each case on a uniform and nondiscriminatory basis, and may contain one or more purchase periods. The administrator may change the duration of offering periods (including commencement dates) with respect to future offerings so long as such change is announced prior to the scheduled beginning of the first offering period affected. No offering period may last more than 27 months.</w:t>
      </w:r>
    </w:p>
    <w:p>
      <w:pPr>
        <w:spacing w:after="0" w:line="192"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i w:val="1"/>
          <w:iCs w:val="1"/>
          <w:color w:val="auto"/>
        </w:rPr>
        <w:t xml:space="preserve">Contributions. </w:t>
      </w:r>
      <w:r>
        <w:rPr>
          <w:rFonts w:ascii="Arial" w:cs="Arial" w:eastAsia="Arial" w:hAnsi="Arial"/>
          <w:sz w:val="18"/>
          <w:szCs w:val="18"/>
          <w:color w:val="auto"/>
        </w:rPr>
        <w:t>Subject to the administrator implementing an offering period, ESPP will permit participants to purchase shares of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through contributions (in the form of payroll deductions or otherwise to the extent permitted by the administrator) in an amount determined by the administrator, but not exceeding 15% of their eligible compensation.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120"/>
          </w:cols>
          <w:pgMar w:left="320" w:top="459" w:right="4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i w:val="1"/>
          <w:iCs w:val="1"/>
          <w:color w:val="auto"/>
        </w:rPr>
        <w:t>Exercise of purchase right</w:t>
      </w:r>
      <w:r>
        <w:rPr>
          <w:rFonts w:ascii="Arial" w:cs="Arial" w:eastAsia="Arial" w:hAnsi="Arial"/>
          <w:sz w:val="18"/>
          <w:szCs w:val="18"/>
          <w:color w:val="auto"/>
        </w:rPr>
        <w:t>. Subject to the administrator implementing an offering period, amounts contributed and accumulated by the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during any offering period will be used to purchase shares of our common stock at the end of each purchase period. The purchase price of the shares will be determined by the administrator, but will be no less than 85% of the lower of the fair market value of our common stock on the first trading day of the offering period or on the exercise date. Participants may end their participation at any time during an offering period and will be paid their accrued contributions that have not yet been used to purchase shares of our common stock. Participation ends automatically upon termination of employment with us.</w:t>
      </w:r>
    </w:p>
    <w:p>
      <w:pPr>
        <w:spacing w:after="0" w:line="192"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i w:val="1"/>
          <w:iCs w:val="1"/>
          <w:color w:val="auto"/>
        </w:rPr>
        <w:t xml:space="preserve">Non-transferability. </w:t>
      </w:r>
      <w:r>
        <w:rPr>
          <w:rFonts w:ascii="Arial" w:cs="Arial" w:eastAsia="Arial" w:hAnsi="Arial"/>
          <w:sz w:val="18"/>
          <w:szCs w:val="18"/>
          <w:color w:val="auto"/>
        </w:rPr>
        <w:t>A participant may not transfer rights granted under our ESPP (other than by will, the laws of descent and distribution or as</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provided under our ESPP).</w:t>
      </w:r>
    </w:p>
    <w:p>
      <w:pPr>
        <w:spacing w:after="0" w:line="170"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i w:val="1"/>
          <w:iCs w:val="1"/>
          <w:color w:val="auto"/>
        </w:rPr>
        <w:t xml:space="preserve">Merger or change in control. </w:t>
      </w:r>
      <w:r>
        <w:rPr>
          <w:rFonts w:ascii="Arial" w:cs="Arial" w:eastAsia="Arial" w:hAnsi="Arial"/>
          <w:sz w:val="16"/>
          <w:szCs w:val="16"/>
          <w:color w:val="auto"/>
        </w:rPr>
        <w:t>Our ESPP will provide that in the event of a merger or change in control, as defined under our ESPP, a successor</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may assume or substitute each outstanding purchase right. If the successor corporation refuses to assume or substitute for the outstanding purchase right, the offering period then in progress will be shortened, and a new exercise date will be set that will be before the date of the proposed merger or change in control. The administrator will notify each participant that the exercise date has been changed and that the participant’s option will be exercised automatically on the new exercise date unless prior to such date the participant has withdrawn from the offering period.</w:t>
      </w:r>
    </w:p>
    <w:p>
      <w:pPr>
        <w:spacing w:after="0" w:line="161"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i w:val="1"/>
          <w:iCs w:val="1"/>
          <w:color w:val="auto"/>
        </w:rPr>
        <w:t xml:space="preserve">Amendment; termination. </w:t>
      </w:r>
      <w:r>
        <w:rPr>
          <w:rFonts w:ascii="Arial" w:cs="Arial" w:eastAsia="Arial" w:hAnsi="Arial"/>
          <w:sz w:val="17"/>
          <w:szCs w:val="17"/>
          <w:color w:val="auto"/>
        </w:rPr>
        <w:t>The board will have the authority suspend or terminate our ESPP and the administrator will have the authority to amend</w:t>
      </w:r>
      <w:r>
        <w:rPr>
          <w:rFonts w:ascii="Arial" w:cs="Arial" w:eastAsia="Arial" w:hAnsi="Arial"/>
          <w:sz w:val="17"/>
          <w:szCs w:val="17"/>
          <w:i w:val="1"/>
          <w:iCs w:val="1"/>
          <w:color w:val="auto"/>
        </w:rPr>
        <w:t xml:space="preserve"> </w:t>
      </w:r>
      <w:r>
        <w:rPr>
          <w:rFonts w:ascii="Arial" w:cs="Arial" w:eastAsia="Arial" w:hAnsi="Arial"/>
          <w:sz w:val="17"/>
          <w:szCs w:val="17"/>
          <w:color w:val="auto"/>
        </w:rPr>
        <w:t>the ESPP, except that, subject to certain exceptions described in our ESPP, no such action may adversely affect any outstanding rights to purchase shares of our common stock under our ESPP. Our ESPP automatically will terminate in 2041, unless we terminate it sooner.</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Amended and Restated 2016 Equity Incentive Plan</w:t>
      </w:r>
    </w:p>
    <w:p>
      <w:pPr>
        <w:spacing w:after="0" w:line="117"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Our Amended and Restated 2016 Equity Incentive Plan (2016 Plan) allows us to provide incentive stock options, within the meaning of Section 422 of the Code, nonstatutory stock options, stock appreciation rights, restricted stock awards and restricted stock units (each, an “award” and the recipient of such award, a participant) to eligible employees, directors and consultants, including employees and consultants of any of our parent or subsidiary companies. One business day prior to the effectiveness of the registration statement of which this prospectus forms a part, our 2016 Plan will terminate and we will not grant any additional awards under our 2016 Plan thereafter. However, our 2016 Plan will continue to govern the terms and conditions of the outstanding awards previously granted under our 2016 Plan.</w:t>
      </w:r>
    </w:p>
    <w:p>
      <w:pPr>
        <w:spacing w:after="0" w:line="178"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As of March 31, 2021, stock options covering 1,727,968 shares of our common stock were outstanding under our 2016 Plan and there were no stock appreciation rights, restricted stock awards or restricted stock units outstanding under our 2016 Plan.</w:t>
      </w:r>
    </w:p>
    <w:p>
      <w:pPr>
        <w:spacing w:after="0" w:line="170"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Our compensation committee has the authority, concurrent with our board of directors to administer our 2016 Plan. Different</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committees may administer our 2016 Plan with respect to different service providers. The administrator has all authority and discretion necessary or appropriate to administer our 2016 Plan and to control its operation, including the authority to construe and interpret the terms of our 2016 Plan and the awards granted under our 2016 Plan. The administrator’s decisions are final and binding on all participants and any other persons holding awards.</w:t>
      </w:r>
    </w:p>
    <w:p>
      <w:pPr>
        <w:spacing w:after="0" w:line="157"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The administrator’s powers include the power to institute an exchange program (without stockholder approval) under which (1) outstanding awards are surrendered or cancelled in exchange for awards of the same type (which may have higher or lower exercise prices and different terms), awards of a different type and/or cash, (2) participants would have the opportunity to transfer any outstanding awards to a financial institution or other person or entity selected by the administrator and/or (3) the exercise price of an outstanding award is increased or reduced. The administrator’s powers also include the power to prescribe, amend and rescind rules and regulations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120"/>
          </w:cols>
          <w:pgMar w:left="320" w:top="459" w:right="4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relating to our 2016 Plan, to modify or amend each award and to make all other determinations deemed necessary or advisable for administering our 2016 Plan.</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Employees, directors and consultants, including employees and consultants of any of our parent or subsidiary companies, are eligible</w:t>
      </w:r>
      <w:r>
        <w:rPr>
          <w:rFonts w:ascii="Arial" w:cs="Arial" w:eastAsia="Arial" w:hAnsi="Arial"/>
          <w:sz w:val="18"/>
          <w:szCs w:val="18"/>
          <w:i w:val="1"/>
          <w:iCs w:val="1"/>
          <w:color w:val="auto"/>
        </w:rPr>
        <w:t xml:space="preserve"> </w:t>
      </w:r>
      <w:r>
        <w:rPr>
          <w:rFonts w:ascii="Arial" w:cs="Arial" w:eastAsia="Arial" w:hAnsi="Arial"/>
          <w:sz w:val="18"/>
          <w:szCs w:val="18"/>
          <w:color w:val="auto"/>
        </w:rPr>
        <w:t>to receive awards, provided such consultants render bona fide services not in connection with the offer or sale of securities in a capital-raising transaction and do not directly promote or maintain a market for our securities. Only our employees or employees of our parent or subsidiary companies are eligible to receive incentive stock options.</w:t>
      </w:r>
    </w:p>
    <w:p>
      <w:pPr>
        <w:spacing w:after="0" w:line="18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Stock options have been granted under our 2016 Plan. Subject to the provisions of our 2016 Plan, the administrator determines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 of an option, the number of shares subject to an option, and the time period in which an option may be exercised.</w:t>
      </w:r>
    </w:p>
    <w:p>
      <w:pPr>
        <w:spacing w:after="0" w:line="17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term of an option is stated in the applicable award agreement, but the term of an option may not exceed 10 years from the grant date. The administrator determines the exercise price of options, which generally may not be less than 100% of the fair market value of our common stock on the grant date, except as provided for in the 2016 Plan. However, an incentive stock option granted to an individual who directly or by attribution owns more than 10% of the total combined voting power of all of our classes of stock or of any our parent or subsidiary companies will have a term of no longer than five years from the grant date and will have an exercise price of at least 110% of the fair market value of our common stock on the grant date. In addition, to the extent that the aggregate fair market value of the shares with respect to which incentive stock options are exercisable for the first time by an employee during any calendar year (under all plans of ours and any of our parent or subsidiary companies) exceeds $100,000, such options will be treated as nonstatutory stock options.</w:t>
      </w:r>
    </w:p>
    <w:p>
      <w:pPr>
        <w:spacing w:after="0" w:line="192"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The administrator determines how a participant may pay the exercise price of an option, and the permissible methods are generally set forth in the applicable award agreement. If a participant’s status as a “service provider” (as defined in our 2016 Plan) terminates, that participant may exercise the vested portion of his or her option for the period of time stated in the applicable award agreement. Vested options generally will remain exercisable for 30 days or such longer period of time as set forth in the applicable award agreement if a participant’s status as a service provider terminates for a reason other than death or disability. If a participant’s status as a service provider terminates due to death or disability, vested options generally will remain exercisable for six months from the date of termination (or such other longer period as set forth in the applicable award agreement). In no event will an option remain exercisable beyond its original term. If a participant does not exercise his or her option within the time specified in the award agreement, the option will terminate. Except as described above, the administrator has the discretion to determine the post-termination exercisability periods for an option.</w:t>
      </w:r>
    </w:p>
    <w:p>
      <w:pPr>
        <w:spacing w:after="0" w:line="181" w:lineRule="exact"/>
        <w:rPr>
          <w:sz w:val="20"/>
          <w:szCs w:val="20"/>
          <w:color w:val="auto"/>
        </w:rPr>
      </w:pPr>
    </w:p>
    <w:p>
      <w:pPr>
        <w:ind w:left="120" w:right="500" w:firstLine="440"/>
        <w:spacing w:after="0" w:line="257" w:lineRule="auto"/>
        <w:rPr>
          <w:sz w:val="20"/>
          <w:szCs w:val="20"/>
          <w:color w:val="auto"/>
        </w:rPr>
      </w:pPr>
      <w:r>
        <w:rPr>
          <w:rFonts w:ascii="Arial" w:cs="Arial" w:eastAsia="Arial" w:hAnsi="Arial"/>
          <w:sz w:val="18"/>
          <w:szCs w:val="18"/>
          <w:i w:val="1"/>
          <w:iCs w:val="1"/>
          <w:color w:val="auto"/>
        </w:rPr>
        <w:t>Non-transferability of awards</w:t>
      </w:r>
      <w:r>
        <w:rPr>
          <w:rFonts w:ascii="Arial" w:cs="Arial" w:eastAsia="Arial" w:hAnsi="Arial"/>
          <w:sz w:val="18"/>
          <w:szCs w:val="18"/>
          <w:color w:val="auto"/>
        </w:rPr>
        <w:t>. Unless determined otherwise by the administrator, awards may not be sold, transferred, pledged, assigned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alienated or hypothecated in any manner other than by will or by the laws of descent and distribution. In addition, during an applicable participant’s lifetime, only that participant may exercise their award. If the administrator makes an award transferable, such award may only be transferred (1) by will, (2) by the laws of descent and distribution or (3) as permitted by Rule 701 of the Securities Act of 1933, as amended (the Securities Act).</w:t>
      </w:r>
    </w:p>
    <w:p>
      <w:pPr>
        <w:spacing w:after="0" w:line="188"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i w:val="1"/>
          <w:iCs w:val="1"/>
          <w:color w:val="auto"/>
        </w:rPr>
        <w:t>Certain adjustments</w:t>
      </w:r>
      <w:r>
        <w:rPr>
          <w:rFonts w:ascii="Arial" w:cs="Arial" w:eastAsia="Arial" w:hAnsi="Arial"/>
          <w:sz w:val="17"/>
          <w:szCs w:val="17"/>
          <w:color w:val="auto"/>
        </w:rPr>
        <w:t>. If there is a dividend or other distribution (whether in the form of cash, shares, other securities or other property),</w:t>
      </w:r>
      <w:r>
        <w:rPr>
          <w:rFonts w:ascii="Arial" w:cs="Arial" w:eastAsia="Arial" w:hAnsi="Arial"/>
          <w:sz w:val="17"/>
          <w:szCs w:val="17"/>
          <w:i w:val="1"/>
          <w:iCs w:val="1"/>
          <w:color w:val="auto"/>
        </w:rPr>
        <w:t xml:space="preserve"> </w:t>
      </w:r>
      <w:r>
        <w:rPr>
          <w:rFonts w:ascii="Arial" w:cs="Arial" w:eastAsia="Arial" w:hAnsi="Arial"/>
          <w:sz w:val="17"/>
          <w:szCs w:val="17"/>
          <w:color w:val="auto"/>
        </w:rPr>
        <w:t>recapitalization, stock split, reverse stock split, reorganization, merger, consolidation, split-up, spin-off, combination, repurchase, exchange of shares or our other securities or other change in our corporate structure affecting the shares, the administrator will make proportionate adjustments to the number and class of shares that may be delivered under our 2016 Plan or the number, class and price of shares covered by each outstanding award. The administrator’s determination regarding such adjustments will be final, binding and conclusive.</w:t>
      </w:r>
    </w:p>
    <w:p>
      <w:pPr>
        <w:spacing w:after="0" w:line="176"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i w:val="1"/>
          <w:iCs w:val="1"/>
          <w:color w:val="auto"/>
        </w:rPr>
        <w:t>Dissolution or liquidation</w:t>
      </w:r>
      <w:r>
        <w:rPr>
          <w:rFonts w:ascii="Arial" w:cs="Arial" w:eastAsia="Arial" w:hAnsi="Arial"/>
          <w:sz w:val="18"/>
          <w:szCs w:val="18"/>
          <w:color w:val="auto"/>
        </w:rPr>
        <w:t>. In the event of our proposed dissolution or liquidation, the administrator will notify each participant as soon as</w:t>
      </w:r>
      <w:r>
        <w:rPr>
          <w:rFonts w:ascii="Arial" w:cs="Arial" w:eastAsia="Arial" w:hAnsi="Arial"/>
          <w:sz w:val="18"/>
          <w:szCs w:val="18"/>
          <w:i w:val="1"/>
          <w:iCs w:val="1"/>
          <w:color w:val="auto"/>
        </w:rPr>
        <w:t xml:space="preserve"> </w:t>
      </w:r>
      <w:r>
        <w:rPr>
          <w:rFonts w:ascii="Arial" w:cs="Arial" w:eastAsia="Arial" w:hAnsi="Arial"/>
          <w:sz w:val="18"/>
          <w:szCs w:val="18"/>
          <w:color w:val="auto"/>
        </w:rPr>
        <w:t>practicable prior to the effective date of such proposed transaction. To the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080"/>
          </w:cols>
          <w:pgMar w:left="320" w:top="459" w:right="49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extent it has not been previously exercised, an award will terminate immediately prior to the consummation of such proposed action.</w:t>
      </w:r>
    </w:p>
    <w:p>
      <w:pPr>
        <w:spacing w:after="0" w:line="225"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i w:val="1"/>
          <w:iCs w:val="1"/>
          <w:color w:val="auto"/>
        </w:rPr>
        <w:t>Merger and change in control</w:t>
      </w:r>
      <w:r>
        <w:rPr>
          <w:rFonts w:ascii="Arial" w:cs="Arial" w:eastAsia="Arial" w:hAnsi="Arial"/>
          <w:sz w:val="17"/>
          <w:szCs w:val="17"/>
          <w:color w:val="auto"/>
        </w:rPr>
        <w:t>. In the event of our merger with or into another corporation or entity or a “change in control” (as defined in our</w:t>
      </w:r>
      <w:r>
        <w:rPr>
          <w:rFonts w:ascii="Arial" w:cs="Arial" w:eastAsia="Arial" w:hAnsi="Arial"/>
          <w:sz w:val="17"/>
          <w:szCs w:val="17"/>
          <w:i w:val="1"/>
          <w:iCs w:val="1"/>
          <w:color w:val="auto"/>
        </w:rPr>
        <w:t xml:space="preserve"> </w:t>
      </w:r>
      <w:r>
        <w:rPr>
          <w:rFonts w:ascii="Arial" w:cs="Arial" w:eastAsia="Arial" w:hAnsi="Arial"/>
          <w:sz w:val="17"/>
          <w:szCs w:val="17"/>
          <w:color w:val="auto"/>
        </w:rPr>
        <w:t>2016 Plan), each outstanding award will be treated as the administrator determines, including, without limitation, that (1) awards will be assumed, or substantially equivalent awards will be substituted, by the acquiring or succeeding corporation (or an affiliate thereof) with appropriate adjustments as to the number and kind of shares and prices; (2) upon written notice to a participant, the participant’s awards will terminate upon or immediately prior to the consummation of such merger or change in control; (3)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(4) (a) the termination of an award in exchange for an amount of cash 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us without payment) or (b) the replacement of such award with other rights or property selected by the administrator in its sole discretion; or (5) any combination of the foregoing. The administrator will not be obligated to treat all awards, all awards a participant holds or all awards of the same type, similarly.</w:t>
      </w:r>
    </w:p>
    <w:p>
      <w:pPr>
        <w:spacing w:after="0" w:line="186"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In the event that the successor corporation does not assume or substitute for an award (or portion thereof),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100% of target levels and all other terms and conditions met. In addition, if an option or stock appreciation right is not assumed or substituted in the event of a merger or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166"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i w:val="1"/>
          <w:iCs w:val="1"/>
          <w:color w:val="auto"/>
        </w:rPr>
        <w:t>Amendment and termination</w:t>
      </w:r>
      <w:r>
        <w:rPr>
          <w:rFonts w:ascii="Arial" w:cs="Arial" w:eastAsia="Arial" w:hAnsi="Arial"/>
          <w:sz w:val="16"/>
          <w:szCs w:val="16"/>
          <w:color w:val="auto"/>
        </w:rPr>
        <w:t>. Our board of directors may, at any time, amend, alter, suspend or terminate our 2016 Plan in any respect,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without limitation, amendment of any form of award agreement or instrument to be executed pursuant to our 2016 Plan. To the extent necessary and desirable to comply with applicable laws, we will obtain stockholder approval of any amendment to our 2016 Plan. No amendment, alteration, suspension or termination of our 2016 Plan will impair the rights of a participant, unless mutually agreed otherwise between the participant and the administrator in writing. As noted above, it is expected that as of one business day prior to the effectiveness of the registration statement of which this prospectus forms a part, our 2016 Plan will be terminated, and we will not grant any additional awards under our 2016 Plan thereafter.</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Incentive Compensation Plan</w:t>
      </w:r>
    </w:p>
    <w:p>
      <w:pPr>
        <w:spacing w:after="0" w:line="121" w:lineRule="exact"/>
        <w:rPr>
          <w:sz w:val="20"/>
          <w:szCs w:val="20"/>
          <w:color w:val="auto"/>
        </w:rPr>
      </w:pPr>
    </w:p>
    <w:p>
      <w:pPr>
        <w:ind w:left="120" w:right="800" w:firstLine="440"/>
        <w:spacing w:after="0" w:line="311" w:lineRule="auto"/>
        <w:rPr>
          <w:sz w:val="20"/>
          <w:szCs w:val="20"/>
          <w:color w:val="auto"/>
        </w:rPr>
      </w:pPr>
      <w:r>
        <w:rPr>
          <w:rFonts w:ascii="Arial" w:cs="Arial" w:eastAsia="Arial" w:hAnsi="Arial"/>
          <w:sz w:val="16"/>
          <w:szCs w:val="16"/>
          <w:color w:val="auto"/>
        </w:rPr>
        <w:t>In June 2021, our board of directors adopted the Executive Incentive Compensation Plan (Incentive Compensation Plan). Our Incentive Compensation Plan allows our compensation committee to grant incentive awards, generally payable in cash, to employees selected by our compensation committee, including our executive officers, based upon performance goals established by our compensation committee.</w:t>
      </w:r>
    </w:p>
    <w:p>
      <w:pPr>
        <w:spacing w:after="0" w:line="149"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Under our Incentive Compensation Plan, our compensation committee will determine the performance goals applicable to any award, which goals may include, without limitation, goals related to research and development,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120"/>
          </w:cols>
          <w:pgMar w:left="320" w:top="459" w:right="45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257" w:lineRule="auto"/>
        <w:rPr>
          <w:sz w:val="20"/>
          <w:szCs w:val="20"/>
          <w:color w:val="auto"/>
        </w:rPr>
      </w:pPr>
      <w:r>
        <w:rPr>
          <w:rFonts w:ascii="Arial" w:cs="Arial" w:eastAsia="Arial" w:hAnsi="Arial"/>
          <w:sz w:val="18"/>
          <w:szCs w:val="18"/>
          <w:color w:val="auto"/>
        </w:rPr>
        <w:t>regulatory milestones or regulatory-related goals, gross margin, financial milestones, new product or business development, operating margin, product release timelines or other product release milestones, publications, cash flow, procurement, savings, internal structure, leadership development, project, function or portfolio-specific milestones, license or research collaboration agreements, capital raising, initial public offering preparations, patentability and individual objectives such as peer reviews or other subjective or objective criteria. The performance goals may differ from participant to participant and from award to award.</w:t>
      </w:r>
    </w:p>
    <w:p>
      <w:pPr>
        <w:spacing w:after="0" w:line="188"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The compensation committee of our board of directors will administer our Incentive Compensation Plan and will, in its sole discretion and at any time, increase, reduce or eliminate a participant’s actual award, and/or increase, reduce or eliminate the amount allocated to the bonus pool for a particular performance period. The actual award may be below, at or above a participant’s target award, in the discretion of the administrator. The administrator may determine the amount of any increase, reduction or elimination on the basis of such factors as it deems relevant, and it will not be required to establish any allocation or weighting with respect to the factors it considers.</w:t>
      </w:r>
    </w:p>
    <w:p>
      <w:pPr>
        <w:spacing w:after="0" w:line="176"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Actual awards generally will be paid in cash (or its equivalent) only after they are earned, and, unless otherwise determined by the administrator, to earn an actual award a participant must be employed by us through the date the actual award is paid. The compensation committee may reserve the right to settle an actual award with a grant of an equity award under our then-current equity compensation plan, which equity award may have such terms and conditions, including vesting, as the compensation committee determines. Payment of awards will occur as soon as practicable after they are earned, but no later than the dates set forth in our Incentive Compensation Plan.</w:t>
      </w:r>
    </w:p>
    <w:p>
      <w:pPr>
        <w:spacing w:after="0" w:line="176"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Our board of directors and our compensation committee have the authority to amend, suspend or terminate our Incentive Compensation Plan, provided such action does not impair the existing rights of any participant with respect to any earned awards.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121"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Our amended and restated certificate of incorporation and amended and restated bylaws, each to be effective upon the completion of this offering, will provide that we will indemnify our directors and officers, and may indemnify our employees and other agents, to the fullest extent permitted by Delaware law. Delaware law prohibits our amended and restated certificate of incorporation from limiting the liability of our directors for the following:</w:t>
      </w:r>
    </w:p>
    <w:p>
      <w:pPr>
        <w:spacing w:after="0" w:line="54" w:lineRule="exact"/>
        <w:rPr>
          <w:sz w:val="20"/>
          <w:szCs w:val="20"/>
          <w:color w:val="auto"/>
        </w:rPr>
      </w:pPr>
    </w:p>
    <w:p>
      <w:pPr>
        <w:ind w:left="1080" w:hanging="532"/>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to our stockholders;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unlawful payment of dividends or unlawful stock repurchases or redemptions;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If Delaware law is amended to authorize corporate action further eliminating or limiting the personal liability of a director, then the liability of our directors will be eliminated or limited to the fullest extent permitted by Delaware law, as so amended. Our amended and restated certificate of incorporation does not eliminate a director’s duty of care and, in appropriate circumstances, equitable remedies, such as injunctive or other forms of non-monetary relief, remain available under Delaware law. This provision also does not affect a director’s responsibilities under any other laws, such as the federal securities laws or other state or federal laws. Under our amended and restated bylaws, we will also be empowered to purchase insurance on behalf of any person whom we are required or permitted to indemnify.</w:t>
      </w:r>
    </w:p>
    <w:p>
      <w:pPr>
        <w:spacing w:after="0" w:line="17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addition to the indemnification required in our amended and restated certificate of incorporation and amended and restated bylaws, we intend to enter into an indemnification agreement with each member of our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100"/>
          </w:cols>
          <w:pgMar w:left="320" w:top="459" w:right="47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board of directors and each of our officers prior to the completion of the offering. These agreements provide for the indemnification of our directors and officers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our company,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our company or any of our subsidiaries, no indemnification will be provided for any claim where a court determines that the indemnified party is prohibited from receiving indemnification. We believe that these charter and bylaw provisions and indemnification agreements are necessary to attract and retain qualified persons as directors and officers.</w:t>
      </w:r>
    </w:p>
    <w:p>
      <w:pPr>
        <w:spacing w:after="0" w:line="196"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limitation of liability and indemnification provisions in our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Moreover,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060"/>
          </w:cols>
          <w:pgMar w:left="320" w:top="459" w:right="51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120" w:right="460" w:firstLine="440"/>
        <w:spacing w:after="0" w:line="259" w:lineRule="auto"/>
        <w:rPr>
          <w:sz w:val="20"/>
          <w:szCs w:val="20"/>
          <w:color w:val="auto"/>
        </w:rPr>
      </w:pPr>
      <w:r>
        <w:rPr>
          <w:rFonts w:ascii="Arial" w:cs="Arial" w:eastAsia="Arial" w:hAnsi="Arial"/>
          <w:sz w:val="18"/>
          <w:szCs w:val="18"/>
          <w:color w:val="auto"/>
        </w:rPr>
        <w:t>Other than compensation arrangements, including employment, termination of employment and change in control arrangements, with our directors and executive officers, including those discussed in the sections titled “Management” and “Executive Compensation” and the registration rights described in the section titled “Description of Capital Stock—Registration Rights,” the following is a description of each transaction since January 1, 2018 and each currently proposed transaction in which:</w:t>
      </w:r>
    </w:p>
    <w:p>
      <w:pPr>
        <w:spacing w:after="0" w:line="92" w:lineRule="exact"/>
        <w:rPr>
          <w:sz w:val="20"/>
          <w:szCs w:val="20"/>
          <w:color w:val="auto"/>
        </w:rPr>
      </w:pPr>
    </w:p>
    <w:p>
      <w:pPr>
        <w:ind w:left="1080" w:hanging="532"/>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amount involved exceeded or exceeds $120,000; and</w:t>
      </w:r>
    </w:p>
    <w:p>
      <w:pPr>
        <w:spacing w:after="0" w:line="130" w:lineRule="exact"/>
        <w:rPr>
          <w:rFonts w:ascii="Arial" w:cs="Arial" w:eastAsia="Arial" w:hAnsi="Arial"/>
          <w:sz w:val="18"/>
          <w:szCs w:val="18"/>
          <w:color w:val="auto"/>
        </w:rPr>
      </w:pPr>
    </w:p>
    <w:p>
      <w:pPr>
        <w:ind w:left="1080" w:right="200" w:hanging="532"/>
        <w:spacing w:after="0" w:line="342" w:lineRule="auto"/>
        <w:tabs>
          <w:tab w:leader="none" w:pos="10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Convertible Preferred Stock Issuances</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In August 2019, March 2020 and August 2020, we issued and sold an aggregate of 9,259,245 shares of our Series B convertible preferred stock at a purchase price of $9.936 per share for an aggregate purchase price of approximately $92.0 million.</w:t>
      </w:r>
    </w:p>
    <w:p>
      <w:pPr>
        <w:spacing w:after="0" w:line="170" w:lineRule="exact"/>
        <w:rPr>
          <w:sz w:val="20"/>
          <w:szCs w:val="20"/>
          <w:color w:val="auto"/>
        </w:rPr>
      </w:pPr>
    </w:p>
    <w:p>
      <w:pPr>
        <w:jc w:val="both"/>
        <w:ind w:left="120" w:right="60" w:firstLine="440"/>
        <w:spacing w:after="0" w:line="342" w:lineRule="auto"/>
        <w:rPr>
          <w:sz w:val="20"/>
          <w:szCs w:val="20"/>
          <w:color w:val="auto"/>
        </w:rPr>
      </w:pPr>
      <w:r>
        <w:rPr>
          <w:rFonts w:ascii="Arial" w:cs="Arial" w:eastAsia="Arial" w:hAnsi="Arial"/>
          <w:sz w:val="16"/>
          <w:szCs w:val="16"/>
          <w:color w:val="auto"/>
        </w:rPr>
        <w:t>Purchasers of our Series B convertible preferred stock include venture capital funds that beneficially own more than 5% of our outstanding capital stock and/or are represented on our board of directors. The following table presents the number of shares and total purchase price paid by these entities.</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6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Shares of Series B</w:t>
            </w:r>
          </w:p>
        </w:tc>
        <w:tc>
          <w:tcPr>
            <w:tcW w:w="120" w:type="dxa"/>
            <w:vAlign w:val="bottom"/>
          </w:tcPr>
          <w:p>
            <w:pPr>
              <w:spacing w:after="0"/>
              <w:rPr>
                <w:sz w:val="14"/>
                <w:szCs w:val="14"/>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1"/>
              </w:rPr>
              <w:t>Total Purchase</w:t>
            </w:r>
          </w:p>
        </w:tc>
        <w:tc>
          <w:tcPr>
            <w:tcW w:w="0" w:type="dxa"/>
            <w:vAlign w:val="bottom"/>
          </w:tcPr>
          <w:p>
            <w:pPr>
              <w:spacing w:after="0"/>
              <w:rPr>
                <w:sz w:val="1"/>
                <w:szCs w:val="1"/>
                <w:color w:val="auto"/>
              </w:rPr>
            </w:pPr>
          </w:p>
        </w:tc>
      </w:tr>
      <w:tr>
        <w:trPr>
          <w:trHeight w:val="148"/>
        </w:trPr>
        <w:tc>
          <w:tcPr>
            <w:tcW w:w="8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Investor</w:t>
            </w:r>
          </w:p>
        </w:tc>
        <w:tc>
          <w:tcPr>
            <w:tcW w:w="16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8140" w:type="dxa"/>
            <w:vAlign w:val="bottom"/>
            <w:gridSpan w:val="2"/>
            <w:vMerge w:val="continue"/>
          </w:tcPr>
          <w:p>
            <w:pPr>
              <w:spacing w:after="0"/>
              <w:rPr>
                <w:sz w:val="13"/>
                <w:szCs w:val="13"/>
                <w:color w:val="auto"/>
              </w:rPr>
            </w:pPr>
          </w:p>
        </w:tc>
        <w:tc>
          <w:tcPr>
            <w:tcW w:w="162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93"/>
              </w:rPr>
              <w:t>Preferred Stock</w:t>
            </w:r>
          </w:p>
        </w:tc>
        <w:tc>
          <w:tcPr>
            <w:tcW w:w="120" w:type="dxa"/>
            <w:vAlign w:val="bottom"/>
          </w:tcPr>
          <w:p>
            <w:pPr>
              <w:spacing w:after="0"/>
              <w:rPr>
                <w:sz w:val="13"/>
                <w:szCs w:val="13"/>
                <w:color w:val="auto"/>
              </w:rPr>
            </w:pPr>
          </w:p>
        </w:tc>
        <w:tc>
          <w:tcPr>
            <w:tcW w:w="1140" w:type="dxa"/>
            <w:vAlign w:val="bottom"/>
            <w:gridSpan w:val="2"/>
          </w:tcPr>
          <w:p>
            <w:pPr>
              <w:jc w:val="right"/>
              <w:ind w:right="500"/>
              <w:spacing w:after="0" w:line="158"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
        </w:trPr>
        <w:tc>
          <w:tcPr>
            <w:tcW w:w="500" w:type="dxa"/>
            <w:vAlign w:val="bottom"/>
            <w:tcBorders>
              <w:bottom w:val="single" w:sz="8" w:color="CCEEFF"/>
            </w:tcBorders>
            <w:shd w:val="clear" w:color="auto" w:fill="000000"/>
          </w:tcPr>
          <w:p>
            <w:pPr>
              <w:spacing w:after="0" w:line="20" w:lineRule="exact"/>
              <w:rPr>
                <w:sz w:val="1"/>
                <w:szCs w:val="1"/>
                <w:color w:val="auto"/>
              </w:rPr>
            </w:pPr>
          </w:p>
        </w:tc>
        <w:tc>
          <w:tcPr>
            <w:tcW w:w="76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Casdin Partners Master Fund, L.P.(1)</w:t>
            </w:r>
          </w:p>
        </w:tc>
        <w:tc>
          <w:tcPr>
            <w:tcW w:w="1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2,012,880</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19,999,995.55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SymBiosis II, LLC</w:t>
            </w:r>
          </w:p>
        </w:tc>
        <w:tc>
          <w:tcPr>
            <w:tcW w:w="1620" w:type="dxa"/>
            <w:vAlign w:val="bottom"/>
            <w:gridSpan w:val="2"/>
          </w:tcPr>
          <w:p>
            <w:pPr>
              <w:jc w:val="right"/>
              <w:ind w:right="480"/>
              <w:spacing w:after="0"/>
              <w:rPr>
                <w:sz w:val="20"/>
                <w:szCs w:val="20"/>
                <w:color w:val="auto"/>
              </w:rPr>
            </w:pPr>
            <w:r>
              <w:rPr>
                <w:rFonts w:ascii="Arial" w:cs="Arial" w:eastAsia="Arial" w:hAnsi="Arial"/>
                <w:sz w:val="18"/>
                <w:szCs w:val="18"/>
                <w:color w:val="auto"/>
              </w:rPr>
              <w:t>1,509,660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14,999,996.66</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affiliated with The Column Group(2)</w:t>
            </w:r>
          </w:p>
        </w:tc>
        <w:tc>
          <w:tcPr>
            <w:tcW w:w="16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1,006,440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9,999,997.78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560" w:hanging="424"/>
        <w:spacing w:after="0" w:line="258" w:lineRule="auto"/>
        <w:tabs>
          <w:tab w:leader="none" w:pos="5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Eli Casdin, a member of our board of directors is the Chief Investment Officer of Casdin Capital LLC and the managing member of Casdin Partners GP, LLC.</w:t>
      </w:r>
    </w:p>
    <w:p>
      <w:pPr>
        <w:spacing w:after="0" w:line="1" w:lineRule="exact"/>
        <w:rPr>
          <w:rFonts w:ascii="Arial" w:cs="Arial" w:eastAsia="Arial" w:hAnsi="Arial"/>
          <w:sz w:val="18"/>
          <w:szCs w:val="18"/>
          <w:color w:val="auto"/>
        </w:rPr>
      </w:pPr>
    </w:p>
    <w:p>
      <w:pPr>
        <w:jc w:val="both"/>
        <w:ind w:left="540" w:right="160" w:hanging="424"/>
        <w:spacing w:after="0" w:line="277" w:lineRule="auto"/>
        <w:tabs>
          <w:tab w:leader="none" w:pos="54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Entities affiliated with The Column Group holding our securities are aggregated for reporting ownership information include The Column Group III, LP and The Column Group III-A, LP. David V. Goeddel, a member of our board of directors, is the Managing Partner of The Column Group, and JeenJoo (JJ) Kang, a member of our board of directors, is a Venture Partner of The Column Group.</w:t>
      </w:r>
    </w:p>
    <w:p>
      <w:pPr>
        <w:spacing w:after="0" w:line="173"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In December 2020 and January 2021, we issued and sold an aggregate of 8,526,371 shares of our Series C convertible preferred stock at a purchase price of $12.432 per share for an aggregate purchase price of approximately $106.0 million.</w:t>
      </w:r>
    </w:p>
    <w:p>
      <w:pPr>
        <w:spacing w:after="0" w:line="170" w:lineRule="exact"/>
        <w:rPr>
          <w:sz w:val="20"/>
          <w:szCs w:val="20"/>
          <w:color w:val="auto"/>
        </w:rPr>
      </w:pPr>
    </w:p>
    <w:p>
      <w:pPr>
        <w:jc w:val="both"/>
        <w:ind w:left="120" w:right="60" w:firstLine="440"/>
        <w:spacing w:after="0" w:line="342" w:lineRule="auto"/>
        <w:rPr>
          <w:sz w:val="20"/>
          <w:szCs w:val="20"/>
          <w:color w:val="auto"/>
        </w:rPr>
      </w:pPr>
      <w:r>
        <w:rPr>
          <w:rFonts w:ascii="Arial" w:cs="Arial" w:eastAsia="Arial" w:hAnsi="Arial"/>
          <w:sz w:val="16"/>
          <w:szCs w:val="16"/>
          <w:color w:val="auto"/>
        </w:rPr>
        <w:t>Purchasers of our Series C convertible preferred stock include venture capital funds that beneficially own more than 5% of our outstanding capital stock and/or are represented on our board of directors. The following table presents the number of shares and total purchase price paid by these entities.</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6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Shares of Series C</w:t>
            </w:r>
          </w:p>
        </w:tc>
        <w:tc>
          <w:tcPr>
            <w:tcW w:w="120" w:type="dxa"/>
            <w:vAlign w:val="bottom"/>
          </w:tcPr>
          <w:p>
            <w:pPr>
              <w:spacing w:after="0"/>
              <w:rPr>
                <w:sz w:val="14"/>
                <w:szCs w:val="14"/>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1"/>
              </w:rPr>
              <w:t>Total Purchase</w:t>
            </w:r>
          </w:p>
        </w:tc>
        <w:tc>
          <w:tcPr>
            <w:tcW w:w="0" w:type="dxa"/>
            <w:vAlign w:val="bottom"/>
          </w:tcPr>
          <w:p>
            <w:pPr>
              <w:spacing w:after="0"/>
              <w:rPr>
                <w:sz w:val="1"/>
                <w:szCs w:val="1"/>
                <w:color w:val="auto"/>
              </w:rPr>
            </w:pPr>
          </w:p>
        </w:tc>
      </w:tr>
      <w:tr>
        <w:trPr>
          <w:trHeight w:val="149"/>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Investor</w:t>
            </w:r>
          </w:p>
        </w:tc>
        <w:tc>
          <w:tcPr>
            <w:tcW w:w="3780" w:type="dxa"/>
            <w:vAlign w:val="bottom"/>
          </w:tcPr>
          <w:p>
            <w:pPr>
              <w:spacing w:after="0"/>
              <w:rPr>
                <w:sz w:val="12"/>
                <w:szCs w:val="12"/>
                <w:color w:val="auto"/>
              </w:rPr>
            </w:pPr>
          </w:p>
        </w:tc>
        <w:tc>
          <w:tcPr>
            <w:tcW w:w="16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360" w:type="dxa"/>
            <w:vAlign w:val="bottom"/>
            <w:gridSpan w:val="2"/>
            <w:vMerge w:val="continue"/>
          </w:tcPr>
          <w:p>
            <w:pPr>
              <w:spacing w:after="0"/>
              <w:rPr>
                <w:sz w:val="13"/>
                <w:szCs w:val="13"/>
                <w:color w:val="auto"/>
              </w:rPr>
            </w:pPr>
          </w:p>
        </w:tc>
        <w:tc>
          <w:tcPr>
            <w:tcW w:w="3780" w:type="dxa"/>
            <w:vAlign w:val="bottom"/>
          </w:tcPr>
          <w:p>
            <w:pPr>
              <w:spacing w:after="0"/>
              <w:rPr>
                <w:sz w:val="13"/>
                <w:szCs w:val="13"/>
                <w:color w:val="auto"/>
              </w:rPr>
            </w:pPr>
          </w:p>
        </w:tc>
        <w:tc>
          <w:tcPr>
            <w:tcW w:w="162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93"/>
              </w:rPr>
              <w:t>Preferred Stock</w:t>
            </w:r>
          </w:p>
        </w:tc>
        <w:tc>
          <w:tcPr>
            <w:tcW w:w="120" w:type="dxa"/>
            <w:vAlign w:val="bottom"/>
          </w:tcPr>
          <w:p>
            <w:pPr>
              <w:spacing w:after="0"/>
              <w:rPr>
                <w:sz w:val="13"/>
                <w:szCs w:val="13"/>
                <w:color w:val="auto"/>
              </w:rPr>
            </w:pPr>
          </w:p>
        </w:tc>
        <w:tc>
          <w:tcPr>
            <w:tcW w:w="1140" w:type="dxa"/>
            <w:vAlign w:val="bottom"/>
            <w:gridSpan w:val="2"/>
          </w:tcPr>
          <w:p>
            <w:pPr>
              <w:jc w:val="right"/>
              <w:ind w:right="500"/>
              <w:spacing w:after="0" w:line="158"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
        </w:trPr>
        <w:tc>
          <w:tcPr>
            <w:tcW w:w="500" w:type="dxa"/>
            <w:vAlign w:val="bottom"/>
            <w:tcBorders>
              <w:bottom w:val="single" w:sz="8" w:color="CCEEFF"/>
            </w:tcBorders>
            <w:shd w:val="clear" w:color="auto" w:fill="000000"/>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Funds affiliated with Casdin Capital LLC(1)</w:t>
            </w:r>
          </w:p>
        </w:tc>
        <w:tc>
          <w:tcPr>
            <w:tcW w:w="37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723,938</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8,999,999.29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Funds affiliated with FMR LLC(2)</w:t>
            </w:r>
          </w:p>
        </w:tc>
        <w:tc>
          <w:tcPr>
            <w:tcW w:w="5400" w:type="dxa"/>
            <w:vAlign w:val="bottom"/>
            <w:gridSpan w:val="3"/>
          </w:tcPr>
          <w:p>
            <w:pPr>
              <w:jc w:val="right"/>
              <w:ind w:right="480"/>
              <w:spacing w:after="0"/>
              <w:rPr>
                <w:sz w:val="20"/>
                <w:szCs w:val="20"/>
                <w:color w:val="auto"/>
              </w:rPr>
            </w:pPr>
            <w:r>
              <w:rPr>
                <w:rFonts w:ascii="Arial" w:cs="Arial" w:eastAsia="Arial" w:hAnsi="Arial"/>
                <w:sz w:val="18"/>
                <w:szCs w:val="18"/>
                <w:color w:val="auto"/>
              </w:rPr>
              <w:t>1,608,750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19,999,998.65</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affiliated with RTW Investments, LP(3)</w:t>
            </w:r>
          </w:p>
        </w:tc>
        <w:tc>
          <w:tcPr>
            <w:tcW w:w="54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1,608,750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19,999,998.65</w:t>
            </w:r>
          </w:p>
        </w:tc>
        <w:tc>
          <w:tcPr>
            <w:tcW w:w="0" w:type="dxa"/>
            <w:vAlign w:val="bottom"/>
          </w:tcPr>
          <w:p>
            <w:pPr>
              <w:spacing w:after="0"/>
              <w:rPr>
                <w:sz w:val="1"/>
                <w:szCs w:val="1"/>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SymBiosis II, LLC</w:t>
            </w:r>
          </w:p>
        </w:tc>
        <w:tc>
          <w:tcPr>
            <w:tcW w:w="5400" w:type="dxa"/>
            <w:vAlign w:val="bottom"/>
            <w:gridSpan w:val="3"/>
          </w:tcPr>
          <w:p>
            <w:pPr>
              <w:jc w:val="right"/>
              <w:ind w:right="480"/>
              <w:spacing w:after="0"/>
              <w:rPr>
                <w:sz w:val="20"/>
                <w:szCs w:val="20"/>
                <w:color w:val="auto"/>
              </w:rPr>
            </w:pPr>
            <w:r>
              <w:rPr>
                <w:rFonts w:ascii="Arial" w:cs="Arial" w:eastAsia="Arial" w:hAnsi="Arial"/>
                <w:sz w:val="18"/>
                <w:szCs w:val="18"/>
                <w:color w:val="auto"/>
              </w:rPr>
              <w:t>482,625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5,999,998.14</w:t>
            </w:r>
          </w:p>
        </w:tc>
        <w:tc>
          <w:tcPr>
            <w:tcW w:w="0" w:type="dxa"/>
            <w:vAlign w:val="bottom"/>
          </w:tcPr>
          <w:p>
            <w:pPr>
              <w:spacing w:after="0"/>
              <w:rPr>
                <w:sz w:val="1"/>
                <w:szCs w:val="1"/>
                <w:color w:val="auto"/>
              </w:rPr>
            </w:pPr>
          </w:p>
        </w:tc>
      </w:tr>
      <w:tr>
        <w:trPr>
          <w:trHeight w:val="350"/>
        </w:trPr>
        <w:tc>
          <w:tcPr>
            <w:tcW w:w="5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780" w:type="dxa"/>
            <w:vAlign w:val="bottom"/>
          </w:tcPr>
          <w:p>
            <w:pPr>
              <w:jc w:val="right"/>
              <w:ind w:right="2410"/>
              <w:spacing w:after="0"/>
              <w:rPr>
                <w:sz w:val="20"/>
                <w:szCs w:val="20"/>
                <w:color w:val="auto"/>
              </w:rPr>
            </w:pPr>
            <w:r>
              <w:rPr>
                <w:rFonts w:ascii="Arial" w:cs="Arial" w:eastAsia="Arial" w:hAnsi="Arial"/>
                <w:sz w:val="18"/>
                <w:szCs w:val="18"/>
                <w:color w:val="auto"/>
              </w:rPr>
              <w:t>234</w:t>
            </w: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40" w:right="80" w:hanging="424"/>
        <w:spacing w:after="0" w:line="255" w:lineRule="auto"/>
        <w:tabs>
          <w:tab w:leader="none" w:pos="5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Entities affiliated with Casdin Capital LLC holding our securities are aggregated for reporting ownership information include Casdin Partners Master Fund, L.P. and Casdin Private Growth Equity Fund, L.P. Eli Casdin, a member of our board of directors is the Chief Investment Officer of Casdin Capital LLC and the managing member of Casdin Partners GP, LLC.</w:t>
      </w:r>
    </w:p>
    <w:p>
      <w:pPr>
        <w:spacing w:after="0" w:line="2" w:lineRule="exact"/>
        <w:rPr>
          <w:rFonts w:ascii="Arial" w:cs="Arial" w:eastAsia="Arial" w:hAnsi="Arial"/>
          <w:sz w:val="18"/>
          <w:szCs w:val="18"/>
          <w:color w:val="auto"/>
        </w:rPr>
      </w:pPr>
    </w:p>
    <w:p>
      <w:pPr>
        <w:ind w:left="540" w:right="440" w:hanging="424"/>
        <w:spacing w:after="0" w:line="250" w:lineRule="auto"/>
        <w:tabs>
          <w:tab w:leader="none" w:pos="5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Entities affiliated with Fidelity holding our securities are aggregate for reporting ownership information include Fidelity Advisor Series VII: Fidelity Advisor Biotechnology Fund and Fidelity Select Portfolios: Biotechnology Portfolio.</w:t>
      </w:r>
    </w:p>
    <w:p>
      <w:pPr>
        <w:ind w:left="540" w:right="200" w:hanging="424"/>
        <w:spacing w:after="0" w:line="260" w:lineRule="auto"/>
        <w:tabs>
          <w:tab w:leader="none" w:pos="5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Entities affiliated with RTW Investments, LP holding our securities are aggregate for reporting ownership information include RTW Innovation Master Fund, Ltd., RTW Master Fund, Ltd., and RTW Venture Fund Limited.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Promissory Note</w:t>
      </w:r>
    </w:p>
    <w:p>
      <w:pPr>
        <w:spacing w:after="0" w:line="121"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On September 13, 2017, we entered into a full recourse note (the Note) with Timothy Hoey, Ph.D., our Chief Scientific Officer, pursuant to which we loaned $70,000 to cover the aggregate exercise price of Dr. Hoey’s early exercise stock option for 166,666 shares of our common stock. On June 30, 2021, the full amount of the Note was repaid.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Investors’ Rights Agreement</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are party to an investors’ rights agreement, as amended, with certain holders of our capital stock, including entities affiliated with The Column Group III, LP, The Column Group III-A, LP, Casdin Partners Master Fund, L.P., Casdin Private Growth Equity Fund, L.P., Fidelity Advisor Series VII: Fidelity Advisor Biotechnology Fund, Fidelity Select Portfolios: Biotechnology Portfolio, RTW Master Fund, Ltd., RTW Innovation Master Fund, Ltd. and RTW Venture Fund Limited, and SymBiosis II, LLC,. Under our investors’ rights agreement, among other things, certain holders of our capital stock have the right to demand that we file a registration statement or request that their shares of our capital stock be covered by a registration statement that we are otherwise filing. See the section titled “Description of Capital Stock—Registration Rights” for additional information regarding these registration rights.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Agreement</w:t>
      </w:r>
    </w:p>
    <w:p>
      <w:pPr>
        <w:spacing w:after="0" w:line="121"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We are party to a voting agreement, as amended, with certain holders of our capital stock, including entities affiliated with The Column Group III, LP, The Column Group III-A, LP, Casdin Partners Master Fund, L.P., Casdin Private Growth Equity Fund, L.P., Fidelity Advisor Series VII: Fidelity Advisor Biotechnology Fund, Fidelity Select Portfolios: Biotechnology Portfolio, RTW Master Fund, Ltd., RTW Innovation Master Fund, Ltd. and RTW Venture Fund Limited, SymBiosis II, LLC, JeenJoo (JJ) Kang, a member of our board directors, and Deepak Srivastava, a member of our board of directors. The parties to the voting agreement have agreed, among other things and subject to certain conditions, to vote the shares of our capital stock held by them so as to elect the following individuals as directors: (1) two individuals designated by The Column Group III, LP and/or The Column Group III-A, LP, currently JeenJoo (JJ) Kang and David V. Goeddel, (2) one individual designated by Casdin Master Fund L.P., currently Eli Casdin,</w:t>
      </w:r>
    </w:p>
    <w:p>
      <w:pPr>
        <w:spacing w:after="0" w:line="2" w:lineRule="exact"/>
        <w:rPr>
          <w:sz w:val="20"/>
          <w:szCs w:val="20"/>
          <w:color w:val="auto"/>
        </w:rPr>
      </w:pPr>
    </w:p>
    <w:p>
      <w:pPr>
        <w:ind w:left="120" w:right="20" w:hanging="4"/>
        <w:spacing w:after="0" w:line="288" w:lineRule="auto"/>
        <w:tabs>
          <w:tab w:leader="none" w:pos="375" w:val="left"/>
        </w:tabs>
        <w:numPr>
          <w:ilvl w:val="0"/>
          <w:numId w:val="140"/>
        </w:numPr>
        <w:rPr>
          <w:rFonts w:ascii="Arial" w:cs="Arial" w:eastAsia="Arial" w:hAnsi="Arial"/>
          <w:sz w:val="16"/>
          <w:szCs w:val="16"/>
          <w:color w:val="auto"/>
        </w:rPr>
      </w:pPr>
      <w:r>
        <w:rPr>
          <w:rFonts w:ascii="Arial" w:cs="Arial" w:eastAsia="Arial" w:hAnsi="Arial"/>
          <w:sz w:val="16"/>
          <w:szCs w:val="16"/>
          <w:color w:val="auto"/>
        </w:rPr>
        <w:t>our chief executive officer, currently Faraz Ali, and (4) five individuals designated by the holders of a majority the outstanding shares of common stock and preferred stock (voting together as a single class on an as-converted basis), currently Deepak Srivastava, R. Sanders (Sandy) Williams, Jin-Long Chen, Jeffrey T. Walsh, and Catherine Stehman-Breen. Upon the consummation of this offering, the obligations of the parties to the voting agreement to vote their shares so as to elect these nominees, as well as the other rights and obligations under the voting agreement, will terminate, and none of our stockholders will have any special rights regarding the nomination, election or designation of members of our board of directors. Our existing certificate of incorporation contains provisions regarding election of members of the board of directors that correspond to the voting agreement; however, such provisions will be removed in the amended and restated certificate of incorporation that will be effective at the closing of this offering.</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100"/>
          </w:cols>
          <w:pgMar w:left="320" w:top="459" w:right="47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have entered into separate indemnification agreements with each of our directors and executive officers, in addition to the indemnification provided for in our amended and restated certificate of incorporation and bylaws. The indemnification agreements and our amended restated certificate of incorporation and bylaws that will be in effect upon the closing of this offering require us to indemnify our directors, executive officers and certain controlling persons to the fullest extent permitted by Delaware law. See the section titled “Executive Compensation—Limitation of Liability and Indemnification” for additional information.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Party Transaction Policy</w:t>
      </w:r>
    </w:p>
    <w:p>
      <w:pPr>
        <w:spacing w:after="0" w:line="121"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Our audit committee will have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The charter of our audit committee will provide that our audit committee shall review and approve in advance any related party transaction.</w:t>
      </w:r>
    </w:p>
    <w:p>
      <w:pPr>
        <w:spacing w:after="0" w:line="18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In June 2021, our board of directors adopted a formal written policy providing that we are not permitted to enter into any transaction that exceeds $120,000 and in which any related person has a direct or indirect material interest without the consent of our audit committee. In approving or rejecting any such transaction,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w:t>
      </w:r>
    </w:p>
    <w:p>
      <w:pPr>
        <w:spacing w:after="0" w:line="1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020"/>
          </w:cols>
          <w:pgMar w:left="320" w:top="459" w:right="55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beneficial ownership of our common stock as of June 30, 2021 by:</w:t>
      </w:r>
    </w:p>
    <w:p>
      <w:pPr>
        <w:spacing w:after="0" w:line="131" w:lineRule="exact"/>
        <w:rPr>
          <w:sz w:val="20"/>
          <w:szCs w:val="20"/>
          <w:color w:val="auto"/>
        </w:rPr>
      </w:pPr>
    </w:p>
    <w:p>
      <w:pPr>
        <w:ind w:left="1080" w:hanging="532"/>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each person, or group of affiliated persons, who is known by us to beneficially own more than 5% of our common stock;</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each of the named executive officers;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w:t>
      </w:r>
    </w:p>
    <w:p>
      <w:pPr>
        <w:spacing w:after="0" w:line="225"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Exchange Act.</w:t>
      </w:r>
    </w:p>
    <w:p>
      <w:pPr>
        <w:spacing w:after="0" w:line="188"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We have based our calculation of the percentage of beneficial ownership prior to this offering on 27,324,920 shares of our common stock outstanding as of June 30, 2021, after giving effect to the automatic conversion of all outstanding shares of our convertible preferred stock into 26,102,278 shares of our common stock immediately prior to the completion of this offering. We have based our calculation of the percentage of beneficial ownership after this offering on 37,324,920 shares of our common stock outstanding immediately after the completion of this offering, assuming no exercise by the underwriters of their option to purchase additional shares. We have deemed shares of our common stock subject to stock options that are currently exercisable or exercisable within 60 days of June 30, 2021,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spacing w:after="0" w:line="178"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following table does not reflect any potential purchases by our executive officers, directors, their affiliated entities or holders of more than 5% of our common stock in this offering. If any shares are purchased by these persons or entities, the number and percentage of shares of our common stock beneficially owned by them after this offering will differ from the amounts set forth in the following table.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120"/>
          </w:cols>
          <w:pgMar w:left="320" w:top="459" w:right="4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Unless otherwise indicated, the address of each beneficial owner listed in the table below is c/o Tenaya Therapeutics, Inc., 171 Oyster Point Boulevard, 5th Floor, South San Francisco, CA 94080.</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2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Shares Beneficially</w:t>
            </w:r>
          </w:p>
        </w:tc>
        <w:tc>
          <w:tcPr>
            <w:tcW w:w="20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0"/>
              </w:rPr>
              <w:t>Shares Beneficially</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140" w:type="dxa"/>
            <w:vAlign w:val="bottom"/>
            <w:gridSpan w:val="3"/>
          </w:tcPr>
          <w:p>
            <w:pPr>
              <w:jc w:val="center"/>
              <w:ind w:left="613"/>
              <w:spacing w:after="0" w:line="149" w:lineRule="exact"/>
              <w:rPr>
                <w:sz w:val="20"/>
                <w:szCs w:val="20"/>
                <w:color w:val="auto"/>
              </w:rPr>
            </w:pPr>
            <w:r>
              <w:rPr>
                <w:rFonts w:ascii="Arial" w:cs="Arial" w:eastAsia="Arial" w:hAnsi="Arial"/>
                <w:sz w:val="14"/>
                <w:szCs w:val="14"/>
                <w:b w:val="1"/>
                <w:bCs w:val="1"/>
                <w:color w:val="auto"/>
                <w:w w:val="94"/>
              </w:rPr>
              <w:t>Owned</w:t>
            </w: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2"/>
          </w:tcPr>
          <w:p>
            <w:pPr>
              <w:jc w:val="center"/>
              <w:ind w:left="593"/>
              <w:spacing w:after="0" w:line="149" w:lineRule="exact"/>
              <w:rPr>
                <w:sz w:val="20"/>
                <w:szCs w:val="20"/>
                <w:color w:val="auto"/>
              </w:rPr>
            </w:pPr>
            <w:r>
              <w:rPr>
                <w:rFonts w:ascii="Arial" w:cs="Arial" w:eastAsia="Arial" w:hAnsi="Arial"/>
                <w:sz w:val="14"/>
                <w:szCs w:val="14"/>
                <w:b w:val="1"/>
                <w:bCs w:val="1"/>
                <w:color w:val="auto"/>
                <w:w w:val="94"/>
              </w:rPr>
              <w:t>Owned</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5160" w:type="dxa"/>
            <w:vAlign w:val="bottom"/>
            <w:vMerge w:val="restart"/>
          </w:tcPr>
          <w:p>
            <w:pPr>
              <w:spacing w:after="0"/>
              <w:rPr>
                <w:sz w:val="14"/>
                <w:szCs w:val="14"/>
                <w:color w:val="auto"/>
              </w:rPr>
            </w:pPr>
          </w:p>
        </w:tc>
        <w:tc>
          <w:tcPr>
            <w:tcW w:w="22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4"/>
              </w:rPr>
              <w:t>Prior to this Offering</w:t>
            </w:r>
          </w:p>
        </w:tc>
        <w:tc>
          <w:tcPr>
            <w:tcW w:w="20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6"/>
              </w:rPr>
              <w:t>After this Offering</w:t>
            </w:r>
          </w:p>
        </w:tc>
        <w:tc>
          <w:tcPr>
            <w:tcW w:w="0" w:type="dxa"/>
            <w:vAlign w:val="bottom"/>
          </w:tcPr>
          <w:p>
            <w:pPr>
              <w:spacing w:after="0"/>
              <w:rPr>
                <w:sz w:val="1"/>
                <w:szCs w:val="1"/>
                <w:color w:val="auto"/>
              </w:rPr>
            </w:pPr>
          </w:p>
        </w:tc>
      </w:tr>
      <w:tr>
        <w:trPr>
          <w:trHeight w:val="148"/>
        </w:trPr>
        <w:tc>
          <w:tcPr>
            <w:tcW w:w="1620" w:type="dxa"/>
            <w:vAlign w:val="bottom"/>
            <w:tcBorders>
              <w:bottom w:val="single" w:sz="8" w:color="auto"/>
            </w:tcBorders>
            <w:vMerge w:val="continue"/>
          </w:tcPr>
          <w:p>
            <w:pPr>
              <w:spacing w:after="0"/>
              <w:rPr>
                <w:sz w:val="12"/>
                <w:szCs w:val="12"/>
                <w:color w:val="auto"/>
              </w:rPr>
            </w:pPr>
          </w:p>
        </w:tc>
        <w:tc>
          <w:tcPr>
            <w:tcW w:w="5160" w:type="dxa"/>
            <w:vAlign w:val="bottom"/>
            <w:vMerge w:val="continue"/>
          </w:tcPr>
          <w:p>
            <w:pPr>
              <w:spacing w:after="0"/>
              <w:rPr>
                <w:sz w:val="12"/>
                <w:szCs w:val="12"/>
                <w:color w:val="auto"/>
              </w:rPr>
            </w:pPr>
          </w:p>
        </w:tc>
        <w:tc>
          <w:tcPr>
            <w:tcW w:w="1140" w:type="dxa"/>
            <w:vAlign w:val="bottom"/>
            <w:tcBorders>
              <w:top w:val="single" w:sz="8" w:color="auto"/>
            </w:tcBorders>
            <w:gridSpan w:val="3"/>
          </w:tcPr>
          <w:p>
            <w:pPr>
              <w:ind w:left="240"/>
              <w:spacing w:after="0" w:line="129" w:lineRule="exact"/>
              <w:rPr>
                <w:sz w:val="20"/>
                <w:szCs w:val="20"/>
                <w:color w:val="auto"/>
              </w:rPr>
            </w:pPr>
            <w:r>
              <w:rPr>
                <w:rFonts w:ascii="Arial" w:cs="Arial" w:eastAsia="Arial" w:hAnsi="Arial"/>
                <w:sz w:val="14"/>
                <w:szCs w:val="14"/>
                <w:b w:val="1"/>
                <w:bCs w:val="1"/>
                <w:color w:val="auto"/>
              </w:rPr>
              <w:t>Shares</w:t>
            </w: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4"/>
              </w:rPr>
              <w:t>Percentage</w:t>
            </w:r>
          </w:p>
        </w:tc>
        <w:tc>
          <w:tcPr>
            <w:tcW w:w="400" w:type="dxa"/>
            <w:vAlign w:val="bottom"/>
          </w:tcPr>
          <w:p>
            <w:pPr>
              <w:spacing w:after="0"/>
              <w:rPr>
                <w:sz w:val="12"/>
                <w:szCs w:val="12"/>
                <w:color w:val="auto"/>
              </w:rPr>
            </w:pPr>
          </w:p>
        </w:tc>
        <w:tc>
          <w:tcPr>
            <w:tcW w:w="1120" w:type="dxa"/>
            <w:vAlign w:val="bottom"/>
            <w:tcBorders>
              <w:top w:val="single" w:sz="8" w:color="auto"/>
            </w:tcBorders>
            <w:gridSpan w:val="2"/>
          </w:tcPr>
          <w:p>
            <w:pPr>
              <w:jc w:val="right"/>
              <w:ind w:right="480"/>
              <w:spacing w:after="0" w:line="129" w:lineRule="exact"/>
              <w:rPr>
                <w:sz w:val="20"/>
                <w:szCs w:val="20"/>
                <w:color w:val="auto"/>
              </w:rPr>
            </w:pPr>
            <w:r>
              <w:rPr>
                <w:rFonts w:ascii="Arial" w:cs="Arial" w:eastAsia="Arial" w:hAnsi="Arial"/>
                <w:sz w:val="14"/>
                <w:szCs w:val="14"/>
                <w:b w:val="1"/>
                <w:bCs w:val="1"/>
                <w:color w:val="auto"/>
              </w:rPr>
              <w:t>Shares</w:t>
            </w:r>
          </w:p>
        </w:tc>
        <w:tc>
          <w:tcPr>
            <w:tcW w:w="68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7"/>
              </w:rPr>
              <w:t>Percentage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7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5% or Greater Stockholders:</w:t>
            </w: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Entities affiliated with The Column Group(1)</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9,400,290</w:t>
            </w:r>
          </w:p>
        </w:tc>
        <w:tc>
          <w:tcPr>
            <w:tcW w:w="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34.4%</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9,400,290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25.19%</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Casdin Group(2)</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2,736,818</w:t>
            </w: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2,736,818</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SymBiosis II, LLC(3)</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1,992,285</w:t>
            </w:r>
          </w:p>
        </w:tc>
        <w:tc>
          <w:tcPr>
            <w:tcW w:w="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7.3</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1,992,285</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FMR LLC(4)</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1,608,750</w:t>
            </w: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1,608,750</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Entities affiliated with RTW(5)</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1,608,750</w:t>
            </w:r>
          </w:p>
        </w:tc>
        <w:tc>
          <w:tcPr>
            <w:tcW w:w="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5.9</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1,608,750</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Named Executive Officers and Directors:</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Faraz Ali, M.B.A.(6)</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507,462</w:t>
            </w:r>
          </w:p>
        </w:tc>
        <w:tc>
          <w:tcPr>
            <w:tcW w:w="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1.8</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507,462</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Hoey, Ph.D.(7)</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206,178</w:t>
            </w: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206,178</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Whittemore (Whit) Tingley, M.D., Ph.D.(8)</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83,263</w:t>
            </w:r>
          </w:p>
        </w:tc>
        <w:tc>
          <w:tcPr>
            <w:tcW w:w="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83,263</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 Casdin, M.B.A.(2)</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2,736,818</w:t>
            </w: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2,736,818</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Jin-Long Chen, Ph.D.(9)</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30,000</w:t>
            </w:r>
          </w:p>
        </w:tc>
        <w:tc>
          <w:tcPr>
            <w:tcW w:w="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30,000</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V. Goeddel, Ph.D.(1)</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9,400,290</w:t>
            </w: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34.4</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9,400,290</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25.19</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JeenJoo (JJ) Kang, Ph.D.(10)</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25,000</w:t>
            </w:r>
          </w:p>
        </w:tc>
        <w:tc>
          <w:tcPr>
            <w:tcW w:w="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25,000</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Catherine Stehman-Breen, M.D.(11)</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8,750</w:t>
            </w: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8,750</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Deepak Srivastava, M.D.(12)</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334,721</w:t>
            </w:r>
          </w:p>
        </w:tc>
        <w:tc>
          <w:tcPr>
            <w:tcW w:w="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1.2</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334,721</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T. Walsh, M.B.A.(13)</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12,291</w:t>
            </w: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12,291</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R. Sanders (Sandy) Williams, M.D.(14)</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29,999</w:t>
            </w:r>
          </w:p>
        </w:tc>
        <w:tc>
          <w:tcPr>
            <w:tcW w:w="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29,999</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All executive officers and directors as a group (12 persons)(15)</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13,374,772</w:t>
            </w: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47.7%</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13,374,772</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Represents beneficial ownership of less than 1% of the outstanding shares of our common stock.</w:t>
      </w:r>
    </w:p>
    <w:p>
      <w:pPr>
        <w:spacing w:after="0" w:line="23" w:lineRule="exact"/>
        <w:rPr>
          <w:sz w:val="20"/>
          <w:szCs w:val="20"/>
          <w:color w:val="auto"/>
        </w:rPr>
      </w:pPr>
    </w:p>
    <w:p>
      <w:pPr>
        <w:ind w:left="540" w:right="60" w:hanging="424"/>
        <w:spacing w:after="0" w:line="250" w:lineRule="auto"/>
        <w:tabs>
          <w:tab w:leader="none" w:pos="5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Consists of 4,414,720 shares held directly by The Column Group III, LP and 4,985,570 shares held directly by The Column Group III-A, LP (Column Group Funds). The Column Group III GP, LP (TCG III GP) is the general partner of each of the Column Group Funds. The managing partners of TCG III GP are David V. Goeddel, Peter Svennilson and Tim Kutzkey who may be deemed to share voting and investment power with respect to the shares, and each of whom disclaim beneficial ownership of the shares held by the Column Group Funds except to the extent of their pecuniary interests therein, if any. Dr. Goeddel is a member of our board of directors. The address of the Column Group Funds is 1 Letterman Drive, Building D, Suite DM-900, San Francisco, CA 94129.</w:t>
      </w:r>
    </w:p>
    <w:p>
      <w:pPr>
        <w:spacing w:after="0" w:line="2" w:lineRule="exact"/>
        <w:rPr>
          <w:rFonts w:ascii="Arial" w:cs="Arial" w:eastAsia="Arial" w:hAnsi="Arial"/>
          <w:sz w:val="18"/>
          <w:szCs w:val="18"/>
          <w:color w:val="auto"/>
        </w:rPr>
      </w:pPr>
    </w:p>
    <w:p>
      <w:pPr>
        <w:ind w:left="540" w:right="60" w:hanging="424"/>
        <w:spacing w:after="0" w:line="250" w:lineRule="auto"/>
        <w:tabs>
          <w:tab w:leader="none" w:pos="5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Consists of 2,374,849 shares held directly by Casdin Partners Master Fund, L.P. (CPMF) and 361,969 shares held directly by Casdin Private Growth Equity Fund, L.P. (CPGEF). Casdin Capital, LLC is the investment advisor to CPMF and CPGEF. Casdin Partners GP, LLC is the general partner of CPMF. Casdin Private Growth Equity Fund GP, LLC is the general partner of CPGEF. Eli Casdin, a member of our board of directors, is the managing member of Casdin Capital, LLC, Casdin Partners GP, LLC and Casdin Private Growth Equity Fund GP, LLC and may be deemed to have voting and investment power with respect to the shares and who disclaims beneficial ownership of the shares except to the extent of his pecuniary interests therein, if any. The address of these entities and individuals is 1350 Avenue of the Americas, Suite 2600, New York, NY 10019.</w:t>
      </w:r>
    </w:p>
    <w:p>
      <w:pPr>
        <w:spacing w:after="0" w:line="2" w:lineRule="exact"/>
        <w:rPr>
          <w:rFonts w:ascii="Arial" w:cs="Arial" w:eastAsia="Arial" w:hAnsi="Arial"/>
          <w:sz w:val="18"/>
          <w:szCs w:val="18"/>
          <w:color w:val="auto"/>
        </w:rPr>
      </w:pPr>
    </w:p>
    <w:p>
      <w:pPr>
        <w:ind w:left="540" w:right="600" w:hanging="424"/>
        <w:spacing w:after="0" w:line="250" w:lineRule="auto"/>
        <w:tabs>
          <w:tab w:leader="none" w:pos="5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These shares are beneficially owned by Thomas Layton Walton. The shares are directly held by SymBiosis II, LLC over which Mr. Walton exercises sole investment power. The address of Mr. Walton is PO Box 1860, Bentonville, AR 72712.</w:t>
      </w:r>
    </w:p>
    <w:p>
      <w:pPr>
        <w:ind w:left="540" w:hanging="424"/>
        <w:spacing w:after="0"/>
        <w:tabs>
          <w:tab w:leader="none" w:pos="54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Consists of 402,187 shares held by Fidelity Advisor Series VII: Advisor Biotechnology Fund (Advisor Series VII) and 1,206,563 shares held</w:t>
      </w:r>
    </w:p>
    <w:p>
      <w:pPr>
        <w:spacing w:after="0" w:line="20" w:lineRule="exact"/>
        <w:rPr>
          <w:rFonts w:ascii="Arial" w:cs="Arial" w:eastAsia="Arial" w:hAnsi="Arial"/>
          <w:sz w:val="17"/>
          <w:szCs w:val="17"/>
          <w:color w:val="auto"/>
        </w:rPr>
      </w:pPr>
    </w:p>
    <w:p>
      <w:pPr>
        <w:ind w:left="540"/>
        <w:spacing w:after="0" w:line="253" w:lineRule="auto"/>
        <w:rPr>
          <w:rFonts w:ascii="Arial" w:cs="Arial" w:eastAsia="Arial" w:hAnsi="Arial"/>
          <w:sz w:val="17"/>
          <w:szCs w:val="17"/>
          <w:color w:val="auto"/>
        </w:rPr>
      </w:pPr>
      <w:r>
        <w:rPr>
          <w:rFonts w:ascii="Arial" w:cs="Arial" w:eastAsia="Arial" w:hAnsi="Arial"/>
          <w:sz w:val="18"/>
          <w:szCs w:val="18"/>
          <w:color w:val="auto"/>
        </w:rPr>
        <w:t>directly by Fidelity Select Portfolios: Biotechnology Portfolio (Select Portfolios). These accounts are managed by direct or indirect subsidiaries of FMR LLC. Abigail P. Johnson is a director, the chairman, the chief executive officer and president of FMR LLC. Members of the Johnson family, including Abigail P. Johnson, are the predominant owners, directly or through trusts, of Series B voting common shares of FMR LLC, representing 49% of the voting power of FMR LLC. The Johnson</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140"/>
          </w:cols>
          <w:pgMar w:left="320" w:top="459" w:right="4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
        <w:spacing w:after="0" w:line="267" w:lineRule="auto"/>
        <w:rPr>
          <w:sz w:val="20"/>
          <w:szCs w:val="20"/>
          <w:color w:val="auto"/>
        </w:rPr>
      </w:pPr>
      <w:r>
        <w:rPr>
          <w:rFonts w:ascii="Arial" w:cs="Arial" w:eastAsia="Arial" w:hAnsi="Arial"/>
          <w:sz w:val="17"/>
          <w:szCs w:val="17"/>
          <w:color w:val="auto"/>
        </w:rPr>
        <w:t>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(the Fidelity Funds) advised by Fidelity Management &amp; Research Company (FMR Co.), a wholly owned subsidiary of FMR LLC, which power resides with the Fidelity Funds’ Board of Trustees. FMR Co. carries out the voting of the shares under written guidelines established by the Fidelity Funds’ Board of Trustees. The address of FMR LLC is 245 Summer Street, Boston, MA 02210.</w:t>
      </w:r>
    </w:p>
    <w:p>
      <w:pPr>
        <w:spacing w:after="0" w:line="3" w:lineRule="exact"/>
        <w:rPr>
          <w:sz w:val="20"/>
          <w:szCs w:val="20"/>
          <w:color w:val="auto"/>
        </w:rPr>
      </w:pPr>
    </w:p>
    <w:p>
      <w:pPr>
        <w:ind w:left="540" w:hanging="424"/>
        <w:spacing w:after="0" w:line="250" w:lineRule="auto"/>
        <w:tabs>
          <w:tab w:leader="none" w:pos="5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Consists of 1,608,750 shares in the aggregate held by RTW Innovation Master Fund, Ltd., RTW Master Fund, Ltd. and RTW Venture Fund Limited. Roderick Wong is the managing partner and chief investment officer of RTW Investments, LP and as such has sole voting and investment control over the shares. Dr. Wong disclaims beneficial ownership of the shares except to the extent of his pecuniary interest therein, if any. The address of the RTW funds is 40 10th Avenue, Floor 7, New York, NY 10014.</w:t>
      </w:r>
    </w:p>
    <w:p>
      <w:pPr>
        <w:spacing w:after="0" w:line="1" w:lineRule="exact"/>
        <w:rPr>
          <w:rFonts w:ascii="Arial" w:cs="Arial" w:eastAsia="Arial" w:hAnsi="Arial"/>
          <w:sz w:val="18"/>
          <w:szCs w:val="18"/>
          <w:color w:val="auto"/>
        </w:rPr>
      </w:pPr>
    </w:p>
    <w:p>
      <w:pPr>
        <w:ind w:left="540" w:right="240" w:hanging="424"/>
        <w:spacing w:after="0" w:line="250" w:lineRule="auto"/>
        <w:tabs>
          <w:tab w:leader="none" w:pos="5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Consists of 507,462 shares subject to outstanding options that are exercisable within 60 days of June 30, 2021, of which 155,833 shares may be repurchased by us, if exercised, at the original exercise price per share.</w:t>
      </w:r>
    </w:p>
    <w:p>
      <w:pPr>
        <w:ind w:left="540" w:right="120" w:hanging="424"/>
        <w:spacing w:after="0" w:line="250" w:lineRule="auto"/>
        <w:tabs>
          <w:tab w:leader="none" w:pos="5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Consists of 166,666 shares held directly by Dr. Hoey and 39,512 shares subject to outstanding options that are exercisable within 60 days of June 30, 2021, of which 11,805 shares may be repurchased by us, if exercised, at the original exercise price per share.</w:t>
      </w:r>
    </w:p>
    <w:p>
      <w:pPr>
        <w:ind w:left="540" w:right="420" w:hanging="424"/>
        <w:spacing w:after="0" w:line="250" w:lineRule="auto"/>
        <w:tabs>
          <w:tab w:leader="none" w:pos="5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Consists of 83,263 shares subject to outstanding options that are exercisable within 60 days of June 30, 2021, of which 25,000 shares may be repurchased by us, if exercised, at the original exercise price per share.</w:t>
      </w:r>
    </w:p>
    <w:p>
      <w:pPr>
        <w:ind w:left="540" w:hanging="424"/>
        <w:spacing w:after="0"/>
        <w:tabs>
          <w:tab w:leader="none" w:pos="5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Includes 5,000 shares subject to outstanding options that are exercisable within 60 days of June 30, 2021.</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Consists of 25,000 shares held directly by Dr. Kang. Excludes 9,400,290 shares held by The Column Group funds as set forth in footnote</w:t>
      </w:r>
    </w:p>
    <w:p>
      <w:pPr>
        <w:spacing w:after="0" w:line="20" w:lineRule="exact"/>
        <w:rPr>
          <w:rFonts w:ascii="Arial" w:cs="Arial" w:eastAsia="Arial" w:hAnsi="Arial"/>
          <w:sz w:val="17"/>
          <w:szCs w:val="17"/>
          <w:color w:val="auto"/>
        </w:rPr>
      </w:pPr>
    </w:p>
    <w:p>
      <w:pPr>
        <w:ind w:left="540"/>
        <w:spacing w:after="0"/>
        <w:rPr>
          <w:rFonts w:ascii="Arial" w:cs="Arial" w:eastAsia="Arial" w:hAnsi="Arial"/>
          <w:sz w:val="17"/>
          <w:szCs w:val="17"/>
          <w:color w:val="auto"/>
        </w:rPr>
      </w:pPr>
      <w:r>
        <w:rPr>
          <w:rFonts w:ascii="Arial" w:cs="Arial" w:eastAsia="Arial" w:hAnsi="Arial"/>
          <w:sz w:val="18"/>
          <w:szCs w:val="18"/>
          <w:color w:val="auto"/>
        </w:rPr>
        <w:t>(1) above for which Dr. Kang has no voting or investment control.</w:t>
      </w:r>
    </w:p>
    <w:p>
      <w:pPr>
        <w:spacing w:after="0" w:line="9" w:lineRule="exact"/>
        <w:rPr>
          <w:rFonts w:ascii="Arial" w:cs="Arial" w:eastAsia="Arial" w:hAnsi="Arial"/>
          <w:sz w:val="17"/>
          <w:szCs w:val="17"/>
          <w:color w:val="auto"/>
        </w:rPr>
      </w:pPr>
    </w:p>
    <w:p>
      <w:pPr>
        <w:ind w:left="540" w:hanging="424"/>
        <w:spacing w:after="0"/>
        <w:tabs>
          <w:tab w:leader="none" w:pos="5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Consists of 8,750 shares subject to outstanding options that are exercisable within 60 days of June 30, 2021.</w:t>
      </w:r>
    </w:p>
    <w:p>
      <w:pPr>
        <w:spacing w:after="0" w:line="9" w:lineRule="exact"/>
        <w:rPr>
          <w:rFonts w:ascii="Arial" w:cs="Arial" w:eastAsia="Arial" w:hAnsi="Arial"/>
          <w:sz w:val="18"/>
          <w:szCs w:val="18"/>
          <w:color w:val="auto"/>
        </w:rPr>
      </w:pPr>
    </w:p>
    <w:p>
      <w:pPr>
        <w:jc w:val="both"/>
        <w:ind w:left="540" w:hanging="424"/>
        <w:spacing w:after="0" w:line="281" w:lineRule="auto"/>
        <w:tabs>
          <w:tab w:leader="none" w:pos="54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Consists of 162,500 shares held directly by Dr. Srivastava and 141,666 shares held directly by Gladstone Institutes for which Dr. Srivastava serves as President and may be deemed to have voting and investment control over the shares. Dr. Srivastava disclaims beneficial ownership of the shares held by Gladstone Institutes. Also includes 30,555 shares subject to outstanding options that are exercisable within 60 days of June 30, 2021.</w:t>
      </w:r>
    </w:p>
    <w:p>
      <w:pPr>
        <w:spacing w:after="0" w:line="1" w:lineRule="exact"/>
        <w:rPr>
          <w:rFonts w:ascii="Arial" w:cs="Arial" w:eastAsia="Arial" w:hAnsi="Arial"/>
          <w:sz w:val="16"/>
          <w:szCs w:val="16"/>
          <w:color w:val="auto"/>
        </w:rPr>
      </w:pPr>
    </w:p>
    <w:p>
      <w:pPr>
        <w:ind w:left="540" w:hanging="424"/>
        <w:spacing w:after="0"/>
        <w:tabs>
          <w:tab w:leader="none" w:pos="5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Includes 12,291 shares subject to outstanding options that are exercisable within 60 days of June 30, 2021.</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Consists of 29,999 shares held directly by Dr. Williams.</w:t>
      </w:r>
    </w:p>
    <w:p>
      <w:pPr>
        <w:spacing w:after="0" w:line="9" w:lineRule="exact"/>
        <w:rPr>
          <w:rFonts w:ascii="Arial" w:cs="Arial" w:eastAsia="Arial" w:hAnsi="Arial"/>
          <w:sz w:val="18"/>
          <w:szCs w:val="18"/>
          <w:color w:val="auto"/>
        </w:rPr>
      </w:pPr>
    </w:p>
    <w:p>
      <w:pPr>
        <w:ind w:left="540" w:right="440" w:hanging="424"/>
        <w:spacing w:after="0" w:line="260" w:lineRule="auto"/>
        <w:tabs>
          <w:tab w:leader="none" w:pos="5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Includes 686,833 shares subject to outstanding options that are exercisable within 60 days of June 30, 2021, of which 192,638 shares may be repurchased by us, if exercised, at the original exercise price per share.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120"/>
          </w:cols>
          <w:pgMar w:left="320" w:top="459" w:right="45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The following descriptions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upon completion of this offering. Copies of these documents will be filed with the SEC as exhibits to our registration statement of which this prospectus forms a part. The descriptions of the common stock and preferred stock reflect changes to our capital structure that will occur upon the completion of this offering.</w:t>
      </w:r>
    </w:p>
    <w:p>
      <w:pPr>
        <w:spacing w:after="0" w:line="188"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Immediately prior to the completion of this offering, upon the filing of our amended and restated certificate of incorporation to be effective upon completion of this offering, our authorized capital stock will consist of 1,000,000,000 shares of common stock, par value $0.0001 per share, and 200,000,000 shares of preferred stock, par value $0.0001 per share.</w:t>
      </w:r>
    </w:p>
    <w:p>
      <w:pPr>
        <w:spacing w:after="0" w:line="184"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Immediately prior to the completion of this offering, all the outstanding shares of our convertible preferred stock will automatically convert into an aggregate of 26,102,278 shares of our common stock.</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Based on 27,324,727 shares of common stock outstanding as of March 31, 2021, and after giving effect to the automatic conversion of all of our outstanding convertible preferred stock into an aggregate of 26,102,278 shares of common stock immediately prior to the completion of this offering and the issuance of 10,000,000 shares of common stock in this offering, there will be 37,324,727 shares of common stock outstanding upon the completion of this offering. As of March 31, 2021, we had 82 stockholders of record.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Each holder of common stock is entitled to one vote for each share on all matters submitted to a vote of the stockholders, including the election of directors. Our amended and restated certificate of incorporation and amended and restated bylaws to be in effect upon the completion of this offering do not provide for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Subject to preferences that may be applicable to any then-outstanding preferred stock, holders of our common stock are entitled to receive dividends, if any, as may be declared from time to time by our board of directors out of legally available funds.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1140"/>
          </w:cols>
          <w:pgMar w:left="320" w:top="459" w:right="4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Rights, Preferences and Privileges</w:t>
      </w:r>
    </w:p>
    <w:p>
      <w:pPr>
        <w:spacing w:after="0" w:line="11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All of our outstanding shares of common stock are, and the shares of common stock to be issued in this offering, upon payment and delivery in accordance with the underwriting agreement, will be fully paid and nonassessable.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Upon the completion of this offering, our board of directors will have the authority, without further action by the stockholders, to issue up to 200,000,000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our control or other corporate action. Upon the completion of this offering, no shares of preferred stock will be outstanding, and we have no present plan to issue any shares of preferred stock.</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As of March 31, 2021, we had outstanding options to purchase an aggregate of 1,727,968 shares of our common stock, with a weighted-average exercise price of $3.06 per share, under our 2016 Plan.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After the completion of this offering, under our investors’ rights agreement, as amended, the holders of up to 26,102,278 shares of common stock or their transferees, will have the right to require us to register the offer and sale of their shares or to include their shares in any registration statement we file, in each case as described below.</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color w:val="auto"/>
        </w:rPr>
        <w:t>After the completion of this offering, the holders of up to 26,102,278 shares of our common stock will be entitled to certain demand registration rights. At any time beginning after 180 days following the date of effectiveness of the registration statement of which this prospectus forms a part, the holders of at least 50% of the shares having registration rights then outstanding can request that we file a registration statement to register the offer and sale of their shares. We are only obligated to effect up to two such registrations. Each such request for registration must cover securities of which the anticipated aggregate gross proceeds, before deducting underwriting discounts and expenses, is at least $10.0 million. These demand registration rights are subject to specified conditions and limitations, including the right of the underwriters to limit the number of shares included in any such registration under certain circumstances. If we determine that it would be materially detrimental to us and our stockholders to effect such a demand registration, we have the right to defer such registration, not more than twice in any twelve-month period, for a period of up to 90 days.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After the completion of this offering, the holders of up to 26,102,278 shares of our common stock will be entitled to certain Form S-3 registration rights. At any time after the completion of this offering when we are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140"/>
          </w:cols>
          <w:pgMar w:left="320" w:top="459" w:right="4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eligible to file a registration statement on Form S-3, any holders having these rights then outstanding can request that we register the offer and sale of their shares of our common stock on a registration statement on Form S-3 so long as the request covers securities the anticipated aggregate public offering price of which is at least $1.0 million. These stockholders may make an unlimited number of requests for registration on a registration statement on Form S-3. However, we will not be required to effect a registration on Form S-3 if we have effected two such registrations within the twelve month period preceding the date of the request. These Form S-3 registration rights are subject to specified conditions and limitations, including the right of the underwriters to limit the number of shares included in any such registration under certain circumstances. Additionally, if we determine that it would be seriously detrimental to us and our stockholders to effect such a demand registration, we have the right to defer such registration, not more than twice in any twelve month period, for a period of up to 90 days.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After the completion of this offering, the holders of up to 26,102,278 shares of our common stock will be entitled to certain “piggyback” registration rights. If we propose to register the offer and sale of shares of our common stock under the Securities Act, the holders of these shares can request that we include their shares in such registration, subject to certain marketing and other limitations, including the right of the underwriters to limit the number of shares included in any such registration statement under certain circumstances. As a result, whenever we propose to file a registration statement under the Securities Act, other than with respect to (i) a registration solely to employee benefit plans; (ii) a registration relating to the offer and sale of debt securities; (iii) a registration relating to a corporate reorganization or other transaction covered by Rule 145 promulgated under the Securities Act; (iv) a registration on any registration form that does not permit secondary sales; or (v) a registration pursuant to the demand or Form S-3 registration rights described in the preceding two paragraphs above, the holders of these shares are entitled to notice of the registration and have the right, subject to certain limitations, to include their shares in the registration.</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will pay all expenses relating to any demand registrations, Form S-3 registrations and piggyback registrations, subject to specified exceptions.</w:t>
      </w:r>
    </w:p>
    <w:p>
      <w:pPr>
        <w:spacing w:after="0" w:line="35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Termination</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registration rights terminate upon the earliest of (i) the date that is four years after the closing of this offering; (ii) immediately prior to the closing of certain liquidation events; and (iii) as to a given holder of registration rights, the date after the closing of this offering when such holder of registration rights can sell all of such holder’s registrable securities during any 90-day period pursuant to Rule 144 promulgated under the Securities Act.</w:t>
      </w:r>
    </w:p>
    <w:p>
      <w:pPr>
        <w:spacing w:after="0" w:line="253" w:lineRule="exact"/>
        <w:rPr>
          <w:sz w:val="20"/>
          <w:szCs w:val="20"/>
          <w:color w:val="auto"/>
        </w:rPr>
      </w:pPr>
    </w:p>
    <w:p>
      <w:pPr>
        <w:ind w:left="120" w:right="80"/>
        <w:spacing w:after="0" w:line="282" w:lineRule="auto"/>
        <w:rPr>
          <w:sz w:val="20"/>
          <w:szCs w:val="20"/>
          <w:color w:val="auto"/>
        </w:rPr>
      </w:pPr>
      <w:r>
        <w:rPr>
          <w:rFonts w:ascii="Arial" w:cs="Arial" w:eastAsia="Arial" w:hAnsi="Arial"/>
          <w:sz w:val="18"/>
          <w:szCs w:val="18"/>
          <w:b w:val="1"/>
          <w:bCs w:val="1"/>
          <w:color w:val="auto"/>
        </w:rPr>
        <w:t>Anti-Takeover Effects of Certain Provisions of Delaware Law, Our Amended and Restated Certificate of Incorporation and Our Amended and Restated Bylaws</w:t>
      </w:r>
    </w:p>
    <w:p>
      <w:pPr>
        <w:spacing w:after="0" w:line="58" w:lineRule="exact"/>
        <w:rPr>
          <w:sz w:val="20"/>
          <w:szCs w:val="20"/>
          <w:color w:val="auto"/>
        </w:rPr>
      </w:pPr>
    </w:p>
    <w:p>
      <w:pPr>
        <w:jc w:val="both"/>
        <w:ind w:left="120" w:right="520" w:firstLine="440"/>
        <w:spacing w:after="0" w:line="259" w:lineRule="auto"/>
        <w:rPr>
          <w:sz w:val="20"/>
          <w:szCs w:val="20"/>
          <w:color w:val="auto"/>
        </w:rPr>
      </w:pPr>
      <w:r>
        <w:rPr>
          <w:rFonts w:ascii="Arial" w:cs="Arial" w:eastAsia="Arial" w:hAnsi="Arial"/>
          <w:sz w:val="18"/>
          <w:szCs w:val="18"/>
          <w:color w:val="auto"/>
        </w:rPr>
        <w:t>Certain provisions of Delaware law and certain provisions that will be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Our amended and restated certificate of incorporation will contain provisions that permit our board of directors to issue, without any further vote or action by the stockholders, shares of preferred stock in one or more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242</w:t>
      </w:r>
    </w:p>
    <w:p>
      <w:pPr>
        <w:sectPr>
          <w:pgSz w:w="11900" w:h="16838" w:orient="portrait"/>
          <w:cols w:equalWidth="0" w:num="1">
            <w:col w:w="11140"/>
          </w:cols>
          <w:pgMar w:left="320" w:top="459" w:right="4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Classified Board</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Our amended and restated certificate of incorporation will provide that our board of directors is divided into three classes, designated Class I, Class II and Class III. Each class will be an equal number of directors, as nearly as possible, consisting of one third of the total number of directors constituting the entire board of directors. The term of initial Class I directors shall terminate on the date of the 2022 annual meeting, the term of the initial Class II directors shall terminate on the date of the 2023 annual meeting, and the term of the initial Class III directors shall terminate on the date of the 2024 annual meeting. At each annual meeting of stockholders beginning in 2022, the class of directors whose term expires at that annual meeting will be subject to reelection for a three-year term.</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amended and restated certificate of incorporation will provide that stockholders may only remove a director for cause by a vote of no less than a majority of the shares present in person or by proxy at the meeting and entitled to vote.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Director Vacancies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amended and restated certificate of incorporation will authorize only our board of directors to fill vacant directorships.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1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Our amended and restated certificate of incorporation will provide that stockholders do not have the right to cumulate votes in the election of directors.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will provide that, except as otherwise required by law, special meetings of the stockholders may be called only by an officer at the request of a majority of our board of directors, by the Chair of our board of directors or by our Chief Executive Officer.</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Advance Notice Procedures for Director Nominations</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Our amended and restated bylaws will provide that stockholders seeking to nominate candidates for election as directors at an annual or special meeting of stockholders must provide timely notice thereof in writing. To be timely, a stockholder’s notice generally will have to be delivered to and received at our principal executive offices before notice of the meeting is issued by the secretary of the company, with such notice being served not less than 90 nor more than 120 days before the meeting. Although the amended and restated bylaws will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243</w:t>
      </w:r>
    </w:p>
    <w:p>
      <w:pPr>
        <w:sectPr>
          <w:pgSz w:w="11900" w:h="16838" w:orient="portrait"/>
          <w:cols w:equalWidth="0" w:num="1">
            <w:col w:w="11120"/>
          </w:cols>
          <w:pgMar w:left="320" w:top="459" w:right="45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117" w:lineRule="exact"/>
        <w:rPr>
          <w:sz w:val="20"/>
          <w:szCs w:val="20"/>
          <w:color w:val="auto"/>
        </w:rPr>
      </w:pPr>
    </w:p>
    <w:p>
      <w:pPr>
        <w:ind w:left="120" w:right="860" w:firstLine="440"/>
        <w:spacing w:after="0" w:line="342" w:lineRule="auto"/>
        <w:rPr>
          <w:sz w:val="20"/>
          <w:szCs w:val="20"/>
          <w:color w:val="auto"/>
        </w:rPr>
      </w:pPr>
      <w:r>
        <w:rPr>
          <w:rFonts w:ascii="Arial" w:cs="Arial" w:eastAsia="Arial" w:hAnsi="Arial"/>
          <w:sz w:val="16"/>
          <w:szCs w:val="16"/>
          <w:color w:val="auto"/>
        </w:rPr>
        <w:t>Our amended and restated certificate of incorporation and amended and restated bylaws will provide that any action to be taken by the stockholders must be effected at a duly called annual or special meeting of stockholders and may not be effected by written consent.</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Amending Our Certificate of Incorporation and Bylaws</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Our amended and restated certificate of incorporation may be amended or altered in any manner provided by the Delaware General Corporation Law (DGCL). Our amended and restated bylaws may be adopted, amended, altered or repealed by stockholders only upon approval of at least majority of the voting power of all the then outstanding shares of the common stock, except for any amendment of the above provisions, which would require the approval of a two-thirds majority of our then outstanding common stock. Additionally, our amended and restated certificate of incorporation will provide that our bylaws may be amended, altered or repealed by the board of directors.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117"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Our authorized but unissued shares of common stock and preferred stock will be available for future issuances without stockholder approval, except as required by the listing standards of the Nasdaq Stock Market,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the company by means of a proxy contest, tender offer, merger or otherwise.</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Exclusive Jurisdiction</w:t>
      </w:r>
    </w:p>
    <w:p>
      <w:pPr>
        <w:spacing w:after="0" w:line="11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Our amended and restated bylaws will provide that, unless we consent to the selection of an alternative forum, the Court of Chancery of the State of Delaware shall be the sole and exclusive forum for any derivative action or proceeding brought on our behalf, any action asserting a claim of breach of fiduciary duty, any action asserting a claim arising pursuant to the DGCL, any action regarding our amended and restated certificate of incorporation or amended and restated bylaws, or any action asserting a claim against us that is governed by the internal affairs doctrine. This provision would not apply to suits brought to enforce a duty or liability created by the Exchange Act or any other claim for which the U.S. federal courts have exclusive jurisdiction. Our amended and restated bylaws further provide that the federal district courts of the United States of America will be the exclusive forum for resolving any complaint asserting a cause of action arising under the Securities Act. Any person or entity purchasing or otherwise acquiring any interest in our securities shall be deemed to have notice of and consented to these provisions. Although we believe these provisions benefit us by providing increased consistency in the application of law for the specified types of actions and proceedings, the provisions may have the effect of discouraging lawsuits against us or our directors and officers. There is uncertainty as to whether a court would enforce such provisions, and the enforceability of similar choice of forum provisions in other companies’ charter documents has been challenged in legal proceedings. We also note that stockholders cannot waive compliance (or consent to noncompliance) with the federal securities laws and the rules and regulations thereunder. See the section titled “Risk factors—Our amended and restated bylaws that will become effective upon the closing of this offering provide that the Court of Chancery of the State of Delaware and the federal district courts of the United States of America will be the exclusive forum for substantially all disputes between us and our stockholders, which could limit our stockholders’ ability to obtain a favorable judicial forum for disputes with us or our directors, officers or employees.”</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Business Combinations with Interested Stockholders</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are governed by Section 203 of the DGCL. Subject to certain exceptions, Section 203 of the DGCL prohibits a public Delaware corporation from engaging in a business combination (as defined in such section)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244</w:t>
      </w:r>
    </w:p>
    <w:p>
      <w:pPr>
        <w:sectPr>
          <w:pgSz w:w="11900" w:h="16838" w:orient="portrait"/>
          <w:cols w:equalWidth="0" w:num="1">
            <w:col w:w="11080"/>
          </w:cols>
          <w:pgMar w:left="320" w:top="459" w:right="49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9" w:lineRule="auto"/>
        <w:rPr>
          <w:sz w:val="20"/>
          <w:szCs w:val="20"/>
          <w:color w:val="auto"/>
        </w:rPr>
      </w:pPr>
      <w:r>
        <w:rPr>
          <w:rFonts w:ascii="Arial" w:cs="Arial" w:eastAsia="Arial" w:hAnsi="Arial"/>
          <w:sz w:val="17"/>
          <w:szCs w:val="17"/>
          <w:color w:val="auto"/>
        </w:rPr>
        <w:t>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(1) by persons who are directors and also officers of such corporation and (2)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182"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Our amended and restated certificate of incorporation and our amended and restated bylaws will provide that we must indemnify our directors and officers to the fullest extent authorized by the DGCL. We are expressly authorized to, and do, carry directors’ and officers’ insurance providing coverage for our directors, officers and certain employees for some liabilities. We believe that these indemnification provisions and insurance are useful to attract and retain qualified directors and executive officers.</w:t>
      </w:r>
    </w:p>
    <w:p>
      <w:pPr>
        <w:spacing w:after="0" w:line="18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limitation on liability and indemnification provisions in our certificate of incorporation and bylaws may discourage stockholders from bringing a lawsuit against directors for breach of their fiduciary duty. These provisions may also have the effect of reducing the likelihood of derivative litigation against directors and officers, even though such an action, if successful, might otherwise benefit us and our stockholders. In addition, each investor’s investment may be adversely affected to the extent we pay the costs of settlement and damage awards against directors and officers pursuant to these indemnification provisions.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Listing</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applied to list our common stock on the Nasdaq Stock Market under the symbol “TNYA.”</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Upon completion of this offering, the transfer agent and registrar for our common stock will be Computershare Trust Company, N.A. The transfer agent and registrar’s address is 150 Royall Street, Canton, Massachusetts 02021.</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245</w:t>
      </w:r>
    </w:p>
    <w:p>
      <w:pPr>
        <w:sectPr>
          <w:pgSz w:w="11900" w:h="16838" w:orient="portrait"/>
          <w:cols w:equalWidth="0" w:num="1">
            <w:col w:w="11120"/>
          </w:cols>
          <w:pgMar w:left="320" w:top="459" w:right="45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Prior to this offering, there has been no public market for our common stock, and although we expect that our common stock will be approved for listing on the Nasdaq Stock Market, we cannot assure investors that there will be an active public market for our common stock following this offering. We cannot predict what effect, if any, sales of our shares in the public market or the availability of shares for sale will have on the market price of our common stock. Future sales of substantial amounts of common stock in the public market, including shares issued upon exercise of outstanding options, or the perception that such sales may occur, however, could adversely affect the market price of our common stock and also could adversely affect our future ability to raise capital through the sale of our common stock or other equity-related securities of ours at times and prices we believe appropriate.</w:t>
      </w:r>
    </w:p>
    <w:p>
      <w:pPr>
        <w:spacing w:after="0" w:line="16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Upon completion of this offering, based on our shares outstanding as of March 31, 2021, and after giving effect to the conversion of all outstanding shares of our convertible preferred stock, 37,324,727 shares of our common stock will be outstanding, or 38,824,727 shares of common stock if the underwriters exercise their option to purchase additional shares in full. All of the shares of common stock expected to be sold in this offering will be freely tradable without restriction or further registration under the Securities Act unless held by our “affiliates,” as that term is defined in Rule 144 under the Securities Act. The remaining outstanding shares of our common stock will be deemed “restricted securities” as that term is defined under Rule 144. Restricted securities may be sold in the public market only if their offer and sale is registered under the Securities Act or if the offer and sale of those securities qualify for an exemption from registration, including exemptions provided by Rules 144 and 701 under the Securities Act, which are summarized below.</w:t>
      </w:r>
    </w:p>
    <w:p>
      <w:pPr>
        <w:spacing w:after="0" w:line="192"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As a result of the lock-up agreements and market stand-off provisions described below and the provisions of Rules 144 or 701, the shares of our common stock that will be deemed “restricted securities” will be available for sale in the public market following the completion of this offering as follows:</w:t>
      </w:r>
    </w:p>
    <w:p>
      <w:pPr>
        <w:spacing w:after="0" w:line="89" w:lineRule="exact"/>
        <w:rPr>
          <w:sz w:val="20"/>
          <w:szCs w:val="20"/>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no shares will be eligible for sale on the date of this prospectus; and</w:t>
      </w:r>
    </w:p>
    <w:p>
      <w:pPr>
        <w:spacing w:after="0" w:line="130" w:lineRule="exact"/>
        <w:rPr>
          <w:rFonts w:ascii="Arial" w:cs="Arial" w:eastAsia="Arial" w:hAnsi="Arial"/>
          <w:sz w:val="18"/>
          <w:szCs w:val="18"/>
          <w:color w:val="auto"/>
        </w:rPr>
      </w:pPr>
    </w:p>
    <w:p>
      <w:pPr>
        <w:ind w:left="1080" w:right="320" w:hanging="532"/>
        <w:spacing w:after="0" w:line="277" w:lineRule="auto"/>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27,324,727 shares will be eligible for sale upon expiration of the lock-up agreements and market stand-off provisions described below, following the date that is 180 days after the date of this prospectus.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 and Market Stand-Off Agreements</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Our officers, directors and substantially all of our securityholders have entered into market stand-off agreements with us and have entered into or will enter into lock-up agreements with the underwriters, subject to certain exceptions, not to dispose of or hedge any of their common stock or securities convertible into or exchangeable for shares of common stock during the period from the date of this prospectus continuing through the date 180 days after the date of this prospectus, except with the prior consent of Morgan Stanley &amp; Co. LLC, Cowen and Company LLC, and Piper Sandler &amp; Co. See the section titled “Underwriters” for additional information.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Rule 144, as currently in effect, generally provides that, once we have been subject to the public company reporting requirements of Section 13 or Section 15(d) of the Exchange Act for at least 90 days, a stockholder who is not deemed to have been one of our affiliates at any time during the preceding 90 days and who has beneficially owned the shares of our capital stock proposed to be sold for at least six months is entitled to sell such shares in reliance upon Rule 144 without complying with the volume limitation, manner of sale or notice conditions of Rule 144. If such stockholder has beneficially owned the shares of our capital stock proposed to be sold for at least one year, then such person is entitled to sell such shares in reliance upon Rule 144 without complying with any of the other conditions of Rule 144. Rule 144 also provides that a stockholder who is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246</w:t>
      </w:r>
    </w:p>
    <w:p>
      <w:pPr>
        <w:sectPr>
          <w:pgSz w:w="11900" w:h="16838" w:orient="portrait"/>
          <w:cols w:equalWidth="0" w:num="1">
            <w:col w:w="11100"/>
          </w:cols>
          <w:pgMar w:left="320" w:top="459" w:right="47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deemed to have been one of our affiliates at any time during the preceding 90 days and who has beneficially owned the shares of our common stock proposed to be sold for at least six months is entitled to sell such shares in reliance upon Rule 144 within any three month period beginning 90 days after the date of this prospectus a number of such shares that does not exceed the greater of the following:</w:t>
      </w:r>
    </w:p>
    <w:p>
      <w:pPr>
        <w:spacing w:after="0" w:line="89" w:lineRule="exact"/>
        <w:rPr>
          <w:sz w:val="20"/>
          <w:szCs w:val="20"/>
          <w:color w:val="auto"/>
        </w:rPr>
      </w:pPr>
    </w:p>
    <w:p>
      <w:pPr>
        <w:ind w:left="1080" w:right="20" w:hanging="532"/>
        <w:spacing w:after="0" w:line="277"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1% of the number of shares of our capital stock then outstanding, which will equal 374,237 shares immediately after the completion of this offering, assuming no exercise by the underwriters of their option to purchase additional shares; or</w:t>
      </w:r>
    </w:p>
    <w:p>
      <w:pPr>
        <w:spacing w:after="0" w:line="75"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during the four calendar weeks preceding the filing of a notice on Form 144 with respect to such sale.</w:t>
      </w:r>
    </w:p>
    <w:p>
      <w:pPr>
        <w:spacing w:after="0" w:line="170"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Sales of our capital stock made in reliance upon Rule 144 by a stockholder who is deemed to have been one of our affiliates at any time during the preceding 90 days are also subject to the current public information, manner of sale and notice conditions of Rule 144.</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Rule 701 generally provides that, once we have been subject to the public company reporting requirements of Section 13 or Section 15(d) of the Exchange Act for at least 90 days, a stockholder who purchased shares of our common stock pursuant to a written compensatory benefit plan or contract and who is not deemed to have been one of our affiliates at any time during the preceding 90 days may sell such shares in reliance upon Rule 144 without complying with the current public information or holding period conditions of Rule 144. Rule 701 also provides that a stockholder who purchased shares of our common stock pursuant to a written compensatory benefit plan or contract and who is deemed to have been one of our affiliates during the preceding 90 days may sell such shares under Rule 144 without complying with the holding period condition of Rule 144. However, all stockholders who purchased shares of our common stock pursuant to a written compensatory benefit plan or contract are required to wait until 90 days after the date of this prospectus before selling such shares pursuant to Rule 701.</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After the completion of this offering, the holders of up to 26,102,278 shares of our common stock will be entitled to certain rights with respect to the registration of such shares under the Securities Act. The registration of these shares of our common stock under the Securities Act would result in these shares becoming eligible for sale in the public market without restriction under the Securities Act immediately upon the effectiveness of such registration. See the section titled “Description of Capital Stock—Registration Rights” for a description of these registration rights.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Statement</w:t>
      </w:r>
    </w:p>
    <w:p>
      <w:pPr>
        <w:spacing w:after="0" w:line="12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After the completion of this offering, we intend to file a registration statement on Form S-8 under the Securities Act to register all of the shares of our common stock subject to equity awards outstanding or reserved for issuance under our equity compensation plans. The shares of our common stock covered by such registration statement will be eligible for sale in the public market without restriction under the Securities Act immediately upon the effectiveness of such registration statement, subject to vesting restrictions, the conditions of Rule 144 applicable to affiliates, and any applicable market stand-off agreements and lock-up agreements. See the section titled “Executive Compensation—Employee Benefit and Stock Plans” for a description of our equity compensation plans.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247</w:t>
      </w:r>
    </w:p>
    <w:p>
      <w:pPr>
        <w:sectPr>
          <w:pgSz w:w="11900" w:h="16838" w:orient="portrait"/>
          <w:cols w:equalWidth="0" w:num="1">
            <w:col w:w="11120"/>
          </w:cols>
          <w:pgMar w:left="320" w:top="459" w:right="45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MATERIAL U.S. FEDERAL INCOME TAX CONSIDERATIONS FOR NON-U.S. HOLDERS</w:t>
      </w:r>
    </w:p>
    <w:p>
      <w:pPr>
        <w:spacing w:after="0" w:line="229"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The following is a summary of the material U.S. federal income tax considerations of the ownership and disposition of our common stock acquired in this offering by a “non-U.S. holder” (as defined below), but does not purport to be a complete analysis of all the potential tax considerations relating thereto. This summary is based upon the provisions of the Internal Revenue Code of 1986, as amended (the Code), Treasury Regulations promulgated thereunder, administrative rulings and judicial decisions, all as of the date hereof. These authorities may be changed, possibly retroactively, so as to result in U.S. federal income tax consequences different from those set forth below. We have not sought, and do not intend to seek, any ruling from the Internal Revenue Service (IRS), with respect to the statements made and the conclusions reached in the following summary, and there can be no assurance that the IRS or a court will agree with such statements and conclusions.</w:t>
      </w:r>
    </w:p>
    <w:p>
      <w:pPr>
        <w:spacing w:after="0" w:line="177"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This summary also does not address the tax considerations arising under the laws of any non-U.S., state or local jurisdiction or under U.S. federal gift and estate tax rules, and does not address tax considerations applicable to an investor’s particular circumstances or to investors that may be subject to special tax rules, including, without limitation:</w:t>
      </w:r>
    </w:p>
    <w:p>
      <w:pPr>
        <w:spacing w:after="0" w:line="89" w:lineRule="exact"/>
        <w:rPr>
          <w:sz w:val="20"/>
          <w:szCs w:val="20"/>
          <w:color w:val="auto"/>
        </w:rPr>
      </w:pPr>
    </w:p>
    <w:p>
      <w:pPr>
        <w:ind w:left="1080" w:hanging="532"/>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banks, insurance companies, regulated investment companies, real estate investment trusts or other financial institutions;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pension plans and tax-qualified retirement plans;</w:t>
      </w:r>
    </w:p>
    <w:p>
      <w:pPr>
        <w:spacing w:after="0" w:line="130" w:lineRule="exact"/>
        <w:rPr>
          <w:rFonts w:ascii="Arial" w:cs="Arial" w:eastAsia="Arial" w:hAnsi="Arial"/>
          <w:sz w:val="18"/>
          <w:szCs w:val="18"/>
          <w:color w:val="auto"/>
        </w:rPr>
      </w:pPr>
    </w:p>
    <w:p>
      <w:pPr>
        <w:ind w:left="1080" w:right="320" w:hanging="532"/>
        <w:spacing w:after="0" w:line="277" w:lineRule="auto"/>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brokers or dealers in securities or currencies;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persons that own, or are deemed to own, more than 5% of our capital stock (except to the extent specifically set forth below);</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partnerships (or entities or arrangements classified as such for U.S. federal income tax purposes), other pass-through entities, and investors therein;</w:t>
      </w:r>
    </w:p>
    <w:p>
      <w:pPr>
        <w:spacing w:after="0" w:line="75"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persons who hold our common stock as a position in a hedging transaction, “straddle,” “conversion transaction” or other risk reduction transaction;</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persons who hold or receive our common stock pursuant to the exercise of any option or otherwise as compensation;</w:t>
      </w:r>
    </w:p>
    <w:p>
      <w:pPr>
        <w:spacing w:after="0" w:line="130"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our common stock being taken into account in an “applicable financial statement” as defined in Section 451(b) of the Code;</w:t>
      </w:r>
    </w:p>
    <w:p>
      <w:pPr>
        <w:spacing w:after="0" w:line="75"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persons who do not hold our common stock as a capital asset within the meaning of Section 1221 of the Code (generally, property held for investment);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22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In addition, if a partnership (or an entity or arrangement classified as a partnership for U.S. federal income tax purposes) holds our common stock, the tax treatment of a partner in such partnership or other entity generally will depend on the status of the partner and upon the activities of the partnership or other entity. A partner in a partnership or other such entity that will hold our common stock should consult his, her or its own tax advisor regarding the tax consequences of the ownership and disposition of our common stock through a partnership or other such entity, as applicable.</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248</w:t>
      </w:r>
    </w:p>
    <w:p>
      <w:pPr>
        <w:sectPr>
          <w:pgSz w:w="11900" w:h="16838" w:orient="portrait"/>
          <w:cols w:equalWidth="0" w:num="1">
            <w:col w:w="11100"/>
          </w:cols>
          <w:pgMar w:left="320" w:top="459" w:right="47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440"/>
        <w:spacing w:after="0" w:line="314" w:lineRule="auto"/>
        <w:rPr>
          <w:sz w:val="20"/>
          <w:szCs w:val="20"/>
          <w:color w:val="auto"/>
        </w:rPr>
      </w:pPr>
      <w:r>
        <w:rPr>
          <w:rFonts w:ascii="Arial" w:cs="Arial" w:eastAsia="Arial" w:hAnsi="Arial"/>
          <w:sz w:val="16"/>
          <w:szCs w:val="16"/>
          <w:b w:val="1"/>
          <w:bCs w:val="1"/>
          <w:color w:val="auto"/>
        </w:rPr>
        <w:t>You are urged to consult your tax advisor with respect to the application of the U.S. federal income tax laws to your particular situation, as well as any tax consequences of the purchase, ownership and disposition of our common stock arising under the U.S. federal gift or estate tax rules or under the laws of any state or local, non-U.S. or other taxing jurisdiction or under any applicable tax treaty.</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Non-U.S. Holder Defined</w:t>
      </w:r>
    </w:p>
    <w:p>
      <w:pPr>
        <w:spacing w:after="0" w:line="121"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For purposes of this discussion, you are a “non-U.S. holder” if you are a beneficial owner of our common stock that, for U.S. federal income tax purposes, is not a partnership (including any entity or arrangement treated as a partnership and the equity holders therein) or:</w:t>
      </w:r>
    </w:p>
    <w:p>
      <w:pPr>
        <w:spacing w:after="0" w:line="52" w:lineRule="exact"/>
        <w:rPr>
          <w:sz w:val="20"/>
          <w:szCs w:val="20"/>
          <w:color w:val="auto"/>
        </w:rPr>
      </w:pPr>
    </w:p>
    <w:p>
      <w:pPr>
        <w:ind w:left="1080" w:hanging="532"/>
        <w:spacing w:after="0"/>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the United States or under the laws of the United States or any political subdivision thereof, or otherwise treated as such for U.S. federal income tax purposes;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130" w:lineRule="exact"/>
        <w:rPr>
          <w:rFonts w:ascii="Arial" w:cs="Arial" w:eastAsia="Arial" w:hAnsi="Arial"/>
          <w:sz w:val="18"/>
          <w:szCs w:val="18"/>
          <w:color w:val="auto"/>
        </w:rPr>
      </w:pPr>
    </w:p>
    <w:p>
      <w:pPr>
        <w:jc w:val="both"/>
        <w:ind w:left="1080" w:right="200" w:hanging="532"/>
        <w:spacing w:after="0" w:line="263"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 trust (i) whose administration is subject to the primary supervision of a U.S. court and that has one or more U.S. persons who have the authority to control all substantial decisions of the trust or (ii) that has made a valid election under applicable Treasury Regulations to be treated as a U.S. person.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As described in the section titled “Dividend Policy,” we have never declared or paid cash dividends on our capital stock, and we do not anticipate paying any cash dividends in the foreseeable future. However, if we do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common stock, but not below zero, and then will be treated as gain from the sale of stock.</w:t>
      </w:r>
    </w:p>
    <w:p>
      <w:pPr>
        <w:spacing w:after="0" w:line="161"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Subject to the discussions below on effectively connected income and in the subsections titled “—Backup Withholding and Information Reporting” and “—Foreign Account Tax Compliance Act (FATCA),” any dividend paid to you generally will be subject to U.S. federal withholding tax either at a rate of 30% of the gross amount of the dividend or such lower rate as may be specified by an applicable income tax treaty between the United States and your country of residence. In order to receive a reduced treaty rate, you must provide us with a properly executed IRS Form W-8BEN or W-8BEN-E or other appropriate version of IRS Form W-8 certifying qualification for the reduced rate. If you are eligible for a reduced rate of U.S. federal withholding tax pursuant to an income tax treaty, you may obtain a refund of any excess amounts withheld by filing an appropriate claim for refund with the IRS. If you hold our common stock through a financial institution or other agent acting on your behalf, you will be required to provide appropriate documentation to the agent, which then will be required to provide certification to us or our paying agent, either directly or through other intermediaries.</w:t>
      </w:r>
    </w:p>
    <w:p>
      <w:pPr>
        <w:spacing w:after="0" w:line="19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Dividends received by you that are treated as effectively connected with your conduct of a U.S. trade or business (and, if required by an applicable income tax treaty, are attributable to a permanent establishment or fixed base maintained by you in the United States) are generally exempt from the</w:t>
      </w:r>
    </w:p>
    <w:p>
      <w:pPr>
        <w:ind w:left="120" w:right="20"/>
        <w:spacing w:after="0" w:line="271" w:lineRule="auto"/>
        <w:rPr>
          <w:sz w:val="20"/>
          <w:szCs w:val="20"/>
          <w:color w:val="auto"/>
        </w:rPr>
      </w:pPr>
      <w:r>
        <w:rPr>
          <w:rFonts w:ascii="Arial" w:cs="Arial" w:eastAsia="Arial" w:hAnsi="Arial"/>
          <w:sz w:val="17"/>
          <w:szCs w:val="17"/>
          <w:color w:val="auto"/>
        </w:rPr>
        <w:t>30% U.S. federal withholding tax, subject to the discussion below in the subsections titled “—Backup Withholding and Information Reporting” and “— Foreign Account Tax Compliance Act (FATCA).” In order to obtain this exemption, you must provide us with a properly executed IRS Form W-8ECI or applicable successor form properly certifying such exemption. Such effectively connected dividends, although not subject to U.S. federal withholding tax, are taxed at the same rates applicable to U.S. persons, net of certain deductions and credits, subject to an applicable income tax treaty providing otherwise. In addition, if you are a corporate non-U.S. holder, dividends you receive that are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249</w:t>
      </w:r>
    </w:p>
    <w:p>
      <w:pPr>
        <w:sectPr>
          <w:pgSz w:w="11900" w:h="16838" w:orient="portrait"/>
          <w:cols w:equalWidth="0" w:num="1">
            <w:col w:w="11120"/>
          </w:cols>
          <w:pgMar w:left="320" w:top="459" w:right="45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effectively connected with your conduct of a U.S. trade or business may also be subject to a branch profits tax at a rate of 30% or such lower rate as may be specified by an applicable income tax treaty between the United States and your country of residence. You should consult your tax advisor regarding the tax consequences of the ownership and disposition of our common stock, including any applicable tax treaties that may provide for different rules.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Gain on Disposition of Common Stock</w:t>
      </w:r>
    </w:p>
    <w:p>
      <w:pPr>
        <w:spacing w:after="0" w:line="121"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Subject to the discussion in the subsections titled “—Backup Withholding and Information Reporting,” and “—Foreign Account Tax Compliance Act (FATCA),” you generally will not be required to pay U.S. federal income tax on any gain realized upon the sale or other disposition of our common stock unless:</w:t>
      </w:r>
    </w:p>
    <w:p>
      <w:pPr>
        <w:spacing w:after="0" w:line="89" w:lineRule="exact"/>
        <w:rPr>
          <w:sz w:val="20"/>
          <w:szCs w:val="20"/>
          <w:color w:val="auto"/>
        </w:rPr>
      </w:pPr>
    </w:p>
    <w:p>
      <w:pPr>
        <w:ind w:left="1080" w:right="20" w:hanging="532"/>
        <w:spacing w:after="0" w:line="277"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U.S. trade or business (and, if an applicable income tax treaty so provides, the gain is attributable to a permanent establishment or fixed base maintained by you in the United States);</w:t>
      </w:r>
    </w:p>
    <w:p>
      <w:pPr>
        <w:spacing w:after="0" w:line="75"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you are an individual who is present in the United States for a period or periods aggregating 183 days or more during the calendar year in which the sale or disposition occurs and certain other conditions are met; or</w:t>
      </w:r>
    </w:p>
    <w:p>
      <w:pPr>
        <w:spacing w:after="0" w:line="75" w:lineRule="exact"/>
        <w:rPr>
          <w:rFonts w:ascii="Arial" w:cs="Arial" w:eastAsia="Arial" w:hAnsi="Arial"/>
          <w:sz w:val="18"/>
          <w:szCs w:val="18"/>
          <w:color w:val="auto"/>
        </w:rPr>
      </w:pPr>
    </w:p>
    <w:p>
      <w:pPr>
        <w:ind w:left="1080" w:right="120" w:hanging="532"/>
        <w:spacing w:after="0" w:line="275" w:lineRule="auto"/>
        <w:tabs>
          <w:tab w:leader="none" w:pos="108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our common stock constitutes a U.S. real property interest by reason of our status as a “U.S. real property holding corporation” (USRPHC), for U.S. federal income tax purposes at any time within the shorter of the five-year period preceding your disposition of, or your holding period for, our common stock, unless our common stock is regularly traded on an established securities market and you hold no more than 5% of our outstanding common stock, directly, indirectly and constructively, at all times, during the shorter of the five-year period ending on the date of the taxable disposition or your holding period for our common stock.</w:t>
      </w:r>
    </w:p>
    <w:p>
      <w:pPr>
        <w:spacing w:after="0" w:line="176"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believe that we are not currently and will not become a USRPHC for U.S. federal income tax purposes, and the remainder of this discussion so assumes. However, because the determination of whether we are a USRPHC depends on the fair market value of our U.S. real property interests relative to the fair market value of our U.S. and worldwide real property interests plus our other assets used or held for use in a trade or business, there can be no assurance that we will not become a USRPHC in the future. If we are a USRPHC and either our common stock is not regularly traded on an established securities market or you hold, or are treated as holding, more than 5% of our outstanding common stock, directly or indirectly, during the applicable testing period, you will generally be taxed on any gain in the same manner as gain that is effectively connected with the conduct of a U.S. trade or business, except that the branch profits tax generally will not apply. If we are a USRPHC and our common stock is not regularly traded on an established securities market, your proceeds received on the disposition of shares will also generally be subject to withholding at a rate of 15%. You are encouraged to consult your own tax advisors regarding the possible consequences to you if we are, or were to become, a USRPHC.</w:t>
      </w:r>
    </w:p>
    <w:p>
      <w:pPr>
        <w:spacing w:after="0" w:line="166"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If you are a non-U.S. holder described in the first bullet above, you will be required to pay tax on the gain derived from the sale (net of certain deductions and credits) under the same U.S. federal income tax rates applicable to U.S. persons,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subject to tax on such gain at 30% (or such lower rate specified by an applicable income tax treaty) on the gain derived from the sale, which gain may be offset by U.S. source capital losses for the year, provided you have timely filed U.S. federal income tax returns with respect to such losses. You should consult your tax advisor regarding any applicable income tax treaties or other agreements that may provide for different rules.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250</w:t>
      </w:r>
    </w:p>
    <w:p>
      <w:pPr>
        <w:sectPr>
          <w:pgSz w:w="11900" w:h="16838" w:orient="portrait"/>
          <w:cols w:equalWidth="0" w:num="1">
            <w:col w:w="11120"/>
          </w:cols>
          <w:pgMar w:left="320" w:top="459" w:right="45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8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Payments of dividends on or of proceeds from the disposition of our common stock made to you may also be subject to backup withholding at a current rate of 24% unless you establish an exemption, for example, by properly certifying your non-U.S. status on a properly completed IRS Form W-8BEN or W-8BEN-E or another appropriate version of IRS Form W-8. Notwithstanding the foregoing, backup withholding may apply if either we or our paying agent has actual knowledge, or reason to know, that you are a U.S. person.</w:t>
      </w:r>
    </w:p>
    <w:p>
      <w:pPr>
        <w:spacing w:after="0" w:line="18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Account Tax Compliance Act (FATCA)</w:t>
      </w:r>
    </w:p>
    <w:p>
      <w:pPr>
        <w:spacing w:after="0" w:line="121"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The Foreign Account Tax Compliance Act, Treasury Regulations issued thereunder and official IRS guidance (collectively FATCA), generally impose a U.S. federal withholding tax of 30% on dividends on, and, subject to the discussion of certain proposed Treasury Regulations below, the gross proceeds from a sale or other disposition of our common stock, paid to a “foreign financial institution” (as specially defined under these rules), unless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foreign entities with U.S. owners) or otherwise establishes an exemption. FATCA also generally imposes a U.S. federal withholding tax of 30% on dividends on and, subject to the discussion of certain proposed Treasury Regulations below, the gross proceeds from a sale or other disposition of our common stock paid to a “non-financial foreign entity” (as specially defined under these rules) unless such entity provides the withholding agent with a certification identifying the substantial direct and indirect U.S. owners of the entity, certifies that it does not have any substantial U.S. owners, or otherwise establishes an exemption. The withholding tax will apply regardless of whether the payment otherwise would be exempt from withholding tax, including under the exemptions described above. Under certain circumstances, you might be eligible for refunds or credits of such taxes. An intergovernmental agreement between the United States and your country of residence may modify the requirements described in this section. Prospective investors should consult with their own tax advisors regarding the application of FATCA withholding to their investment in, and ownership and disposition of, our common stock.</w:t>
      </w:r>
    </w:p>
    <w:p>
      <w:pPr>
        <w:spacing w:after="0" w:line="171" w:lineRule="exact"/>
        <w:rPr>
          <w:sz w:val="20"/>
          <w:szCs w:val="20"/>
          <w:color w:val="auto"/>
        </w:rPr>
      </w:pPr>
    </w:p>
    <w:p>
      <w:pPr>
        <w:ind w:left="120" w:right="260" w:firstLine="440"/>
        <w:spacing w:after="0" w:line="311" w:lineRule="auto"/>
        <w:rPr>
          <w:sz w:val="20"/>
          <w:szCs w:val="20"/>
          <w:color w:val="auto"/>
        </w:rPr>
      </w:pPr>
      <w:r>
        <w:rPr>
          <w:rFonts w:ascii="Arial" w:cs="Arial" w:eastAsia="Arial" w:hAnsi="Arial"/>
          <w:sz w:val="16"/>
          <w:szCs w:val="16"/>
          <w:color w:val="auto"/>
        </w:rPr>
        <w:t>The Treasury Secretary has issued proposed Treasury Regulations, which, if finalized in their present form, would eliminate withholding under FATCA with respect to payment of gross proceeds from a sale or other disposition of our common stock. In its preamble to such proposed Treasury Regulations, the U.S. Treasury stated that taxpayers may generally rely on the proposed Treasury Regulations until final regulations are issued.</w:t>
      </w:r>
    </w:p>
    <w:p>
      <w:pPr>
        <w:spacing w:after="0" w:line="145" w:lineRule="exact"/>
        <w:rPr>
          <w:sz w:val="20"/>
          <w:szCs w:val="20"/>
          <w:color w:val="auto"/>
        </w:rPr>
      </w:pPr>
    </w:p>
    <w:p>
      <w:pPr>
        <w:ind w:left="120" w:firstLine="440"/>
        <w:spacing w:after="0" w:line="261" w:lineRule="auto"/>
        <w:rPr>
          <w:sz w:val="20"/>
          <w:szCs w:val="20"/>
          <w:color w:val="auto"/>
        </w:rPr>
      </w:pPr>
      <w:r>
        <w:rPr>
          <w:rFonts w:ascii="Arial" w:cs="Arial" w:eastAsia="Arial" w:hAnsi="Arial"/>
          <w:sz w:val="18"/>
          <w:szCs w:val="18"/>
          <w:b w:val="1"/>
          <w:bCs w:val="1"/>
          <w:color w:val="auto"/>
        </w:rPr>
        <w:t>The preceding discussion of U.S. federal tax considerations is for general information only. It is not tax advice to investors in their particular circumstances. Each prospective investor should consult its own tax advisor regarding the particular U.S. federal, state and local and non-U.S. tax consequences of purchasing, holding and disposing of our common stock, including the consequences of any proposed change in applicable laws.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251</w:t>
      </w:r>
    </w:p>
    <w:p>
      <w:pPr>
        <w:sectPr>
          <w:pgSz w:w="11900" w:h="16838" w:orient="portrait"/>
          <w:cols w:equalWidth="0" w:num="1">
            <w:col w:w="11120"/>
          </w:cols>
          <w:pgMar w:left="320" w:top="459" w:right="45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UNDERWRITERS</w:t>
      </w:r>
    </w:p>
    <w:p>
      <w:pPr>
        <w:spacing w:after="0" w:line="229"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the underwriters named below, for whom Morgan Stanley &amp; Co. LLC, Cowen and Company, LLC and Piper Sandler &amp; Co. are acting as representatives, have severally agreed to purchase, and we have agreed to sell to them, severally, the number of shares indicated below:</w:t>
      </w:r>
    </w:p>
    <w:p>
      <w:pPr>
        <w:spacing w:after="0" w:line="190"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3280" w:type="dxa"/>
            <w:vAlign w:val="bottom"/>
            <w:vMerge w:val="restart"/>
          </w:tcPr>
          <w:p>
            <w:pPr>
              <w:spacing w:after="0"/>
              <w:rPr>
                <w:sz w:val="14"/>
                <w:szCs w:val="14"/>
                <w:color w:val="auto"/>
              </w:rPr>
            </w:pPr>
          </w:p>
        </w:tc>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440" w:type="dxa"/>
            <w:vAlign w:val="bottom"/>
          </w:tcPr>
          <w:p>
            <w:pPr>
              <w:spacing w:after="0"/>
              <w:rPr>
                <w:sz w:val="14"/>
                <w:szCs w:val="14"/>
                <w:color w:val="auto"/>
              </w:rPr>
            </w:pPr>
          </w:p>
        </w:tc>
        <w:tc>
          <w:tcPr>
            <w:tcW w:w="11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71"/>
        </w:trPr>
        <w:tc>
          <w:tcPr>
            <w:tcW w:w="3280" w:type="dxa"/>
            <w:vAlign w:val="bottom"/>
            <w:vMerge w:val="continue"/>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3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3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Cowen and Company, LLC</w:t>
            </w:r>
          </w:p>
        </w:tc>
        <w:tc>
          <w:tcPr>
            <w:tcW w:w="3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Piper Sandler &amp; Co.</w:t>
            </w:r>
          </w:p>
        </w:tc>
        <w:tc>
          <w:tcPr>
            <w:tcW w:w="3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60" w:type="dxa"/>
            <w:vAlign w:val="bottom"/>
            <w:gridSpan w:val="2"/>
          </w:tcPr>
          <w:p>
            <w:pPr>
              <w:spacing w:after="0"/>
              <w:rPr>
                <w:sz w:val="20"/>
                <w:szCs w:val="20"/>
                <w:color w:val="auto"/>
              </w:rPr>
            </w:pPr>
            <w:r>
              <w:rPr>
                <w:rFonts w:ascii="Arial" w:cs="Arial" w:eastAsia="Arial" w:hAnsi="Arial"/>
                <w:sz w:val="18"/>
                <w:szCs w:val="18"/>
                <w:color w:val="auto"/>
              </w:rPr>
              <w:t>Chardan Capital Markets LLC</w:t>
            </w:r>
          </w:p>
        </w:tc>
        <w:tc>
          <w:tcPr>
            <w:tcW w:w="3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344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underwriters initially propose to offer part of the shares of common stock directly to the public at the offering price listed on the cover page of</w:t>
      </w:r>
    </w:p>
    <w:p>
      <w:pPr>
        <w:spacing w:after="0" w:line="46" w:lineRule="exact"/>
        <w:rPr>
          <w:sz w:val="20"/>
          <w:szCs w:val="20"/>
          <w:color w:val="auto"/>
        </w:rPr>
      </w:pPr>
    </w:p>
    <w:p>
      <w:pPr>
        <w:jc w:val="both"/>
        <w:ind w:left="120" w:right="80"/>
        <w:spacing w:after="0" w:line="253" w:lineRule="auto"/>
        <w:rPr>
          <w:sz w:val="20"/>
          <w:szCs w:val="20"/>
          <w:color w:val="auto"/>
        </w:rPr>
      </w:pPr>
      <w:r>
        <w:rPr>
          <w:rFonts w:ascii="Arial" w:cs="Arial" w:eastAsia="Arial" w:hAnsi="Arial"/>
          <w:sz w:val="18"/>
          <w:szCs w:val="18"/>
          <w:color w:val="auto"/>
        </w:rPr>
        <w:t>this prospectus and part to certain dealers at a price that represents a concession not in excess of $ per share under the public offering price. After the initial offering of the shares of common stock, the offering price and other selling terms may from time to time be varied by the representatives. The offering of the shares by the underwriters is subject to the receipt and acceptance and subject to the underwriters’ right to reject any order in whole or in part.</w:t>
      </w:r>
    </w:p>
    <w:p>
      <w:pPr>
        <w:spacing w:after="0" w:line="193"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We have granted to the underwriters an option, exercisable for 30 days from the date of this prospectus, to purchase up to 1,500,000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64"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The following table shows the per share and total public offering price, underwriting discounts and commissions, and proceeds before expenses to us. These amounts are shown assuming both no exercise and full exercise of the underwriters’ option to purchase up to an additional 1,500,000 shares of common stock.</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100" w:type="dxa"/>
            <w:vAlign w:val="bottom"/>
          </w:tcPr>
          <w:p>
            <w:pPr>
              <w:spacing w:after="0"/>
              <w:rPr>
                <w:sz w:val="14"/>
                <w:szCs w:val="14"/>
                <w:color w:val="auto"/>
              </w:rPr>
            </w:pPr>
          </w:p>
        </w:tc>
        <w:tc>
          <w:tcPr>
            <w:tcW w:w="680" w:type="dxa"/>
            <w:vAlign w:val="bottom"/>
            <w:vMerge w:val="restart"/>
          </w:tcPr>
          <w:p>
            <w:pPr>
              <w:jc w:val="right"/>
              <w:ind w:right="167"/>
              <w:spacing w:after="0"/>
              <w:rPr>
                <w:sz w:val="20"/>
                <w:szCs w:val="20"/>
                <w:color w:val="auto"/>
              </w:rPr>
            </w:pPr>
            <w:r>
              <w:rPr>
                <w:rFonts w:ascii="Arial" w:cs="Arial" w:eastAsia="Arial" w:hAnsi="Arial"/>
                <w:sz w:val="14"/>
                <w:szCs w:val="14"/>
                <w:b w:val="1"/>
                <w:bCs w:val="1"/>
                <w:color w:val="auto"/>
              </w:rPr>
              <w:t>Per</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9"/>
        </w:trPr>
        <w:tc>
          <w:tcPr>
            <w:tcW w:w="810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w w:val="89"/>
              </w:rPr>
              <w:t>No Exercise</w:t>
            </w:r>
          </w:p>
        </w:tc>
        <w:tc>
          <w:tcPr>
            <w:tcW w:w="3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Full</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100" w:type="dxa"/>
            <w:vAlign w:val="bottom"/>
          </w:tcPr>
          <w:p>
            <w:pPr>
              <w:spacing w:after="0"/>
              <w:rPr>
                <w:sz w:val="14"/>
                <w:szCs w:val="14"/>
                <w:color w:val="auto"/>
              </w:rPr>
            </w:pPr>
          </w:p>
        </w:tc>
        <w:tc>
          <w:tcPr>
            <w:tcW w:w="680" w:type="dxa"/>
            <w:vAlign w:val="bottom"/>
          </w:tcPr>
          <w:p>
            <w:pPr>
              <w:jc w:val="right"/>
              <w:ind w:right="87"/>
              <w:spacing w:after="0"/>
              <w:rPr>
                <w:sz w:val="20"/>
                <w:szCs w:val="20"/>
                <w:color w:val="auto"/>
              </w:rPr>
            </w:pPr>
            <w:r>
              <w:rPr>
                <w:rFonts w:ascii="Arial" w:cs="Arial" w:eastAsia="Arial" w:hAnsi="Arial"/>
                <w:sz w:val="14"/>
                <w:szCs w:val="14"/>
                <w:b w:val="1"/>
                <w:bCs w:val="1"/>
                <w:color w:val="auto"/>
              </w:rPr>
              <w:t>Share</w:t>
            </w:r>
          </w:p>
        </w:tc>
        <w:tc>
          <w:tcPr>
            <w:tcW w:w="3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209"/>
        </w:trPr>
        <w:tc>
          <w:tcPr>
            <w:tcW w:w="8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680" w:type="dxa"/>
            <w:vAlign w:val="bottom"/>
            <w:tcBorders>
              <w:top w:val="single" w:sz="8" w:color="auto"/>
            </w:tcBorders>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24"/>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680" w:type="dxa"/>
            <w:vAlign w:val="bottom"/>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4"/>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The estimated offering expenses payable by us, exclusive of the underwriting discounts and commissions, are approximately $3.7 million. We have agreed to reimburse the underwriters for expense relating to clearance of this offering with the Financial Industry Regulatory Authority, Inc. (FINRA) and compliance with state securities or “blue sky” laws up to $40,000.</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252</w:t>
      </w:r>
    </w:p>
    <w:p>
      <w:pPr>
        <w:sectPr>
          <w:pgSz w:w="11900" w:h="16838" w:orient="portrait"/>
          <w:cols w:equalWidth="0" w:num="1">
            <w:col w:w="11140"/>
          </w:cols>
          <w:pgMar w:left="320" w:top="459" w:right="4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common stock offered by them.</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applied to list our common stock on the Nasdaq Stock Market under the trading symbol “TNYA”.</w:t>
      </w:r>
    </w:p>
    <w:p>
      <w:pPr>
        <w:spacing w:after="0" w:line="225"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In connection with this offering, we have agreed that we will not, and will not publicly disclose and intention, to (i) offer, pledge, sell, contract to sell, sell any option or contract to purchase, purchase any option or contract to sell, grant any option, right or warrant to purchase, lend or otherwise transfer or dispose of, directly or indirectly, or file with the Securities and Exchange Commission a registration statement under the Securities Act relating to the offering of any shares of our common stock or securities convertible into or exercisable or exchangeable for any shares of our common stock, or (ii) enter into any swap or other arrangement that transfers all or a portion of the economic consequences of ownership of any shares of common stock or any such other securities, in each case regardless of whether any of these transactions are to be settled by the delivery of shares of common stock or such other securities, in cash or otherwise, and in each case without the prior written consent of Morgan Stanley &amp; Co. LLC, Cowen and Company, LLC and Piper Sandler &amp; Co. on behalf of the underwriters for a period of 180 days after the date of this prospectus, other than the shares of our common stock to be sold in this offering; the issuance by us of shares of common stock upon the exercise of an option or warrant, vesting or settlement of restricted stock or restricted stock units or the conversion of a security outstanding on the date hereof; the establishment of a trading plan pursuant to Rule 10b5-1 under the Exchange Act provided that there is no transfer of common stock during the restricted period and any public announcement or filing under the Exchange Act indicates that no transfer of common stock is permitted during the restricted period; the issuance of shares or options to purchase shares of common stock or securities convertible into or exercisable for common stock to our employees, officers, directors, advisors, or consultants pursuant to an existing equity compensation plan, provided that any such recipient enter into a lockup agreement with the underwriters; the filing of a registration statement on Form S-8 with respect to an existing employee benefit plan; and the sale or issuance of or entry into an agreement to sell or issue shares of common stock in connection with our acquisition of one or more businesses, products or technologies (whether by means of merger, stock purchase, asset purchase or otherwise) or in connection with joint ventures, commercial relationships or other strategic transactions, provided, that, the aggregate number of shares of common stock so sold or issued does not exceed 5% of the total number of shares of common stock and provided further that any recipient of such shares enter into a lockup agreement with the underwriters.</w:t>
      </w:r>
    </w:p>
    <w:p>
      <w:pPr>
        <w:spacing w:after="0" w:line="169" w:lineRule="exact"/>
        <w:rPr>
          <w:sz w:val="20"/>
          <w:szCs w:val="20"/>
          <w:color w:val="auto"/>
        </w:rPr>
      </w:pPr>
    </w:p>
    <w:p>
      <w:pPr>
        <w:jc w:val="both"/>
        <w:ind w:left="120" w:right="260" w:firstLine="440"/>
        <w:spacing w:after="0" w:line="259" w:lineRule="auto"/>
        <w:rPr>
          <w:sz w:val="20"/>
          <w:szCs w:val="20"/>
          <w:color w:val="auto"/>
        </w:rPr>
      </w:pPr>
      <w:r>
        <w:rPr>
          <w:rFonts w:ascii="Arial" w:cs="Arial" w:eastAsia="Arial" w:hAnsi="Arial"/>
          <w:sz w:val="18"/>
          <w:szCs w:val="18"/>
          <w:color w:val="auto"/>
        </w:rPr>
        <w:t>In connection with this offering, all of our directors and officers and substantially all of our securityholders have agreed that, without the prior written consent of Morgan Stanley &amp; Co. LLC, Cowen and Company, LLC and Piper Sandler &amp; Co. on behalf of the underwriters, they will not, and will not publicly disclose an intention to, during the period from the date of this prospectus continuing through the date 180 days after the date of this prospectus (the Restricted Period):</w:t>
      </w:r>
    </w:p>
    <w:p>
      <w:pPr>
        <w:spacing w:after="0" w:line="92" w:lineRule="exact"/>
        <w:rPr>
          <w:sz w:val="20"/>
          <w:szCs w:val="20"/>
          <w:color w:val="auto"/>
        </w:rPr>
      </w:pPr>
    </w:p>
    <w:p>
      <w:pPr>
        <w:ind w:left="1080" w:right="60" w:hanging="532"/>
        <w:spacing w:after="0" w:line="263" w:lineRule="auto"/>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or</w:t>
      </w:r>
    </w:p>
    <w:p>
      <w:pPr>
        <w:spacing w:after="0" w:line="89"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170"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whether any such transaction described above is to be settled by delivery of common stock or such other securities, in cash or otherwise. In addition, each such person agrees that, without the prior written consent of Morgan Stanley &amp; Co. LLC, Cowen and Company, LLC and Piper Sandler &amp; Co. on behalf of the underwriters, such other person will not, during the Restricted Period:</w:t>
      </w:r>
    </w:p>
    <w:p>
      <w:pPr>
        <w:spacing w:after="0" w:line="89" w:lineRule="exact"/>
        <w:rPr>
          <w:sz w:val="20"/>
          <w:szCs w:val="20"/>
          <w:color w:val="auto"/>
        </w:rPr>
      </w:pPr>
    </w:p>
    <w:p>
      <w:pPr>
        <w:ind w:left="1080" w:right="60" w:hanging="532"/>
        <w:spacing w:after="0" w:line="277" w:lineRule="auto"/>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make any demand for, or exercise any right with respect to, the registration of any shares of common stock or any security convertible into or exercisable or exchangeable for common stock; or</w:t>
      </w:r>
    </w:p>
    <w:p>
      <w:pPr>
        <w:spacing w:after="0" w:line="75" w:lineRule="exact"/>
        <w:rPr>
          <w:rFonts w:ascii="Arial" w:cs="Arial" w:eastAsia="Arial" w:hAnsi="Arial"/>
          <w:sz w:val="18"/>
          <w:szCs w:val="18"/>
          <w:color w:val="auto"/>
        </w:rPr>
      </w:pPr>
    </w:p>
    <w:p>
      <w:pPr>
        <w:ind w:left="1080" w:right="300" w:hanging="532"/>
        <w:spacing w:after="0" w:line="342" w:lineRule="auto"/>
        <w:tabs>
          <w:tab w:leader="none" w:pos="108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engage in any hedging or other transaction designed or intended, or which could reasonably be expected to lead to or result in, a sale or disposition of any shares of common stock, or any securities convertible into or exercisable or exchangeable for common stock.</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253</w:t>
      </w:r>
    </w:p>
    <w:p>
      <w:pPr>
        <w:sectPr>
          <w:pgSz w:w="11900" w:h="16838" w:orient="portrait"/>
          <w:cols w:equalWidth="0" w:num="1">
            <w:col w:w="11120"/>
          </w:cols>
          <w:pgMar w:left="320" w:top="459" w:right="45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restrictions described in the immediately preceding paragraph are subject to specified exceptions, including, without limitation:</w:t>
      </w:r>
    </w:p>
    <w:p>
      <w:pPr>
        <w:spacing w:after="0" w:line="131" w:lineRule="exact"/>
        <w:rPr>
          <w:sz w:val="20"/>
          <w:szCs w:val="20"/>
          <w:color w:val="auto"/>
        </w:rPr>
      </w:pPr>
    </w:p>
    <w:p>
      <w:pPr>
        <w:ind w:left="1080" w:right="220" w:hanging="532"/>
        <w:spacing w:after="0" w:line="279" w:lineRule="auto"/>
        <w:tabs>
          <w:tab w:leader="none" w:pos="108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transactions related to shares of our common stock or other securities acquired in this offering or in open market transactions after the completion of this offering, provided that any required filing under Section 16 of the Exchange Act includes footnote disclosure and no other public announcement or filing, with limited exceptions, be required or voluntarily made in connection with subsequent sales of the common stock or other securities acquired in such open market transactions;</w:t>
      </w:r>
    </w:p>
    <w:p>
      <w:pPr>
        <w:spacing w:after="0" w:line="76" w:lineRule="exact"/>
        <w:rPr>
          <w:rFonts w:ascii="Arial" w:cs="Arial" w:eastAsia="Arial" w:hAnsi="Arial"/>
          <w:sz w:val="17"/>
          <w:szCs w:val="17"/>
          <w:color w:val="auto"/>
        </w:rPr>
      </w:pPr>
    </w:p>
    <w:p>
      <w:pPr>
        <w:ind w:left="1080" w:right="20" w:hanging="532"/>
        <w:spacing w:after="0" w:line="263" w:lineRule="auto"/>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transfers of shares of our common stock or any security convertible into or exercisable or exchangeable for common stock as a bona fide gift or charitable contribution, by will or intestate succession, or to an immediate family member or to certain trusts, provided that no filing under Section 16 of the Exchange Act shall be required or voluntarily made;</w:t>
      </w:r>
    </w:p>
    <w:p>
      <w:pPr>
        <w:spacing w:after="0" w:line="89" w:lineRule="exact"/>
        <w:rPr>
          <w:rFonts w:ascii="Arial" w:cs="Arial" w:eastAsia="Arial" w:hAnsi="Arial"/>
          <w:sz w:val="18"/>
          <w:szCs w:val="18"/>
          <w:color w:val="auto"/>
        </w:rPr>
      </w:pPr>
    </w:p>
    <w:p>
      <w:pPr>
        <w:ind w:left="1080" w:right="120" w:hanging="532"/>
        <w:spacing w:after="0" w:line="263" w:lineRule="auto"/>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transfers or distributions of shares of common stock or any other securities by a stockholder that is a trust to a trustor or beneficiary of the trust or to the estate of a beneficiary of such trust provided that no filing under Section 16 of the Exchange Act shall be required or voluntarily made;</w:t>
      </w:r>
    </w:p>
    <w:p>
      <w:pPr>
        <w:spacing w:after="0" w:line="89" w:lineRule="exact"/>
        <w:rPr>
          <w:rFonts w:ascii="Arial" w:cs="Arial" w:eastAsia="Arial" w:hAnsi="Arial"/>
          <w:sz w:val="18"/>
          <w:szCs w:val="18"/>
          <w:color w:val="auto"/>
        </w:rPr>
      </w:pPr>
    </w:p>
    <w:p>
      <w:pPr>
        <w:ind w:left="1080" w:right="80" w:hanging="532"/>
        <w:spacing w:after="0" w:line="257" w:lineRule="auto"/>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distributions of our common stock or any security convertible into or exercisable or exchangeable for common stock to limited partners, members, stockholders or holders of similar equity interests, or transfers of shares of common stock or any security convertible into or exercisable or exchangeable for common stock to another corporation, partnership, limited liability company, trust or other business entity that is an affiliate, or to any investment fund or other entity controlled or managed by an affiliate, provided that no filing under Section 16 of the Exchange Act shall be required or voluntarily made;</w:t>
      </w:r>
    </w:p>
    <w:p>
      <w:pPr>
        <w:spacing w:after="0" w:line="93" w:lineRule="exact"/>
        <w:rPr>
          <w:rFonts w:ascii="Arial" w:cs="Arial" w:eastAsia="Arial" w:hAnsi="Arial"/>
          <w:sz w:val="18"/>
          <w:szCs w:val="18"/>
          <w:color w:val="auto"/>
        </w:rPr>
      </w:pPr>
    </w:p>
    <w:p>
      <w:pPr>
        <w:ind w:left="1080" w:right="220" w:hanging="532"/>
        <w:spacing w:after="0" w:line="259" w:lineRule="auto"/>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transfers of our common stock or any security convertible into or exercisable or exchangeable for common stock pursuant to a domestic order or divorce, provided that any filing required by Section 16 of the Exchange Act shall clearly indicate in the footnotes thereto that such transfer is being made pursuant to these circumstances and that no other public announcement or filing shall be required or shall be voluntarily made;</w:t>
      </w:r>
    </w:p>
    <w:p>
      <w:pPr>
        <w:spacing w:after="0" w:line="92" w:lineRule="exact"/>
        <w:rPr>
          <w:rFonts w:ascii="Arial" w:cs="Arial" w:eastAsia="Arial" w:hAnsi="Arial"/>
          <w:sz w:val="18"/>
          <w:szCs w:val="18"/>
          <w:color w:val="auto"/>
        </w:rPr>
      </w:pPr>
    </w:p>
    <w:p>
      <w:pPr>
        <w:ind w:left="1080" w:hanging="532"/>
        <w:spacing w:after="0" w:line="289" w:lineRule="auto"/>
        <w:tabs>
          <w:tab w:leader="none" w:pos="108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exercise, vesting or settlement of options, restricted stock units or other equity awards granted under a stock incentive plan or other equity award plan as described in the prospectus, or transfers or disposition of shares of our common stock or any security convertible into or exercisable or exchangeable for common stock to us upon a vesting or settlement event of our restricted stock units or other securities or the exercise of warrants or options to purchase our securities on a “cashless” or “net exercise” basis to cover estimated taxes, withholding tax and remittance obligations in connection with such vesting, settlement or exercise, insofar as such vesting, settlement or exercise is effected solely by the surrender of outstanding options (or the common stock issuable upon the exercise thereof) or shares of common stock to the Company and our cancellation of all or a portion thereof, provided that no filing under Section 16 of the Exchange Act shall be required or voluntarily made within 90 days after the date of the prospectus and after such 90 days and during the Restricted Period any filing under Section 16 of the Exchange Act will include a statement that such transaction reflects these circumstances;</w:t>
      </w:r>
    </w:p>
    <w:p>
      <w:pPr>
        <w:spacing w:after="0" w:line="71" w:lineRule="exact"/>
        <w:rPr>
          <w:rFonts w:ascii="Arial" w:cs="Arial" w:eastAsia="Arial" w:hAnsi="Arial"/>
          <w:sz w:val="16"/>
          <w:szCs w:val="16"/>
          <w:color w:val="auto"/>
        </w:rPr>
      </w:pPr>
    </w:p>
    <w:p>
      <w:pPr>
        <w:ind w:left="1080" w:right="40" w:hanging="532"/>
        <w:spacing w:after="0" w:line="272" w:lineRule="auto"/>
        <w:tabs>
          <w:tab w:leader="none" w:pos="108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transfers or dispositions of shares of common stock or any security convertible into or exercisable or exchangeable for common stock pursuant to any contractual arrangement in effect on the date of the underwriting agreement and disclosed to the underwriters in writing that provides for the repurchase by us of common stock or any security convertible into or exercisable or exchangeable for common stock pursuant to a repurchase right arising in connection with the termination of employment with or service to the Company; provided that any filing under Section 16 of the Exchange Act reporting a reduction in beneficial ownership of common stock indicates by footnote disclosure or otherwise the nature of the transfer or disposition pursuant to these circumstances and that no other public announcement or filing shall be required or shall be voluntarily made;</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254</w:t>
      </w:r>
    </w:p>
    <w:p>
      <w:pPr>
        <w:sectPr>
          <w:pgSz w:w="11900" w:h="16838" w:orient="portrait"/>
          <w:cols w:equalWidth="0" w:num="1">
            <w:col w:w="11120"/>
          </w:cols>
          <w:pgMar w:left="320" w:top="459" w:right="45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255"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transfers of our common stock or any security convertible into or exercisable or exchangeable for common stock in connection with a bona fide third-party tender offer, merger, consolidation or other similar transaction made to all holders of our common stock involving a change of control of our Company that has been approved by our board of directors and is open to all holders of our common stock, provided that in the event that such tender offer, merger, consolidation or other such transaction is not completed, the securities shall continue to be subject to the restrictions on transfer set forth in the lock-up agreement, and provided that no filing under Section 16 of the Exchange Act shall be required or voluntarily made;</w:t>
      </w:r>
    </w:p>
    <w:p>
      <w:pPr>
        <w:spacing w:after="0" w:line="97" w:lineRule="exact"/>
        <w:rPr>
          <w:rFonts w:ascii="Arial" w:cs="Arial" w:eastAsia="Arial" w:hAnsi="Arial"/>
          <w:sz w:val="18"/>
          <w:szCs w:val="18"/>
          <w:color w:val="auto"/>
        </w:rPr>
      </w:pPr>
    </w:p>
    <w:p>
      <w:pPr>
        <w:ind w:left="1080" w:right="40" w:hanging="532"/>
        <w:spacing w:after="0" w:line="257"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facilitating the establishment of a trading plan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the Company regarding the establishment of such plan during the Restricted Period, such announcement or filing shall include a statement to the effect that no transfer of common stock may be made under such plan during the Restricted Period; and</w:t>
      </w:r>
    </w:p>
    <w:p>
      <w:pPr>
        <w:spacing w:after="0" w:line="93" w:lineRule="exact"/>
        <w:rPr>
          <w:rFonts w:ascii="Arial" w:cs="Arial" w:eastAsia="Arial" w:hAnsi="Arial"/>
          <w:sz w:val="18"/>
          <w:szCs w:val="18"/>
          <w:color w:val="auto"/>
        </w:rPr>
      </w:pPr>
    </w:p>
    <w:p>
      <w:pPr>
        <w:ind w:left="1080" w:right="180" w:hanging="532"/>
        <w:spacing w:after="0" w:line="257"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conversion of outstanding preferred stock into shares of common stock in connection with the consummation of the offering or any conversion or reclassification of common stock as described in the prospectus, provided that such shares of common stock received upon conversion remain subject to the terms of the lock-up agreement and provided that any filing required by Section 16 of the Exchange Act related to any conversion or reclassification of common stock clearly indicate in the footnotes thereto the nature and conditions of such conversion or reclassification; and</w:t>
      </w:r>
    </w:p>
    <w:p>
      <w:pPr>
        <w:spacing w:after="0" w:line="93" w:lineRule="exact"/>
        <w:rPr>
          <w:rFonts w:ascii="Arial" w:cs="Arial" w:eastAsia="Arial" w:hAnsi="Arial"/>
          <w:sz w:val="18"/>
          <w:szCs w:val="18"/>
          <w:color w:val="auto"/>
        </w:rPr>
      </w:pPr>
    </w:p>
    <w:p>
      <w:pPr>
        <w:ind w:left="1080" w:right="200" w:hanging="532"/>
        <w:spacing w:after="0" w:line="342" w:lineRule="auto"/>
        <w:tabs>
          <w:tab w:leader="none" w:pos="108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if an entity advised by an investment adviser, transfers pursuant to a merger or reorganization with or into another institutional client that shares the same investment advisor registered pursuant to the requirements of the Investment Advisors Act of 1940, as amended.</w:t>
      </w:r>
    </w:p>
    <w:p>
      <w:pPr>
        <w:spacing w:after="0" w:line="124"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Certain of the exceptions described above are subject to a requirement that the donee, trustee, transferee or distributee enter into a lock-up agreement with the underwriters containing similar restrictions. Certain of the exceptions described above are subject to a requirement that the transfer or distribution does not involve a disposition for value.</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Morgan Stanley &amp; Co. LLC, Cowen and Company, LLC and Piper Sandler &amp; Co. in their sole discretion, may release the common stock and other securities subject to the lock-up agreements described above in whole or in part at any time. The lock-up agreements of certain significant holders are subject to a pro rata release.</w:t>
      </w:r>
    </w:p>
    <w:p>
      <w:pPr>
        <w:spacing w:after="0" w:line="184" w:lineRule="exact"/>
        <w:rPr>
          <w:sz w:val="20"/>
          <w:szCs w:val="20"/>
          <w:color w:val="auto"/>
        </w:rPr>
      </w:pPr>
    </w:p>
    <w:p>
      <w:pPr>
        <w:ind w:left="120" w:right="100" w:firstLine="440"/>
        <w:spacing w:after="0" w:line="287" w:lineRule="auto"/>
        <w:rPr>
          <w:sz w:val="20"/>
          <w:szCs w:val="20"/>
          <w:color w:val="auto"/>
        </w:rPr>
      </w:pPr>
      <w:r>
        <w:rPr>
          <w:rFonts w:ascii="Arial" w:cs="Arial" w:eastAsia="Arial" w:hAnsi="Arial"/>
          <w:sz w:val="16"/>
          <w:szCs w:val="16"/>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255</w:t>
      </w:r>
    </w:p>
    <w:p>
      <w:pPr>
        <w:sectPr>
          <w:pgSz w:w="11900" w:h="16838" w:orient="portrait"/>
          <w:cols w:equalWidth="0" w:num="1">
            <w:col w:w="11140"/>
          </w:cols>
          <w:pgMar w:left="320" w:top="459" w:right="4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57"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Prior to this offering, there has been no public market for our common stock. The initial public offering price will be determined by negotiations between us and the representatives. Among the factors to be considered in determining the initial public offering price will be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261" w:lineRule="exact"/>
        <w:rPr>
          <w:sz w:val="20"/>
          <w:szCs w:val="20"/>
          <w:color w:val="auto"/>
        </w:rPr>
      </w:pPr>
    </w:p>
    <w:p>
      <w:pPr>
        <w:jc w:val="center"/>
        <w:ind w:right="9420"/>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shares of our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our common stock must be made in accordance with an exemption from, or in a transaction not subject to, the prospectus requirements of applicable securities laws.</w:t>
      </w:r>
    </w:p>
    <w:p>
      <w:pPr>
        <w:spacing w:after="0" w:line="188"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restrictions of the securities legislation of the purchaser’s province or territory for particulars of these rights or consult with a legal advisor.</w:t>
      </w:r>
    </w:p>
    <w:p>
      <w:pPr>
        <w:spacing w:after="0" w:line="157" w:lineRule="exact"/>
        <w:rPr>
          <w:sz w:val="20"/>
          <w:szCs w:val="20"/>
          <w:color w:val="auto"/>
        </w:rPr>
      </w:pPr>
    </w:p>
    <w:p>
      <w:pPr>
        <w:jc w:val="both"/>
        <w:ind w:left="120" w:right="340" w:firstLine="440"/>
        <w:spacing w:after="0" w:line="263"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256</w:t>
      </w:r>
    </w:p>
    <w:p>
      <w:pPr>
        <w:sectPr>
          <w:pgSz w:w="11900" w:h="16838" w:orient="portrait"/>
          <w:cols w:equalWidth="0" w:num="1">
            <w:col w:w="11120"/>
          </w:cols>
          <w:pgMar w:left="320" w:top="459" w:right="45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188" w:lineRule="exact"/>
        <w:rPr>
          <w:sz w:val="20"/>
          <w:szCs w:val="20"/>
          <w:color w:val="auto"/>
        </w:rPr>
      </w:pPr>
    </w:p>
    <w:p>
      <w:pPr>
        <w:ind w:left="800" w:hanging="244"/>
        <w:spacing w:after="0"/>
        <w:tabs>
          <w:tab w:leader="none" w:pos="8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the Prospectus Regulation;</w:t>
      </w:r>
    </w:p>
    <w:p>
      <w:pPr>
        <w:spacing w:after="0" w:line="225" w:lineRule="exact"/>
        <w:rPr>
          <w:rFonts w:ascii="Arial" w:cs="Arial" w:eastAsia="Arial" w:hAnsi="Arial"/>
          <w:sz w:val="18"/>
          <w:szCs w:val="18"/>
          <w:color w:val="auto"/>
        </w:rPr>
      </w:pPr>
    </w:p>
    <w:p>
      <w:pPr>
        <w:ind w:left="120" w:firstLine="436"/>
        <w:spacing w:after="0" w:line="277" w:lineRule="auto"/>
        <w:tabs>
          <w:tab w:leader="none" w:pos="81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Regulation), subject to obtaining the prior consent of the underwriters; or</w:t>
      </w:r>
    </w:p>
    <w:p>
      <w:pPr>
        <w:spacing w:after="0" w:line="170" w:lineRule="exact"/>
        <w:rPr>
          <w:rFonts w:ascii="Arial" w:cs="Arial" w:eastAsia="Arial" w:hAnsi="Arial"/>
          <w:sz w:val="18"/>
          <w:szCs w:val="18"/>
          <w:color w:val="auto"/>
        </w:rPr>
      </w:pPr>
    </w:p>
    <w:p>
      <w:pPr>
        <w:ind w:left="800" w:hanging="244"/>
        <w:spacing w:after="0"/>
        <w:tabs>
          <w:tab w:leader="none" w:pos="8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provided that no such offer of shares shall require us or any underwriter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underwriters and us that it is a “qualified investor” within the meaning of Article 2(e) of the Prospectus Regulation.</w:t>
      </w:r>
    </w:p>
    <w:p>
      <w:pPr>
        <w:spacing w:after="0" w:line="18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have been obtained to each such proposed offer or resale.</w:t>
      </w:r>
    </w:p>
    <w:p>
      <w:pPr>
        <w:spacing w:after="0" w:line="176"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shares or subscribe for any shares, and the expression “Prospectus Regulation” means Regulation (EU) 2017/1129.</w:t>
      </w:r>
    </w:p>
    <w:p>
      <w:pPr>
        <w:spacing w:after="0" w:line="14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have not authorized and do not authorize the making of any offer of shares through any financial intermediary on their behalf, other than offers made by the underwriters with a view to the final placement of the shares in this document. Accordingly, no purchaser of the shares, other than the underwriters, is authorized to make any further offer of the shares on behalf of us or the underwriters.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In relation to the United Kingdom, no shares of common stock will be offered pursuant to this offering to the public in the United Kingdom prior to publication of a prospectus in relation to the shares that either (i) has been approved by the Financial Conduct Authority, or (ii) is to be treated as if it had been approved by the Financial Conduct Authority in accordance with the transitional provision in Regulation 74 of the Prospectus (Amendment etc.) (EU Exit) Regulations 2019, except that offers of shares may be made to the public in the United Kingdom at any time under the following exemptions under the UK Prospectus Regulation:</w:t>
      </w:r>
    </w:p>
    <w:p>
      <w:pPr>
        <w:spacing w:after="0" w:line="93" w:lineRule="exact"/>
        <w:rPr>
          <w:sz w:val="20"/>
          <w:szCs w:val="20"/>
          <w:color w:val="auto"/>
        </w:rPr>
      </w:pPr>
    </w:p>
    <w:p>
      <w:pPr>
        <w:ind w:left="1080" w:hanging="408"/>
        <w:spacing w:after="0"/>
        <w:tabs>
          <w:tab w:leader="none" w:pos="10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Article 2 of the UK Prospectus Regulation;</w:t>
      </w:r>
    </w:p>
    <w:p>
      <w:pPr>
        <w:spacing w:after="0" w:line="130" w:lineRule="exact"/>
        <w:rPr>
          <w:rFonts w:ascii="Arial" w:cs="Arial" w:eastAsia="Arial" w:hAnsi="Arial"/>
          <w:sz w:val="18"/>
          <w:szCs w:val="18"/>
          <w:color w:val="auto"/>
        </w:rPr>
      </w:pPr>
    </w:p>
    <w:p>
      <w:pPr>
        <w:ind w:left="1080" w:hanging="418"/>
        <w:spacing w:after="0"/>
        <w:tabs>
          <w:tab w:leader="none" w:pos="108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in Article 2 of the UK Prospectus Regulation); or</w:t>
      </w:r>
    </w:p>
    <w:p>
      <w:pPr>
        <w:spacing w:after="0" w:line="142" w:lineRule="exact"/>
        <w:rPr>
          <w:rFonts w:ascii="Arial" w:cs="Arial" w:eastAsia="Arial" w:hAnsi="Arial"/>
          <w:sz w:val="17"/>
          <w:szCs w:val="17"/>
          <w:color w:val="auto"/>
        </w:rPr>
      </w:pPr>
    </w:p>
    <w:p>
      <w:pPr>
        <w:ind w:left="1080" w:hanging="408"/>
        <w:spacing w:after="0"/>
        <w:tabs>
          <w:tab w:leader="none" w:pos="10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Financial Services and Markets Act 2000 (FSMA).</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257</w:t>
      </w:r>
    </w:p>
    <w:p>
      <w:pPr>
        <w:sectPr>
          <w:pgSz w:w="11900" w:h="16838" w:orient="portrait"/>
          <w:cols w:equalWidth="0" w:num="1">
            <w:col w:w="11120"/>
          </w:cols>
          <w:pgMar w:left="320" w:top="459" w:right="45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8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We have not authorized and do not authorize the making of any offer of shares through any financial intermediary on their behalf, other than offers made by the underwriters with a view to the final placement of the shares as contemplated in this document. Accordingly, no purchaser of the shares, other than the underwriters, is authorized to make any further offer of the shares on behalf of us or the underwriters.</w:t>
      </w:r>
    </w:p>
    <w:p>
      <w:pPr>
        <w:spacing w:after="0" w:line="165"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In addition, in the United Kingdom, this document is being distributed only to, and is directed only at, and any offer subsequently made may only be directed at persons who are “qualified investors” (as defined in Article 2 of the UK Prospectus Regulation) (i) who have professional experience in matters relating to investments falling within Article 19(5) of the FSMA (Financial Promotion) Order 2005, as amended, or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FSMA. In the United Kingdom, any investment or investment activity to which this document relates is only available to, and will be engaged in with, relevant persons.</w:t>
      </w:r>
    </w:p>
    <w:p>
      <w:pPr>
        <w:spacing w:after="0" w:line="17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Any person in the United Kingdom who is not a relevant person must not act upon this document or any of its contents or use it as the basis for taking any action. In the United Kingdom, any investment or investment activity that this document relates to may be made or taken exclusively by relevant persons.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Switzerland</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shares of common stock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 Neither this document nor any other offering or marketing material relating to the offering, us, or the shares have been or will be filed with or approved by any Swiss regulatory authority. In particular, this document will not be filed with, and the offer of shares will not be supervised by, the Swiss Financial Market Supervisory Authority FINMA, or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Dubai International Financial Center</w:t>
      </w:r>
    </w:p>
    <w:p>
      <w:pPr>
        <w:spacing w:after="0" w:line="11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258</w:t>
      </w:r>
    </w:p>
    <w:p>
      <w:pPr>
        <w:sectPr>
          <w:pgSz w:w="11900" w:h="16838" w:orient="portrait"/>
          <w:cols w:equalWidth="0" w:num="1">
            <w:col w:w="11120"/>
          </w:cols>
          <w:pgMar w:left="320" w:top="459" w:right="45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Australia</w:t>
      </w:r>
    </w:p>
    <w:p>
      <w:pPr>
        <w:spacing w:after="0" w:line="117" w:lineRule="exact"/>
        <w:rPr>
          <w:sz w:val="20"/>
          <w:szCs w:val="20"/>
          <w:color w:val="auto"/>
        </w:rPr>
      </w:pPr>
    </w:p>
    <w:p>
      <w:pPr>
        <w:ind w:left="120" w:right="280" w:firstLine="440"/>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7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Any offer in Australia of the shares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The shares applied for by Exempt Investors in Australia must not be offered for sale in Australia in the period of twelve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5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This prospectus contains general information only and does not take into account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for their needs, objectives and circumstances, and, if necessary, seek expert advice on those matters.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shares of common stock have not been offered or sold and will not be offered or sold in Hong Kong, by means of any document, other than</w:t>
      </w:r>
    </w:p>
    <w:p>
      <w:pPr>
        <w:spacing w:after="0" w:line="46" w:lineRule="exact"/>
        <w:rPr>
          <w:sz w:val="20"/>
          <w:szCs w:val="20"/>
          <w:color w:val="auto"/>
        </w:rPr>
      </w:pPr>
    </w:p>
    <w:p>
      <w:pPr>
        <w:ind w:left="360" w:hanging="244"/>
        <w:spacing w:after="0"/>
        <w:tabs>
          <w:tab w:leader="none" w:pos="36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to “professional investors” as defined in the Securities and Futures Ordinance (Cap. 571) of Hong Kong and any rules made under that Ordinance; or</w:t>
      </w:r>
    </w:p>
    <w:p>
      <w:pPr>
        <w:spacing w:after="0" w:line="32" w:lineRule="exact"/>
        <w:rPr>
          <w:rFonts w:ascii="Arial" w:cs="Arial" w:eastAsia="Arial" w:hAnsi="Arial"/>
          <w:sz w:val="16"/>
          <w:szCs w:val="16"/>
          <w:color w:val="auto"/>
        </w:rPr>
      </w:pPr>
    </w:p>
    <w:p>
      <w:pPr>
        <w:ind w:left="120" w:right="100" w:hanging="4"/>
        <w:spacing w:after="0" w:line="269" w:lineRule="auto"/>
        <w:tabs>
          <w:tab w:leader="none" w:pos="375" w:val="left"/>
        </w:tabs>
        <w:numPr>
          <w:ilvl w:val="0"/>
          <w:numId w:val="156"/>
        </w:numPr>
        <w:rPr>
          <w:rFonts w:ascii="Arial" w:cs="Arial" w:eastAsia="Arial" w:hAnsi="Arial"/>
          <w:sz w:val="17"/>
          <w:szCs w:val="17"/>
          <w:color w:val="auto"/>
        </w:rPr>
      </w:pPr>
      <w:r>
        <w:rPr>
          <w:rFonts w:ascii="Arial" w:cs="Arial" w:eastAsia="Arial" w:hAnsi="Arial"/>
          <w:sz w:val="17"/>
          <w:szCs w:val="17"/>
          <w:color w:val="auto"/>
        </w:rPr>
        <w:t>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shares of common stock has been or may be issued or has been or may be in the possession of any person for the purposes of issuance,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Securities and Futures Ordinance and any rules made under that Ordinance.</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No registration pursuant to Article 4, paragraph 1 of the Financial Instruments and Exchange Law of Japan (Law No. 25 of 1948, as amended), or the FIEL, has been made or will be made with respect to the solicitation of the application for the acquisition of the shares of common stock.</w:t>
      </w:r>
    </w:p>
    <w:p>
      <w:pPr>
        <w:spacing w:after="0" w:line="12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Accordingly, the shares of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259</w:t>
      </w:r>
    </w:p>
    <w:p>
      <w:pPr>
        <w:sectPr>
          <w:pgSz w:w="11900" w:h="16838" w:orient="portrait"/>
          <w:cols w:equalWidth="0" w:num="1">
            <w:col w:w="11120"/>
          </w:cols>
          <w:pgMar w:left="320" w:top="459" w:right="45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For Qualified Institutional Investors, or QII</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Please note that the solicitation for newly-issued or secondary securities (each as described in Paragraph 2, Article 4 of the FIEL) in relation to the shares of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common stock. The shares of common stock may only be transferred to QIIs.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For Non-QII Investors</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Please note that the solicitation for newly-issued or secondary securities (each as described in Paragraph 2, Article 4 of the FIEL) in relation to the shares of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common stock. The shares of common stock may only be transferred en bloc without subdivision to a single investor.</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common stock may not be circulated or distributed, nor may the shares of common stock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 the shares of common stock are subscribed or purchased under Section 275 of the SFA by a relevant person which is:</w:t>
      </w:r>
    </w:p>
    <w:p>
      <w:pPr>
        <w:spacing w:after="0" w:line="225" w:lineRule="exact"/>
        <w:rPr>
          <w:sz w:val="20"/>
          <w:szCs w:val="20"/>
          <w:color w:val="auto"/>
        </w:rPr>
      </w:pPr>
    </w:p>
    <w:p>
      <w:pPr>
        <w:ind w:left="120" w:right="80" w:firstLine="436"/>
        <w:spacing w:after="0" w:line="277" w:lineRule="auto"/>
        <w:tabs>
          <w:tab w:leader="none" w:pos="80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70" w:lineRule="exact"/>
        <w:rPr>
          <w:rFonts w:ascii="Arial" w:cs="Arial" w:eastAsia="Arial" w:hAnsi="Arial"/>
          <w:sz w:val="18"/>
          <w:szCs w:val="18"/>
          <w:color w:val="auto"/>
        </w:rPr>
      </w:pPr>
    </w:p>
    <w:p>
      <w:pPr>
        <w:ind w:left="120" w:right="160" w:firstLine="436"/>
        <w:spacing w:after="0" w:line="277" w:lineRule="auto"/>
        <w:tabs>
          <w:tab w:leader="none" w:pos="81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the sole purpose of which is to hold investments and each beneficiary of the trust is an individual who is an accredited investor,</w:t>
      </w:r>
    </w:p>
    <w:p>
      <w:pPr>
        <w:spacing w:after="0" w:line="170"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shares of common stock pursuant to an offer made under Section 275 of the SFA except:</w:t>
      </w:r>
    </w:p>
    <w:p>
      <w:pPr>
        <w:spacing w:after="0" w:line="184" w:lineRule="exact"/>
        <w:rPr>
          <w:sz w:val="20"/>
          <w:szCs w:val="20"/>
          <w:color w:val="auto"/>
        </w:rPr>
      </w:pPr>
    </w:p>
    <w:p>
      <w:pPr>
        <w:ind w:left="120" w:right="300" w:firstLine="436"/>
        <w:spacing w:after="0" w:line="277" w:lineRule="auto"/>
        <w:tabs>
          <w:tab w:leader="none" w:pos="80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170" w:lineRule="exact"/>
        <w:rPr>
          <w:rFonts w:ascii="Arial" w:cs="Arial" w:eastAsia="Arial" w:hAnsi="Arial"/>
          <w:sz w:val="18"/>
          <w:szCs w:val="18"/>
          <w:color w:val="auto"/>
        </w:rPr>
      </w:pPr>
    </w:p>
    <w:p>
      <w:pPr>
        <w:ind w:left="820" w:hanging="264"/>
        <w:spacing w:after="0"/>
        <w:tabs>
          <w:tab w:leader="none" w:pos="8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25" w:lineRule="exact"/>
        <w:rPr>
          <w:rFonts w:ascii="Arial" w:cs="Arial" w:eastAsia="Arial" w:hAnsi="Arial"/>
          <w:sz w:val="18"/>
          <w:szCs w:val="18"/>
          <w:color w:val="auto"/>
        </w:rPr>
      </w:pPr>
    </w:p>
    <w:p>
      <w:pPr>
        <w:ind w:left="800" w:hanging="244"/>
        <w:spacing w:after="0"/>
        <w:tabs>
          <w:tab w:leader="none" w:pos="8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25" w:lineRule="exact"/>
        <w:rPr>
          <w:rFonts w:ascii="Arial" w:cs="Arial" w:eastAsia="Arial" w:hAnsi="Arial"/>
          <w:sz w:val="18"/>
          <w:szCs w:val="18"/>
          <w:color w:val="auto"/>
        </w:rPr>
      </w:pPr>
    </w:p>
    <w:p>
      <w:pPr>
        <w:ind w:left="820" w:hanging="264"/>
        <w:spacing w:after="0"/>
        <w:tabs>
          <w:tab w:leader="none" w:pos="8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225" w:lineRule="exact"/>
        <w:rPr>
          <w:rFonts w:ascii="Arial" w:cs="Arial" w:eastAsia="Arial" w:hAnsi="Arial"/>
          <w:sz w:val="18"/>
          <w:szCs w:val="18"/>
          <w:color w:val="auto"/>
        </w:rPr>
      </w:pPr>
    </w:p>
    <w:p>
      <w:pPr>
        <w:jc w:val="center"/>
        <w:ind w:left="5480" w:right="260" w:hanging="4924"/>
        <w:spacing w:after="0" w:line="449" w:lineRule="auto"/>
        <w:tabs>
          <w:tab w:leader="none" w:pos="792"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 260</w:t>
      </w:r>
    </w:p>
    <w:p>
      <w:pPr>
        <w:sectPr>
          <w:pgSz w:w="11900" w:h="16838" w:orient="portrait"/>
          <w:cols w:equalWidth="0" w:num="1">
            <w:col w:w="11120"/>
          </w:cols>
          <w:pgMar w:left="320" w:top="459" w:right="45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United Arab Emirates</w:t>
      </w:r>
    </w:p>
    <w:p>
      <w:pPr>
        <w:spacing w:after="0" w:line="117"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The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China</w:t>
      </w:r>
    </w:p>
    <w:p>
      <w:pPr>
        <w:spacing w:after="0" w:line="117"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This prospectus does not constitute a public offer of shares, whether by sale or subscription, in the People’s Republic of China, or the PRC. The shares are not being offered or sold directly or indirectly in the PRC to or for the benefit of, legal or natural persons of the PRC.</w:t>
      </w:r>
    </w:p>
    <w:p>
      <w:pPr>
        <w:spacing w:after="0" w:line="146"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Further, no legal or natural persons of the PRC may directly or indirectly purchase any of the shares or any beneficial interest therein without obtaining all prior PRC’s governmental approvals that are required, whether statutorily or otherwise. Persons who come into possession of this document are required by the issuer and its representatives to observe these restrictions.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Korea</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shares have not been and will not be registered under the Financial Investments Services and Capital Markets Act of Korea and the decrees and regulations thereunder, or the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 FETL.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Taiwan</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in Taiwan.</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South Africa</w:t>
      </w:r>
    </w:p>
    <w:p>
      <w:pPr>
        <w:spacing w:after="0" w:line="117"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Due to restrictions under the securities laws of South Africa, the shares are not offered, and the offer shall not be transferred, sold, renounced or delivered, in South Africa or to a person with an address in South Africa, unless one or other of the following exemptions applies: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 the offer, transfer, sale, renunciation or delivery is to:</w:t>
      </w:r>
    </w:p>
    <w:p>
      <w:pPr>
        <w:spacing w:after="0" w:line="225" w:lineRule="exact"/>
        <w:rPr>
          <w:sz w:val="20"/>
          <w:szCs w:val="20"/>
          <w:color w:val="auto"/>
        </w:rPr>
      </w:pPr>
    </w:p>
    <w:p>
      <w:pPr>
        <w:ind w:left="800" w:hanging="244"/>
        <w:spacing w:after="0"/>
        <w:tabs>
          <w:tab w:leader="none" w:pos="8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persons whose ordinary business is to deal in securities, as principal or agent;</w:t>
      </w:r>
    </w:p>
    <w:p>
      <w:pPr>
        <w:spacing w:after="0" w:line="225" w:lineRule="exact"/>
        <w:rPr>
          <w:rFonts w:ascii="Arial" w:cs="Arial" w:eastAsia="Arial" w:hAnsi="Arial"/>
          <w:sz w:val="18"/>
          <w:szCs w:val="18"/>
          <w:color w:val="auto"/>
        </w:rPr>
      </w:pPr>
    </w:p>
    <w:p>
      <w:pPr>
        <w:ind w:left="820" w:hanging="264"/>
        <w:spacing w:after="0"/>
        <w:tabs>
          <w:tab w:leader="none" w:pos="8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South African Public Investment Corporation;</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261</w:t>
      </w:r>
    </w:p>
    <w:p>
      <w:pPr>
        <w:sectPr>
          <w:pgSz w:w="11900" w:h="16838" w:orient="portrait"/>
          <w:cols w:equalWidth="0" w:num="1">
            <w:col w:w="11100"/>
          </w:cols>
          <w:pgMar w:left="320" w:top="459" w:right="47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00" w:hanging="244"/>
        <w:spacing w:after="0"/>
        <w:tabs>
          <w:tab w:leader="none" w:pos="8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persons or entities regulated by the Reserve Bank of South Africa;</w:t>
      </w:r>
    </w:p>
    <w:p>
      <w:pPr>
        <w:spacing w:after="0" w:line="225" w:lineRule="exact"/>
        <w:rPr>
          <w:rFonts w:ascii="Arial" w:cs="Arial" w:eastAsia="Arial" w:hAnsi="Arial"/>
          <w:sz w:val="18"/>
          <w:szCs w:val="18"/>
          <w:color w:val="auto"/>
        </w:rPr>
      </w:pPr>
    </w:p>
    <w:p>
      <w:pPr>
        <w:ind w:left="820" w:hanging="264"/>
        <w:spacing w:after="0"/>
        <w:tabs>
          <w:tab w:leader="none" w:pos="8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authorized financial service providers under South African law;</w:t>
      </w:r>
    </w:p>
    <w:p>
      <w:pPr>
        <w:spacing w:after="0" w:line="225" w:lineRule="exact"/>
        <w:rPr>
          <w:rFonts w:ascii="Arial" w:cs="Arial" w:eastAsia="Arial" w:hAnsi="Arial"/>
          <w:sz w:val="18"/>
          <w:szCs w:val="18"/>
          <w:color w:val="auto"/>
        </w:rPr>
      </w:pPr>
    </w:p>
    <w:p>
      <w:pPr>
        <w:ind w:left="800" w:hanging="244"/>
        <w:spacing w:after="0"/>
        <w:tabs>
          <w:tab w:leader="none" w:pos="8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financial institutions recognized as such under South African law;</w:t>
      </w:r>
    </w:p>
    <w:p>
      <w:pPr>
        <w:spacing w:after="0" w:line="225" w:lineRule="exact"/>
        <w:rPr>
          <w:rFonts w:ascii="Arial" w:cs="Arial" w:eastAsia="Arial" w:hAnsi="Arial"/>
          <w:sz w:val="18"/>
          <w:szCs w:val="18"/>
          <w:color w:val="auto"/>
        </w:rPr>
      </w:pPr>
    </w:p>
    <w:p>
      <w:pPr>
        <w:ind w:left="120" w:right="400" w:firstLine="436"/>
        <w:spacing w:after="0" w:line="308" w:lineRule="auto"/>
        <w:tabs>
          <w:tab w:leader="none" w:pos="785" w:val="left"/>
        </w:tabs>
        <w:numPr>
          <w:ilvl w:val="0"/>
          <w:numId w:val="160"/>
        </w:numPr>
        <w:rPr>
          <w:rFonts w:ascii="Arial" w:cs="Arial" w:eastAsia="Arial" w:hAnsi="Arial"/>
          <w:sz w:val="17"/>
          <w:szCs w:val="17"/>
          <w:color w:val="auto"/>
        </w:rPr>
      </w:pPr>
      <w:r>
        <w:rPr>
          <w:rFonts w:ascii="Arial" w:cs="Arial" w:eastAsia="Arial" w:hAnsi="Arial"/>
          <w:sz w:val="17"/>
          <w:szCs w:val="17"/>
          <w:color w:val="auto"/>
        </w:rPr>
        <w:t>a wholly-owned subsidiary of any person or entity contemplated in (c), (d) or (e), acting as agent in the capacity of an authorized portfolio manager for a pension fund or collective investment scheme (in each case duly registered as such under South African law); or</w:t>
      </w:r>
    </w:p>
    <w:p>
      <w:pPr>
        <w:spacing w:after="0" w:line="146" w:lineRule="exact"/>
        <w:rPr>
          <w:rFonts w:ascii="Arial" w:cs="Arial" w:eastAsia="Arial" w:hAnsi="Arial"/>
          <w:sz w:val="17"/>
          <w:szCs w:val="17"/>
          <w:color w:val="auto"/>
        </w:rPr>
      </w:pPr>
    </w:p>
    <w:p>
      <w:pPr>
        <w:ind w:left="820" w:hanging="264"/>
        <w:spacing w:after="0"/>
        <w:tabs>
          <w:tab w:leader="none" w:pos="8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 combination of the person in (a) to (f); or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ii. the total contemplated acquisition cost of the securities, for any single addressee acting as principal is equal to or greater than ZAR1,000,000.</w:t>
      </w:r>
    </w:p>
    <w:p>
      <w:pPr>
        <w:spacing w:after="0" w:line="248"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No “offer to the public” (as such term is defined in the South African Companies Act, No. 71 of 2008 (as amended or re-enacted), or the South African Companies Act) in South Africa is being made in connection with the issue of the shares.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Any issue or offering of the shares in South Africa constitutes an offer of the shares in South Africa for subscription or sale in South Africa only to persons who fall within the exemption from “offers to the public” set out in section 96(1)(a) of the South African Companies Act. Accordingly, this document must not be acted on or relied on by persons in South Africa who do not fall within section 96(1)(a) of the South African Companies Act (such persons being referred to as SA Relevant Persons). Any investment or investment activity to which this document relates is available in South Africa only to SA Relevant Persons and will be engaged in South Africa only with SA Relevant Persons.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Israel</w:t>
      </w:r>
    </w:p>
    <w:p>
      <w:pPr>
        <w:spacing w:after="0" w:line="11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This document does not constitute a prospectus under the Israeli Securities Law, 5728-1968, (Israeli Securities Law), and has not been filed with or approved by the Israel Securities Authority. In Israel, this prospectus is being distributed only to, and is directed only at, and any offer of the shares of common stock is directed only at, (i) a limited number of persons in accordance with the Israeli Securities Law and (ii) investors listed in the first addendum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262</w:t>
      </w:r>
    </w:p>
    <w:p>
      <w:pPr>
        <w:sectPr>
          <w:pgSz w:w="11900" w:h="16838" w:orient="portrait"/>
          <w:cols w:equalWidth="0" w:num="1">
            <w:col w:w="11120"/>
          </w:cols>
          <w:pgMar w:left="320" w:top="459" w:right="45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380" w:firstLine="440"/>
        <w:spacing w:after="0" w:line="342" w:lineRule="auto"/>
        <w:rPr>
          <w:sz w:val="20"/>
          <w:szCs w:val="20"/>
          <w:color w:val="auto"/>
        </w:rPr>
      </w:pPr>
      <w:r>
        <w:rPr>
          <w:rFonts w:ascii="Arial" w:cs="Arial" w:eastAsia="Arial" w:hAnsi="Arial"/>
          <w:sz w:val="16"/>
          <w:szCs w:val="16"/>
          <w:color w:val="auto"/>
        </w:rPr>
        <w:t>The validity of the issuance of our common stock offered in this prospectus will be passed upon for us by Wilson Sonsini Goodrich &amp; Rosati, Professional Corporation, Palo Alto, California. Davis Polk &amp; Wardwell LLP, Menlo Park, California, is acting as counsel for the underwriters.</w:t>
      </w:r>
    </w:p>
    <w:p>
      <w:pPr>
        <w:spacing w:after="0" w:line="33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financial statements as of December 31, 2019 and 2020, and for each of the two years in the period ended December 31, 2020, included in this prospectus have been audited by Deloitte &amp; Touche LLP, an independent registered public accounting firm, as stated in their report appearing herein. Such financial statements have been so included in reliance upon the report of such firm given upon their authority as experts in accounting and auditing.</w:t>
      </w:r>
    </w:p>
    <w:p>
      <w:pPr>
        <w:spacing w:after="0" w:line="39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our common stock offered by this prospectus. This prospectus, which constitutes a part of the registration statement, does not contain all of the information set forth in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is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also maintains an Internet website that contains the registration statement of which this prospectus forms a part, as well as the exhibits thereto. These documents, along with future reports, proxy statements and other information about us, are available at the SEC’s website, www.sec.gov.</w:t>
      </w:r>
    </w:p>
    <w:p>
      <w:pPr>
        <w:spacing w:after="0" w:line="18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As a result of this offering, we will become subject to the information and reporting requirements of the Exchange Act and, in accordance with this law, will file periodic reports, proxy statements and other information with the SEC. These periodic reports, proxy statements and other information will be available for inspection and copying at the SEC’s public reference facilities and the website of the SEC referred to above. We also maintain a website at www.tenayatherapeutics.com where these materials are available. Upon the completion of this offering, you may access these materials free of charge as soon as reasonably practicable after they are electronically filed with, or furnished to, the SEC. Information contained on, or accessible through, our website is not incorporated by reference into this prospectus and should not be considered to be part of this prospectus. The inclusion of our website address in this prospectus is an inactive textual reference only.</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263</w:t>
      </w:r>
    </w:p>
    <w:p>
      <w:pPr>
        <w:sectPr>
          <w:pgSz w:w="11900" w:h="16838" w:orient="portrait"/>
          <w:cols w:equalWidth="0" w:num="1">
            <w:col w:w="11120"/>
          </w:cols>
          <w:pgMar w:left="320" w:top="459" w:right="45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TENAYA THERAPEUTICS,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560" w:type="dxa"/>
            <w:vAlign w:val="bottom"/>
            <w:gridSpan w:val="12"/>
            <w:vMerge w:val="restart"/>
          </w:tcPr>
          <w:p>
            <w:pPr>
              <w:spacing w:after="0"/>
              <w:rPr>
                <w:sz w:val="20"/>
                <w:szCs w:val="20"/>
                <w:color w:val="auto"/>
              </w:rPr>
            </w:pPr>
            <w:r>
              <w:rPr>
                <w:rFonts w:ascii="Arial" w:cs="Arial" w:eastAsia="Arial" w:hAnsi="Arial"/>
                <w:sz w:val="18"/>
                <w:szCs w:val="18"/>
                <w:b w:val="1"/>
                <w:bCs w:val="1"/>
                <w:color w:val="auto"/>
              </w:rPr>
              <w:t>Audited Financial Statements as of and for the Years Ended December 31, 2019 and 2020</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82"/>
        </w:trPr>
        <w:tc>
          <w:tcPr>
            <w:tcW w:w="10560" w:type="dxa"/>
            <w:vAlign w:val="bottom"/>
            <w:gridSpan w:val="12"/>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220" w:type="dxa"/>
            <w:vAlign w:val="bottom"/>
            <w:tcBorders>
              <w:bottom w:val="single" w:sz="8" w:color="0000EE"/>
            </w:tcBorders>
            <w:gridSpan w:val="8"/>
          </w:tcPr>
          <w:p>
            <w:pPr>
              <w:spacing w:after="0" w:line="190" w:lineRule="exact"/>
              <w:rPr>
                <w:sz w:val="20"/>
                <w:szCs w:val="20"/>
                <w:color w:val="auto"/>
              </w:rPr>
            </w:pPr>
            <w:r>
              <w:rPr>
                <w:rFonts w:ascii="Arial" w:cs="Arial" w:eastAsia="Arial" w:hAnsi="Arial"/>
                <w:sz w:val="18"/>
                <w:szCs w:val="18"/>
                <w:color w:val="0000EE"/>
                <w:w w:val="91"/>
              </w:rPr>
              <w:t>Report of Independent Registered Public Accounting Firm</w:t>
            </w:r>
          </w:p>
        </w:tc>
        <w:tc>
          <w:tcPr>
            <w:tcW w:w="6340" w:type="dxa"/>
            <w:vAlign w:val="bottom"/>
            <w:gridSpan w:val="4"/>
          </w:tcPr>
          <w:p>
            <w:pPr>
              <w:spacing w:after="0"/>
              <w:rPr>
                <w:sz w:val="16"/>
                <w:szCs w:val="16"/>
                <w:color w:val="auto"/>
              </w:rPr>
            </w:pPr>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96"/>
        </w:trPr>
        <w:tc>
          <w:tcPr>
            <w:tcW w:w="1100" w:type="dxa"/>
            <w:vAlign w:val="bottom"/>
            <w:tcBorders>
              <w:bottom w:val="single" w:sz="8" w:color="0000EE"/>
            </w:tcBorders>
          </w:tcPr>
          <w:p>
            <w:pPr>
              <w:spacing w:after="0" w:line="196" w:lineRule="exact"/>
              <w:rPr>
                <w:rFonts w:ascii="Arial" w:cs="Arial" w:eastAsia="Arial" w:hAnsi="Arial"/>
                <w:sz w:val="18"/>
                <w:szCs w:val="18"/>
                <w:color w:val="0000EE"/>
                <w:w w:val="85"/>
              </w:rPr>
            </w:pPr>
            <w:hyperlink w:anchor="page269">
              <w:r>
                <w:rPr>
                  <w:rFonts w:ascii="Arial" w:cs="Arial" w:eastAsia="Arial" w:hAnsi="Arial"/>
                  <w:sz w:val="18"/>
                  <w:szCs w:val="18"/>
                  <w:color w:val="0000EE"/>
                  <w:w w:val="85"/>
                </w:rPr>
                <w:t>Balance Sheets</w:t>
              </w:r>
            </w:hyperlink>
          </w:p>
        </w:tc>
        <w:tc>
          <w:tcPr>
            <w:tcW w:w="9460" w:type="dxa"/>
            <w:vAlign w:val="bottom"/>
            <w:gridSpan w:val="11"/>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36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270">
              <w:r>
                <w:rPr>
                  <w:rFonts w:ascii="Arial" w:cs="Arial" w:eastAsia="Arial" w:hAnsi="Arial"/>
                  <w:sz w:val="18"/>
                  <w:szCs w:val="18"/>
                  <w:color w:val="0000EE"/>
                  <w:w w:val="88"/>
                </w:rPr>
                <w:t>Statements of Operations and Comprehensive Loss</w:t>
              </w:r>
            </w:hyperlink>
          </w:p>
        </w:tc>
        <w:tc>
          <w:tcPr>
            <w:tcW w:w="6880" w:type="dxa"/>
            <w:vAlign w:val="bottom"/>
            <w:gridSpan w:val="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494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271">
              <w:r>
                <w:rPr>
                  <w:rFonts w:ascii="Arial" w:cs="Arial" w:eastAsia="Arial" w:hAnsi="Arial"/>
                  <w:sz w:val="18"/>
                  <w:szCs w:val="18"/>
                  <w:color w:val="0000EE"/>
                  <w:w w:val="91"/>
                </w:rPr>
                <w:t>Statements of Convertible Preferred Stock and Stockholders’ Deficit</w:t>
              </w:r>
            </w:hyperlink>
          </w:p>
        </w:tc>
        <w:tc>
          <w:tcPr>
            <w:tcW w:w="562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188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272">
              <w:r>
                <w:rPr>
                  <w:rFonts w:ascii="Arial" w:cs="Arial" w:eastAsia="Arial" w:hAnsi="Arial"/>
                  <w:sz w:val="18"/>
                  <w:szCs w:val="18"/>
                  <w:color w:val="0000EE"/>
                  <w:w w:val="88"/>
                </w:rPr>
                <w:t>Statements of Cash Flows</w:t>
              </w:r>
            </w:hyperlink>
          </w:p>
        </w:tc>
        <w:tc>
          <w:tcPr>
            <w:tcW w:w="8680" w:type="dxa"/>
            <w:vAlign w:val="bottom"/>
            <w:gridSpan w:val="10"/>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10560" w:type="dxa"/>
            <w:vAlign w:val="bottom"/>
            <w:gridSpan w:val="12"/>
          </w:tcPr>
          <w:p>
            <w:pPr>
              <w:spacing w:after="0" w:line="196" w:lineRule="exact"/>
              <w:rPr>
                <w:rFonts w:ascii="Arial" w:cs="Arial" w:eastAsia="Arial" w:hAnsi="Arial"/>
                <w:sz w:val="18"/>
                <w:szCs w:val="18"/>
                <w:color w:val="0000EE"/>
              </w:rPr>
            </w:pPr>
            <w:hyperlink w:anchor="page273">
              <w:r>
                <w:rPr>
                  <w:rFonts w:ascii="Arial" w:cs="Arial" w:eastAsia="Arial" w:hAnsi="Arial"/>
                  <w:sz w:val="18"/>
                  <w:szCs w:val="18"/>
                  <w:color w:val="0000EE"/>
                </w:rPr>
                <w:t>Notes to Financial Statements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0"/>
        </w:trPr>
        <w:tc>
          <w:tcPr>
            <w:tcW w:w="19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10560" w:type="dxa"/>
            <w:vAlign w:val="bottom"/>
            <w:gridSpan w:val="12"/>
          </w:tcPr>
          <w:p>
            <w:pPr>
              <w:spacing w:after="0"/>
              <w:rPr>
                <w:sz w:val="20"/>
                <w:szCs w:val="20"/>
                <w:color w:val="auto"/>
              </w:rPr>
            </w:pPr>
            <w:r>
              <w:rPr>
                <w:rFonts w:ascii="Arial" w:cs="Arial" w:eastAsia="Arial" w:hAnsi="Arial"/>
                <w:sz w:val="18"/>
                <w:szCs w:val="18"/>
                <w:b w:val="1"/>
                <w:bCs w:val="1"/>
                <w:color w:val="auto"/>
                <w:w w:val="95"/>
              </w:rPr>
              <w:t>Unaudited Interim Condensed Financial Statements as of December 31, 2020 and March 31, 2021 and for the Three Months Ended</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560" w:type="dxa"/>
            <w:vAlign w:val="bottom"/>
            <w:gridSpan w:val="12"/>
          </w:tcPr>
          <w:p>
            <w:pPr>
              <w:ind w:left="180"/>
              <w:spacing w:after="0"/>
              <w:rPr>
                <w:sz w:val="20"/>
                <w:szCs w:val="20"/>
                <w:color w:val="auto"/>
              </w:rPr>
            </w:pPr>
            <w:r>
              <w:rPr>
                <w:rFonts w:ascii="Arial" w:cs="Arial" w:eastAsia="Arial" w:hAnsi="Arial"/>
                <w:sz w:val="18"/>
                <w:szCs w:val="18"/>
                <w:b w:val="1"/>
                <w:bCs w:val="1"/>
                <w:color w:val="auto"/>
              </w:rPr>
              <w:t>March 31, 2020 and 2021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940" w:type="dxa"/>
            <w:vAlign w:val="bottom"/>
            <w:tcBorders>
              <w:bottom w:val="single" w:sz="8" w:color="0000EE"/>
            </w:tcBorders>
            <w:gridSpan w:val="3"/>
          </w:tcPr>
          <w:p>
            <w:pPr>
              <w:spacing w:after="0" w:line="190" w:lineRule="exact"/>
              <w:rPr>
                <w:rFonts w:ascii="Arial" w:cs="Arial" w:eastAsia="Arial" w:hAnsi="Arial"/>
                <w:sz w:val="18"/>
                <w:szCs w:val="18"/>
                <w:color w:val="0000EE"/>
                <w:w w:val="86"/>
              </w:rPr>
            </w:pPr>
            <w:hyperlink w:anchor="page293">
              <w:r>
                <w:rPr>
                  <w:rFonts w:ascii="Arial" w:cs="Arial" w:eastAsia="Arial" w:hAnsi="Arial"/>
                  <w:sz w:val="18"/>
                  <w:szCs w:val="18"/>
                  <w:color w:val="0000EE"/>
                  <w:w w:val="86"/>
                </w:rPr>
                <w:t>Condensed Balance Sheets</w:t>
              </w:r>
            </w:hyperlink>
          </w:p>
        </w:tc>
        <w:tc>
          <w:tcPr>
            <w:tcW w:w="8620" w:type="dxa"/>
            <w:vAlign w:val="bottom"/>
            <w:gridSpan w:val="9"/>
          </w:tcPr>
          <w:p>
            <w:pPr>
              <w:spacing w:after="0"/>
              <w:rPr>
                <w:sz w:val="16"/>
                <w:szCs w:val="16"/>
                <w:color w:val="auto"/>
              </w:rPr>
            </w:pPr>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F-27</w:t>
            </w:r>
          </w:p>
        </w:tc>
        <w:tc>
          <w:tcPr>
            <w:tcW w:w="0" w:type="dxa"/>
            <w:vAlign w:val="bottom"/>
          </w:tcPr>
          <w:p>
            <w:pPr>
              <w:spacing w:after="0"/>
              <w:rPr>
                <w:sz w:val="1"/>
                <w:szCs w:val="1"/>
                <w:color w:val="auto"/>
              </w:rPr>
            </w:pPr>
          </w:p>
        </w:tc>
      </w:tr>
      <w:tr>
        <w:trPr>
          <w:trHeight w:val="196"/>
        </w:trPr>
        <w:tc>
          <w:tcPr>
            <w:tcW w:w="10560" w:type="dxa"/>
            <w:vAlign w:val="bottom"/>
            <w:gridSpan w:val="12"/>
          </w:tcPr>
          <w:p>
            <w:pPr>
              <w:spacing w:after="0" w:line="196" w:lineRule="exact"/>
              <w:rPr>
                <w:rFonts w:ascii="Arial" w:cs="Arial" w:eastAsia="Arial" w:hAnsi="Arial"/>
                <w:sz w:val="18"/>
                <w:szCs w:val="18"/>
                <w:color w:val="0000EE"/>
              </w:rPr>
            </w:pPr>
            <w:hyperlink w:anchor="page294">
              <w:r>
                <w:rPr>
                  <w:rFonts w:ascii="Arial" w:cs="Arial" w:eastAsia="Arial" w:hAnsi="Arial"/>
                  <w:sz w:val="18"/>
                  <w:szCs w:val="18"/>
                  <w:color w:val="0000EE"/>
                </w:rPr>
                <w:t>Condensed Statements of Operations and Comprehensive Loss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F-28</w:t>
            </w:r>
          </w:p>
        </w:tc>
        <w:tc>
          <w:tcPr>
            <w:tcW w:w="0" w:type="dxa"/>
            <w:vAlign w:val="bottom"/>
          </w:tcPr>
          <w:p>
            <w:pPr>
              <w:spacing w:after="0"/>
              <w:rPr>
                <w:sz w:val="1"/>
                <w:szCs w:val="1"/>
                <w:color w:val="auto"/>
              </w:rPr>
            </w:pPr>
          </w:p>
        </w:tc>
      </w:tr>
      <w:tr>
        <w:trPr>
          <w:trHeight w:val="20"/>
        </w:trPr>
        <w:tc>
          <w:tcPr>
            <w:tcW w:w="272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2"/>
          </w:tcPr>
          <w:p>
            <w:pPr>
              <w:spacing w:after="0" w:line="196" w:lineRule="exact"/>
              <w:rPr>
                <w:rFonts w:ascii="Arial" w:cs="Arial" w:eastAsia="Arial" w:hAnsi="Arial"/>
                <w:sz w:val="18"/>
                <w:szCs w:val="18"/>
                <w:color w:val="0000EE"/>
              </w:rPr>
            </w:pPr>
            <w:hyperlink w:anchor="page295">
              <w:r>
                <w:rPr>
                  <w:rFonts w:ascii="Arial" w:cs="Arial" w:eastAsia="Arial" w:hAnsi="Arial"/>
                  <w:sz w:val="18"/>
                  <w:szCs w:val="18"/>
                  <w:color w:val="0000EE"/>
                </w:rPr>
                <w:t>Condensed Statements of Convertible Preferred Stock and Stockholders’ Deficit</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F-29</w:t>
            </w:r>
          </w:p>
        </w:tc>
        <w:tc>
          <w:tcPr>
            <w:tcW w:w="0" w:type="dxa"/>
            <w:vAlign w:val="bottom"/>
          </w:tcPr>
          <w:p>
            <w:pPr>
              <w:spacing w:after="0"/>
              <w:rPr>
                <w:sz w:val="1"/>
                <w:szCs w:val="1"/>
                <w:color w:val="auto"/>
              </w:rPr>
            </w:pPr>
          </w:p>
        </w:tc>
      </w:tr>
      <w:tr>
        <w:trPr>
          <w:trHeight w:val="196"/>
        </w:trPr>
        <w:tc>
          <w:tcPr>
            <w:tcW w:w="27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297">
              <w:r>
                <w:rPr>
                  <w:rFonts w:ascii="Arial" w:cs="Arial" w:eastAsia="Arial" w:hAnsi="Arial"/>
                  <w:sz w:val="18"/>
                  <w:szCs w:val="18"/>
                  <w:color w:val="0000EE"/>
                  <w:w w:val="87"/>
                </w:rPr>
                <w:t>Condensed Statements of Cash Flows</w:t>
              </w:r>
            </w:hyperlink>
          </w:p>
        </w:tc>
        <w:tc>
          <w:tcPr>
            <w:tcW w:w="3060" w:type="dxa"/>
            <w:vAlign w:val="bottom"/>
            <w:tcBorders>
              <w:top w:val="single" w:sz="8" w:color="0000EE"/>
            </w:tcBorders>
            <w:gridSpan w:val="6"/>
          </w:tcPr>
          <w:p>
            <w:pPr>
              <w:spacing w:after="0"/>
              <w:rPr>
                <w:sz w:val="17"/>
                <w:szCs w:val="17"/>
                <w:color w:val="auto"/>
              </w:rPr>
            </w:pPr>
          </w:p>
        </w:tc>
        <w:tc>
          <w:tcPr>
            <w:tcW w:w="47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F-31</w:t>
            </w:r>
          </w:p>
        </w:tc>
        <w:tc>
          <w:tcPr>
            <w:tcW w:w="0" w:type="dxa"/>
            <w:vAlign w:val="bottom"/>
          </w:tcPr>
          <w:p>
            <w:pPr>
              <w:spacing w:after="0"/>
              <w:rPr>
                <w:sz w:val="1"/>
                <w:szCs w:val="1"/>
                <w:color w:val="auto"/>
              </w:rPr>
            </w:pPr>
          </w:p>
        </w:tc>
      </w:tr>
      <w:tr>
        <w:trPr>
          <w:trHeight w:val="196"/>
        </w:trPr>
        <w:tc>
          <w:tcPr>
            <w:tcW w:w="10560" w:type="dxa"/>
            <w:vAlign w:val="bottom"/>
            <w:gridSpan w:val="12"/>
          </w:tcPr>
          <w:p>
            <w:pPr>
              <w:spacing w:after="0" w:line="196" w:lineRule="exact"/>
              <w:rPr>
                <w:rFonts w:ascii="Arial" w:cs="Arial" w:eastAsia="Arial" w:hAnsi="Arial"/>
                <w:sz w:val="18"/>
                <w:szCs w:val="18"/>
                <w:color w:val="0000EE"/>
              </w:rPr>
            </w:pPr>
            <w:hyperlink w:anchor="page298">
              <w:r>
                <w:rPr>
                  <w:rFonts w:ascii="Arial" w:cs="Arial" w:eastAsia="Arial" w:hAnsi="Arial"/>
                  <w:sz w:val="18"/>
                  <w:szCs w:val="18"/>
                  <w:color w:val="0000EE"/>
                </w:rPr>
                <w:t>Notes to Condensed Financial Statements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F-32</w:t>
            </w:r>
          </w:p>
        </w:tc>
        <w:tc>
          <w:tcPr>
            <w:tcW w:w="0" w:type="dxa"/>
            <w:vAlign w:val="bottom"/>
          </w:tcPr>
          <w:p>
            <w:pPr>
              <w:spacing w:after="0"/>
              <w:rPr>
                <w:sz w:val="1"/>
                <w:szCs w:val="1"/>
                <w:color w:val="auto"/>
              </w:rPr>
            </w:pPr>
          </w:p>
        </w:tc>
      </w:tr>
      <w:tr>
        <w:trPr>
          <w:trHeight w:val="385"/>
        </w:trPr>
        <w:tc>
          <w:tcPr>
            <w:tcW w:w="11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20" w:type="dxa"/>
            <w:vAlign w:val="bottom"/>
            <w:gridSpan w:val="2"/>
          </w:tcPr>
          <w:p>
            <w:pPr>
              <w:ind w:left="44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and Board of Directors of Tenaya Therapeutics, Inc.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We have audited the accompanying balance sheets of Tenaya Therapeutics, Inc. (the Company) as of December 31, 2019 and 2020, the related statements of operations and comprehensive loss, convertible preferred stock and stockholders’ deficit, and cash flows, for each of the two years in the period ended December 31, 2020, and the related notes (collectively referred to as the “financial statements”). In our opinion, the financial statements present fairly, in all material respects, the financial position of the Company as of December 31, 2019 and 2020, and the results of its operations and its cash flows for each of the two years in the period ended December 31, 2020, in conformity with accounting principles generally accepted in the United States of America.</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220" w:firstLine="440"/>
        <w:spacing w:after="0" w:line="275"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Deloitte and Touche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May 7, 2021 (July 26, 2021, as to the effects of the reverse stock split described in Note 13)</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2019.</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60"/>
          </w:cols>
          <w:pgMar w:left="320" w:top="459" w:right="51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TENAYA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Balance Sheets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0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9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23,872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128,535</w:t>
            </w: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Investments in marketable securities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2,753</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1,117</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1,429</w:t>
            </w:r>
          </w:p>
        </w:tc>
      </w:tr>
      <w:tr>
        <w:trPr>
          <w:trHeight w:val="223"/>
        </w:trPr>
        <w:tc>
          <w:tcPr>
            <w:tcW w:w="906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27,742</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129,964</w:t>
            </w:r>
          </w:p>
        </w:tc>
        <w:tc>
          <w:tcPr>
            <w:tcW w:w="120" w:type="dxa"/>
            <w:vAlign w:val="bottom"/>
          </w:tcPr>
          <w:p>
            <w:pPr>
              <w:spacing w:after="0"/>
              <w:rPr>
                <w:sz w:val="19"/>
                <w:szCs w:val="19"/>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9,575</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17,185</w:t>
            </w: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Restricted cash, non-current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547</w:t>
            </w: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465</w:t>
            </w:r>
          </w:p>
        </w:tc>
      </w:tr>
      <w:tr>
        <w:trPr>
          <w:trHeight w:val="223"/>
        </w:trPr>
        <w:tc>
          <w:tcPr>
            <w:tcW w:w="906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38,001</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148,161</w:t>
            </w:r>
          </w:p>
        </w:tc>
        <w:tc>
          <w:tcPr>
            <w:tcW w:w="120" w:type="dxa"/>
            <w:vAlign w:val="bottom"/>
          </w:tcPr>
          <w:p>
            <w:pPr>
              <w:spacing w:after="0"/>
              <w:rPr>
                <w:sz w:val="19"/>
                <w:szCs w:val="19"/>
                <w:color w:val="auto"/>
              </w:rPr>
            </w:pPr>
          </w:p>
        </w:tc>
      </w:tr>
      <w:tr>
        <w:trPr>
          <w:trHeight w:val="20"/>
        </w:trPr>
        <w:tc>
          <w:tcPr>
            <w:tcW w:w="9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1,017</w:t>
            </w: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1,959</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3,161</w:t>
            </w: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Convertible preferred stock tranche liability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786</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Deferred rent and other lease liabilities, current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863</w:t>
            </w:r>
          </w:p>
        </w:tc>
      </w:tr>
      <w:tr>
        <w:trPr>
          <w:trHeight w:val="27"/>
        </w:trPr>
        <w:tc>
          <w:tcPr>
            <w:tcW w:w="9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5,041</w:t>
            </w: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Deferred rent and other lease liabilities, non-current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4,525</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3,662</w:t>
            </w: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r>
      <w:tr>
        <w:trPr>
          <w:trHeight w:val="223"/>
        </w:trPr>
        <w:tc>
          <w:tcPr>
            <w:tcW w:w="906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8,698</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8,722</w:t>
            </w:r>
          </w:p>
        </w:tc>
        <w:tc>
          <w:tcPr>
            <w:tcW w:w="120" w:type="dxa"/>
            <w:vAlign w:val="bottom"/>
          </w:tcPr>
          <w:p>
            <w:pPr>
              <w:spacing w:after="0"/>
              <w:rPr>
                <w:sz w:val="19"/>
                <w:szCs w:val="19"/>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9060" w:type="dxa"/>
            <w:vAlign w:val="bottom"/>
          </w:tcPr>
          <w:p>
            <w:pPr>
              <w:spacing w:after="0" w:line="201" w:lineRule="exact"/>
              <w:rPr>
                <w:sz w:val="20"/>
                <w:szCs w:val="20"/>
                <w:color w:val="auto"/>
              </w:rPr>
            </w:pPr>
            <w:r>
              <w:rPr>
                <w:rFonts w:ascii="Arial" w:cs="Arial" w:eastAsia="Arial" w:hAnsi="Arial"/>
                <w:sz w:val="18"/>
                <w:szCs w:val="18"/>
                <w:color w:val="auto"/>
                <w:w w:val="91"/>
              </w:rPr>
              <w:t>Convertible preferred stock, $0.0001 par value; 17,816,666 and 26,102,301 shares authorized as of December 31, 2019 and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9060" w:type="dxa"/>
            <w:vAlign w:val="bottom"/>
          </w:tcPr>
          <w:p>
            <w:pPr>
              <w:ind w:left="180"/>
              <w:spacing w:after="0"/>
              <w:rPr>
                <w:sz w:val="20"/>
                <w:szCs w:val="20"/>
                <w:color w:val="auto"/>
              </w:rPr>
            </w:pPr>
            <w:r>
              <w:rPr>
                <w:rFonts w:ascii="Arial" w:cs="Arial" w:eastAsia="Arial" w:hAnsi="Arial"/>
                <w:sz w:val="18"/>
                <w:szCs w:val="18"/>
                <w:color w:val="auto"/>
                <w:w w:val="90"/>
              </w:rPr>
              <w:t>2020; 11,403,077 and 24,493,528 shares issued and outstanding as of December 31, 2019 and 2020; aggregate liquidation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9060" w:type="dxa"/>
            <w:vAlign w:val="bottom"/>
          </w:tcPr>
          <w:p>
            <w:pPr>
              <w:ind w:left="180"/>
              <w:spacing w:after="0"/>
              <w:rPr>
                <w:sz w:val="20"/>
                <w:szCs w:val="20"/>
                <w:color w:val="auto"/>
              </w:rPr>
            </w:pPr>
            <w:r>
              <w:rPr>
                <w:rFonts w:ascii="Arial" w:cs="Arial" w:eastAsia="Arial" w:hAnsi="Arial"/>
                <w:sz w:val="18"/>
                <w:szCs w:val="18"/>
                <w:color w:val="auto"/>
              </w:rPr>
              <w:t>preference of $227,900 as of December 31, 2020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73,042</w:t>
            </w:r>
          </w:p>
        </w:tc>
        <w:tc>
          <w:tcPr>
            <w:tcW w:w="1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220,754</w:t>
            </w: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9060" w:type="dxa"/>
            <w:vAlign w:val="bottom"/>
          </w:tcPr>
          <w:p>
            <w:pPr>
              <w:spacing w:after="0" w:line="201" w:lineRule="exact"/>
              <w:rPr>
                <w:sz w:val="20"/>
                <w:szCs w:val="20"/>
                <w:color w:val="auto"/>
              </w:rPr>
            </w:pPr>
            <w:r>
              <w:rPr>
                <w:rFonts w:ascii="Arial" w:cs="Arial" w:eastAsia="Arial" w:hAnsi="Arial"/>
                <w:sz w:val="18"/>
                <w:szCs w:val="18"/>
                <w:color w:val="auto"/>
                <w:w w:val="95"/>
              </w:rPr>
              <w:t>Common stock, $0.0001 par value; 21,408,000 and 30,330,000 shares authorized as of December 31, 2019 and 2020;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9060" w:type="dxa"/>
            <w:vAlign w:val="bottom"/>
          </w:tcPr>
          <w:p>
            <w:pPr>
              <w:ind w:left="180"/>
              <w:spacing w:after="0"/>
              <w:rPr>
                <w:sz w:val="20"/>
                <w:szCs w:val="20"/>
                <w:color w:val="auto"/>
              </w:rPr>
            </w:pPr>
            <w:r>
              <w:rPr>
                <w:rFonts w:ascii="Arial" w:cs="Arial" w:eastAsia="Arial" w:hAnsi="Arial"/>
                <w:sz w:val="18"/>
                <w:szCs w:val="18"/>
                <w:color w:val="auto"/>
              </w:rPr>
              <w:t>1,193,488 and 1,210,306 shares issued and outstanding as of December 31, 2019 and 2020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1,584</w:t>
            </w: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Notes receivable from stockholders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(44,417)</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(82,812)</w:t>
            </w:r>
          </w:p>
        </w:tc>
      </w:tr>
      <w:tr>
        <w:trPr>
          <w:trHeight w:val="230"/>
        </w:trPr>
        <w:tc>
          <w:tcPr>
            <w:tcW w:w="906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(43,739)</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(81,315)</w:t>
            </w:r>
          </w:p>
        </w:tc>
        <w:tc>
          <w:tcPr>
            <w:tcW w:w="120" w:type="dxa"/>
            <w:vAlign w:val="bottom"/>
          </w:tcPr>
          <w:p>
            <w:pPr>
              <w:spacing w:after="0"/>
              <w:rPr>
                <w:sz w:val="20"/>
                <w:szCs w:val="20"/>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38,001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148,161</w:t>
            </w:r>
          </w:p>
        </w:tc>
      </w:tr>
      <w:tr>
        <w:trPr>
          <w:trHeight w:val="20"/>
        </w:trPr>
        <w:tc>
          <w:tcPr>
            <w:tcW w:w="9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TENAYA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29" w:lineRule="exact"/>
        <w:rPr>
          <w:sz w:val="20"/>
          <w:szCs w:val="20"/>
          <w:color w:val="auto"/>
        </w:rPr>
      </w:pPr>
    </w:p>
    <w:p>
      <w:pPr>
        <w:jc w:val="center"/>
        <w:ind w:left="9080"/>
        <w:spacing w:after="0"/>
        <w:rPr>
          <w:sz w:val="20"/>
          <w:szCs w:val="20"/>
          <w:color w:val="auto"/>
        </w:rPr>
      </w:pPr>
      <w:r>
        <w:rPr>
          <w:rFonts w:ascii="Arial" w:cs="Arial" w:eastAsia="Arial" w:hAnsi="Arial"/>
          <w:sz w:val="14"/>
          <w:szCs w:val="14"/>
          <w:b w:val="1"/>
          <w:bCs w:val="1"/>
          <w:color w:val="auto"/>
        </w:rPr>
        <w:t>Year Ended</w:t>
      </w:r>
    </w:p>
    <w:p>
      <w:pPr>
        <w:jc w:val="center"/>
        <w:ind w:left="90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9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1"/>
              <w:spacing w:after="0"/>
              <w:rPr>
                <w:sz w:val="20"/>
                <w:szCs w:val="20"/>
                <w:color w:val="auto"/>
              </w:rPr>
            </w:pPr>
            <w:r>
              <w:rPr>
                <w:rFonts w:ascii="Arial" w:cs="Arial" w:eastAsia="Arial" w:hAnsi="Arial"/>
                <w:sz w:val="18"/>
                <w:szCs w:val="18"/>
                <w:color w:val="auto"/>
              </w:rPr>
              <w:t>23,148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31,099</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4,564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7,813</w:t>
            </w:r>
          </w:p>
        </w:tc>
        <w:tc>
          <w:tcPr>
            <w:tcW w:w="0" w:type="dxa"/>
            <w:vAlign w:val="bottom"/>
          </w:tcPr>
          <w:p>
            <w:pPr>
              <w:spacing w:after="0"/>
              <w:rPr>
                <w:sz w:val="1"/>
                <w:szCs w:val="1"/>
                <w:color w:val="auto"/>
              </w:rPr>
            </w:pPr>
          </w:p>
        </w:tc>
      </w:tr>
      <w:tr>
        <w:trPr>
          <w:trHeight w:val="230"/>
        </w:trPr>
        <w:tc>
          <w:tcPr>
            <w:tcW w:w="920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27,712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38,912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(27,712)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(38,912)</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Change in fair value of convertible preferred stock tranche liability</w:t>
            </w:r>
          </w:p>
        </w:tc>
        <w:tc>
          <w:tcPr>
            <w:tcW w:w="100" w:type="dxa"/>
            <w:vAlign w:val="bottom"/>
          </w:tcPr>
          <w:p>
            <w:pPr>
              <w:spacing w:after="0"/>
              <w:rPr>
                <w:sz w:val="18"/>
                <w:szCs w:val="18"/>
                <w:color w:val="auto"/>
              </w:rPr>
            </w:pPr>
          </w:p>
        </w:tc>
        <w:tc>
          <w:tcPr>
            <w:tcW w:w="780" w:type="dxa"/>
            <w:vAlign w:val="bottom"/>
            <w:gridSpan w:val="2"/>
          </w:tcPr>
          <w:p>
            <w:pPr>
              <w:jc w:val="right"/>
              <w:ind w:right="101"/>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1,017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30"/>
        </w:trPr>
        <w:tc>
          <w:tcPr>
            <w:tcW w:w="9200" w:type="dxa"/>
            <w:vAlign w:val="bottom"/>
          </w:tcPr>
          <w:p>
            <w:pPr>
              <w:ind w:left="720"/>
              <w:spacing w:after="0"/>
              <w:rPr>
                <w:sz w:val="20"/>
                <w:szCs w:val="20"/>
                <w:color w:val="auto"/>
              </w:rPr>
            </w:pPr>
            <w:r>
              <w:rPr>
                <w:rFonts w:ascii="Arial" w:cs="Arial" w:eastAsia="Arial" w:hAnsi="Arial"/>
                <w:sz w:val="18"/>
                <w:szCs w:val="18"/>
                <w:color w:val="auto"/>
              </w:rPr>
              <w:t>Total other income</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(26,231)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(38,395)</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vMerge w:val="restart"/>
            <w:shd w:val="clear" w:color="auto" w:fill="CCEEFF"/>
          </w:tcPr>
          <w:p>
            <w:pPr>
              <w:jc w:val="right"/>
              <w:ind w:right="41"/>
              <w:spacing w:after="0"/>
              <w:rPr>
                <w:sz w:val="20"/>
                <w:szCs w:val="20"/>
                <w:color w:val="auto"/>
              </w:rPr>
            </w:pPr>
            <w:r>
              <w:rPr>
                <w:rFonts w:ascii="Arial" w:cs="Arial" w:eastAsia="Arial" w:hAnsi="Arial"/>
                <w:sz w:val="18"/>
                <w:szCs w:val="18"/>
                <w:color w:val="auto"/>
                <w:w w:val="95"/>
              </w:rPr>
              <w:t>(26,231)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(38,395)</w:t>
            </w:r>
          </w:p>
        </w:tc>
        <w:tc>
          <w:tcPr>
            <w:tcW w:w="0" w:type="dxa"/>
            <w:vAlign w:val="bottom"/>
          </w:tcPr>
          <w:p>
            <w:pPr>
              <w:spacing w:after="0"/>
              <w:rPr>
                <w:sz w:val="1"/>
                <w:szCs w:val="1"/>
                <w:color w:val="auto"/>
              </w:rPr>
            </w:pPr>
          </w:p>
        </w:tc>
      </w:tr>
      <w:tr>
        <w:trPr>
          <w:trHeight w:val="202"/>
        </w:trPr>
        <w:tc>
          <w:tcPr>
            <w:tcW w:w="9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(34.71</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used in computing net loss per share, basic and diluted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89"/>
              </w:rPr>
              <w:t>755,779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6"/>
              </w:rPr>
              <w:t>972,091</w:t>
            </w: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TENAYA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Convertible Preferred Stock and Stockholders’ Deficit</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3700" w:type="dxa"/>
            <w:vAlign w:val="bottom"/>
          </w:tcPr>
          <w:p>
            <w:pPr>
              <w:spacing w:after="0"/>
              <w:rPr>
                <w:sz w:val="3"/>
                <w:szCs w:val="3"/>
                <w:color w:val="auto"/>
              </w:rPr>
            </w:pPr>
          </w:p>
        </w:tc>
        <w:tc>
          <w:tcPr>
            <w:tcW w:w="1500" w:type="dxa"/>
            <w:vAlign w:val="bottom"/>
            <w:gridSpan w:val="6"/>
            <w:vMerge w:val="restart"/>
          </w:tcPr>
          <w:p>
            <w:pPr>
              <w:ind w:left="340"/>
              <w:spacing w:after="0"/>
              <w:rPr>
                <w:sz w:val="20"/>
                <w:szCs w:val="20"/>
                <w:color w:val="auto"/>
              </w:rPr>
            </w:pPr>
            <w:r>
              <w:rPr>
                <w:rFonts w:ascii="Arial" w:cs="Arial" w:eastAsia="Arial" w:hAnsi="Arial"/>
                <w:sz w:val="14"/>
                <w:szCs w:val="14"/>
                <w:b w:val="1"/>
                <w:bCs w:val="1"/>
                <w:color w:val="auto"/>
              </w:rPr>
              <w:t>Convertible</w:t>
            </w: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Notes</w:t>
            </w: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3700" w:type="dxa"/>
            <w:vAlign w:val="bottom"/>
          </w:tcPr>
          <w:p>
            <w:pPr>
              <w:spacing w:after="0"/>
              <w:rPr>
                <w:sz w:val="10"/>
                <w:szCs w:val="10"/>
                <w:color w:val="auto"/>
              </w:rPr>
            </w:pPr>
          </w:p>
        </w:tc>
        <w:tc>
          <w:tcPr>
            <w:tcW w:w="1500" w:type="dxa"/>
            <w:vAlign w:val="bottom"/>
            <w:gridSpan w:val="6"/>
            <w:vMerge w:val="continue"/>
          </w:tcPr>
          <w:p>
            <w:pPr>
              <w:spacing w:after="0"/>
              <w:rPr>
                <w:sz w:val="10"/>
                <w:szCs w:val="10"/>
                <w:color w:val="auto"/>
              </w:rPr>
            </w:pPr>
          </w:p>
        </w:tc>
        <w:tc>
          <w:tcPr>
            <w:tcW w:w="200" w:type="dxa"/>
            <w:vAlign w:val="bottom"/>
            <w:tcBorders>
              <w:lef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700" w:type="dxa"/>
            <w:vAlign w:val="bottom"/>
          </w:tcPr>
          <w:p>
            <w:pPr>
              <w:spacing w:after="0"/>
              <w:rPr>
                <w:sz w:val="7"/>
                <w:szCs w:val="7"/>
                <w:color w:val="auto"/>
              </w:rPr>
            </w:pPr>
          </w:p>
        </w:tc>
        <w:tc>
          <w:tcPr>
            <w:tcW w:w="1500" w:type="dxa"/>
            <w:vAlign w:val="bottom"/>
            <w:gridSpan w:val="6"/>
            <w:vMerge w:val="continue"/>
          </w:tcPr>
          <w:p>
            <w:pPr>
              <w:spacing w:after="0"/>
              <w:rPr>
                <w:sz w:val="7"/>
                <w:szCs w:val="7"/>
                <w:color w:val="auto"/>
              </w:rPr>
            </w:pPr>
          </w:p>
        </w:tc>
        <w:tc>
          <w:tcPr>
            <w:tcW w:w="200" w:type="dxa"/>
            <w:vAlign w:val="bottom"/>
            <w:tcBorders>
              <w:left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Receivable</w:t>
            </w: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gridSpan w:val="2"/>
            <w:vMerge w:val="restart"/>
          </w:tcPr>
          <w:p>
            <w:pPr>
              <w:jc w:val="right"/>
              <w:ind w:right="38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8"/>
        </w:trPr>
        <w:tc>
          <w:tcPr>
            <w:tcW w:w="3700" w:type="dxa"/>
            <w:vAlign w:val="bottom"/>
          </w:tcPr>
          <w:p>
            <w:pPr>
              <w:spacing w:after="0"/>
              <w:rPr>
                <w:sz w:val="5"/>
                <w:szCs w:val="5"/>
                <w:color w:val="auto"/>
              </w:rPr>
            </w:pPr>
          </w:p>
        </w:tc>
        <w:tc>
          <w:tcPr>
            <w:tcW w:w="1420" w:type="dxa"/>
            <w:vAlign w:val="bottom"/>
            <w:gridSpan w:val="5"/>
            <w:vMerge w:val="restart"/>
          </w:tcPr>
          <w:p>
            <w:pPr>
              <w:jc w:val="right"/>
              <w:ind w:right="148"/>
              <w:spacing w:after="0"/>
              <w:rPr>
                <w:sz w:val="20"/>
                <w:szCs w:val="20"/>
                <w:color w:val="auto"/>
              </w:rPr>
            </w:pPr>
            <w:r>
              <w:rPr>
                <w:rFonts w:ascii="Arial" w:cs="Arial" w:eastAsia="Arial" w:hAnsi="Arial"/>
                <w:sz w:val="14"/>
                <w:szCs w:val="14"/>
                <w:b w:val="1"/>
                <w:bCs w:val="1"/>
                <w:color w:val="auto"/>
              </w:rPr>
              <w:t>Preferred Stock</w:t>
            </w:r>
          </w:p>
        </w:tc>
        <w:tc>
          <w:tcPr>
            <w:tcW w:w="80" w:type="dxa"/>
            <w:vAlign w:val="bottom"/>
            <w:vMerge w:val="restart"/>
          </w:tcPr>
          <w:p>
            <w:pPr>
              <w:spacing w:after="0"/>
              <w:rPr>
                <w:sz w:val="5"/>
                <w:szCs w:val="5"/>
                <w:color w:val="auto"/>
              </w:rPr>
            </w:pPr>
          </w:p>
        </w:tc>
        <w:tc>
          <w:tcPr>
            <w:tcW w:w="200" w:type="dxa"/>
            <w:vAlign w:val="bottom"/>
            <w:tcBorders>
              <w:left w:val="single" w:sz="8" w:color="auto"/>
            </w:tcBorders>
          </w:tcPr>
          <w:p>
            <w:pPr>
              <w:spacing w:after="0"/>
              <w:rPr>
                <w:sz w:val="5"/>
                <w:szCs w:val="5"/>
                <w:color w:val="auto"/>
              </w:rPr>
            </w:pPr>
          </w:p>
        </w:tc>
        <w:tc>
          <w:tcPr>
            <w:tcW w:w="12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3700" w:type="dxa"/>
            <w:vAlign w:val="bottom"/>
          </w:tcPr>
          <w:p>
            <w:pPr>
              <w:spacing w:after="0"/>
              <w:rPr>
                <w:sz w:val="9"/>
                <w:szCs w:val="9"/>
                <w:color w:val="auto"/>
              </w:rPr>
            </w:pPr>
          </w:p>
        </w:tc>
        <w:tc>
          <w:tcPr>
            <w:tcW w:w="1420" w:type="dxa"/>
            <w:vAlign w:val="bottom"/>
            <w:tcBorders>
              <w:bottom w:val="single" w:sz="8" w:color="auto"/>
            </w:tcBorders>
            <w:gridSpan w:val="5"/>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200" w:type="dxa"/>
            <w:vAlign w:val="bottom"/>
            <w:tcBorders>
              <w:left w:val="single" w:sz="8" w:color="auto"/>
            </w:tcBorders>
          </w:tcPr>
          <w:p>
            <w:pPr>
              <w:spacing w:after="0"/>
              <w:rPr>
                <w:sz w:val="9"/>
                <w:szCs w:val="9"/>
                <w:color w:val="auto"/>
              </w:rPr>
            </w:pPr>
          </w:p>
        </w:tc>
        <w:tc>
          <w:tcPr>
            <w:tcW w:w="1220" w:type="dxa"/>
            <w:vAlign w:val="bottom"/>
            <w:tcBorders>
              <w:bottom w:val="single" w:sz="8" w:color="auto"/>
            </w:tcBorders>
            <w:gridSpan w:val="3"/>
            <w:vMerge w:val="continue"/>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from</w:t>
            </w:r>
          </w:p>
        </w:tc>
        <w:tc>
          <w:tcPr>
            <w:tcW w:w="120" w:type="dxa"/>
            <w:vAlign w:val="bottom"/>
          </w:tcPr>
          <w:p>
            <w:pPr>
              <w:spacing w:after="0"/>
              <w:rPr>
                <w:sz w:val="9"/>
                <w:szCs w:val="9"/>
                <w:color w:val="auto"/>
              </w:rPr>
            </w:pPr>
          </w:p>
        </w:tc>
        <w:tc>
          <w:tcPr>
            <w:tcW w:w="10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9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5"/>
        </w:trPr>
        <w:tc>
          <w:tcPr>
            <w:tcW w:w="3700" w:type="dxa"/>
            <w:vAlign w:val="bottom"/>
          </w:tcPr>
          <w:p>
            <w:pPr>
              <w:spacing w:after="0"/>
              <w:rPr>
                <w:sz w:val="2"/>
                <w:szCs w:val="2"/>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2"/>
                <w:szCs w:val="2"/>
                <w:color w:val="auto"/>
              </w:rPr>
            </w:pPr>
          </w:p>
        </w:tc>
        <w:tc>
          <w:tcPr>
            <w:tcW w:w="6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left w:val="single" w:sz="8" w:color="auto"/>
            </w:tcBorders>
          </w:tcPr>
          <w:p>
            <w:pPr>
              <w:spacing w:after="0"/>
              <w:rPr>
                <w:sz w:val="2"/>
                <w:szCs w:val="2"/>
                <w:color w:val="auto"/>
              </w:rPr>
            </w:pPr>
          </w:p>
        </w:tc>
        <w:tc>
          <w:tcPr>
            <w:tcW w:w="8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37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200" w:type="dxa"/>
            <w:vAlign w:val="bottom"/>
            <w:tcBorders>
              <w:left w:val="single" w:sz="8" w:color="auto"/>
            </w:tcBorders>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9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Stockholders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37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as of January 1, 2019</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8,316,662</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43,393</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left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1,093,159</w:t>
            </w:r>
          </w:p>
        </w:tc>
        <w:tc>
          <w:tcPr>
            <w:tcW w:w="26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188"/>
              <w:spacing w:after="0" w:line="142"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230</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(84)</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(18,186)</w:t>
            </w:r>
          </w:p>
        </w:tc>
        <w:tc>
          <w:tcPr>
            <w:tcW w:w="2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(18,040)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700" w:type="dxa"/>
            <w:vAlign w:val="bottom"/>
          </w:tcPr>
          <w:p>
            <w:pPr>
              <w:ind w:left="220"/>
              <w:spacing w:after="0" w:line="130" w:lineRule="exact"/>
              <w:rPr>
                <w:sz w:val="20"/>
                <w:szCs w:val="20"/>
                <w:color w:val="auto"/>
              </w:rPr>
            </w:pPr>
            <w:r>
              <w:rPr>
                <w:rFonts w:ascii="Arial" w:cs="Arial" w:eastAsia="Arial" w:hAnsi="Arial"/>
                <w:sz w:val="14"/>
                <w:szCs w:val="14"/>
                <w:color w:val="auto"/>
              </w:rPr>
              <w:t>Issuance of Series B convertible preferred stock, net of</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360"/>
              <w:spacing w:after="0" w:line="149" w:lineRule="exact"/>
              <w:rPr>
                <w:sz w:val="20"/>
                <w:szCs w:val="20"/>
                <w:color w:val="auto"/>
              </w:rPr>
            </w:pPr>
            <w:r>
              <w:rPr>
                <w:rFonts w:ascii="Arial" w:cs="Arial" w:eastAsia="Arial" w:hAnsi="Arial"/>
                <w:sz w:val="14"/>
                <w:szCs w:val="14"/>
                <w:color w:val="auto"/>
              </w:rPr>
              <w:t>issuance costs of $221 and recognition of convertible</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lef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360"/>
              <w:spacing w:after="0" w:line="149" w:lineRule="exact"/>
              <w:rPr>
                <w:sz w:val="20"/>
                <w:szCs w:val="20"/>
                <w:color w:val="auto"/>
              </w:rPr>
            </w:pPr>
            <w:r>
              <w:rPr>
                <w:rFonts w:ascii="Arial" w:cs="Arial" w:eastAsia="Arial" w:hAnsi="Arial"/>
                <w:sz w:val="14"/>
                <w:szCs w:val="14"/>
                <w:color w:val="auto"/>
              </w:rPr>
              <w:t>preferred stock liability upon issuance of Series B</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lef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700" w:type="dxa"/>
            <w:vAlign w:val="bottom"/>
          </w:tcPr>
          <w:p>
            <w:pPr>
              <w:ind w:left="360"/>
              <w:spacing w:after="0"/>
              <w:rPr>
                <w:sz w:val="20"/>
                <w:szCs w:val="20"/>
                <w:color w:val="auto"/>
              </w:rPr>
            </w:pPr>
            <w:r>
              <w:rPr>
                <w:rFonts w:ascii="Arial" w:cs="Arial" w:eastAsia="Arial" w:hAnsi="Arial"/>
                <w:sz w:val="14"/>
                <w:szCs w:val="14"/>
                <w:color w:val="auto"/>
              </w:rPr>
              <w:t>convertible preferred stock of $797</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3,086,415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29,649</w:t>
            </w:r>
          </w:p>
        </w:tc>
        <w:tc>
          <w:tcPr>
            <w:tcW w:w="200" w:type="dxa"/>
            <w:vAlign w:val="bottom"/>
            <w:tcBorders>
              <w:left w:val="single" w:sz="8" w:color="auto"/>
            </w:tcBorders>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70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w w:val="97"/>
              </w:rPr>
              <w:t>Issuance of common stock to a related party for the grant</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of rights and licenses</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tcBorders>
              <w:left w:val="single" w:sz="8" w:color="auto"/>
            </w:tcBorders>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16,666</w:t>
            </w:r>
          </w:p>
        </w:tc>
        <w:tc>
          <w:tcPr>
            <w:tcW w:w="3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30"/>
        </w:trPr>
        <w:tc>
          <w:tcPr>
            <w:tcW w:w="3700" w:type="dxa"/>
            <w:vAlign w:val="bottom"/>
          </w:tcPr>
          <w:p>
            <w:pPr>
              <w:ind w:left="220"/>
              <w:spacing w:after="0" w:line="130" w:lineRule="exact"/>
              <w:rPr>
                <w:sz w:val="20"/>
                <w:szCs w:val="20"/>
                <w:color w:val="auto"/>
              </w:rPr>
            </w:pPr>
            <w:r>
              <w:rPr>
                <w:rFonts w:ascii="Arial" w:cs="Arial" w:eastAsia="Arial" w:hAnsi="Arial"/>
                <w:sz w:val="14"/>
                <w:szCs w:val="14"/>
                <w:color w:val="auto"/>
              </w:rPr>
              <w:t>Issuance of common stock upon exercise of stock</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700" w:type="dxa"/>
            <w:vAlign w:val="bottom"/>
          </w:tcPr>
          <w:p>
            <w:pPr>
              <w:ind w:left="360"/>
              <w:spacing w:after="0"/>
              <w:rPr>
                <w:sz w:val="20"/>
                <w:szCs w:val="20"/>
                <w:color w:val="auto"/>
              </w:rPr>
            </w:pPr>
            <w:r>
              <w:rPr>
                <w:rFonts w:ascii="Arial" w:cs="Arial" w:eastAsia="Arial" w:hAnsi="Arial"/>
                <w:sz w:val="14"/>
                <w:szCs w:val="14"/>
                <w:color w:val="auto"/>
              </w:rPr>
              <w:t>options</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tcBorders>
              <w:left w:val="single" w:sz="8" w:color="auto"/>
            </w:tcBorders>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89,746</w:t>
            </w:r>
          </w:p>
        </w:tc>
        <w:tc>
          <w:tcPr>
            <w:tcW w:w="340" w:type="dxa"/>
            <w:vAlign w:val="bottom"/>
          </w:tcPr>
          <w:p>
            <w:pPr>
              <w:spacing w:after="0"/>
              <w:rPr>
                <w:sz w:val="14"/>
                <w:szCs w:val="14"/>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30"/>
        </w:trPr>
        <w:tc>
          <w:tcPr>
            <w:tcW w:w="370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w w:val="97"/>
              </w:rPr>
              <w:t>Repurchase of common stock related to early exercise of</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options</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tcBorders>
              <w:left w:val="single" w:sz="8" w:color="auto"/>
            </w:tcBorders>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(6,083)</w:t>
            </w:r>
          </w:p>
        </w:tc>
        <w:tc>
          <w:tcPr>
            <w:tcW w:w="3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700" w:type="dxa"/>
            <w:vAlign w:val="bottom"/>
          </w:tcPr>
          <w:p>
            <w:pPr>
              <w:ind w:left="220"/>
              <w:spacing w:after="0" w:line="149" w:lineRule="exact"/>
              <w:rPr>
                <w:sz w:val="20"/>
                <w:szCs w:val="20"/>
                <w:color w:val="auto"/>
              </w:rPr>
            </w:pPr>
            <w:r>
              <w:rPr>
                <w:rFonts w:ascii="Arial" w:cs="Arial" w:eastAsia="Arial" w:hAnsi="Arial"/>
                <w:sz w:val="14"/>
                <w:szCs w:val="14"/>
                <w:color w:val="auto"/>
              </w:rPr>
              <w:t>Vesting of early exercised stock options</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left w:val="single" w:sz="8" w:color="auto"/>
            </w:tcBorders>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4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8"/>
        </w:trPr>
        <w:tc>
          <w:tcPr>
            <w:tcW w:w="3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Notes receivable from stockholders</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left w:val="single" w:sz="8" w:color="auto"/>
            </w:tcBorders>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8"/>
        </w:trPr>
        <w:tc>
          <w:tcPr>
            <w:tcW w:w="3700" w:type="dxa"/>
            <w:vAlign w:val="bottom"/>
          </w:tcPr>
          <w:p>
            <w:pPr>
              <w:ind w:left="220"/>
              <w:spacing w:after="0" w:line="149" w:lineRule="exact"/>
              <w:rPr>
                <w:sz w:val="20"/>
                <w:szCs w:val="20"/>
                <w:color w:val="auto"/>
              </w:rPr>
            </w:pPr>
            <w:r>
              <w:rPr>
                <w:rFonts w:ascii="Arial" w:cs="Arial" w:eastAsia="Arial" w:hAnsi="Arial"/>
                <w:sz w:val="14"/>
                <w:szCs w:val="14"/>
                <w:color w:val="auto"/>
              </w:rPr>
              <w:t>Stock-based compensation</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left w:val="single" w:sz="8" w:color="auto"/>
            </w:tcBorders>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4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414</w:t>
            </w:r>
          </w:p>
        </w:tc>
        <w:tc>
          <w:tcPr>
            <w:tcW w:w="0" w:type="dxa"/>
            <w:vAlign w:val="bottom"/>
          </w:tcPr>
          <w:p>
            <w:pPr>
              <w:spacing w:after="0"/>
              <w:rPr>
                <w:sz w:val="1"/>
                <w:szCs w:val="1"/>
                <w:color w:val="auto"/>
              </w:rPr>
            </w:pPr>
          </w:p>
        </w:tc>
      </w:tr>
      <w:tr>
        <w:trPr>
          <w:trHeight w:val="149"/>
        </w:trPr>
        <w:tc>
          <w:tcPr>
            <w:tcW w:w="3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loss and other comprehensive loss</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left w:val="single" w:sz="8" w:color="auto"/>
            </w:tcBorders>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(26,231)</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(26,231)</w:t>
            </w:r>
          </w:p>
        </w:tc>
        <w:tc>
          <w:tcPr>
            <w:tcW w:w="0" w:type="dxa"/>
            <w:vAlign w:val="bottom"/>
          </w:tcPr>
          <w:p>
            <w:pPr>
              <w:spacing w:after="0"/>
              <w:rPr>
                <w:sz w:val="1"/>
                <w:szCs w:val="1"/>
                <w:color w:val="auto"/>
              </w:rPr>
            </w:pPr>
          </w:p>
        </w:tc>
      </w:tr>
      <w:tr>
        <w:trPr>
          <w:trHeight w:val="155"/>
        </w:trPr>
        <w:tc>
          <w:tcPr>
            <w:tcW w:w="3700" w:type="dxa"/>
            <w:vAlign w:val="bottom"/>
          </w:tcPr>
          <w:p>
            <w:pPr>
              <w:spacing w:after="0" w:line="155" w:lineRule="exact"/>
              <w:rPr>
                <w:sz w:val="20"/>
                <w:szCs w:val="20"/>
                <w:color w:val="auto"/>
              </w:rPr>
            </w:pPr>
            <w:r>
              <w:rPr>
                <w:rFonts w:ascii="Arial" w:cs="Arial" w:eastAsia="Arial" w:hAnsi="Arial"/>
                <w:sz w:val="14"/>
                <w:szCs w:val="14"/>
                <w:color w:val="auto"/>
              </w:rPr>
              <w:t>Balance as of December 31, 2019</w:t>
            </w: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11,403,077</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73,042</w:t>
            </w:r>
          </w:p>
        </w:tc>
        <w:tc>
          <w:tcPr>
            <w:tcW w:w="80" w:type="dxa"/>
            <w:vAlign w:val="bottom"/>
          </w:tcPr>
          <w:p>
            <w:pPr>
              <w:spacing w:after="0"/>
              <w:rPr>
                <w:sz w:val="13"/>
                <w:szCs w:val="13"/>
                <w:color w:val="auto"/>
              </w:rPr>
            </w:pPr>
          </w:p>
        </w:tc>
        <w:tc>
          <w:tcPr>
            <w:tcW w:w="200" w:type="dxa"/>
            <w:vAlign w:val="bottom"/>
            <w:tcBorders>
              <w:left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1,193,488</w:t>
            </w: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764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(86)</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(44,417)</w:t>
            </w: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(43,739)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70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Issuance of Series B convertible preferred stock, net of</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issuance costs of $49 and settlement of convertible</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tcBorders>
              <w:left w:val="single" w:sz="8" w:color="auto"/>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preferred stock tranche liability of $711</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6,172,830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61,995</w:t>
            </w:r>
          </w:p>
        </w:tc>
        <w:tc>
          <w:tcPr>
            <w:tcW w:w="200" w:type="dxa"/>
            <w:vAlign w:val="bottom"/>
            <w:tcBorders>
              <w:left w:val="single" w:sz="8" w:color="auto"/>
            </w:tcBorders>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700" w:type="dxa"/>
            <w:vAlign w:val="bottom"/>
          </w:tcPr>
          <w:p>
            <w:pPr>
              <w:ind w:left="220"/>
              <w:spacing w:after="0" w:line="130" w:lineRule="exact"/>
              <w:rPr>
                <w:sz w:val="20"/>
                <w:szCs w:val="20"/>
                <w:color w:val="auto"/>
              </w:rPr>
            </w:pPr>
            <w:r>
              <w:rPr>
                <w:rFonts w:ascii="Arial" w:cs="Arial" w:eastAsia="Arial" w:hAnsi="Arial"/>
                <w:sz w:val="14"/>
                <w:szCs w:val="14"/>
                <w:color w:val="auto"/>
              </w:rPr>
              <w:t>Issuance of Series C convertible preferred stock, net of</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700" w:type="dxa"/>
            <w:vAlign w:val="bottom"/>
          </w:tcPr>
          <w:p>
            <w:pPr>
              <w:ind w:left="360"/>
              <w:spacing w:after="0"/>
              <w:rPr>
                <w:sz w:val="20"/>
                <w:szCs w:val="20"/>
                <w:color w:val="auto"/>
              </w:rPr>
            </w:pPr>
            <w:r>
              <w:rPr>
                <w:rFonts w:ascii="Arial" w:cs="Arial" w:eastAsia="Arial" w:hAnsi="Arial"/>
                <w:sz w:val="14"/>
                <w:szCs w:val="14"/>
                <w:color w:val="auto"/>
              </w:rPr>
              <w:t>issuance costs of $283</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6,917,621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85,717</w:t>
            </w:r>
          </w:p>
        </w:tc>
        <w:tc>
          <w:tcPr>
            <w:tcW w:w="200" w:type="dxa"/>
            <w:vAlign w:val="bottom"/>
            <w:tcBorders>
              <w:left w:val="single" w:sz="8" w:color="auto"/>
            </w:tcBorders>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70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Issuance of common stock upon exercise of stock</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options</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tcBorders>
              <w:left w:val="single" w:sz="8" w:color="auto"/>
            </w:tcBorders>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17,846</w:t>
            </w:r>
          </w:p>
        </w:tc>
        <w:tc>
          <w:tcPr>
            <w:tcW w:w="3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30"/>
        </w:trPr>
        <w:tc>
          <w:tcPr>
            <w:tcW w:w="3700" w:type="dxa"/>
            <w:vAlign w:val="bottom"/>
          </w:tcPr>
          <w:p>
            <w:pPr>
              <w:ind w:left="220"/>
              <w:spacing w:after="0" w:line="130" w:lineRule="exact"/>
              <w:rPr>
                <w:sz w:val="20"/>
                <w:szCs w:val="20"/>
                <w:color w:val="auto"/>
              </w:rPr>
            </w:pPr>
            <w:r>
              <w:rPr>
                <w:rFonts w:ascii="Arial" w:cs="Arial" w:eastAsia="Arial" w:hAnsi="Arial"/>
                <w:sz w:val="14"/>
                <w:szCs w:val="14"/>
                <w:color w:val="auto"/>
                <w:w w:val="97"/>
              </w:rPr>
              <w:t>Repurchase of common stock related to early exercise of</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700" w:type="dxa"/>
            <w:vAlign w:val="bottom"/>
          </w:tcPr>
          <w:p>
            <w:pPr>
              <w:ind w:left="360"/>
              <w:spacing w:after="0"/>
              <w:rPr>
                <w:sz w:val="20"/>
                <w:szCs w:val="20"/>
                <w:color w:val="auto"/>
              </w:rPr>
            </w:pPr>
            <w:r>
              <w:rPr>
                <w:rFonts w:ascii="Arial" w:cs="Arial" w:eastAsia="Arial" w:hAnsi="Arial"/>
                <w:sz w:val="14"/>
                <w:szCs w:val="14"/>
                <w:color w:val="auto"/>
              </w:rPr>
              <w:t>options</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tcBorders>
              <w:left w:val="single" w:sz="8" w:color="auto"/>
            </w:tcBorders>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(1,028)</w:t>
            </w:r>
          </w:p>
        </w:tc>
        <w:tc>
          <w:tcPr>
            <w:tcW w:w="340" w:type="dxa"/>
            <w:vAlign w:val="bottom"/>
          </w:tcPr>
          <w:p>
            <w:pPr>
              <w:spacing w:after="0"/>
              <w:rPr>
                <w:sz w:val="14"/>
                <w:szCs w:val="14"/>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Vesting of early exercised stock options</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left w:val="single" w:sz="8" w:color="auto"/>
            </w:tcBorders>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8"/>
        </w:trPr>
        <w:tc>
          <w:tcPr>
            <w:tcW w:w="3700" w:type="dxa"/>
            <w:vAlign w:val="bottom"/>
          </w:tcPr>
          <w:p>
            <w:pPr>
              <w:ind w:left="220"/>
              <w:spacing w:after="0" w:line="149" w:lineRule="exact"/>
              <w:rPr>
                <w:sz w:val="20"/>
                <w:szCs w:val="20"/>
                <w:color w:val="auto"/>
              </w:rPr>
            </w:pPr>
            <w:r>
              <w:rPr>
                <w:rFonts w:ascii="Arial" w:cs="Arial" w:eastAsia="Arial" w:hAnsi="Arial"/>
                <w:sz w:val="14"/>
                <w:szCs w:val="14"/>
                <w:color w:val="auto"/>
              </w:rPr>
              <w:t>Notes receivable from stockholders</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left w:val="single" w:sz="8" w:color="auto"/>
            </w:tcBorders>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4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3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Stock-based compensation</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left w:val="single" w:sz="8" w:color="auto"/>
            </w:tcBorders>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741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741</w:t>
            </w:r>
          </w:p>
        </w:tc>
        <w:tc>
          <w:tcPr>
            <w:tcW w:w="0" w:type="dxa"/>
            <w:vAlign w:val="bottom"/>
          </w:tcPr>
          <w:p>
            <w:pPr>
              <w:spacing w:after="0"/>
              <w:rPr>
                <w:sz w:val="1"/>
                <w:szCs w:val="1"/>
                <w:color w:val="auto"/>
              </w:rPr>
            </w:pPr>
          </w:p>
        </w:tc>
      </w:tr>
      <w:tr>
        <w:trPr>
          <w:trHeight w:val="148"/>
        </w:trPr>
        <w:tc>
          <w:tcPr>
            <w:tcW w:w="3700" w:type="dxa"/>
            <w:vAlign w:val="bottom"/>
          </w:tcPr>
          <w:p>
            <w:pPr>
              <w:ind w:left="220"/>
              <w:spacing w:after="0" w:line="149" w:lineRule="exact"/>
              <w:rPr>
                <w:sz w:val="20"/>
                <w:szCs w:val="20"/>
                <w:color w:val="auto"/>
              </w:rPr>
            </w:pPr>
            <w:r>
              <w:rPr>
                <w:rFonts w:ascii="Arial" w:cs="Arial" w:eastAsia="Arial" w:hAnsi="Arial"/>
                <w:sz w:val="14"/>
                <w:szCs w:val="14"/>
                <w:color w:val="auto"/>
              </w:rPr>
              <w:t>Net loss and other comprehensive loss</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left w:val="single" w:sz="8" w:color="auto"/>
            </w:tcBorders>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4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(38,395)</w:t>
            </w:r>
          </w:p>
        </w:tc>
        <w:tc>
          <w:tcPr>
            <w:tcW w:w="16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(38,395)</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as of December 31, 2020</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24,493,528</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220,754</w:t>
            </w:r>
          </w:p>
        </w:tc>
        <w:tc>
          <w:tcPr>
            <w:tcW w:w="200" w:type="dxa"/>
            <w:vAlign w:val="bottom"/>
            <w:tcBorders>
              <w:left w:val="single" w:sz="8" w:color="auto"/>
            </w:tcBorders>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1,210,306</w:t>
            </w:r>
          </w:p>
        </w:tc>
        <w:tc>
          <w:tcPr>
            <w:tcW w:w="34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1,584</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(87)</w:t>
            </w:r>
          </w:p>
        </w:tc>
        <w:tc>
          <w:tcPr>
            <w:tcW w:w="2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(82,812)</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(81,315)</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TENAYA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Cash Flows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4"/>
              </w:rPr>
              <w:t>Year Ended December 31,</w:t>
            </w:r>
          </w:p>
        </w:tc>
        <w:tc>
          <w:tcPr>
            <w:tcW w:w="0" w:type="dxa"/>
            <w:vAlign w:val="bottom"/>
          </w:tcPr>
          <w:p>
            <w:pPr>
              <w:spacing w:after="0"/>
              <w:rPr>
                <w:sz w:val="1"/>
                <w:szCs w:val="1"/>
                <w:color w:val="auto"/>
              </w:rPr>
            </w:pPr>
          </w:p>
        </w:tc>
      </w:tr>
      <w:tr>
        <w:trPr>
          <w:trHeight w:val="142"/>
        </w:trPr>
        <w:tc>
          <w:tcPr>
            <w:tcW w:w="90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90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04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(26,231)</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(38,395)</w:t>
            </w:r>
          </w:p>
        </w:tc>
        <w:tc>
          <w:tcPr>
            <w:tcW w:w="0" w:type="dxa"/>
            <w:vAlign w:val="bottom"/>
          </w:tcPr>
          <w:p>
            <w:pPr>
              <w:spacing w:after="0"/>
              <w:rPr>
                <w:sz w:val="1"/>
                <w:szCs w:val="1"/>
                <w:color w:val="auto"/>
              </w:rPr>
            </w:pPr>
          </w:p>
        </w:tc>
      </w:tr>
      <w:tr>
        <w:trPr>
          <w:trHeight w:val="148"/>
        </w:trPr>
        <w:tc>
          <w:tcPr>
            <w:tcW w:w="9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40" w:type="dxa"/>
            <w:vAlign w:val="bottom"/>
          </w:tcPr>
          <w:p>
            <w:pPr>
              <w:ind w:left="280"/>
              <w:spacing w:after="0" w:line="149" w:lineRule="exact"/>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2"/>
                <w:szCs w:val="12"/>
                <w:color w:val="auto"/>
              </w:rPr>
            </w:pP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1,989</w:t>
            </w:r>
          </w:p>
        </w:tc>
        <w:tc>
          <w:tcPr>
            <w:tcW w:w="14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2,483</w:t>
            </w:r>
          </w:p>
        </w:tc>
        <w:tc>
          <w:tcPr>
            <w:tcW w:w="0" w:type="dxa"/>
            <w:vAlign w:val="bottom"/>
          </w:tcPr>
          <w:p>
            <w:pPr>
              <w:spacing w:after="0"/>
              <w:rPr>
                <w:sz w:val="1"/>
                <w:szCs w:val="1"/>
                <w:color w:val="auto"/>
              </w:rPr>
            </w:pPr>
          </w:p>
        </w:tc>
      </w:tr>
      <w:tr>
        <w:trPr>
          <w:trHeight w:val="148"/>
        </w:trPr>
        <w:tc>
          <w:tcPr>
            <w:tcW w:w="90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Stock-based compensation</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414</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741</w:t>
            </w:r>
          </w:p>
        </w:tc>
        <w:tc>
          <w:tcPr>
            <w:tcW w:w="0" w:type="dxa"/>
            <w:vAlign w:val="bottom"/>
          </w:tcPr>
          <w:p>
            <w:pPr>
              <w:spacing w:after="0"/>
              <w:rPr>
                <w:sz w:val="1"/>
                <w:szCs w:val="1"/>
                <w:color w:val="auto"/>
              </w:rPr>
            </w:pPr>
          </w:p>
        </w:tc>
      </w:tr>
      <w:tr>
        <w:trPr>
          <w:trHeight w:val="149"/>
        </w:trPr>
        <w:tc>
          <w:tcPr>
            <w:tcW w:w="9040" w:type="dxa"/>
            <w:vAlign w:val="bottom"/>
          </w:tcPr>
          <w:p>
            <w:pPr>
              <w:ind w:left="280"/>
              <w:spacing w:after="0" w:line="149" w:lineRule="exact"/>
              <w:rPr>
                <w:sz w:val="20"/>
                <w:szCs w:val="20"/>
                <w:color w:val="auto"/>
              </w:rPr>
            </w:pPr>
            <w:r>
              <w:rPr>
                <w:rFonts w:ascii="Arial" w:cs="Arial" w:eastAsia="Arial" w:hAnsi="Arial"/>
                <w:sz w:val="14"/>
                <w:szCs w:val="14"/>
                <w:color w:val="auto"/>
              </w:rPr>
              <w:t>Accretion of discount on marketable securities</w:t>
            </w:r>
          </w:p>
        </w:tc>
        <w:tc>
          <w:tcPr>
            <w:tcW w:w="100" w:type="dxa"/>
            <w:vAlign w:val="bottom"/>
          </w:tcPr>
          <w:p>
            <w:pPr>
              <w:spacing w:after="0"/>
              <w:rPr>
                <w:sz w:val="12"/>
                <w:szCs w:val="12"/>
                <w:color w:val="auto"/>
              </w:rPr>
            </w:pP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(96)</w:t>
            </w:r>
          </w:p>
        </w:tc>
        <w:tc>
          <w:tcPr>
            <w:tcW w:w="14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90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Loss on disposal of property and equipment</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14</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8"/>
        </w:trPr>
        <w:tc>
          <w:tcPr>
            <w:tcW w:w="9040" w:type="dxa"/>
            <w:vAlign w:val="bottom"/>
          </w:tcPr>
          <w:p>
            <w:pPr>
              <w:ind w:left="280"/>
              <w:spacing w:after="0" w:line="149" w:lineRule="exact"/>
              <w:rPr>
                <w:sz w:val="20"/>
                <w:szCs w:val="20"/>
                <w:color w:val="auto"/>
              </w:rPr>
            </w:pPr>
            <w:r>
              <w:rPr>
                <w:rFonts w:ascii="Arial" w:cs="Arial" w:eastAsia="Arial" w:hAnsi="Arial"/>
                <w:sz w:val="14"/>
                <w:szCs w:val="14"/>
                <w:color w:val="auto"/>
              </w:rPr>
              <w:t>Non-cash stock expense related to the grant of rights and licenses from a related party</w:t>
            </w:r>
          </w:p>
        </w:tc>
        <w:tc>
          <w:tcPr>
            <w:tcW w:w="100" w:type="dxa"/>
            <w:vAlign w:val="bottom"/>
          </w:tcPr>
          <w:p>
            <w:pPr>
              <w:spacing w:after="0"/>
              <w:rPr>
                <w:sz w:val="12"/>
                <w:szCs w:val="12"/>
                <w:color w:val="auto"/>
              </w:rPr>
            </w:pP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75</w:t>
            </w:r>
          </w:p>
        </w:tc>
        <w:tc>
          <w:tcPr>
            <w:tcW w:w="14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90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Change in fair value of convertible preferred stock tranche liability</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(11)</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48"/>
        </w:trPr>
        <w:tc>
          <w:tcPr>
            <w:tcW w:w="9040" w:type="dxa"/>
            <w:vAlign w:val="bottom"/>
          </w:tcPr>
          <w:p>
            <w:pPr>
              <w:ind w:left="28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4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(378)</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149"/>
        </w:trPr>
        <w:tc>
          <w:tcPr>
            <w:tcW w:w="9040" w:type="dxa"/>
            <w:vAlign w:val="bottom"/>
          </w:tcPr>
          <w:p>
            <w:pPr>
              <w:ind w:left="580"/>
              <w:spacing w:after="0" w:line="149" w:lineRule="exact"/>
              <w:rPr>
                <w:sz w:val="20"/>
                <w:szCs w:val="20"/>
                <w:color w:val="auto"/>
              </w:rPr>
            </w:pPr>
            <w:r>
              <w:rPr>
                <w:rFonts w:ascii="Arial" w:cs="Arial" w:eastAsia="Arial" w:hAnsi="Arial"/>
                <w:sz w:val="14"/>
                <w:szCs w:val="14"/>
                <w:color w:val="auto"/>
              </w:rPr>
              <w:t>Other non-current assets</w:t>
            </w:r>
          </w:p>
        </w:tc>
        <w:tc>
          <w:tcPr>
            <w:tcW w:w="100" w:type="dxa"/>
            <w:vAlign w:val="bottom"/>
          </w:tcPr>
          <w:p>
            <w:pPr>
              <w:spacing w:after="0"/>
              <w:rPr>
                <w:sz w:val="12"/>
                <w:szCs w:val="12"/>
                <w:color w:val="auto"/>
              </w:rPr>
            </w:pP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(15)</w:t>
            </w:r>
          </w:p>
        </w:tc>
        <w:tc>
          <w:tcPr>
            <w:tcW w:w="1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48"/>
        </w:trPr>
        <w:tc>
          <w:tcPr>
            <w:tcW w:w="904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Accounts payable</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397</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48"/>
        </w:trPr>
        <w:tc>
          <w:tcPr>
            <w:tcW w:w="9040" w:type="dxa"/>
            <w:vAlign w:val="bottom"/>
          </w:tcPr>
          <w:p>
            <w:pPr>
              <w:ind w:left="58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100" w:type="dxa"/>
            <w:vAlign w:val="bottom"/>
          </w:tcPr>
          <w:p>
            <w:pPr>
              <w:spacing w:after="0"/>
              <w:rPr>
                <w:sz w:val="12"/>
                <w:szCs w:val="12"/>
                <w:color w:val="auto"/>
              </w:rPr>
            </w:pP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514</w:t>
            </w:r>
          </w:p>
        </w:tc>
        <w:tc>
          <w:tcPr>
            <w:tcW w:w="14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925</w:t>
            </w:r>
          </w:p>
        </w:tc>
        <w:tc>
          <w:tcPr>
            <w:tcW w:w="0" w:type="dxa"/>
            <w:vAlign w:val="bottom"/>
          </w:tcPr>
          <w:p>
            <w:pPr>
              <w:spacing w:after="0"/>
              <w:rPr>
                <w:sz w:val="1"/>
                <w:szCs w:val="1"/>
                <w:color w:val="auto"/>
              </w:rPr>
            </w:pPr>
          </w:p>
        </w:tc>
      </w:tr>
      <w:tr>
        <w:trPr>
          <w:trHeight w:val="148"/>
        </w:trPr>
        <w:tc>
          <w:tcPr>
            <w:tcW w:w="904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Deferred rent and other lease liabilities</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(691)</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(775)</w:t>
            </w:r>
          </w:p>
        </w:tc>
        <w:tc>
          <w:tcPr>
            <w:tcW w:w="0" w:type="dxa"/>
            <w:vAlign w:val="bottom"/>
          </w:tcPr>
          <w:p>
            <w:pPr>
              <w:spacing w:after="0"/>
              <w:rPr>
                <w:sz w:val="1"/>
                <w:szCs w:val="1"/>
                <w:color w:val="auto"/>
              </w:rPr>
            </w:pPr>
          </w:p>
        </w:tc>
      </w:tr>
      <w:tr>
        <w:trPr>
          <w:trHeight w:val="148"/>
        </w:trPr>
        <w:tc>
          <w:tcPr>
            <w:tcW w:w="9040" w:type="dxa"/>
            <w:vAlign w:val="bottom"/>
          </w:tcPr>
          <w:p>
            <w:pPr>
              <w:ind w:left="580"/>
              <w:spacing w:after="0" w:line="149" w:lineRule="exact"/>
              <w:rPr>
                <w:sz w:val="20"/>
                <w:szCs w:val="20"/>
                <w:color w:val="auto"/>
              </w:rPr>
            </w:pPr>
            <w:r>
              <w:rPr>
                <w:rFonts w:ascii="Arial" w:cs="Arial" w:eastAsia="Arial" w:hAnsi="Arial"/>
                <w:sz w:val="14"/>
                <w:szCs w:val="14"/>
                <w:color w:val="auto"/>
              </w:rPr>
              <w:t>Other non-current liabilities</w:t>
            </w:r>
          </w:p>
        </w:tc>
        <w:tc>
          <w:tcPr>
            <w:tcW w:w="100" w:type="dxa"/>
            <w:vAlign w:val="bottom"/>
          </w:tcPr>
          <w:p>
            <w:pPr>
              <w:spacing w:after="0"/>
              <w:rPr>
                <w:sz w:val="12"/>
                <w:szCs w:val="12"/>
                <w:color w:val="auto"/>
              </w:rPr>
            </w:pP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(77)</w:t>
            </w:r>
          </w:p>
        </w:tc>
        <w:tc>
          <w:tcPr>
            <w:tcW w:w="1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90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Net cash used in operating activities</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(24,096)</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(35,447)</w:t>
            </w:r>
          </w:p>
        </w:tc>
        <w:tc>
          <w:tcPr>
            <w:tcW w:w="0" w:type="dxa"/>
            <w:vAlign w:val="bottom"/>
          </w:tcPr>
          <w:p>
            <w:pPr>
              <w:spacing w:after="0"/>
              <w:rPr>
                <w:sz w:val="1"/>
                <w:szCs w:val="1"/>
                <w:color w:val="auto"/>
              </w:rPr>
            </w:pPr>
          </w:p>
        </w:tc>
      </w:tr>
      <w:tr>
        <w:trPr>
          <w:trHeight w:val="156"/>
        </w:trPr>
        <w:tc>
          <w:tcPr>
            <w:tcW w:w="904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property and equipment</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(2,926)</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(9,763)</w:t>
            </w:r>
          </w:p>
        </w:tc>
        <w:tc>
          <w:tcPr>
            <w:tcW w:w="0" w:type="dxa"/>
            <w:vAlign w:val="bottom"/>
          </w:tcPr>
          <w:p>
            <w:pPr>
              <w:spacing w:after="0"/>
              <w:rPr>
                <w:sz w:val="1"/>
                <w:szCs w:val="1"/>
                <w:color w:val="auto"/>
              </w:rPr>
            </w:pPr>
          </w:p>
        </w:tc>
      </w:tr>
      <w:tr>
        <w:trPr>
          <w:trHeight w:val="148"/>
        </w:trPr>
        <w:tc>
          <w:tcPr>
            <w:tcW w:w="9040" w:type="dxa"/>
            <w:vAlign w:val="bottom"/>
          </w:tcPr>
          <w:p>
            <w:pPr>
              <w:spacing w:after="0" w:line="149" w:lineRule="exact"/>
              <w:rPr>
                <w:sz w:val="20"/>
                <w:szCs w:val="20"/>
                <w:color w:val="auto"/>
              </w:rPr>
            </w:pPr>
            <w:r>
              <w:rPr>
                <w:rFonts w:ascii="Arial" w:cs="Arial" w:eastAsia="Arial" w:hAnsi="Arial"/>
                <w:sz w:val="14"/>
                <w:szCs w:val="14"/>
                <w:color w:val="auto"/>
              </w:rPr>
              <w:t>Purchases of marketable securities</w:t>
            </w:r>
          </w:p>
        </w:tc>
        <w:tc>
          <w:tcPr>
            <w:tcW w:w="100" w:type="dxa"/>
            <w:vAlign w:val="bottom"/>
          </w:tcPr>
          <w:p>
            <w:pPr>
              <w:spacing w:after="0"/>
              <w:rPr>
                <w:sz w:val="12"/>
                <w:szCs w:val="12"/>
                <w:color w:val="auto"/>
              </w:rPr>
            </w:pP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(12,657)</w:t>
            </w:r>
          </w:p>
        </w:tc>
        <w:tc>
          <w:tcPr>
            <w:tcW w:w="14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9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maturities of marketable securities</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10,000</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2,753</w:t>
            </w:r>
          </w:p>
        </w:tc>
        <w:tc>
          <w:tcPr>
            <w:tcW w:w="0" w:type="dxa"/>
            <w:vAlign w:val="bottom"/>
          </w:tcPr>
          <w:p>
            <w:pPr>
              <w:spacing w:after="0"/>
              <w:rPr>
                <w:sz w:val="1"/>
                <w:szCs w:val="1"/>
                <w:color w:val="auto"/>
              </w:rPr>
            </w:pPr>
          </w:p>
        </w:tc>
      </w:tr>
      <w:tr>
        <w:trPr>
          <w:trHeight w:val="163"/>
        </w:trPr>
        <w:tc>
          <w:tcPr>
            <w:tcW w:w="9040" w:type="dxa"/>
            <w:vAlign w:val="bottom"/>
          </w:tcPr>
          <w:p>
            <w:pPr>
              <w:ind w:left="860"/>
              <w:spacing w:after="0" w:line="155" w:lineRule="exact"/>
              <w:rPr>
                <w:sz w:val="20"/>
                <w:szCs w:val="20"/>
                <w:color w:val="auto"/>
              </w:rPr>
            </w:pPr>
            <w:r>
              <w:rPr>
                <w:rFonts w:ascii="Arial" w:cs="Arial" w:eastAsia="Arial" w:hAnsi="Arial"/>
                <w:sz w:val="14"/>
                <w:szCs w:val="14"/>
                <w:color w:val="auto"/>
              </w:rPr>
              <w:t>Net cash used in investing activities</w:t>
            </w:r>
          </w:p>
        </w:tc>
        <w:tc>
          <w:tcPr>
            <w:tcW w:w="1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(5,583)</w:t>
            </w:r>
          </w:p>
        </w:tc>
        <w:tc>
          <w:tcPr>
            <w:tcW w:w="4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40" w:type="dxa"/>
            <w:vAlign w:val="bottom"/>
          </w:tcPr>
          <w:p>
            <w:pPr>
              <w:spacing w:after="0" w:line="149" w:lineRule="exact"/>
              <w:rPr>
                <w:sz w:val="20"/>
                <w:szCs w:val="20"/>
                <w:color w:val="auto"/>
              </w:rPr>
            </w:pPr>
            <w:r>
              <w:rPr>
                <w:rFonts w:ascii="Arial" w:cs="Arial" w:eastAsia="Arial" w:hAnsi="Arial"/>
                <w:sz w:val="14"/>
                <w:szCs w:val="14"/>
                <w:color w:val="auto"/>
              </w:rPr>
              <w:t>Proceeds from issuance of Series B convertible preferred stock, net of issuance costs</w:t>
            </w:r>
          </w:p>
        </w:tc>
        <w:tc>
          <w:tcPr>
            <w:tcW w:w="100" w:type="dxa"/>
            <w:vAlign w:val="bottom"/>
          </w:tcPr>
          <w:p>
            <w:pPr>
              <w:spacing w:after="0"/>
              <w:rPr>
                <w:sz w:val="12"/>
                <w:szCs w:val="12"/>
                <w:color w:val="auto"/>
              </w:rPr>
            </w:pP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30,446</w:t>
            </w:r>
          </w:p>
        </w:tc>
        <w:tc>
          <w:tcPr>
            <w:tcW w:w="14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61,284</w:t>
            </w:r>
          </w:p>
        </w:tc>
        <w:tc>
          <w:tcPr>
            <w:tcW w:w="0" w:type="dxa"/>
            <w:vAlign w:val="bottom"/>
          </w:tcPr>
          <w:p>
            <w:pPr>
              <w:spacing w:after="0"/>
              <w:rPr>
                <w:sz w:val="1"/>
                <w:szCs w:val="1"/>
                <w:color w:val="auto"/>
              </w:rPr>
            </w:pPr>
          </w:p>
        </w:tc>
      </w:tr>
      <w:tr>
        <w:trPr>
          <w:trHeight w:val="149"/>
        </w:trPr>
        <w:tc>
          <w:tcPr>
            <w:tcW w:w="9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 of Series C convertible preferred stock, net of issuance costs</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85,951</w:t>
            </w:r>
          </w:p>
        </w:tc>
        <w:tc>
          <w:tcPr>
            <w:tcW w:w="0" w:type="dxa"/>
            <w:vAlign w:val="bottom"/>
          </w:tcPr>
          <w:p>
            <w:pPr>
              <w:spacing w:after="0"/>
              <w:rPr>
                <w:sz w:val="1"/>
                <w:szCs w:val="1"/>
                <w:color w:val="auto"/>
              </w:rPr>
            </w:pPr>
          </w:p>
        </w:tc>
      </w:tr>
      <w:tr>
        <w:trPr>
          <w:trHeight w:val="148"/>
        </w:trPr>
        <w:tc>
          <w:tcPr>
            <w:tcW w:w="9040" w:type="dxa"/>
            <w:vAlign w:val="bottom"/>
          </w:tcPr>
          <w:p>
            <w:pPr>
              <w:spacing w:after="0" w:line="149" w:lineRule="exact"/>
              <w:rPr>
                <w:sz w:val="20"/>
                <w:szCs w:val="20"/>
                <w:color w:val="auto"/>
              </w:rPr>
            </w:pPr>
            <w:r>
              <w:rPr>
                <w:rFonts w:ascii="Arial" w:cs="Arial" w:eastAsia="Arial" w:hAnsi="Arial"/>
                <w:sz w:val="14"/>
                <w:szCs w:val="14"/>
                <w:color w:val="auto"/>
              </w:rPr>
              <w:t>Proceeds from exercise of stock options</w:t>
            </w:r>
          </w:p>
        </w:tc>
        <w:tc>
          <w:tcPr>
            <w:tcW w:w="100" w:type="dxa"/>
            <w:vAlign w:val="bottom"/>
          </w:tcPr>
          <w:p>
            <w:pPr>
              <w:spacing w:after="0"/>
              <w:rPr>
                <w:sz w:val="12"/>
                <w:szCs w:val="12"/>
                <w:color w:val="auto"/>
              </w:rPr>
            </w:pP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68</w:t>
            </w:r>
          </w:p>
        </w:tc>
        <w:tc>
          <w:tcPr>
            <w:tcW w:w="14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8"/>
        </w:trPr>
        <w:tc>
          <w:tcPr>
            <w:tcW w:w="9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Repurchases of common stock</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3"/>
        </w:trPr>
        <w:tc>
          <w:tcPr>
            <w:tcW w:w="9040" w:type="dxa"/>
            <w:vAlign w:val="bottom"/>
          </w:tcPr>
          <w:p>
            <w:pPr>
              <w:ind w:left="860"/>
              <w:spacing w:after="0" w:line="155" w:lineRule="exact"/>
              <w:rPr>
                <w:sz w:val="20"/>
                <w:szCs w:val="20"/>
                <w:color w:val="auto"/>
              </w:rPr>
            </w:pPr>
            <w:r>
              <w:rPr>
                <w:rFonts w:ascii="Arial" w:cs="Arial" w:eastAsia="Arial" w:hAnsi="Arial"/>
                <w:sz w:val="14"/>
                <w:szCs w:val="14"/>
                <w:color w:val="auto"/>
              </w:rPr>
              <w:t>Net cash provided by financing activities</w:t>
            </w:r>
          </w:p>
        </w:tc>
        <w:tc>
          <w:tcPr>
            <w:tcW w:w="1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30,511</w:t>
            </w:r>
          </w:p>
        </w:tc>
        <w:tc>
          <w:tcPr>
            <w:tcW w:w="4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147,268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in cash, cash equivalents and restricted cash</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832</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104,811</w:t>
            </w:r>
          </w:p>
        </w:tc>
        <w:tc>
          <w:tcPr>
            <w:tcW w:w="0" w:type="dxa"/>
            <w:vAlign w:val="bottom"/>
          </w:tcPr>
          <w:p>
            <w:pPr>
              <w:spacing w:after="0"/>
              <w:rPr>
                <w:sz w:val="1"/>
                <w:szCs w:val="1"/>
                <w:color w:val="auto"/>
              </w:rPr>
            </w:pPr>
          </w:p>
        </w:tc>
      </w:tr>
      <w:tr>
        <w:trPr>
          <w:trHeight w:val="156"/>
        </w:trPr>
        <w:tc>
          <w:tcPr>
            <w:tcW w:w="9040" w:type="dxa"/>
            <w:vAlign w:val="bottom"/>
          </w:tcPr>
          <w:p>
            <w:pPr>
              <w:spacing w:after="0" w:line="149" w:lineRule="exact"/>
              <w:rPr>
                <w:sz w:val="20"/>
                <w:szCs w:val="20"/>
                <w:color w:val="auto"/>
              </w:rPr>
            </w:pPr>
            <w:r>
              <w:rPr>
                <w:rFonts w:ascii="Arial" w:cs="Arial" w:eastAsia="Arial" w:hAnsi="Arial"/>
                <w:sz w:val="14"/>
                <w:szCs w:val="14"/>
                <w:color w:val="auto"/>
              </w:rPr>
              <w:t>Cash, cash equivalents and restricted cash at beginning of period</w:t>
            </w: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23,439</w:t>
            </w:r>
          </w:p>
        </w:tc>
        <w:tc>
          <w:tcPr>
            <w:tcW w:w="4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24,271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cash equivalents and restricted cash at end of period</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24,271</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129,082</w:t>
            </w:r>
          </w:p>
        </w:tc>
        <w:tc>
          <w:tcPr>
            <w:tcW w:w="0" w:type="dxa"/>
            <w:vAlign w:val="bottom"/>
          </w:tcPr>
          <w:p>
            <w:pPr>
              <w:spacing w:after="0"/>
              <w:rPr>
                <w:sz w:val="1"/>
                <w:szCs w:val="1"/>
                <w:color w:val="auto"/>
              </w:rPr>
            </w:pPr>
          </w:p>
        </w:tc>
      </w:tr>
      <w:tr>
        <w:trPr>
          <w:trHeight w:val="20"/>
        </w:trPr>
        <w:tc>
          <w:tcPr>
            <w:tcW w:w="9040" w:type="dxa"/>
            <w:vAlign w:val="bottom"/>
            <w:vMerge w:val="restart"/>
          </w:tcPr>
          <w:p>
            <w:pPr>
              <w:spacing w:after="0"/>
              <w:rPr>
                <w:sz w:val="20"/>
                <w:szCs w:val="20"/>
                <w:color w:val="auto"/>
              </w:rPr>
            </w:pPr>
            <w:r>
              <w:rPr>
                <w:rFonts w:ascii="Arial" w:cs="Arial" w:eastAsia="Arial" w:hAnsi="Arial"/>
                <w:sz w:val="14"/>
                <w:szCs w:val="14"/>
                <w:b w:val="1"/>
                <w:bCs w:val="1"/>
                <w:color w:val="auto"/>
              </w:rPr>
              <w:t>Components of cash, cash equivalents and restricted cash:</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23,872</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128,535</w:t>
            </w:r>
          </w:p>
        </w:tc>
        <w:tc>
          <w:tcPr>
            <w:tcW w:w="0" w:type="dxa"/>
            <w:vAlign w:val="bottom"/>
          </w:tcPr>
          <w:p>
            <w:pPr>
              <w:spacing w:after="0"/>
              <w:rPr>
                <w:sz w:val="1"/>
                <w:szCs w:val="1"/>
                <w:color w:val="auto"/>
              </w:rPr>
            </w:pPr>
          </w:p>
        </w:tc>
      </w:tr>
      <w:tr>
        <w:trPr>
          <w:trHeight w:val="155"/>
        </w:trPr>
        <w:tc>
          <w:tcPr>
            <w:tcW w:w="9040" w:type="dxa"/>
            <w:vAlign w:val="bottom"/>
          </w:tcPr>
          <w:p>
            <w:pPr>
              <w:spacing w:after="0" w:line="149" w:lineRule="exact"/>
              <w:rPr>
                <w:sz w:val="20"/>
                <w:szCs w:val="20"/>
                <w:color w:val="auto"/>
              </w:rPr>
            </w:pPr>
            <w:r>
              <w:rPr>
                <w:rFonts w:ascii="Arial" w:cs="Arial" w:eastAsia="Arial" w:hAnsi="Arial"/>
                <w:sz w:val="14"/>
                <w:szCs w:val="14"/>
                <w:color w:val="auto"/>
              </w:rPr>
              <w:t>Restricted cash, non-current</w:t>
            </w: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399</w:t>
            </w:r>
          </w:p>
        </w:tc>
        <w:tc>
          <w:tcPr>
            <w:tcW w:w="4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547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cash equivalents and restricted cash</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24,271</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129,082</w:t>
            </w:r>
          </w:p>
        </w:tc>
        <w:tc>
          <w:tcPr>
            <w:tcW w:w="0" w:type="dxa"/>
            <w:vAlign w:val="bottom"/>
          </w:tcPr>
          <w:p>
            <w:pPr>
              <w:spacing w:after="0"/>
              <w:rPr>
                <w:sz w:val="1"/>
                <w:szCs w:val="1"/>
                <w:color w:val="auto"/>
              </w:rPr>
            </w:pPr>
          </w:p>
        </w:tc>
      </w:tr>
      <w:tr>
        <w:trPr>
          <w:trHeight w:val="20"/>
        </w:trPr>
        <w:tc>
          <w:tcPr>
            <w:tcW w:w="904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included in accounts payable and accrued expenses and other current liabilities</w:t>
            </w:r>
          </w:p>
        </w:tc>
        <w:tc>
          <w:tcPr>
            <w:tcW w:w="1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110</w:t>
            </w:r>
          </w:p>
        </w:tc>
        <w:tc>
          <w:tcPr>
            <w:tcW w:w="4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40" w:type="dxa"/>
            <w:vAlign w:val="bottom"/>
            <w:vMerge w:val="restart"/>
          </w:tcPr>
          <w:p>
            <w:pPr>
              <w:spacing w:after="0"/>
              <w:rPr>
                <w:sz w:val="20"/>
                <w:szCs w:val="20"/>
                <w:color w:val="auto"/>
              </w:rPr>
            </w:pPr>
            <w:r>
              <w:rPr>
                <w:rFonts w:ascii="Arial" w:cs="Arial" w:eastAsia="Arial" w:hAnsi="Arial"/>
                <w:sz w:val="14"/>
                <w:szCs w:val="14"/>
                <w:color w:val="auto"/>
              </w:rPr>
              <w:t>Settlement of convertible preferred stock tranche liability in connection with the issuance of Series B convertible preferred stock</w:t>
            </w: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040" w:type="dxa"/>
            <w:vAlign w:val="bottom"/>
            <w:vMerge w:val="continue"/>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711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0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w w:val="97"/>
              </w:rPr>
              <w:t>Deferred offering costs related to Series C convertible preferred stock included in accounts payable and accrued expenses and other current liabilities</w:t>
            </w:r>
          </w:p>
        </w:tc>
        <w:tc>
          <w:tcPr>
            <w:tcW w:w="1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420"/>
              <w:spacing w:after="0" w:line="143"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Tenaya Therapeutics, Inc. (the Company) was incorporated in the state of Delaware in August 2016 and is headquartered in South San Francisco, California. The Company is a preclinical stage biotechnology company focused on discovering, developing and delivering curative therapies that address the underlying drivers of heart disease. The Company is advancing product candidates from three distinct but interrelated product platforms: gene therapy, cellular regeneration and precision medicine.</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The Company has incurred net losses since inception and expects such losses to continue in the future as it conducts research and development activities. As of December 31, 2020, the Company had an accumulated deficit of $82.8 million. The Company incurred a net loss of $26.2 million and $38.4 million during the years ended December 31, 2019 and 2020. The Company had $128.5 million of cash and cash equivalents as of December 31, 2020. In addition, in January 2021, the Company raised $20.0 million in gross proceeds from the issuance and sale of shares of its Series C convertible preferred stock (see Note 13).</w:t>
      </w:r>
    </w:p>
    <w:p>
      <w:pPr>
        <w:spacing w:after="0" w:line="188" w:lineRule="exact"/>
        <w:rPr>
          <w:sz w:val="20"/>
          <w:szCs w:val="20"/>
          <w:color w:val="auto"/>
        </w:rPr>
      </w:pPr>
    </w:p>
    <w:p>
      <w:pPr>
        <w:ind w:left="120" w:right="320" w:firstLine="440"/>
        <w:spacing w:after="0" w:line="296" w:lineRule="auto"/>
        <w:rPr>
          <w:sz w:val="20"/>
          <w:szCs w:val="20"/>
          <w:color w:val="auto"/>
        </w:rPr>
      </w:pPr>
      <w:r>
        <w:rPr>
          <w:rFonts w:ascii="Arial" w:cs="Arial" w:eastAsia="Arial" w:hAnsi="Arial"/>
          <w:sz w:val="16"/>
          <w:szCs w:val="16"/>
          <w:color w:val="auto"/>
        </w:rPr>
        <w:t>Management recognizes the need to raise capital to fully implement its business plan. The Company has historically financed its operations primarily with proceeds from the issuance of its convertible preferred stock and may seek to raise capital through equity financings, debt financings, license agreements, collaborative agreements or other sources of financing. Management believes that its existing cash and cash equivalents as of December 31, 2020, together with the funds raised in January 2021 from the sale of Series C convertible preferred stock, are sufficient to fund the Company’s operations for at least the next twelve months following the issuance date of these financial statements.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accompanying financial statements have been prepared in accordance with accounting principles generally accepted in the United States of America (GAAP).</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liabilities, and the disclosure of contingent assets and liabilities at the date of the financial statements and the reported amounts of expenses during the reporting period. Significant estimates and assumptions made in the accompanying financial statements include, but are not limited to, the fair value of common stock, the valuation of equity-based awards, the useful lives of property and equipment, the fair value of the convertible preferred stock tranche liability, accrued expenses related to research and development activities and the valuation allowance for deferred tax assets. Management bases its estimates on historical experience, the current economic environment, and on various other assumptions that are believed to be reasonable under the circumstances. Actual results may differ from those estimates or assumptions.</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120" w:right="360" w:firstLine="440"/>
        <w:spacing w:after="0" w:line="279" w:lineRule="auto"/>
        <w:rPr>
          <w:sz w:val="20"/>
          <w:szCs w:val="20"/>
          <w:color w:val="auto"/>
        </w:rPr>
      </w:pPr>
      <w:r>
        <w:rPr>
          <w:rFonts w:ascii="Arial" w:cs="Arial" w:eastAsia="Arial" w:hAnsi="Arial"/>
          <w:sz w:val="17"/>
          <w:szCs w:val="17"/>
          <w:color w:val="auto"/>
        </w:rPr>
        <w:t>Fair value is defined as the exchange price that would be received for an asset or paid to transfer a liability, or an exit price, in the principal or most advantageous market for that asset or liability in an orderly transaction between market participants on the measurement date. Fair value measurement establishes a three-level fair value hierarchy that requires an entity to maximize the use of observable inputs, where available, and minimize the use of unobservable inputs when measuring fair value. The three-level hierarchy of inputs is as follows:</w:t>
      </w:r>
    </w:p>
    <w:p>
      <w:pPr>
        <w:spacing w:after="0" w:line="198" w:lineRule="exact"/>
        <w:rPr>
          <w:sz w:val="20"/>
          <w:szCs w:val="20"/>
          <w:color w:val="auto"/>
        </w:rPr>
      </w:pPr>
    </w:p>
    <w:p>
      <w:pPr>
        <w:jc w:val="center"/>
        <w:ind w:left="360" w:right="520"/>
        <w:spacing w:after="0" w:line="449" w:lineRule="auto"/>
        <w:rPr>
          <w:sz w:val="20"/>
          <w:szCs w:val="20"/>
          <w:color w:val="auto"/>
        </w:rPr>
      </w:pPr>
      <w:r>
        <w:rPr>
          <w:rFonts w:ascii="Arial" w:cs="Arial" w:eastAsia="Arial" w:hAnsi="Arial"/>
          <w:sz w:val="18"/>
          <w:szCs w:val="18"/>
          <w:b w:val="1"/>
          <w:bCs w:val="1"/>
          <w:i w:val="1"/>
          <w:iCs w:val="1"/>
          <w:color w:val="auto"/>
        </w:rPr>
        <w:t>Level 1</w:t>
      </w:r>
      <w:r>
        <w:rPr>
          <w:rFonts w:ascii="Arial" w:cs="Arial" w:eastAsia="Arial" w:hAnsi="Arial"/>
          <w:sz w:val="18"/>
          <w:szCs w:val="18"/>
          <w:color w:val="auto"/>
        </w:rPr>
        <w:t>—Observable inputs such as unadjusted quoted prices in active markets for identical assets or liabilities as of the measurement 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F-7</w:t>
      </w:r>
    </w:p>
    <w:p>
      <w:pPr>
        <w:sectPr>
          <w:pgSz w:w="11900" w:h="16838" w:orient="portrait"/>
          <w:cols w:equalWidth="0" w:num="1">
            <w:col w:w="11120"/>
          </w:cols>
          <w:pgMar w:left="320" w:top="459" w:right="45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ind w:left="1260" w:right="20" w:hanging="706"/>
        <w:spacing w:after="0" w:line="277" w:lineRule="auto"/>
        <w:rPr>
          <w:sz w:val="20"/>
          <w:szCs w:val="20"/>
          <w:color w:val="auto"/>
        </w:rPr>
      </w:pPr>
      <w:r>
        <w:rPr>
          <w:rFonts w:ascii="Arial" w:cs="Arial" w:eastAsia="Arial" w:hAnsi="Arial"/>
          <w:sz w:val="18"/>
          <w:szCs w:val="18"/>
          <w:b w:val="1"/>
          <w:bCs w:val="1"/>
          <w:i w:val="1"/>
          <w:iCs w:val="1"/>
          <w:color w:val="auto"/>
        </w:rPr>
        <w:t>Level 2</w:t>
      </w:r>
      <w:r>
        <w:rPr>
          <w:rFonts w:ascii="Arial" w:cs="Arial" w:eastAsia="Arial" w:hAnsi="Arial"/>
          <w:sz w:val="18"/>
          <w:szCs w:val="18"/>
          <w:color w:val="auto"/>
        </w:rPr>
        <w:t>—Inputs (other than quoted prices included within Level 1) that are directly observable for the asset or liability or indirectly observable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similar assets or liabilities;</w:t>
      </w:r>
    </w:p>
    <w:p>
      <w:pPr>
        <w:spacing w:after="0" w:line="62" w:lineRule="exact"/>
        <w:rPr>
          <w:sz w:val="20"/>
          <w:szCs w:val="20"/>
          <w:color w:val="auto"/>
        </w:rPr>
      </w:pPr>
    </w:p>
    <w:p>
      <w:pPr>
        <w:ind w:left="1260" w:right="180" w:hanging="706"/>
        <w:spacing w:after="0" w:line="277" w:lineRule="auto"/>
        <w:rPr>
          <w:sz w:val="20"/>
          <w:szCs w:val="20"/>
          <w:color w:val="auto"/>
        </w:rPr>
      </w:pPr>
      <w:r>
        <w:rPr>
          <w:rFonts w:ascii="Arial" w:cs="Arial" w:eastAsia="Arial" w:hAnsi="Arial"/>
          <w:sz w:val="18"/>
          <w:szCs w:val="18"/>
          <w:b w:val="1"/>
          <w:bCs w:val="1"/>
          <w:i w:val="1"/>
          <w:iCs w:val="1"/>
          <w:color w:val="auto"/>
        </w:rPr>
        <w:t>Level 3</w:t>
      </w:r>
      <w:r>
        <w:rPr>
          <w:rFonts w:ascii="Arial" w:cs="Arial" w:eastAsia="Arial" w:hAnsi="Arial"/>
          <w:sz w:val="18"/>
          <w:szCs w:val="18"/>
          <w:color w:val="auto"/>
        </w:rPr>
        <w:t>—Unobservable inputs that are supported by little or no market activity and that are significant to determining the fair value of the assets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liabilities.</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8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Company’s cash and cash equivalents, prepaid expenses and other current assets, accounts payable and accrued expenses and other current liabilities approximate their fair value due to their short-term nature.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Financial instruments, which potentially subject the Company to concentration of risk, consist principally of cash, cash equivalents and marketable securities. All of the Company’s cash, cash equivalents and marketable securities are invested through banks and other accredited financial institutions in the United States. Such amounts may exceed federally insured limits. The Company has not experienced any losses on its deposits of cash and cash equivalents.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The Company is subject to certain risks similar to that of other early-stage biopharmaceutical companies, including, but not limited to, the ability to obtain future financing, possible failure of future clinical trials, the need to obtain regulatory approvals for its product candidates, the need to successfully commercialize and gain market acceptance of the Company’s product candidates, competitive developments, protection of the proprietary technology, the ability to make milestone, royalty or other payments due under licensing agreements, and the Company’s ability to attract and retain employees necessary to support its growth.</w:t>
      </w:r>
    </w:p>
    <w:p>
      <w:pPr>
        <w:spacing w:after="0" w:line="188"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ongoing COVID-19 pandemic has disrupted and may continue to disrupt the Company’s business and delay its programs and timelines. The Company does not yet know the full extent of potential delays to its preclinical trials, which could prevent or delay the Company from initiating clinical trials and obtaining approval for its product candidates. The extent to which the COVID-19 pandemic may impact the Company’s future operating results and financial condition is uncertain.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Segment Information and Geographical Information</w:t>
      </w:r>
    </w:p>
    <w:p>
      <w:pPr>
        <w:spacing w:after="0" w:line="117"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The Company has one operating segment and one reportable segment, which is the business of developing treatments that address heart failure. The Company’s chief operating decision maker, its Chief Executive Officer, reviews financial information on an aggregate basis for the purpose of allocating resources and evaluating financial performance. All of the Company’s assets are located in the United States.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on the date of purchase to be cash equivalents. Cash equivalents primarily consist of money market funds, commercial paper and U.S. government agencies bonds that are stated at fair value.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20"/>
          </w:cols>
          <w:pgMar w:left="320" w:top="459" w:right="45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As of December 31, 2019 and 2020, the Company’s restricted cash of $0.4 million and $0.5 million represent security deposits for the Company’s operating leases in South San Francisco, California. The security deposits are in the form of a letter of credit secured by restricted cash.</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Company invests in marketable securities, primarily securities issued by the U.S. government and its agencies as well as commercial paper. All marketable securities have been classified as available-for-sale and are carried at estimated fair value as determined based upon quoted market prices or pricing models for similar securities. Management determines the appropriate classification of its marketable debt securities at the time of purchase and reevaluates such designation at each balance sheet date. Unrealized gains and losses are excluded from earnings and are reported as a component of other comprehensive loss. Realized gains and losses and declines in fair value judged to be other than temporary, if any, on available-for-sale securities are included in other income (expense), net. There are no material realized gains or losses on marketable securities for all periods presented. The cost of securities sold is based on the specific-identification method. Interest earned on marketable securities is included in interest income.</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Property and equipment are stated at cost, less accumulated depreciation. Depreciation is computed using the straight-line method over the estimated useful lives of the assets, generally three to five years. Leasehold improvements are amortized over the shorter of the assets’ expected lives or the remaining lease term. Costs for capital assets not yet placed into service are capitalized as construction in progress and are not depreciated until the asset is placed in service.</w:t>
      </w:r>
    </w:p>
    <w:p>
      <w:pPr>
        <w:spacing w:after="0" w:line="18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Upon retirement or sale, the cost of disposed assets and their related accumulated depreciation are removed from the balance sheets. Any resulting gains or losses on dispositions of property and equipment are included as a component of other income (expense), net, within the Company’s statements of operations and comprehensive loss. Repair and maintenance costs, which are not considered improvements and do not extend the useful life of property and equipment, are expensed as incurred.</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Impairment for Long-Lived Assets</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Long-lived assets, including construction in progress, are reviewed for impairment annually or whenever events or changes in circumstances indicate that the carrying amount of an asset may not be recoverable. Recoverability of assets to be held and used is measured by comparing the carrying amount of an asset to the estimated undiscounted future net cash flows expected to be generated by the asset. If the carrying amount of the asset exceeds its estimated future cash flows, an impairment charge is recognized in the amount by which the carrying amount of the asset exceeds the fair value of the asset. Fair value is determined through various valuation techniques including discounted cash flow models, quoted market values and third-party independent appraisals, as considered necessary. There was no impairment of long-lived assets for any of the periods presented.</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Convertible Preferred Stock Tranche Liability</w:t>
      </w:r>
    </w:p>
    <w:p>
      <w:pPr>
        <w:spacing w:after="0" w:line="117"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The obligation to issue additional shares of the Company’s Series B convertible preferred stock at a fixed price on future dates was determined to be a freestanding financial instrument that is accounted for as a liability. On issuance, the Company recorded the convertible preferred stock tranche liability on the balance sheet at its estimated fair value. The liability is subject to remeasurement at each balance sheet date, with changes in fair value recognized as a gain or loss on remeasurement as a component of other income (expense), net in the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20"/>
          </w:cols>
          <w:pgMar w:left="320" w:top="459" w:right="45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color w:val="auto"/>
        </w:rPr>
        <w:t>statements of operations and comprehensive loss until settlement or extinguishment. The convertible preferred stock tranche liability was settled upon the second and third closings of the Company’s Series B convertible preferred stock in March and August 2020, respectively.</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The Company records rent expense on a straight-line basis over the life of the lease from the date that it obtains the legal right to use and control the leased space. In cases where there is a free rent period or future fixed rent escalations, the Company records a deferred rent liability. Deferred rent consists of the difference between cash payments and the rent expense recognized.</w:t>
      </w:r>
    </w:p>
    <w:p>
      <w:pPr>
        <w:spacing w:after="0" w:line="18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As part of its lease agreements, the Company receives tenant improvement allowances from landlords. The Company recognizes these allowances as a leasehold incentive obligation, included in deferred rent and other lease liabilities, and amortizes allowances on a straight-line basis over the life of the lease. Allowances which contractually are not required to be paid back to the landlord, are amortized as a reduction to rent expense. Allowances which contractually are required to be paid back to the landlord are amortized over the life of the lease with a portion of the payment decreasing the allowance balance and recorded as an increase to rent expense.</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Research and development (R&amp;D) costs are expensed as incurred. Research and development costs include, among others, consulting fees, salaries, benefits, travel, stock-based compensation, laboratory supplies and other non-capital equipment utilized for in-house research, allocated facilities and overhead costs, amounts owed under licensing agreements, amounts paid to contract research organizations (CRO) that conduct research and development activities on the Company’s behalf and costs related to compliance with regulatory requirements.</w:t>
      </w:r>
    </w:p>
    <w:p>
      <w:pPr>
        <w:spacing w:after="0" w:line="171"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auto"/>
        </w:rPr>
        <w:t>Goods or services incurred for research and development activities that have not yet been invoiced are recorded as liabilities within accrued expenses and other current liabilities on the Company’s balance sheets. Amounts recorded for unbilled services often represent estimates, which are typically based on contracted amounts for the proportion of work performed and determined through analysis with internal personnel and external service providers as to the progress or stage of completion of the associated services. The Company makes judgments and estimates in determining the accrued and other current liabilities balance. If the actual timing of the performance of services or the level of effort varies from the estimate, the Company adjusts accrued expenses or prepaid expenses accordingly, which impact research and development expenses. The Company has not experienced any material differences between accrued costs and actual costs incurred. Changes in these estimates that result in material changes to the Company’s accrued costs could materially affect the Company’s results of operations.</w:t>
      </w:r>
    </w:p>
    <w:p>
      <w:pPr>
        <w:spacing w:after="0" w:line="17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Company has and may continue to acquire the rights to licensed technology that represents in-process research and development to use and develop in the commercialization of new product candidates. The upfront payments made to acquire licenses, product or rights, or payments made related to future milestone payments are recognized as research and development expenses provided that there is no alternative future use of the rights in other research and development projects, up to the point of regulatory approval. Milestone payments are expensed when the specific milestone has been achieved.</w:t>
      </w:r>
    </w:p>
    <w:p>
      <w:pPr>
        <w:spacing w:after="0" w:line="188"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Non-refundable advance payments for goods or services to be rendered as part of future research and development activities are capitalized on the Company’s balance sheets until the goods or services are received.</w:t>
      </w:r>
    </w:p>
    <w:p>
      <w:pPr>
        <w:spacing w:after="0" w:line="170"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Classification between prepaid expenses and other current assets and other non-current assets is based on an evaluation of when the goods will be delivered and/or services will be performed, with such amounts subsequently amortized to expense once incurred.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59" w:right="45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Company measures and records expense related to all equity awards granted to employees and non-employees in the statements of operations and comprehensive loss based on their grant date fair values, including stock options and restricted stock awards. For stock-based awards that vest subject to the satisfaction of a service requirement, the expense is recognized using the straight-line method over the requisite service period, which is generally the vesting period. Forfeitures are recognized as they occur.</w:t>
      </w:r>
    </w:p>
    <w:p>
      <w:pPr>
        <w:spacing w:after="0" w:line="18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For purposes of determining the estimated fair value of options granted to employees and nonemployees, the Company uses the Black-Scholes option pricing model.</w:t>
      </w:r>
    </w:p>
    <w:p>
      <w:pPr>
        <w:spacing w:after="0" w:line="17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fair value of restricted stock awards is determined on the date of grant based on the estimated fair value of the Company’s common stock on that date.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Company accounts for income taxes using the asset and liability method.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w:t>
      </w:r>
    </w:p>
    <w:p>
      <w:pPr>
        <w:spacing w:after="0" w:line="18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 valuation allowance is recorded for deferred tax assets if it is more likely than not that some portion or all of the deferred tax assets will not be realized. In evaluating the ability to recover its deferred income tax assets, the Company considers all available positive and negative evidence, including its operating results, ongoing tax planning and forecasts of future taxable income on a jurisdiction-by-jurisdiction basis. In the event the Company determines that it would be able to realize its deferred income tax assets in the future in excess of their net recorded amount, it would make an adjustment to the valuation allowance that would reduce the provision for income taxes. Conversely, in the event that all or part of the net deferred tax assets are determined not to be realizable in the future, an adjustment to the valuation allowance would be charged to earnings in the period when such determination is made. As of December 31, 2019 and 2020, the Company has recorded a full valuation allowance on its net deferred tax assets.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Tax benefits related to uncertain tax positions are recognized when it is more likely than not that a tax position will be sustained during an audit.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Interest and penalties, if any, related to unrecognized tax benefits are included within the provision for income tax.</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left="120" w:right="320" w:firstLine="440"/>
        <w:spacing w:after="0" w:line="257" w:lineRule="auto"/>
        <w:rPr>
          <w:sz w:val="20"/>
          <w:szCs w:val="20"/>
          <w:color w:val="auto"/>
        </w:rPr>
      </w:pPr>
      <w:r>
        <w:rPr>
          <w:rFonts w:ascii="Arial" w:cs="Arial" w:eastAsia="Arial" w:hAnsi="Arial"/>
          <w:sz w:val="18"/>
          <w:szCs w:val="18"/>
          <w:color w:val="auto"/>
        </w:rPr>
        <w:t>Basic net loss per share is calculated by dividing the net loss by the weighted-average number of shares of the Company’s common stock outstanding for the period, without consideration for potential dilutive shares of common stock. As the Company is in a loss position for the periods presented, diluted net loss per share is the same as basic net loss per share, since the effects of potentially dilutive securities are antidilutive. Shares related to early exercised stock options and restricted stock that are subject to repurchase are excluded from the basic and diluted net loss per share calculation until the Company’s repurchase right lapses.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Comprehensive loss includes net loss and certain changes in stockholders’ deficit that are excluded from net loss. The Company’s comprehensive loss is comprised of unrealized gains and losses on the Company’s marketable securities, which were immaterial for all periods presented. Accordingly, comprehensive loss is the same as net loss.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080"/>
          </w:cols>
          <w:pgMar w:left="320" w:top="459" w:right="49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17"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(a) is no longer an emerging growth company or (b)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 xml:space="preserve">On January 1, 2019, the Company adopted Financial Accounting Standards Board (FASB) Accounting Standards Update (ASU) No. 2016-18, </w:t>
      </w:r>
      <w:r>
        <w:rPr>
          <w:rFonts w:ascii="Arial" w:cs="Arial" w:eastAsia="Arial" w:hAnsi="Arial"/>
          <w:sz w:val="18"/>
          <w:szCs w:val="18"/>
          <w:i w:val="1"/>
          <w:iCs w:val="1"/>
          <w:color w:val="auto"/>
        </w:rPr>
        <w:t xml:space="preserve">Statement of Cash Flows </w:t>
      </w:r>
      <w:r>
        <w:rPr>
          <w:rFonts w:ascii="Arial" w:cs="Arial" w:eastAsia="Arial" w:hAnsi="Arial"/>
          <w:sz w:val="18"/>
          <w:szCs w:val="18"/>
          <w:color w:val="auto"/>
        </w:rPr>
        <w:t>(Topic 230)—Restricted Cash (ASU 2016-18). This standard requires amounts generally described as restricted cash and</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cash equivalents to be included with cash and cash equivalents when reconciling beginning-of-period and end-of-period total amounts shown on the statements of cash flows. The provisions of ASU 2016-18 are applied retrospectively. The adoption of this standard did not have a material impact on the Company’s financial statements.</w:t>
      </w:r>
    </w:p>
    <w:p>
      <w:pPr>
        <w:spacing w:after="0" w:line="188" w:lineRule="exact"/>
        <w:rPr>
          <w:sz w:val="20"/>
          <w:szCs w:val="20"/>
          <w:color w:val="auto"/>
        </w:rPr>
      </w:pPr>
    </w:p>
    <w:p>
      <w:pPr>
        <w:ind w:left="120" w:right="360" w:firstLine="440"/>
        <w:spacing w:after="0" w:line="301" w:lineRule="auto"/>
        <w:rPr>
          <w:sz w:val="20"/>
          <w:szCs w:val="20"/>
          <w:color w:val="auto"/>
        </w:rPr>
      </w:pPr>
      <w:r>
        <w:rPr>
          <w:rFonts w:ascii="Arial" w:cs="Arial" w:eastAsia="Arial" w:hAnsi="Arial"/>
          <w:sz w:val="16"/>
          <w:szCs w:val="16"/>
          <w:color w:val="auto"/>
        </w:rPr>
        <w:t xml:space="preserve">On January 1, 2019, the Company early adopted FASB ASU No. 2018-07, </w:t>
      </w:r>
      <w:r>
        <w:rPr>
          <w:rFonts w:ascii="Arial" w:cs="Arial" w:eastAsia="Arial" w:hAnsi="Arial"/>
          <w:sz w:val="16"/>
          <w:szCs w:val="16"/>
          <w:i w:val="1"/>
          <w:iCs w:val="1"/>
          <w:color w:val="auto"/>
        </w:rPr>
        <w:t>Compensation-Stock Compensation (Topic 718): Improvements to</w:t>
      </w:r>
      <w:r>
        <w:rPr>
          <w:rFonts w:ascii="Arial" w:cs="Arial" w:eastAsia="Arial" w:hAnsi="Arial"/>
          <w:sz w:val="16"/>
          <w:szCs w:val="16"/>
          <w:color w:val="auto"/>
        </w:rPr>
        <w:t xml:space="preserve"> </w:t>
      </w:r>
      <w:r>
        <w:rPr>
          <w:rFonts w:ascii="Arial" w:cs="Arial" w:eastAsia="Arial" w:hAnsi="Arial"/>
          <w:sz w:val="16"/>
          <w:szCs w:val="16"/>
          <w:i w:val="1"/>
          <w:iCs w:val="1"/>
          <w:color w:val="auto"/>
        </w:rPr>
        <w:t>Nonemployee Share-Based Payment Accounting</w:t>
      </w:r>
      <w:r>
        <w:rPr>
          <w:rFonts w:ascii="Arial" w:cs="Arial" w:eastAsia="Arial" w:hAnsi="Arial"/>
          <w:sz w:val="16"/>
          <w:szCs w:val="16"/>
          <w:color w:val="auto"/>
        </w:rPr>
        <w:t>. This standard simplifies several aspects of the accounting for nonemployee share-based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resulting from expanding the scope of Topic 718 to include share-based payment transactions for acquiring goods and services from nonemployees. The adoption of this standard did not have a material impact on the Company’s financial statements.</w:t>
      </w:r>
    </w:p>
    <w:p>
      <w:pPr>
        <w:spacing w:after="0" w:line="157"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 xml:space="preserve">On January 1, 2020, the Company adopted FASB ASU No. 2018-13, </w:t>
      </w:r>
      <w:r>
        <w:rPr>
          <w:rFonts w:ascii="Arial" w:cs="Arial" w:eastAsia="Arial" w:hAnsi="Arial"/>
          <w:sz w:val="17"/>
          <w:szCs w:val="17"/>
          <w:i w:val="1"/>
          <w:iCs w:val="1"/>
          <w:color w:val="auto"/>
        </w:rPr>
        <w:t>Fair Value Measurement (Topic 820): Disclosure Framework—Changes to</w:t>
      </w:r>
      <w:r>
        <w:rPr>
          <w:rFonts w:ascii="Arial" w:cs="Arial" w:eastAsia="Arial" w:hAnsi="Arial"/>
          <w:sz w:val="17"/>
          <w:szCs w:val="17"/>
          <w:color w:val="auto"/>
        </w:rPr>
        <w:t xml:space="preserve"> </w:t>
      </w:r>
      <w:r>
        <w:rPr>
          <w:rFonts w:ascii="Arial" w:cs="Arial" w:eastAsia="Arial" w:hAnsi="Arial"/>
          <w:sz w:val="17"/>
          <w:szCs w:val="17"/>
          <w:i w:val="1"/>
          <w:iCs w:val="1"/>
          <w:color w:val="auto"/>
        </w:rPr>
        <w:t>the Disclosure Requirements for Fair Value Measurement</w:t>
      </w:r>
      <w:r>
        <w:rPr>
          <w:rFonts w:ascii="Arial" w:cs="Arial" w:eastAsia="Arial" w:hAnsi="Arial"/>
          <w:sz w:val="17"/>
          <w:szCs w:val="17"/>
          <w:color w:val="auto"/>
        </w:rPr>
        <w:t>. This standard eliminates, modifies and adds disclosure requirements for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measurements. The Company adopted the removed and modified disclosures on a retrospective basis and the new disclosures on a prospective basis. The adoption of this standard did not have a material impact on the Company’s financial statements.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1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 amended, which requires lessees to recognize operating and financing lease liabilities and corresponding right-of-use assets on the balance sheet for all leases with lease terms of more than twelve months. In July 2018, the FASB issued ASU No. 2018-11, </w:t>
      </w:r>
      <w:r>
        <w:rPr>
          <w:rFonts w:ascii="Arial" w:cs="Arial" w:eastAsia="Arial" w:hAnsi="Arial"/>
          <w:sz w:val="17"/>
          <w:szCs w:val="17"/>
          <w:i w:val="1"/>
          <w:iCs w:val="1"/>
          <w:color w:val="auto"/>
        </w:rPr>
        <w:t>Leases, Targeted Improvements (Topic 842)</w:t>
      </w:r>
      <w:r>
        <w:rPr>
          <w:rFonts w:ascii="Arial" w:cs="Arial" w:eastAsia="Arial" w:hAnsi="Arial"/>
          <w:sz w:val="17"/>
          <w:szCs w:val="17"/>
          <w:color w:val="auto"/>
        </w:rPr>
        <w:t>, an update which provides an alternative transition method, in addition to the existing modified retrospective transition method, by allowing entities to initially apply the new lease standard at the adoption date and recognize a cumulative-effect adjustment to the opening balance of retained earnings in the period of adoption. As an emerging growth company, these new lease standards are effective for the Company for fiscal year beginning January 1, 2022, with early adoption permitted. The Company is evaluating the impact of this standard on its financial statements.</w:t>
      </w:r>
    </w:p>
    <w:p>
      <w:pPr>
        <w:spacing w:after="0" w:line="17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(ASU 2016-13), which replaces the existing incurred loss impairment model with an expected credit loss model. This standard will require</w:t>
      </w:r>
      <w:r>
        <w:rPr>
          <w:rFonts w:ascii="Arial" w:cs="Arial" w:eastAsia="Arial" w:hAnsi="Arial"/>
          <w:sz w:val="17"/>
          <w:szCs w:val="17"/>
          <w:i w:val="1"/>
          <w:iCs w:val="1"/>
          <w:color w:val="auto"/>
        </w:rPr>
        <w:t xml:space="preserve"> </w:t>
      </w:r>
      <w:r>
        <w:rPr>
          <w:rFonts w:ascii="Arial" w:cs="Arial" w:eastAsia="Arial" w:hAnsi="Arial"/>
          <w:sz w:val="17"/>
          <w:szCs w:val="17"/>
          <w:color w:val="auto"/>
        </w:rPr>
        <w:t>companies to recognize an allowance for credit losses on available-for-sale debt securities rather than the current approach of recording a reduction to the carrying value of the asset. As an emerging growth company, ASU 2016-13 is effective for the Company for fiscal year beginning January 1, 2023. The Company is evaluating the impact of this standard on its financial statements.</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080"/>
          </w:cols>
          <w:pgMar w:left="320" w:top="459" w:right="49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 which is intended to simplify the accounting for income taxes. This standard eliminates certain exceptions to the approach for intra period tax allocation, the methodology for calculating income taxes in an interim period and the recognition of deferred tax liabilities for outside basis differences. As an emerging growth company, ASU 2019-12 is effective for the Company for fiscal year beginning January 1, 2022. The Company is evaluating the impact of this standard on its financial statements.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Financial assets and liabilities are recognized at fair value on a recurring basis. The following table summarize the Company’s financial assets and liabilities measured at fair value on a recurring basis by level within the fair value hierarchy:</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1"/>
              </w:rPr>
              <w:t>Valuation</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1"/>
              </w:rPr>
              <w:t>December 31, 2019</w:t>
            </w: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9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900" w:type="dxa"/>
            <w:vAlign w:val="bottom"/>
            <w:gridSpan w:val="4"/>
          </w:tcPr>
          <w:p>
            <w:pPr>
              <w:jc w:val="center"/>
              <w:ind w:right="160"/>
              <w:spacing w:after="0" w:line="119" w:lineRule="exact"/>
              <w:rPr>
                <w:sz w:val="20"/>
                <w:szCs w:val="20"/>
                <w:color w:val="auto"/>
              </w:rPr>
            </w:pPr>
            <w:r>
              <w:rPr>
                <w:rFonts w:ascii="Arial" w:cs="Arial" w:eastAsia="Arial" w:hAnsi="Arial"/>
                <w:sz w:val="13"/>
                <w:szCs w:val="13"/>
                <w:b w:val="1"/>
                <w:bCs w:val="1"/>
                <w:color w:val="auto"/>
              </w:rPr>
              <w:t>Amortized</w:t>
            </w:r>
          </w:p>
        </w:tc>
        <w:tc>
          <w:tcPr>
            <w:tcW w:w="6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420" w:type="dxa"/>
            <w:vAlign w:val="bottom"/>
          </w:tcPr>
          <w:p>
            <w:pPr>
              <w:spacing w:after="0"/>
              <w:rPr>
                <w:sz w:val="10"/>
                <w:szCs w:val="10"/>
                <w:color w:val="auto"/>
              </w:rPr>
            </w:pPr>
          </w:p>
        </w:tc>
        <w:tc>
          <w:tcPr>
            <w:tcW w:w="1320" w:type="dxa"/>
            <w:vAlign w:val="bottom"/>
            <w:gridSpan w:val="3"/>
          </w:tcPr>
          <w:p>
            <w:pPr>
              <w:jc w:val="right"/>
              <w:ind w:right="640"/>
              <w:spacing w:after="0" w:line="119" w:lineRule="exact"/>
              <w:rPr>
                <w:sz w:val="20"/>
                <w:szCs w:val="20"/>
                <w:color w:val="auto"/>
              </w:rPr>
            </w:pPr>
            <w:r>
              <w:rPr>
                <w:rFonts w:ascii="Arial" w:cs="Arial" w:eastAsia="Arial" w:hAnsi="Arial"/>
                <w:sz w:val="13"/>
                <w:szCs w:val="13"/>
                <w:b w:val="1"/>
                <w:bCs w:val="1"/>
                <w:color w:val="auto"/>
              </w:rPr>
              <w:t>Unrealized</w:t>
            </w:r>
          </w:p>
        </w:tc>
        <w:tc>
          <w:tcPr>
            <w:tcW w:w="8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2"/>
              </w:rPr>
              <w:t>Hierarchy</w:t>
            </w:r>
          </w:p>
        </w:tc>
        <w:tc>
          <w:tcPr>
            <w:tcW w:w="160" w:type="dxa"/>
            <w:vAlign w:val="bottom"/>
          </w:tcPr>
          <w:p>
            <w:pPr>
              <w:spacing w:after="0"/>
              <w:rPr>
                <w:sz w:val="14"/>
                <w:szCs w:val="14"/>
                <w:color w:val="auto"/>
              </w:rPr>
            </w:pPr>
          </w:p>
        </w:tc>
        <w:tc>
          <w:tcPr>
            <w:tcW w:w="7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Arial" w:cs="Arial" w:eastAsia="Arial" w:hAnsi="Arial"/>
                <w:sz w:val="14"/>
                <w:szCs w:val="14"/>
                <w:b w:val="1"/>
                <w:bCs w:val="1"/>
                <w:color w:val="auto"/>
              </w:rPr>
              <w:t>Gain</w:t>
            </w:r>
          </w:p>
        </w:tc>
        <w:tc>
          <w:tcPr>
            <w:tcW w:w="4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Arial" w:cs="Arial" w:eastAsia="Arial" w:hAnsi="Arial"/>
                <w:sz w:val="18"/>
                <w:szCs w:val="18"/>
                <w:b w:val="1"/>
                <w:bCs w:val="1"/>
                <w:color w:val="auto"/>
              </w:rPr>
              <w:t>Cash equivalents:</w:t>
            </w: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Money market funds</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Level 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19,373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19,373</w:t>
            </w: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Arial" w:cs="Arial" w:eastAsia="Arial" w:hAnsi="Arial"/>
                <w:sz w:val="18"/>
                <w:szCs w:val="18"/>
                <w:color w:val="auto"/>
              </w:rPr>
              <w:t>Commercial paper</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Level 2</w:t>
            </w: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2,499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360"/>
              <w:spacing w:after="0"/>
              <w:rPr>
                <w:sz w:val="20"/>
                <w:szCs w:val="20"/>
                <w:color w:val="auto"/>
              </w:rPr>
            </w:pPr>
            <w:r>
              <w:rPr>
                <w:rFonts w:ascii="Arial" w:cs="Arial" w:eastAsia="Arial" w:hAnsi="Arial"/>
                <w:sz w:val="18"/>
                <w:szCs w:val="18"/>
                <w:color w:val="auto"/>
                <w:w w:val="88"/>
              </w:rPr>
              <w:t>—</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gridSpan w:val="2"/>
          </w:tcPr>
          <w:p>
            <w:pPr>
              <w:jc w:val="right"/>
              <w:ind w:right="64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2,499</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Government agencies bonds</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Level 2</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Arial" w:cs="Arial" w:eastAsia="Arial" w:hAnsi="Arial"/>
                <w:sz w:val="18"/>
                <w:szCs w:val="18"/>
                <w:b w:val="1"/>
                <w:bCs w:val="1"/>
                <w:color w:val="auto"/>
              </w:rPr>
              <w:t>Marketable securities:</w:t>
            </w: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treasuries</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Level 1</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2,753</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Total financial assets</w:t>
            </w: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25,626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8"/>
              </w:rPr>
              <w:t>—</w:t>
            </w:r>
          </w:p>
        </w:tc>
        <w:tc>
          <w:tcPr>
            <w:tcW w:w="4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ind w:right="32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25,626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Arial" w:cs="Arial" w:eastAsia="Arial" w:hAnsi="Arial"/>
                <w:sz w:val="18"/>
                <w:szCs w:val="18"/>
                <w:color w:val="auto"/>
              </w:rPr>
              <w:t>Convertible preferred stock tranche liability</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Level 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786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ind w:left="360"/>
              <w:spacing w:after="0"/>
              <w:rPr>
                <w:sz w:val="20"/>
                <w:szCs w:val="20"/>
                <w:color w:val="auto"/>
              </w:rPr>
            </w:pPr>
            <w:r>
              <w:rPr>
                <w:rFonts w:ascii="Arial" w:cs="Arial" w:eastAsia="Arial" w:hAnsi="Arial"/>
                <w:sz w:val="18"/>
                <w:szCs w:val="18"/>
                <w:color w:val="auto"/>
                <w:w w:val="88"/>
              </w:rPr>
              <w:t>—</w:t>
            </w:r>
          </w:p>
        </w:tc>
        <w:tc>
          <w:tcPr>
            <w:tcW w:w="420" w:type="dxa"/>
            <w:vAlign w:val="bottom"/>
          </w:tcPr>
          <w:p>
            <w:pPr>
              <w:spacing w:after="0"/>
              <w:rPr>
                <w:sz w:val="18"/>
                <w:szCs w:val="18"/>
                <w:color w:val="auto"/>
              </w:rPr>
            </w:pPr>
          </w:p>
        </w:tc>
        <w:tc>
          <w:tcPr>
            <w:tcW w:w="500" w:type="dxa"/>
            <w:vAlign w:val="bottom"/>
          </w:tcPr>
          <w:p>
            <w:pPr>
              <w:jc w:val="center"/>
              <w:ind w:right="3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640"/>
              <w:spacing w:after="0"/>
              <w:rPr>
                <w:sz w:val="20"/>
                <w:szCs w:val="20"/>
                <w:color w:val="auto"/>
              </w:rPr>
            </w:pPr>
            <w:r>
              <w:rPr>
                <w:rFonts w:ascii="Arial" w:cs="Arial" w:eastAsia="Arial" w:hAnsi="Arial"/>
                <w:sz w:val="18"/>
                <w:szCs w:val="18"/>
                <w:color w:val="auto"/>
                <w:w w:val="88"/>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Total financial liabilities</w:t>
            </w: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900" w:type="dxa"/>
            <w:vAlign w:val="bottom"/>
          </w:tcPr>
          <w:p>
            <w:pPr>
              <w:spacing w:after="0"/>
              <w:rPr>
                <w:sz w:val="24"/>
                <w:szCs w:val="24"/>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1"/>
              </w:rPr>
              <w:t>Valuation</w:t>
            </w: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1"/>
              </w:rPr>
              <w:t>December 31, 2020</w:t>
            </w: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9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900" w:type="dxa"/>
            <w:vAlign w:val="bottom"/>
            <w:gridSpan w:val="4"/>
          </w:tcPr>
          <w:p>
            <w:pPr>
              <w:jc w:val="center"/>
              <w:ind w:right="160"/>
              <w:spacing w:after="0" w:line="119" w:lineRule="exact"/>
              <w:rPr>
                <w:sz w:val="20"/>
                <w:szCs w:val="20"/>
                <w:color w:val="auto"/>
              </w:rPr>
            </w:pPr>
            <w:r>
              <w:rPr>
                <w:rFonts w:ascii="Arial" w:cs="Arial" w:eastAsia="Arial" w:hAnsi="Arial"/>
                <w:sz w:val="13"/>
                <w:szCs w:val="13"/>
                <w:b w:val="1"/>
                <w:bCs w:val="1"/>
                <w:color w:val="auto"/>
              </w:rPr>
              <w:t>Amortized</w:t>
            </w:r>
          </w:p>
        </w:tc>
        <w:tc>
          <w:tcPr>
            <w:tcW w:w="6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420" w:type="dxa"/>
            <w:vAlign w:val="bottom"/>
          </w:tcPr>
          <w:p>
            <w:pPr>
              <w:spacing w:after="0"/>
              <w:rPr>
                <w:sz w:val="10"/>
                <w:szCs w:val="10"/>
                <w:color w:val="auto"/>
              </w:rPr>
            </w:pPr>
          </w:p>
        </w:tc>
        <w:tc>
          <w:tcPr>
            <w:tcW w:w="1320" w:type="dxa"/>
            <w:vAlign w:val="bottom"/>
            <w:gridSpan w:val="3"/>
          </w:tcPr>
          <w:p>
            <w:pPr>
              <w:jc w:val="right"/>
              <w:ind w:right="640"/>
              <w:spacing w:after="0" w:line="119" w:lineRule="exact"/>
              <w:rPr>
                <w:sz w:val="20"/>
                <w:szCs w:val="20"/>
                <w:color w:val="auto"/>
              </w:rPr>
            </w:pPr>
            <w:r>
              <w:rPr>
                <w:rFonts w:ascii="Arial" w:cs="Arial" w:eastAsia="Arial" w:hAnsi="Arial"/>
                <w:sz w:val="13"/>
                <w:szCs w:val="13"/>
                <w:b w:val="1"/>
                <w:bCs w:val="1"/>
                <w:color w:val="auto"/>
              </w:rPr>
              <w:t>Unrealized</w:t>
            </w:r>
          </w:p>
        </w:tc>
        <w:tc>
          <w:tcPr>
            <w:tcW w:w="8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2"/>
              </w:rPr>
              <w:t>Hierarchy</w:t>
            </w:r>
          </w:p>
        </w:tc>
        <w:tc>
          <w:tcPr>
            <w:tcW w:w="160" w:type="dxa"/>
            <w:vAlign w:val="bottom"/>
          </w:tcPr>
          <w:p>
            <w:pPr>
              <w:spacing w:after="0"/>
              <w:rPr>
                <w:sz w:val="14"/>
                <w:szCs w:val="14"/>
                <w:color w:val="auto"/>
              </w:rPr>
            </w:pPr>
          </w:p>
        </w:tc>
        <w:tc>
          <w:tcPr>
            <w:tcW w:w="7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Arial" w:cs="Arial" w:eastAsia="Arial" w:hAnsi="Arial"/>
                <w:sz w:val="14"/>
                <w:szCs w:val="14"/>
                <w:b w:val="1"/>
                <w:bCs w:val="1"/>
                <w:color w:val="auto"/>
              </w:rPr>
              <w:t>Gain</w:t>
            </w:r>
          </w:p>
        </w:tc>
        <w:tc>
          <w:tcPr>
            <w:tcW w:w="4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Arial" w:cs="Arial" w:eastAsia="Arial" w:hAnsi="Arial"/>
                <w:sz w:val="18"/>
                <w:szCs w:val="18"/>
                <w:b w:val="1"/>
                <w:bCs w:val="1"/>
                <w:color w:val="auto"/>
              </w:rPr>
              <w:t>Cash equivalents:</w:t>
            </w: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Money market funds</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Level 1</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$ 127,535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9"/>
              </w:rPr>
              <w:t>$ 127,535</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Total financial assets</w:t>
            </w: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$ 127,535</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8"/>
              </w:rPr>
              <w:t>—</w:t>
            </w:r>
          </w:p>
        </w:tc>
        <w:tc>
          <w:tcPr>
            <w:tcW w:w="4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ind w:right="32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64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$ 127,535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Money market funds and U.S. treasuries are classified as Level 1 because they are valued using quoted market prices in active markets for identical assets. Financial instruments classified within Level 2 of the fair value hierarchy are valued based on the observable inputs or can be derived from non-binding quotes from its investment managers, which are based on proprietary valuation models of independent pricing services. These models generally use inputs such as observable market data, quoted market prices for similar instruments, or historical pricing trends of a security relative to its peers.</w:t>
      </w:r>
    </w:p>
    <w:p>
      <w:pPr>
        <w:spacing w:after="0" w:line="188"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There were no unrealized losses as of December 31, 2019 and 2020. All available-for-sale marketable securities held as of December 31, 2019 had contractual maturities of less than one year. There were no available-for-sale marketable securities as of December 31, 2020.</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40"/>
          </w:cols>
          <w:pgMar w:left="320" w:top="459" w:right="43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Convertible Preferred Stock Tranche Liability</w:t>
      </w:r>
    </w:p>
    <w:p>
      <w:pPr>
        <w:spacing w:after="0" w:line="11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The Company’s convertible preferred stock tranche liability (see Note 7) was determined based on significant inputs not observable in the market, which represents a Level 3 measurement within the fair value hierarchy. Fair value was calculated using an option pricing model that required significant unobservable inputs supported by little or no market activity. The convertible preferred stock tranche liability is considered a non-contingent forward and the standard forward pricing (SFP) model was used with the following key assumptions: (a) calculation of an expected term and (b) a risk-free interest rate. On the second and third closings of the Company’s Series B convertible preferred stock financings in March and August 2020, the convertible preferred stock tranche liability was settled and reclassified to Series B convertible preferred stock. Accordingly, there is no convertible preferred stock tranche liability as of December 31, 2020.</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summarizes the significant unobservable assumptions used to value the convertible preferred stock tranche liability as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2019 and August 24, 2020, the date immediately before the settlement of the tranche liability:</w:t>
      </w:r>
    </w:p>
    <w:p>
      <w:pPr>
        <w:spacing w:after="0" w:line="229" w:lineRule="exact"/>
        <w:rPr>
          <w:sz w:val="20"/>
          <w:szCs w:val="20"/>
          <w:color w:val="auto"/>
        </w:rPr>
      </w:pPr>
    </w:p>
    <w:tbl>
      <w:tblPr>
        <w:tblLayout w:type="fixed"/>
        <w:tblInd w:w="150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Pr>
          <w:p>
            <w:pPr>
              <w:ind w:left="20"/>
              <w:spacing w:after="0"/>
              <w:rPr>
                <w:sz w:val="20"/>
                <w:szCs w:val="20"/>
                <w:color w:val="auto"/>
              </w:rPr>
            </w:pPr>
            <w:r>
              <w:rPr>
                <w:rFonts w:ascii="Arial" w:cs="Arial" w:eastAsia="Arial" w:hAnsi="Arial"/>
                <w:sz w:val="14"/>
                <w:szCs w:val="14"/>
                <w:b w:val="1"/>
                <w:bCs w:val="1"/>
                <w:color w:val="auto"/>
                <w:w w:val="94"/>
              </w:rPr>
              <w:t>August 24,</w:t>
            </w:r>
          </w:p>
        </w:tc>
      </w:tr>
      <w:tr>
        <w:trPr>
          <w:trHeight w:val="142"/>
        </w:trPr>
        <w:tc>
          <w:tcPr>
            <w:tcW w:w="634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32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2020</w:t>
            </w:r>
          </w:p>
        </w:tc>
      </w:tr>
      <w:tr>
        <w:trPr>
          <w:trHeight w:val="209"/>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Term to Valuation Date (in years)</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0.25 – 0.75</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0.00</w:t>
            </w: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Discount Rate</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5.00%</w:t>
            </w:r>
          </w:p>
        </w:tc>
        <w:tc>
          <w:tcPr>
            <w:tcW w:w="32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5.00%</w:t>
            </w:r>
          </w:p>
        </w:tc>
      </w:tr>
    </w:tbl>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following table summarizes the changes in the estimated fair value of the Company’s convertible preferred stock tranche liability measured on a recurring basis using significant Level 3 inputs: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8"/>
              </w:rPr>
              <w:t>December 31,</w:t>
            </w: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  —</w:t>
            </w:r>
          </w:p>
        </w:tc>
        <w:tc>
          <w:tcPr>
            <w:tcW w:w="5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6260" w:type="dxa"/>
            <w:vAlign w:val="bottom"/>
          </w:tcPr>
          <w:p>
            <w:pPr>
              <w:ind w:left="360"/>
              <w:spacing w:after="0" w:line="201" w:lineRule="exact"/>
              <w:rPr>
                <w:sz w:val="20"/>
                <w:szCs w:val="20"/>
                <w:color w:val="auto"/>
              </w:rPr>
            </w:pPr>
            <w:r>
              <w:rPr>
                <w:rFonts w:ascii="Arial" w:cs="Arial" w:eastAsia="Arial" w:hAnsi="Arial"/>
                <w:sz w:val="18"/>
                <w:szCs w:val="18"/>
                <w:color w:val="auto"/>
              </w:rPr>
              <w:t>Recognition of convertible preferred stock tranche liability upon the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6260" w:type="dxa"/>
            <w:vAlign w:val="bottom"/>
          </w:tcPr>
          <w:p>
            <w:pPr>
              <w:ind w:left="540"/>
              <w:spacing w:after="0"/>
              <w:rPr>
                <w:sz w:val="20"/>
                <w:szCs w:val="20"/>
                <w:color w:val="auto"/>
              </w:rPr>
            </w:pPr>
            <w:r>
              <w:rPr>
                <w:rFonts w:ascii="Arial" w:cs="Arial" w:eastAsia="Arial" w:hAnsi="Arial"/>
                <w:sz w:val="18"/>
                <w:szCs w:val="18"/>
                <w:color w:val="auto"/>
              </w:rPr>
              <w:t>issuance of Series B convertible preferred stock</w:t>
            </w:r>
          </w:p>
        </w:tc>
        <w:tc>
          <w:tcPr>
            <w:tcW w:w="100" w:type="dxa"/>
            <w:vAlign w:val="bottom"/>
          </w:tcPr>
          <w:p>
            <w:pPr>
              <w:spacing w:after="0"/>
              <w:rPr>
                <w:sz w:val="20"/>
                <w:szCs w:val="20"/>
                <w:color w:val="auto"/>
              </w:rPr>
            </w:pPr>
          </w:p>
        </w:tc>
        <w:tc>
          <w:tcPr>
            <w:tcW w:w="860" w:type="dxa"/>
            <w:vAlign w:val="bottom"/>
            <w:gridSpan w:val="3"/>
          </w:tcPr>
          <w:p>
            <w:pPr>
              <w:jc w:val="right"/>
              <w:ind w:right="268"/>
              <w:spacing w:after="0"/>
              <w:rPr>
                <w:sz w:val="20"/>
                <w:szCs w:val="20"/>
                <w:color w:val="auto"/>
              </w:rPr>
            </w:pPr>
            <w:r>
              <w:rPr>
                <w:rFonts w:ascii="Arial" w:cs="Arial" w:eastAsia="Arial" w:hAnsi="Arial"/>
                <w:sz w:val="18"/>
                <w:szCs w:val="18"/>
                <w:color w:val="auto"/>
              </w:rPr>
              <w:t>797</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upon remeasurement</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6260" w:type="dxa"/>
            <w:vAlign w:val="bottom"/>
          </w:tcPr>
          <w:p>
            <w:pPr>
              <w:ind w:left="360"/>
              <w:spacing w:after="0" w:line="201" w:lineRule="exact"/>
              <w:rPr>
                <w:sz w:val="20"/>
                <w:szCs w:val="20"/>
                <w:color w:val="auto"/>
              </w:rPr>
            </w:pPr>
            <w:r>
              <w:rPr>
                <w:rFonts w:ascii="Arial" w:cs="Arial" w:eastAsia="Arial" w:hAnsi="Arial"/>
                <w:sz w:val="18"/>
                <w:szCs w:val="18"/>
                <w:color w:val="auto"/>
              </w:rPr>
              <w:t>Settlement of convertible preferred stock tranche liability on second and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6260" w:type="dxa"/>
            <w:vAlign w:val="bottom"/>
          </w:tcPr>
          <w:p>
            <w:pPr>
              <w:ind w:left="540"/>
              <w:spacing w:after="0"/>
              <w:rPr>
                <w:sz w:val="20"/>
                <w:szCs w:val="20"/>
                <w:color w:val="auto"/>
              </w:rPr>
            </w:pPr>
            <w:r>
              <w:rPr>
                <w:rFonts w:ascii="Arial" w:cs="Arial" w:eastAsia="Arial" w:hAnsi="Arial"/>
                <w:sz w:val="18"/>
                <w:szCs w:val="18"/>
                <w:color w:val="auto"/>
              </w:rPr>
              <w:t>third closings of the Series B convertible preferred stock</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(711)</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right w:val="single" w:sz="8" w:color="auto"/>
            </w:tcBorders>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$ 786</w:t>
            </w:r>
          </w:p>
        </w:tc>
        <w:tc>
          <w:tcPr>
            <w:tcW w:w="5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Balance Sheet Components</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6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40" w:type="dxa"/>
            <w:vAlign w:val="bottom"/>
            <w:gridSpan w:val="2"/>
          </w:tcPr>
          <w:p>
            <w:pPr>
              <w:ind w:left="440"/>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40" w:type="dxa"/>
            <w:vAlign w:val="bottom"/>
            <w:gridSpan w:val="2"/>
          </w:tcPr>
          <w:p>
            <w:pPr>
              <w:ind w:left="440"/>
              <w:spacing w:after="0"/>
              <w:rPr>
                <w:sz w:val="20"/>
                <w:szCs w:val="20"/>
                <w:color w:val="auto"/>
              </w:rPr>
            </w:pPr>
            <w:r>
              <w:rPr>
                <w:rFonts w:ascii="Arial" w:cs="Arial" w:eastAsia="Arial" w:hAnsi="Arial"/>
                <w:sz w:val="18"/>
                <w:szCs w:val="18"/>
                <w:color w:val="auto"/>
              </w:rPr>
              <w:t>Property and equipment, net, consists of the following:</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8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tcPr>
          <w:p>
            <w:pPr>
              <w:jc w:val="right"/>
              <w:ind w:right="101"/>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4"/>
          </w:tcPr>
          <w:p>
            <w:pPr>
              <w:ind w:left="46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5"/>
          </w:tcPr>
          <w:p>
            <w:pPr>
              <w:ind w:left="300"/>
              <w:spacing w:after="0" w:line="142" w:lineRule="exact"/>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7,206</w:t>
            </w:r>
          </w:p>
        </w:tc>
        <w:tc>
          <w:tcPr>
            <w:tcW w:w="34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  7,237</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Laboratory equipment</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5,846</w:t>
            </w:r>
          </w:p>
        </w:tc>
        <w:tc>
          <w:tcPr>
            <w:tcW w:w="340" w:type="dxa"/>
            <w:vAlign w:val="bottom"/>
          </w:tcPr>
          <w:p>
            <w:pPr>
              <w:spacing w:after="0"/>
              <w:rPr>
                <w:sz w:val="18"/>
                <w:szCs w:val="18"/>
                <w:color w:val="auto"/>
              </w:rPr>
            </w:pPr>
          </w:p>
        </w:tc>
        <w:tc>
          <w:tcPr>
            <w:tcW w:w="1040" w:type="dxa"/>
            <w:vAlign w:val="bottom"/>
            <w:gridSpan w:val="5"/>
          </w:tcPr>
          <w:p>
            <w:pPr>
              <w:jc w:val="right"/>
              <w:ind w:right="120"/>
              <w:spacing w:after="0"/>
              <w:rPr>
                <w:sz w:val="20"/>
                <w:szCs w:val="20"/>
                <w:color w:val="auto"/>
              </w:rPr>
            </w:pPr>
            <w:r>
              <w:rPr>
                <w:rFonts w:ascii="Arial" w:cs="Arial" w:eastAsia="Arial" w:hAnsi="Arial"/>
                <w:sz w:val="18"/>
                <w:szCs w:val="18"/>
                <w:color w:val="auto"/>
              </w:rPr>
              <w:t>8,182</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237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10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7,678</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260" w:type="dxa"/>
            <w:vAlign w:val="bottom"/>
          </w:tcPr>
          <w:p>
            <w:pPr>
              <w:ind w:left="360"/>
              <w:spacing w:after="0"/>
              <w:rPr>
                <w:sz w:val="20"/>
                <w:szCs w:val="20"/>
                <w:color w:val="auto"/>
              </w:rPr>
            </w:pPr>
            <w:r>
              <w:rPr>
                <w:rFonts w:ascii="Arial" w:cs="Arial" w:eastAsia="Arial" w:hAnsi="Arial"/>
                <w:sz w:val="18"/>
                <w:szCs w:val="18"/>
                <w:color w:val="auto"/>
              </w:rPr>
              <w:t>Total property and equipment</w:t>
            </w: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7"/>
              </w:rPr>
              <w:t>13,808</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23,888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w w:val="94"/>
              </w:rPr>
              <w:t>(4,233)</w:t>
            </w:r>
          </w:p>
        </w:tc>
        <w:tc>
          <w:tcPr>
            <w:tcW w:w="10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(6,703)</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260" w:type="dxa"/>
            <w:vAlign w:val="bottom"/>
          </w:tcPr>
          <w:p>
            <w:pPr>
              <w:ind w:left="360"/>
              <w:spacing w:after="0"/>
              <w:rPr>
                <w:sz w:val="20"/>
                <w:szCs w:val="20"/>
                <w:color w:val="auto"/>
              </w:rPr>
            </w:pPr>
            <w:r>
              <w:rPr>
                <w:rFonts w:ascii="Arial" w:cs="Arial" w:eastAsia="Arial" w:hAnsi="Arial"/>
                <w:sz w:val="18"/>
                <w:szCs w:val="18"/>
                <w:color w:val="auto"/>
              </w:rPr>
              <w:t>Total property and equipment,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9,575</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5"/>
              </w:rPr>
              <w:t>$ 17,185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260" w:type="dxa"/>
            <w:vAlign w:val="bottom"/>
            <w:vMerge w:val="restart"/>
          </w:tcPr>
          <w:p>
            <w:pPr>
              <w:ind w:left="3960"/>
              <w:spacing w:after="0"/>
              <w:rPr>
                <w:sz w:val="20"/>
                <w:szCs w:val="20"/>
                <w:color w:val="auto"/>
              </w:rPr>
            </w:pPr>
            <w:r>
              <w:rPr>
                <w:rFonts w:ascii="Arial" w:cs="Arial" w:eastAsia="Arial" w:hAnsi="Arial"/>
                <w:sz w:val="18"/>
                <w:szCs w:val="18"/>
                <w:color w:val="auto"/>
              </w:rPr>
              <w:t>F-14</w:t>
            </w: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80" w:type="dxa"/>
            <w:vAlign w:val="bottom"/>
          </w:tcPr>
          <w:p>
            <w:pPr>
              <w:spacing w:after="0"/>
              <w:rPr>
                <w:sz w:val="24"/>
                <w:szCs w:val="24"/>
                <w:color w:val="auto"/>
              </w:rPr>
            </w:pPr>
          </w:p>
        </w:tc>
        <w:tc>
          <w:tcPr>
            <w:tcW w:w="6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Depreciation and amortization expense for the years ended December 31, 2019 and 2020 was approximately $2.0 million and $2.5 million. Construction in progress relates to the Company’s manufacturing and office space located in Union City, California (see Note 13), and consists primarily of capitalized machinery and equipment as the Company builds-out its manufacturing facility.</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44" w:lineRule="exact"/>
        <w:rPr>
          <w:sz w:val="20"/>
          <w:szCs w:val="20"/>
          <w:color w:val="auto"/>
        </w:rPr>
      </w:pPr>
    </w:p>
    <w:tbl>
      <w:tblPr>
        <w:tblLayout w:type="fixed"/>
        <w:tblInd w:w="150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r>
      <w:tr>
        <w:trPr>
          <w:trHeight w:val="142"/>
        </w:trPr>
        <w:tc>
          <w:tcPr>
            <w:tcW w:w="6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80" w:type="dxa"/>
            <w:vAlign w:val="bottom"/>
            <w:gridSpan w:val="4"/>
          </w:tcPr>
          <w:p>
            <w:pPr>
              <w:jc w:val="right"/>
              <w:ind w:right="370"/>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related expenses</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$ 1,121</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$ 2,090</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Accrued research and development expenses</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296</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391</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services</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168</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328</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Accrued property and equipment</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59</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231</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315</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121</w:t>
            </w:r>
          </w:p>
        </w:tc>
      </w:tr>
      <w:tr>
        <w:trPr>
          <w:trHeight w:val="223"/>
        </w:trPr>
        <w:tc>
          <w:tcPr>
            <w:tcW w:w="6400" w:type="dxa"/>
            <w:vAlign w:val="bottom"/>
          </w:tcPr>
          <w:p>
            <w:pPr>
              <w:ind w:left="360"/>
              <w:spacing w:after="0"/>
              <w:rPr>
                <w:sz w:val="20"/>
                <w:szCs w:val="20"/>
                <w:color w:val="auto"/>
              </w:rPr>
            </w:pPr>
            <w:r>
              <w:rPr>
                <w:rFonts w:ascii="Arial" w:cs="Arial" w:eastAsia="Arial" w:hAnsi="Arial"/>
                <w:sz w:val="18"/>
                <w:szCs w:val="18"/>
                <w:color w:val="auto"/>
              </w:rPr>
              <w:t>Total accrued liabilities</w:t>
            </w: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$ 1,959</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$ 3,161</w:t>
            </w:r>
          </w:p>
        </w:tc>
        <w:tc>
          <w:tcPr>
            <w:tcW w:w="6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Collaboration and License Agreements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Gladstone Master Collaboration Agreement</w:t>
      </w:r>
    </w:p>
    <w:p>
      <w:pPr>
        <w:spacing w:after="0" w:line="117"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In October 2016, the Company entered into a Master Collaboration Agreement (MCA) with a related party, Gladstone Institutes (Gladstone), to collaborate on discovering therapies for the treatment of congestive heart failure and other diseases and conditions as mutually agreed. Under the MCA, the Company was required to provide minimum collaboration funding of $3.6 million during the first two years. During the year ended December 31, 2019, Gladstone completed the collaboration under the MCA and the Company satisfied the minimum collaboration funding requirement of</w:t>
      </w:r>
    </w:p>
    <w:p>
      <w:pPr>
        <w:spacing w:after="0" w:line="1"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$3.6 million. In addition, on the third-year anniversary of the MCA’s effective date in October 2019, pursuant to the MCA, the Company issued 16,666 shares of the Company’s common stock to Gladstone in consideration for certain patent rights and technology created in the course of performance of the collaboration being licensed to the Company under the Gladstone License Agreement (as defined below). The related cost was recognized as research and development expenses since the technology acquired had no alternative future use.</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During the year ended December 31, 2019, the Company recorded research and development expenses of $0.4 million pursuant to the MCA.</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was no expense recognized during the year ended December 31, 2020 pursuant to the MCA.</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Gladstone License Agreement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connection and concurrent with the execution of the MCA, the Company entered into a license agreement with Gladstone (Gladstone License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Agreement), pursuant to which Gladstone granted the Company a worldwide, royalty-bearing exclusive patent license and a non-exclusive technology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license to develop and commercialize certain products for certain diseases. Upon the execution of the Gladstone License Agreement, the Company paid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 non-refundable upfront license fee of $0.1 million and issued 125,000 shares of the Company’s common stock to Gladstone. Pursuant to the Gladstone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License Agreement, the Company is obligated, among other things, to pay Gladstone (i) annual license maintenance fees ranging from $25,000 to</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$0.1 million per year, which will be creditable against royalties paid in the following twelve month period, (ii) milestone payments up to $4.1 million for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royalty-bearing products directed to a particular target, which are contingent upon achieving specific clinical and commercialization milestone events,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(iii) tiered low-single digit royalties on future net sales of each royalty-bearing product. Under the agreement, the Company is subject to diligence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requirements to develop and</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320" w:top="459" w:right="45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commercialize at least one royalty-bearing product. The Company may pay $50,000 to $100,000 to extend the deadline for its diligence milestone obligations for up to four additional one-year terms. As of December 31, 2020, the Company has not recognized any milestone and royalty payments under the Gladstone License Agreement.</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During the years ended December 31, 2019 and 2020, the amounts recorded as research and development expenses related to annual license fees payable pursuant to the Gladstone License Agreement were not material.</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University of Texas Southwestern License Agreement</w:t>
      </w:r>
    </w:p>
    <w:p>
      <w:pPr>
        <w:spacing w:after="0" w:line="117" w:lineRule="exact"/>
        <w:rPr>
          <w:sz w:val="20"/>
          <w:szCs w:val="20"/>
          <w:color w:val="auto"/>
        </w:rPr>
      </w:pPr>
    </w:p>
    <w:p>
      <w:pPr>
        <w:ind w:left="120" w:right="220" w:firstLine="440"/>
        <w:spacing w:after="0" w:line="293" w:lineRule="auto"/>
        <w:rPr>
          <w:sz w:val="20"/>
          <w:szCs w:val="20"/>
          <w:color w:val="auto"/>
        </w:rPr>
      </w:pPr>
      <w:r>
        <w:rPr>
          <w:rFonts w:ascii="Arial" w:cs="Arial" w:eastAsia="Arial" w:hAnsi="Arial"/>
          <w:sz w:val="16"/>
          <w:szCs w:val="16"/>
          <w:color w:val="auto"/>
        </w:rPr>
        <w:t>In January 2020, the Company entered into a license agreement with the University of Texas Southwestern (UTSW License), pursuant to which UTSW granted the Company a royalty-bearing exclusive and sublicensable patent license and a non-exclusive, non-sublicensable license for mutually agreed upon development activities. Under the UTSW License, the Company is obligated to pay UTSW (i) a non-refundable upfront license fee of $0.1 million, (ii) milestone payments up to a total of $14.8 million in aggregate, which are contingent upon achieving specific development and commercialization milestone events, and (iii) royalties on future net sales of each royalty-bearing product ranging in the low-single digits. As of December 31, 2020, the Company has not recognized any milestone and royalty payments under the UTSW License.</w:t>
      </w:r>
    </w:p>
    <w:p>
      <w:pPr>
        <w:spacing w:after="0" w:line="164"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During the year ended December 31, 2020, the Company recorded research and development expenses of $0.1 million related to the upfront license fee payable pursuant to the UTSW License.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License Agreements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In addition to the agreements described above, the Company has also entered into other license agreements with various institutions and business entities, none of which are material individually or in the aggregate.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Commitments and Contingencies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Facility Leases</w:t>
      </w:r>
    </w:p>
    <w:p>
      <w:pPr>
        <w:spacing w:after="0" w:line="117" w:lineRule="exact"/>
        <w:rPr>
          <w:sz w:val="20"/>
          <w:szCs w:val="20"/>
          <w:color w:val="auto"/>
        </w:rPr>
      </w:pPr>
    </w:p>
    <w:p>
      <w:pPr>
        <w:ind w:left="120" w:right="260" w:firstLine="440"/>
        <w:spacing w:after="0" w:line="301" w:lineRule="auto"/>
        <w:rPr>
          <w:sz w:val="20"/>
          <w:szCs w:val="20"/>
          <w:color w:val="auto"/>
        </w:rPr>
      </w:pPr>
      <w:r>
        <w:rPr>
          <w:rFonts w:ascii="Arial" w:cs="Arial" w:eastAsia="Arial" w:hAnsi="Arial"/>
          <w:sz w:val="16"/>
          <w:szCs w:val="16"/>
          <w:color w:val="auto"/>
        </w:rPr>
        <w:t>In December 2016, the Company entered into a lease agreement (Lease Agreement or Lease) for office and laboratory space in South San Francisco, California. The Lease expires in May 2025 and the Company may renew the lease term for two additional five-year periods. In connection with the execution of the Lease, the Company provided the landlord with a security deposit of $0.4 million in the form of a letter of credit, which is collateralized by a restricted cash deposit and recorded as restricted cash, non-current on the balance sheets as of December 31, 2019 and 2020.</w:t>
      </w:r>
    </w:p>
    <w:p>
      <w:pPr>
        <w:spacing w:after="0" w:line="15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Pursuant to the Lease Agreement, the Company received a tenant improvement allowance (TIA) of $5.8 million in aggregate for leasehold improvements to the facility. As of December 31, 2020, the remaining balance of the TIA that is recorded as a component of deferred rent on the balance sheet is $3.2 million.</w:t>
      </w:r>
    </w:p>
    <w:p>
      <w:pPr>
        <w:spacing w:after="0" w:line="184"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In December 2020, the Company entered into a sublease agreement for additional office and laboratory space in South San Francisco, California with a lease term that expires on November 30, 2021. The Company provided the landlord a security deposit of $0.1 million in the form of a letter of credit, which is collateralized by a restricted cash deposit and recorded as restricted cash, non-current on the balance sheet as of December 31, 2020.</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During the years ended December 31, 2019 and 2020, the Company recognized rent expense of $2.1 million and $2.4 million.</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40"/>
          </w:cols>
          <w:pgMar w:left="320" w:top="459" w:right="43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the future minimum lease payments for the Company’s office space and laboratory facilities as of December 31,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w:t>
      </w:r>
    </w:p>
    <w:p>
      <w:pPr>
        <w:spacing w:after="0" w:line="229" w:lineRule="exact"/>
        <w:rPr>
          <w:sz w:val="20"/>
          <w:szCs w:val="20"/>
          <w:color w:val="auto"/>
        </w:rPr>
      </w:pPr>
    </w:p>
    <w:tbl>
      <w:tblPr>
        <w:tblLayout w:type="fixed"/>
        <w:tblInd w:w="150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Amount</w:t>
            </w:r>
          </w:p>
        </w:tc>
      </w:tr>
      <w:tr>
        <w:trPr>
          <w:trHeight w:val="196"/>
        </w:trPr>
        <w:tc>
          <w:tcPr>
            <w:tcW w:w="5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ending December 31,</w:t>
            </w:r>
          </w:p>
        </w:tc>
        <w:tc>
          <w:tcPr>
            <w:tcW w:w="2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2021</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3,752</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2,206</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2023</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2,283</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2,363</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2025</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999</w:t>
            </w:r>
          </w:p>
        </w:tc>
      </w:tr>
      <w:tr>
        <w:trPr>
          <w:trHeight w:val="27"/>
        </w:trPr>
        <w:tc>
          <w:tcPr>
            <w:tcW w:w="53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future minimum lease payments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11,603</w:t>
            </w:r>
          </w:p>
        </w:tc>
      </w:tr>
      <w:tr>
        <w:trPr>
          <w:trHeight w:val="20"/>
        </w:trPr>
        <w:tc>
          <w:tcPr>
            <w:tcW w:w="53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has previously entered into agreements to sublease portions of the Company’s facilities in South San Francisco to two different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subtenants, both of which have expired as of December 31, 2020. Pursuant to the sublease agreements, the Company received sublease income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 million and $0.4 million during the years ended December 31, 2019 and 2020, which are recognized as a component of other income (expense), net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within the Company’s statements of operations and comprehensive loss.</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17"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The Company also entered into contractual agreements with various suppliers in the normal course of its business, including vendors that provide machinery and equipment. All contracts are terminable, with varying provisions regarding termination. If a contract with a specific vendor were to be terminated, the Company would only be obligated for the products or services that the Company had received through the time of termination.</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the normal course of business, the Company enters into agreements that may include indemnification provisions. Pursuant to such agreements, the Company may indemnify, hold harmless and defend an indemnified party for losses suffered or incurred by the indemnified party. In some cases, the indemnification will continue after the termination of the agreement. The maximum potential amounts of future payments the Company could be required to make under these provisions is not determinable. In addition, the Company has entered into indemnification agreements with its directors and certain officers that may require the Company, among other things, to indemnify them against certain liabilities that may arise by reason of their status or service as directors or officers. As of December 31, 2019 and 2020, the Company does not have any material indemnification claims that were probable or reasonably possible and, consequently, has not recorded any related liabilities.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Convertible Preferred Stock</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Series B Convertible Preferred Stock Financing</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In August 2019, the Company entered into a Series B preferred stock purchase agreement (Series B SPA) for the issuance of up to 9,259,254 shares of the Company’s Series B convertible preferred stock at a purchase price of $9.936 per share in multiple closings. The Company completed the initial closing in August 2019, whereby 3,086,415 shares of Series B convertible preferred stock were issued for gross proceeds of $30.7 million. Pursuant to the Series B SPA, the Company was permitted to sell additional shares in subsequent closings contingent upon the approval of the Company’s board of directors.</w:t>
      </w:r>
    </w:p>
    <w:p>
      <w:pPr>
        <w:spacing w:after="0" w:line="188"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On issuance, the Company determined that its obligation to issue additional shares of Series B convertible preferred stock in future closings was a freestanding instrument that should be classified as a liability on the Company’s balance sheets. The freestanding financial instrument, or convertible preferred stock tranche liability, was recorded at fair value on issuance of $0.8 million with the remaining proceeds being allocated to the Series B</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00"/>
          </w:cols>
          <w:pgMar w:left="320" w:top="459" w:right="47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convertible preferred stock. Any changes in fair value of convertible preferred stock tranche liability in subsequent reporting periods are recognized as a component of other income (expense), net in the statements of operations and comprehensive loss (see Note 3).</w:t>
      </w:r>
    </w:p>
    <w:p>
      <w:pPr>
        <w:spacing w:after="0" w:line="170"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In March 2020, the Company completed its second closing of Series B convertible preferred stock financing and issued 3,086,415 shares of Series B convertible preferred stock at the fixed purchase price of $9.936 per share for gross proceeds of $30.7 million, thereby settling a portion of the convertible preferred stock tranche liability. Immediately prior to the second closing, the Company measured the convertible preferred stock tranche liability to its then fair value. Upon the closing of the second tranche, the convertible preferred stock tranche liability was partially settled and the related balance of the liability of $27,000 was reclassified to Series B convertible preferred stock.</w:t>
      </w:r>
    </w:p>
    <w:p>
      <w:pPr>
        <w:spacing w:after="0" w:line="176"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In August 2020, the Company completed its third closing of Series B convertible preferred stock financing and issued 3,086,415 shares of Series B convertible preferred stock at the purchase price of $9.936 per share for gross proceeds of $30.7 million, thereby settling the remainder of the convertible preferred stock tranche liability. Immediately prior to the third closing, the Company measured the convertible preferred stock tranche liability to its then fair value. Upon the closing of the third tranche, the remaining convertible preferred stock tranche liability was settled and the balance of the liability of $0.7 million was reclassified to Series B convertible preferred stock.</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Series C Convertible Preferred Stock Financing</w:t>
      </w:r>
    </w:p>
    <w:p>
      <w:pPr>
        <w:spacing w:after="0" w:line="117"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In December 2020, the Company entered into a Series C preferred stock purchase agreement (Series C SPA) for the issuance of up to 8,526,381 shares of the Company’s Series C convertible preferred stock at a purchase price of $12.432 per share in two closings. The Company completed the initial closing in December 2020, whereby 6,917,621 shares of Series C convertible preferred stock were issued for gross proceeds of $86.0 million.</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convertible preferred stock consists of the following:</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1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ind w:left="439"/>
              <w:spacing w:after="0"/>
              <w:rPr>
                <w:sz w:val="20"/>
                <w:szCs w:val="20"/>
                <w:color w:val="auto"/>
              </w:rPr>
            </w:pPr>
            <w:r>
              <w:rPr>
                <w:rFonts w:ascii="Arial" w:cs="Arial" w:eastAsia="Arial" w:hAnsi="Arial"/>
                <w:sz w:val="14"/>
                <w:szCs w:val="14"/>
                <w:b w:val="1"/>
                <w:bCs w:val="1"/>
                <w:color w:val="auto"/>
                <w:w w:val="91"/>
              </w:rPr>
              <w:t>December 31, 2019</w:t>
            </w: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19"/>
        </w:trPr>
        <w:tc>
          <w:tcPr>
            <w:tcW w:w="216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118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2"/>
              </w:rPr>
              <w:t>Shares</w:t>
            </w:r>
          </w:p>
        </w:tc>
        <w:tc>
          <w:tcPr>
            <w:tcW w:w="132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7"/>
              </w:rPr>
              <w:t>Shares Issued and</w:t>
            </w:r>
          </w:p>
        </w:tc>
        <w:tc>
          <w:tcPr>
            <w:tcW w:w="140" w:type="dxa"/>
            <w:vAlign w:val="bottom"/>
          </w:tcPr>
          <w:p>
            <w:pPr>
              <w:spacing w:after="0"/>
              <w:rPr>
                <w:sz w:val="10"/>
                <w:szCs w:val="10"/>
                <w:color w:val="auto"/>
              </w:rPr>
            </w:pPr>
          </w:p>
        </w:tc>
        <w:tc>
          <w:tcPr>
            <w:tcW w:w="1140" w:type="dxa"/>
            <w:vAlign w:val="bottom"/>
            <w:gridSpan w:val="3"/>
          </w:tcPr>
          <w:p>
            <w:pPr>
              <w:jc w:val="center"/>
              <w:ind w:right="280"/>
              <w:spacing w:after="0" w:line="119" w:lineRule="exact"/>
              <w:rPr>
                <w:sz w:val="20"/>
                <w:szCs w:val="20"/>
                <w:color w:val="auto"/>
              </w:rPr>
            </w:pPr>
            <w:r>
              <w:rPr>
                <w:rFonts w:ascii="Arial" w:cs="Arial" w:eastAsia="Arial" w:hAnsi="Arial"/>
                <w:sz w:val="13"/>
                <w:szCs w:val="13"/>
                <w:b w:val="1"/>
                <w:bCs w:val="1"/>
                <w:color w:val="auto"/>
              </w:rPr>
              <w:t>Net Carrying</w:t>
            </w:r>
          </w:p>
        </w:tc>
        <w:tc>
          <w:tcPr>
            <w:tcW w:w="8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Liquidation</w:t>
            </w:r>
          </w:p>
        </w:tc>
        <w:tc>
          <w:tcPr>
            <w:tcW w:w="80" w:type="dxa"/>
            <w:vAlign w:val="bottom"/>
          </w:tcPr>
          <w:p>
            <w:pPr>
              <w:spacing w:after="0"/>
              <w:rPr>
                <w:sz w:val="10"/>
                <w:szCs w:val="10"/>
                <w:color w:val="auto"/>
              </w:rPr>
            </w:pPr>
          </w:p>
        </w:tc>
      </w:tr>
      <w:tr>
        <w:trPr>
          <w:trHeight w:val="171"/>
        </w:trPr>
        <w:tc>
          <w:tcPr>
            <w:tcW w:w="21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Authorized</w:t>
            </w: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6"/>
              </w:rPr>
              <w:t>Value</w:t>
            </w:r>
          </w:p>
        </w:tc>
        <w:tc>
          <w:tcPr>
            <w:tcW w:w="8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Preference</w:t>
            </w:r>
          </w:p>
        </w:tc>
      </w:tr>
      <w:tr>
        <w:trPr>
          <w:trHeight w:val="142"/>
        </w:trPr>
        <w:tc>
          <w:tcPr>
            <w:tcW w:w="21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3960" w:type="dxa"/>
            <w:vAlign w:val="bottom"/>
            <w:tcBorders>
              <w:top w:val="single" w:sz="8" w:color="auto"/>
            </w:tcBorders>
            <w:gridSpan w:val="9"/>
          </w:tcPr>
          <w:p>
            <w:pPr>
              <w:jc w:val="center"/>
              <w:ind w:left="539"/>
              <w:spacing w:after="0" w:line="142" w:lineRule="exact"/>
              <w:rPr>
                <w:sz w:val="20"/>
                <w:szCs w:val="20"/>
                <w:color w:val="auto"/>
              </w:rPr>
            </w:pPr>
            <w:r>
              <w:rPr>
                <w:rFonts w:ascii="Arial" w:cs="Arial" w:eastAsia="Arial" w:hAnsi="Arial"/>
                <w:sz w:val="14"/>
                <w:szCs w:val="14"/>
                <w:b w:val="1"/>
                <w:bCs w:val="1"/>
                <w:color w:val="auto"/>
                <w:w w:val="89"/>
              </w:rPr>
              <w:t>(in thousands, except shares and original issue price)</w:t>
            </w: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96"/>
        </w:trPr>
        <w:tc>
          <w:tcPr>
            <w:tcW w:w="6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Convertible Preferred Stock</w:t>
            </w: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Series A</w:t>
            </w:r>
          </w:p>
        </w:tc>
        <w:tc>
          <w:tcPr>
            <w:tcW w:w="42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8,316,666</w:t>
            </w:r>
          </w:p>
        </w:tc>
        <w:tc>
          <w:tcPr>
            <w:tcW w:w="132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8,316,662</w:t>
            </w:r>
          </w:p>
        </w:tc>
        <w:tc>
          <w:tcPr>
            <w:tcW w:w="400" w:type="dxa"/>
            <w:vAlign w:val="bottom"/>
            <w:tcBorders>
              <w:top w:val="single" w:sz="8" w:color="CCEEFF"/>
            </w:tcBorders>
            <w:gridSpan w:val="2"/>
          </w:tcPr>
          <w:p>
            <w:pPr>
              <w:jc w:val="right"/>
              <w:ind w:right="82"/>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43,393</w:t>
            </w: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49,900</w:t>
            </w: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9,500,000</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3,086,415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29,649</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30,667</w:t>
            </w: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17,816,666</w:t>
            </w:r>
          </w:p>
        </w:tc>
        <w:tc>
          <w:tcPr>
            <w:tcW w:w="26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11,403,077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73,042</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80,567</w:t>
            </w:r>
          </w:p>
        </w:tc>
        <w:tc>
          <w:tcPr>
            <w:tcW w:w="80" w:type="dxa"/>
            <w:vAlign w:val="bottom"/>
          </w:tcPr>
          <w:p>
            <w:pPr>
              <w:spacing w:after="0"/>
              <w:rPr>
                <w:sz w:val="19"/>
                <w:szCs w:val="19"/>
                <w:color w:val="auto"/>
              </w:rPr>
            </w:pPr>
          </w:p>
        </w:tc>
      </w:tr>
      <w:tr>
        <w:trPr>
          <w:trHeight w:val="20"/>
        </w:trPr>
        <w:tc>
          <w:tcPr>
            <w:tcW w:w="21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1"/>
        </w:trPr>
        <w:tc>
          <w:tcPr>
            <w:tcW w:w="216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4"/>
          </w:tcPr>
          <w:p>
            <w:pPr>
              <w:jc w:val="center"/>
              <w:ind w:left="439"/>
              <w:spacing w:after="0"/>
              <w:rPr>
                <w:sz w:val="20"/>
                <w:szCs w:val="20"/>
                <w:color w:val="auto"/>
              </w:rPr>
            </w:pPr>
            <w:r>
              <w:rPr>
                <w:rFonts w:ascii="Arial" w:cs="Arial" w:eastAsia="Arial" w:hAnsi="Arial"/>
                <w:sz w:val="14"/>
                <w:szCs w:val="14"/>
                <w:b w:val="1"/>
                <w:bCs w:val="1"/>
                <w:color w:val="auto"/>
                <w:w w:val="91"/>
              </w:rPr>
              <w:t>December 31, 2020</w:t>
            </w:r>
          </w:p>
        </w:tc>
        <w:tc>
          <w:tcPr>
            <w:tcW w:w="6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119"/>
        </w:trPr>
        <w:tc>
          <w:tcPr>
            <w:tcW w:w="216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118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2"/>
              </w:rPr>
              <w:t>Shares</w:t>
            </w:r>
          </w:p>
        </w:tc>
        <w:tc>
          <w:tcPr>
            <w:tcW w:w="132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7"/>
              </w:rPr>
              <w:t>Shares Issued and</w:t>
            </w:r>
          </w:p>
        </w:tc>
        <w:tc>
          <w:tcPr>
            <w:tcW w:w="140" w:type="dxa"/>
            <w:vAlign w:val="bottom"/>
          </w:tcPr>
          <w:p>
            <w:pPr>
              <w:spacing w:after="0"/>
              <w:rPr>
                <w:sz w:val="10"/>
                <w:szCs w:val="10"/>
                <w:color w:val="auto"/>
              </w:rPr>
            </w:pPr>
          </w:p>
        </w:tc>
        <w:tc>
          <w:tcPr>
            <w:tcW w:w="1140" w:type="dxa"/>
            <w:vAlign w:val="bottom"/>
            <w:gridSpan w:val="3"/>
          </w:tcPr>
          <w:p>
            <w:pPr>
              <w:jc w:val="center"/>
              <w:ind w:right="280"/>
              <w:spacing w:after="0" w:line="119" w:lineRule="exact"/>
              <w:rPr>
                <w:sz w:val="20"/>
                <w:szCs w:val="20"/>
                <w:color w:val="auto"/>
              </w:rPr>
            </w:pPr>
            <w:r>
              <w:rPr>
                <w:rFonts w:ascii="Arial" w:cs="Arial" w:eastAsia="Arial" w:hAnsi="Arial"/>
                <w:sz w:val="13"/>
                <w:szCs w:val="13"/>
                <w:b w:val="1"/>
                <w:bCs w:val="1"/>
                <w:color w:val="auto"/>
              </w:rPr>
              <w:t>Net Carrying</w:t>
            </w:r>
          </w:p>
        </w:tc>
        <w:tc>
          <w:tcPr>
            <w:tcW w:w="8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Liquidation</w:t>
            </w:r>
          </w:p>
        </w:tc>
        <w:tc>
          <w:tcPr>
            <w:tcW w:w="80" w:type="dxa"/>
            <w:vAlign w:val="bottom"/>
          </w:tcPr>
          <w:p>
            <w:pPr>
              <w:spacing w:after="0"/>
              <w:rPr>
                <w:sz w:val="10"/>
                <w:szCs w:val="10"/>
                <w:color w:val="auto"/>
              </w:rPr>
            </w:pPr>
          </w:p>
        </w:tc>
      </w:tr>
      <w:tr>
        <w:trPr>
          <w:trHeight w:val="171"/>
        </w:trPr>
        <w:tc>
          <w:tcPr>
            <w:tcW w:w="21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Authorized</w:t>
            </w: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6"/>
              </w:rPr>
              <w:t>Value</w:t>
            </w:r>
          </w:p>
        </w:tc>
        <w:tc>
          <w:tcPr>
            <w:tcW w:w="8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Preference</w:t>
            </w:r>
          </w:p>
        </w:tc>
      </w:tr>
      <w:tr>
        <w:trPr>
          <w:trHeight w:val="142"/>
        </w:trPr>
        <w:tc>
          <w:tcPr>
            <w:tcW w:w="21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3960" w:type="dxa"/>
            <w:vAlign w:val="bottom"/>
            <w:tcBorders>
              <w:top w:val="single" w:sz="8" w:color="auto"/>
            </w:tcBorders>
            <w:gridSpan w:val="9"/>
          </w:tcPr>
          <w:p>
            <w:pPr>
              <w:jc w:val="center"/>
              <w:ind w:left="539"/>
              <w:spacing w:after="0" w:line="142" w:lineRule="exact"/>
              <w:rPr>
                <w:sz w:val="20"/>
                <w:szCs w:val="20"/>
                <w:color w:val="auto"/>
              </w:rPr>
            </w:pPr>
            <w:r>
              <w:rPr>
                <w:rFonts w:ascii="Arial" w:cs="Arial" w:eastAsia="Arial" w:hAnsi="Arial"/>
                <w:sz w:val="14"/>
                <w:szCs w:val="14"/>
                <w:b w:val="1"/>
                <w:bCs w:val="1"/>
                <w:color w:val="auto"/>
                <w:w w:val="89"/>
              </w:rPr>
              <w:t>(in thousands, except shares and original issue price)</w:t>
            </w: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96"/>
        </w:trPr>
        <w:tc>
          <w:tcPr>
            <w:tcW w:w="6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Convertible Preferred Stock</w:t>
            </w: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Series A</w:t>
            </w:r>
          </w:p>
        </w:tc>
        <w:tc>
          <w:tcPr>
            <w:tcW w:w="42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8,316,666</w:t>
            </w:r>
          </w:p>
        </w:tc>
        <w:tc>
          <w:tcPr>
            <w:tcW w:w="132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8,316,662</w:t>
            </w:r>
          </w:p>
        </w:tc>
        <w:tc>
          <w:tcPr>
            <w:tcW w:w="400" w:type="dxa"/>
            <w:vAlign w:val="bottom"/>
            <w:tcBorders>
              <w:top w:val="single" w:sz="8" w:color="CCEEFF"/>
            </w:tcBorders>
            <w:gridSpan w:val="2"/>
          </w:tcPr>
          <w:p>
            <w:pPr>
              <w:jc w:val="right"/>
              <w:ind w:right="82"/>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43,393</w:t>
            </w: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49,900</w:t>
            </w: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9,259,254</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9,259,245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91,644</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92,000</w:t>
            </w: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Series C</w:t>
            </w:r>
          </w:p>
        </w:tc>
        <w:tc>
          <w:tcPr>
            <w:tcW w:w="920" w:type="dxa"/>
            <w:vAlign w:val="bottom"/>
          </w:tcPr>
          <w:p>
            <w:pPr>
              <w:jc w:val="right"/>
              <w:spacing w:after="0"/>
              <w:rPr>
                <w:sz w:val="20"/>
                <w:szCs w:val="20"/>
                <w:color w:val="auto"/>
              </w:rPr>
            </w:pPr>
            <w:r>
              <w:rPr>
                <w:rFonts w:ascii="Arial" w:cs="Arial" w:eastAsia="Arial" w:hAnsi="Arial"/>
                <w:sz w:val="18"/>
                <w:szCs w:val="18"/>
                <w:color w:val="auto"/>
              </w:rPr>
              <w:t>8,526,381</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6,917,621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85,717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86,000</w:t>
            </w:r>
          </w:p>
        </w:tc>
      </w:tr>
      <w:tr>
        <w:trPr>
          <w:trHeight w:val="27"/>
        </w:trPr>
        <w:tc>
          <w:tcPr>
            <w:tcW w:w="21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26,102,301</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24,493,528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220,754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227,900</w:t>
            </w:r>
          </w:p>
        </w:tc>
      </w:tr>
      <w:tr>
        <w:trPr>
          <w:trHeight w:val="20"/>
        </w:trPr>
        <w:tc>
          <w:tcPr>
            <w:tcW w:w="21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The Company classifies its convertible preferred stock outside of total stockholders’ deficit because, in the event of certain change of control events that are not solely within the control of the Company (including liquidation, sale or transfer of the Company), the shares would become redeemable at the option of the holders.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40"/>
          </w:cols>
          <w:pgMar w:left="320" w:top="459" w:right="43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As a result, the Company has classified its convertible preferred stock as mezzanine equity on the balance sheets as the preferred stock is contingently redeemable. The Company did not adjust the carrying values of the convertible preferred stock to the deemed liquidation values of such shares since a liquidation event was not probable as of each reporting date. Subsequent adjustments to increase or decrease the carrying values to the ultimate liquidation values will be made only if and when it becomes probable that such liquidation event will occur.</w:t>
      </w:r>
    </w:p>
    <w:p>
      <w:pPr>
        <w:spacing w:after="0" w:line="17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holders of the Company’s Series A, Series B and Series C convertible preferred stock (together, convertible preferred stock) have various rights, preferences and privileges as follows: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Each holder of shares of convertible preferred stock is entitled to the number of votes equal to the number of shares of common stock into which such shares of convertible preferred stock could be converted. The holders of convertible preferred stock vote together with the holders of common stock as a single class on an as-converted basis on all matters as to which holders of common stock have the right to vote.</w:t>
      </w:r>
    </w:p>
    <w:p>
      <w:pPr>
        <w:spacing w:after="0" w:line="16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holders of convertible preferred stock, voting as a separate class, are entitled to elect three members of the Company’s board of directors. The holders of common stock, voting as a separate class, are entitled to elect one member of the Company’s board of directors. Any additional members of the Company’s board of directors are elected by the holders of common stock and convertible preferred stock, voting together as a single class on an as-converted basis.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jc w:val="both"/>
        <w:ind w:left="120" w:right="420" w:firstLine="440"/>
        <w:spacing w:after="0" w:line="286" w:lineRule="auto"/>
        <w:rPr>
          <w:sz w:val="20"/>
          <w:szCs w:val="20"/>
          <w:color w:val="auto"/>
        </w:rPr>
      </w:pPr>
      <w:r>
        <w:rPr>
          <w:rFonts w:ascii="Arial" w:cs="Arial" w:eastAsia="Arial" w:hAnsi="Arial"/>
          <w:sz w:val="17"/>
          <w:szCs w:val="17"/>
          <w:color w:val="auto"/>
        </w:rPr>
        <w:t>Each holder of convertible preferred stock is entitled to receive dividends when and if declared by the board of directors at an annual rate of $0.480 per share for the Series A preferred stock, $0.792 per share for the Series B preferred stock, and $0.996 per share for the Series C preferred stock. Dividends are noncumulative. No dividends have been declared or paid as of December 31, 2020.</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Each share of convertible preferred stock is convertible, at the option of the holder any time after the issuance date, into shares of common stock determined by dividing the original issue price by the conversion price in effect on the date of conversion. The conversion price of each series of convertible preferred stock is $6.00 for Series A convertible preferred stock, $9.936 for Series B convertible preferred stock, and $12.432 for Series C convertible preferred stock, subject to adjustment for anti-dilution provisions and stock dividend, stock split, combination of shares, reorganization, recapitalization, reclassification or other similar event.</w:t>
      </w:r>
    </w:p>
    <w:p>
      <w:pPr>
        <w:spacing w:after="0" w:line="188"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Each share of convertible preferred stock is automatically convertible into common stock immediately upon the earlier of (i) the closing of a firm commitment underwritten initial public offering pursuant to an effective registration statement filed under the Securities Act of 1933, as amended, resulting in aggregate gross proceeds not less than $75.0 million (a “Qualified IPO”) or (ii) the Company’s receipt of a written request for such conversion from a majority of the holders of convertible preferred stock then outstanding, voting together as a single class on an as-converted basis. With respect to a Qualified IPO at which the price per share is less than $15.54 (subject to adjustment for stock dividend, stock split, combination of shares, reorganization, recapitalization, reclassification or other similar event), each share of convertible preferred stock is convertible into common stock with the written consent of a majority of the holders of the Series C convertible preferred stock then outstanding, voting as a separate class.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Liquidation Preference</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In the event of any liquidation, dissolution or winding up of the Company, either voluntary or involuntary, the holders of the preferred stock shall be entitled to receive, prior and in preference to any distribution of any of</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080"/>
          </w:cols>
          <w:pgMar w:left="320" w:top="459" w:right="49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assets of the Company to the holders of common stock, an amount per share equal to $6.00 per share for Series A convertible preferred stock, $9.936 per share for Series B convertible preferred stock and $12.432 per share for Series C convertible preferred stock (subject to adjustment for stock dividend, stock split, combination of shares, reorganization, recapitalization, reclassification or other similar event) plus all declared but unpaid dividends. After the distributions described above have been paid in full, the remaining assets of the Company shall be distributed among the holders of common stock in proportion to the numbers of shares of common stock. If the assets of the Company are insufficient to permit the payments to holders of convertible preferred stock of the full amount described above, all assets and funds legally available shall be distributed ratably among holders of convertible preferred stock.</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Common Stock</w:t>
      </w:r>
    </w:p>
    <w:p>
      <w:pPr>
        <w:spacing w:after="0" w:line="121"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The holders of the common stock are entitled to one vote per share on all matters to be voted on by the stockholders of the Company and are entitled to dividends, if and when declared by the board of directors, subject to the prior rights of the preferred stockholders. Common stock issued and outstanding on the balance sheets and statements of convertible preferred stock and stockholders’ deficit includes shares related to early exercised options and restricted stock that are subject to repurchase. Common stock issued and outstanding is reduced for any repurchases of early exercised stock options and restricted stock. As of December 31, 2019 and 2020, outstanding common stock included 331,089 and 138,127 shares, respectively, related to early exercised stock options and restricted stock that are unvested and subject to repurchase.</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has reserved the following shares of common stock for issuance, on an as-if converted basis:</w:t>
      </w:r>
    </w:p>
    <w:p>
      <w:pPr>
        <w:spacing w:after="0" w:line="231"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26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Conversion of outstanding shares of convertible preferred stock</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24,493,528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Options outstanding under the 2016 Plan</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1,160,808</w:t>
            </w:r>
          </w:p>
        </w:tc>
        <w:tc>
          <w:tcPr>
            <w:tcW w:w="6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Options available for future grant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412,170</w:t>
            </w:r>
          </w:p>
        </w:tc>
        <w:tc>
          <w:tcPr>
            <w:tcW w:w="60" w:type="dxa"/>
            <w:vAlign w:val="bottom"/>
            <w:shd w:val="clear" w:color="auto" w:fill="CCEEFF"/>
          </w:tcPr>
          <w:p>
            <w:pPr>
              <w:spacing w:after="0"/>
              <w:rPr>
                <w:sz w:val="18"/>
                <w:szCs w:val="18"/>
                <w:color w:val="auto"/>
              </w:rPr>
            </w:pPr>
          </w:p>
        </w:tc>
      </w:tr>
      <w:tr>
        <w:trPr>
          <w:trHeight w:val="223"/>
        </w:trPr>
        <w:tc>
          <w:tcPr>
            <w:tcW w:w="7260" w:type="dxa"/>
            <w:vAlign w:val="bottom"/>
          </w:tcPr>
          <w:p>
            <w:pPr>
              <w:ind w:left="36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26,066,506</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7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Stock-Based Compensation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Amended and Restated 2016 Equity Incentive Plan</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 October 2016, the Company adopted the 2016 Equity Incentive Plan, which was later amended and restated (the 2016 Plan), which provides for the granting of incentive and non-statutory stock options, stock appreciation rights, restricted stock and restricted stock units and other forms of stock awards to its employees, directors and non-employee service providers.</w:t>
      </w:r>
    </w:p>
    <w:p>
      <w:pPr>
        <w:spacing w:after="0" w:line="184"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Under the 2016 Plan, the Company’s board of directors has the authority to select the service provider to whom options will be granted and the type of award that will be granted, to determine when awards are to be granted, the number of shares, the term, and the exercise price. Options have a term of ten years and generally vest over a four-year period. As of December 31, 2020, 412,170 shares of common stock were authorized and available for grant under the 2016 Plan.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20"/>
          </w:cols>
          <w:pgMar w:left="320" w:top="459" w:right="45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stock option activity under the 2016 Plan:</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vMerge w:val="restart"/>
          </w:tcPr>
          <w:p>
            <w:pPr>
              <w:jc w:val="center"/>
              <w:ind w:right="700"/>
              <w:spacing w:after="0"/>
              <w:rPr>
                <w:sz w:val="20"/>
                <w:szCs w:val="20"/>
                <w:color w:val="auto"/>
              </w:rPr>
            </w:pPr>
            <w:r>
              <w:rPr>
                <w:rFonts w:ascii="Arial" w:cs="Arial" w:eastAsia="Arial" w:hAnsi="Arial"/>
                <w:sz w:val="14"/>
                <w:szCs w:val="14"/>
                <w:b w:val="1"/>
                <w:bCs w:val="1"/>
                <w:color w:val="auto"/>
                <w:w w:val="91"/>
              </w:rPr>
              <w:t>Weighted-</w:t>
            </w: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14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4"/>
              </w:rPr>
              <w:t>Number of</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Remaining</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1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Options</w:t>
            </w:r>
          </w:p>
        </w:tc>
        <w:tc>
          <w:tcPr>
            <w:tcW w:w="30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 Price</w:t>
            </w: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Contractual Life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540" w:type="dxa"/>
            <w:vAlign w:val="bottom"/>
          </w:tcPr>
          <w:p>
            <w:pPr>
              <w:spacing w:after="0"/>
              <w:rPr>
                <w:sz w:val="14"/>
                <w:szCs w:val="14"/>
                <w:color w:val="auto"/>
              </w:rPr>
            </w:pPr>
          </w:p>
        </w:tc>
        <w:tc>
          <w:tcPr>
            <w:tcW w:w="11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Outstanding</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4"/>
              </w:rPr>
              <w:t>Per Share</w:t>
            </w: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(years)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55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2019</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880,816</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1.14</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9.05</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2,952</w:t>
            </w:r>
          </w:p>
        </w:tc>
        <w:tc>
          <w:tcPr>
            <w:tcW w:w="0" w:type="dxa"/>
            <w:vAlign w:val="bottom"/>
          </w:tcPr>
          <w:p>
            <w:pPr>
              <w:spacing w:after="0"/>
              <w:rPr>
                <w:sz w:val="1"/>
                <w:szCs w:val="1"/>
                <w:color w:val="auto"/>
              </w:rPr>
            </w:pPr>
          </w:p>
        </w:tc>
      </w:tr>
      <w:tr>
        <w:trPr>
          <w:trHeight w:val="216"/>
        </w:trPr>
        <w:tc>
          <w:tcPr>
            <w:tcW w:w="5540" w:type="dxa"/>
            <w:vAlign w:val="bottom"/>
          </w:tcPr>
          <w:p>
            <w:pPr>
              <w:ind w:left="360"/>
              <w:spacing w:after="0"/>
              <w:rPr>
                <w:sz w:val="20"/>
                <w:szCs w:val="20"/>
                <w:color w:val="auto"/>
              </w:rPr>
            </w:pPr>
            <w:r>
              <w:rPr>
                <w:rFonts w:ascii="Arial" w:cs="Arial" w:eastAsia="Arial" w:hAnsi="Arial"/>
                <w:sz w:val="18"/>
                <w:szCs w:val="18"/>
                <w:color w:val="auto"/>
              </w:rPr>
              <w:t>Options granted</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312,696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3.42</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Options exercised</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(17,846)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1.86</w:t>
            </w: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40" w:type="dxa"/>
            <w:vAlign w:val="bottom"/>
          </w:tcPr>
          <w:p>
            <w:pPr>
              <w:ind w:left="360"/>
              <w:spacing w:after="0"/>
              <w:rPr>
                <w:sz w:val="20"/>
                <w:szCs w:val="20"/>
                <w:color w:val="auto"/>
              </w:rPr>
            </w:pPr>
            <w:r>
              <w:rPr>
                <w:rFonts w:ascii="Arial" w:cs="Arial" w:eastAsia="Arial" w:hAnsi="Arial"/>
                <w:sz w:val="18"/>
                <w:szCs w:val="18"/>
                <w:color w:val="auto"/>
              </w:rPr>
              <w:t>Options cancelled</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(14,858)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2.40</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2020</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1,160,808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1.74</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8.40</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6,060</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color w:val="auto"/>
              </w:rPr>
              <w:t>Exercisable as of December 31, 2020</w:t>
            </w:r>
          </w:p>
        </w:tc>
        <w:tc>
          <w:tcPr>
            <w:tcW w:w="8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2"/>
            <w:vMerge w:val="restart"/>
          </w:tcPr>
          <w:p>
            <w:pPr>
              <w:ind w:left="300"/>
              <w:spacing w:after="0"/>
              <w:rPr>
                <w:sz w:val="20"/>
                <w:szCs w:val="20"/>
                <w:color w:val="auto"/>
              </w:rPr>
            </w:pPr>
            <w:r>
              <w:rPr>
                <w:rFonts w:ascii="Arial" w:cs="Arial" w:eastAsia="Arial" w:hAnsi="Arial"/>
                <w:sz w:val="18"/>
                <w:szCs w:val="18"/>
                <w:color w:val="auto"/>
                <w:w w:val="79"/>
              </w:rPr>
              <w:t>$</w:t>
            </w:r>
          </w:p>
        </w:tc>
        <w:tc>
          <w:tcPr>
            <w:tcW w:w="1360" w:type="dxa"/>
            <w:vAlign w:val="bottom"/>
            <w:gridSpan w:val="2"/>
            <w:vMerge w:val="restart"/>
          </w:tcPr>
          <w:p>
            <w:pPr>
              <w:jc w:val="right"/>
              <w:ind w:right="580"/>
              <w:spacing w:after="0"/>
              <w:rPr>
                <w:sz w:val="20"/>
                <w:szCs w:val="20"/>
                <w:color w:val="auto"/>
              </w:rPr>
            </w:pPr>
            <w:r>
              <w:rPr>
                <w:rFonts w:ascii="Arial" w:cs="Arial" w:eastAsia="Arial" w:hAnsi="Arial"/>
                <w:sz w:val="18"/>
                <w:szCs w:val="18"/>
                <w:color w:val="auto"/>
              </w:rPr>
              <w:t>1.14</w:t>
            </w:r>
          </w:p>
        </w:tc>
        <w:tc>
          <w:tcPr>
            <w:tcW w:w="134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8.05</w:t>
            </w:r>
          </w:p>
        </w:tc>
        <w:tc>
          <w:tcPr>
            <w:tcW w:w="400" w:type="dxa"/>
            <w:vAlign w:val="bottom"/>
            <w:gridSpan w:val="2"/>
            <w:vMerge w:val="restart"/>
          </w:tcPr>
          <w:p>
            <w:pPr>
              <w:ind w:left="300"/>
              <w:spacing w:after="0"/>
              <w:rPr>
                <w:sz w:val="20"/>
                <w:szCs w:val="20"/>
                <w:color w:val="auto"/>
              </w:rPr>
            </w:pPr>
            <w:r>
              <w:rPr>
                <w:rFonts w:ascii="Arial" w:cs="Arial" w:eastAsia="Arial" w:hAnsi="Arial"/>
                <w:sz w:val="18"/>
                <w:szCs w:val="18"/>
                <w:color w:val="auto"/>
                <w:w w:val="79"/>
              </w:rPr>
              <w:t>$</w:t>
            </w: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2,298</w:t>
            </w:r>
          </w:p>
        </w:tc>
        <w:tc>
          <w:tcPr>
            <w:tcW w:w="0" w:type="dxa"/>
            <w:vAlign w:val="bottom"/>
          </w:tcPr>
          <w:p>
            <w:pPr>
              <w:spacing w:after="0" w:line="20" w:lineRule="exact"/>
              <w:rPr>
                <w:sz w:val="1"/>
                <w:szCs w:val="1"/>
                <w:color w:val="auto"/>
              </w:rPr>
            </w:pPr>
          </w:p>
        </w:tc>
      </w:tr>
      <w:tr>
        <w:trPr>
          <w:trHeight w:val="210"/>
        </w:trPr>
        <w:tc>
          <w:tcPr>
            <w:tcW w:w="5540" w:type="dxa"/>
            <w:vAlign w:val="bottom"/>
            <w:vMerge w:val="continue"/>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440,291</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total intrinsic value of options exercised during the years ended December 31, 2019 and 2020 was approximately $0.3 million and $37,000. The aggregate intrinsic is the difference between the fair value of the Company’s common stock, as approved by the Company’s board of directors, and exercise price of the option.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weighted average grant-date fair value of options granted during the years ended December 31, 2019 and 2020 was $3.42 and $4.98 per share.</w:t>
      </w:r>
    </w:p>
    <w:p>
      <w:pPr>
        <w:spacing w:after="0" w:line="35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summarizes stock-based compensation recognized in the Company’s statements of operations and comprehensive loss:</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gridSpan w:val="6"/>
          </w:tcPr>
          <w:p>
            <w:pPr>
              <w:ind w:left="3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55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r>
      <w:tr>
        <w:trPr>
          <w:trHeight w:val="142"/>
        </w:trPr>
        <w:tc>
          <w:tcPr>
            <w:tcW w:w="55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378</w:t>
            </w: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8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60" w:type="dxa"/>
            <w:vAlign w:val="bottom"/>
          </w:tcPr>
          <w:p>
            <w:pPr>
              <w:spacing w:after="0"/>
              <w:rPr>
                <w:sz w:val="19"/>
                <w:szCs w:val="19"/>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stock-based compensation</w:t>
            </w:r>
          </w:p>
        </w:tc>
        <w:tc>
          <w:tcPr>
            <w:tcW w:w="3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414</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741</w:t>
            </w:r>
          </w:p>
        </w:tc>
      </w:tr>
      <w:tr>
        <w:trPr>
          <w:trHeight w:val="20"/>
        </w:trPr>
        <w:tc>
          <w:tcPr>
            <w:tcW w:w="55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As of December 31, 2020, there was approximately $2.3 million of unrecognized stock-based compensation, which the Company expects to recognize over a weighted-average period of 3.0 years.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11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fair value of the Company’s stock option awards is estimated on the date of grant using the Black-Scholes option pricing model using the following assumptions: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w w:val="96"/>
              </w:rPr>
              <w:t>Year Ended December 31,</w:t>
            </w:r>
          </w:p>
        </w:tc>
        <w:tc>
          <w:tcPr>
            <w:tcW w:w="900" w:type="dxa"/>
            <w:vAlign w:val="bottom"/>
            <w:tcBorders>
              <w:bottom w:val="single" w:sz="8" w:color="auto"/>
            </w:tcBorders>
          </w:tcPr>
          <w:p>
            <w:pPr>
              <w:spacing w:after="0"/>
              <w:rPr>
                <w:sz w:val="14"/>
                <w:szCs w:val="14"/>
                <w:color w:val="auto"/>
              </w:rPr>
            </w:pPr>
          </w:p>
        </w:tc>
      </w:tr>
      <w:tr>
        <w:trPr>
          <w:trHeight w:val="142"/>
        </w:trPr>
        <w:tc>
          <w:tcPr>
            <w:tcW w:w="3560" w:type="dxa"/>
            <w:vAlign w:val="bottom"/>
            <w:tcBorders>
              <w:bottom w:val="single" w:sz="8" w:color="CCEEFF"/>
            </w:tcBorders>
          </w:tcPr>
          <w:p>
            <w:pPr>
              <w:spacing w:after="0"/>
              <w:rPr>
                <w:sz w:val="12"/>
                <w:szCs w:val="12"/>
                <w:color w:val="auto"/>
              </w:rPr>
            </w:pPr>
          </w:p>
        </w:tc>
        <w:tc>
          <w:tcPr>
            <w:tcW w:w="3920" w:type="dxa"/>
            <w:vAlign w:val="bottom"/>
            <w:tcBorders>
              <w:bottom w:val="single" w:sz="8" w:color="CCEEFF"/>
            </w:tcBorders>
          </w:tcPr>
          <w:p>
            <w:pPr>
              <w:spacing w:after="0"/>
              <w:rPr>
                <w:sz w:val="12"/>
                <w:szCs w:val="12"/>
                <w:color w:val="auto"/>
              </w:rPr>
            </w:pPr>
          </w:p>
        </w:tc>
        <w:tc>
          <w:tcPr>
            <w:tcW w:w="1660" w:type="dxa"/>
            <w:vAlign w:val="bottom"/>
            <w:tcBorders>
              <w:bottom w:val="single" w:sz="8" w:color="auto"/>
            </w:tcBorders>
            <w:gridSpan w:val="2"/>
          </w:tcPr>
          <w:p>
            <w:pPr>
              <w:jc w:val="right"/>
              <w:ind w:right="615"/>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1660" w:type="dxa"/>
            <w:vAlign w:val="bottom"/>
            <w:tcBorders>
              <w:bottom w:val="single" w:sz="8" w:color="auto"/>
            </w:tcBorders>
            <w:gridSpan w:val="2"/>
          </w:tcPr>
          <w:p>
            <w:pPr>
              <w:jc w:val="right"/>
              <w:ind w:right="610"/>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39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6.1</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6.1</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Expected volatility</w:t>
            </w:r>
          </w:p>
        </w:tc>
        <w:tc>
          <w:tcPr>
            <w:tcW w:w="468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 192%</w:t>
            </w:r>
          </w:p>
        </w:tc>
        <w:tc>
          <w:tcPr>
            <w:tcW w:w="760" w:type="dxa"/>
            <w:vAlign w:val="bottom"/>
          </w:tcPr>
          <w:p>
            <w:pPr>
              <w:jc w:val="right"/>
              <w:spacing w:after="0"/>
              <w:rPr>
                <w:sz w:val="20"/>
                <w:szCs w:val="20"/>
                <w:color w:val="auto"/>
              </w:rPr>
            </w:pPr>
            <w:r>
              <w:rPr>
                <w:rFonts w:ascii="Arial" w:cs="Arial" w:eastAsia="Arial" w:hAnsi="Arial"/>
                <w:sz w:val="18"/>
                <w:szCs w:val="18"/>
                <w:color w:val="auto"/>
              </w:rPr>
              <w:t>178%</w:t>
            </w:r>
          </w:p>
        </w:tc>
        <w:tc>
          <w:tcPr>
            <w:tcW w:w="900" w:type="dxa"/>
            <w:vAlign w:val="bottom"/>
          </w:tcPr>
          <w:p>
            <w:pPr>
              <w:ind w:left="20"/>
              <w:spacing w:after="0"/>
              <w:rPr>
                <w:sz w:val="20"/>
                <w:szCs w:val="20"/>
                <w:color w:val="auto"/>
              </w:rPr>
            </w:pPr>
            <w:r>
              <w:rPr>
                <w:rFonts w:ascii="Arial" w:cs="Arial" w:eastAsia="Arial" w:hAnsi="Arial"/>
                <w:sz w:val="18"/>
                <w:szCs w:val="18"/>
                <w:color w:val="auto"/>
              </w:rPr>
              <w:t>– 183%</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2.5%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1.5%</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920" w:type="dxa"/>
            <w:vAlign w:val="bottom"/>
          </w:tcPr>
          <w:p>
            <w:pPr>
              <w:spacing w:after="0"/>
              <w:rPr>
                <w:sz w:val="20"/>
                <w:szCs w:val="20"/>
                <w:color w:val="auto"/>
              </w:rPr>
            </w:pPr>
          </w:p>
        </w:tc>
        <w:tc>
          <w:tcPr>
            <w:tcW w:w="1880" w:type="dxa"/>
            <w:vAlign w:val="bottom"/>
            <w:gridSpan w:val="3"/>
          </w:tcPr>
          <w:p>
            <w:pPr>
              <w:jc w:val="center"/>
              <w:ind w:right="220"/>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center"/>
              <w:spacing w:after="0"/>
              <w:rPr>
                <w:sz w:val="20"/>
                <w:szCs w:val="20"/>
                <w:color w:val="auto"/>
              </w:rPr>
            </w:pPr>
            <w:r>
              <w:rPr>
                <w:rFonts w:ascii="Arial" w:cs="Arial" w:eastAsia="Arial" w:hAnsi="Arial"/>
                <w:sz w:val="18"/>
                <w:szCs w:val="18"/>
                <w:color w:val="auto"/>
                <w:w w:val="93"/>
              </w:rPr>
              <w:t>—%</w:t>
            </w:r>
          </w:p>
        </w:tc>
      </w:tr>
      <w:tr>
        <w:trPr>
          <w:trHeight w:val="350"/>
        </w:trPr>
        <w:tc>
          <w:tcPr>
            <w:tcW w:w="3560" w:type="dxa"/>
            <w:vAlign w:val="bottom"/>
          </w:tcPr>
          <w:p>
            <w:pPr>
              <w:spacing w:after="0"/>
              <w:rPr>
                <w:sz w:val="24"/>
                <w:szCs w:val="24"/>
                <w:color w:val="auto"/>
              </w:rPr>
            </w:pPr>
          </w:p>
        </w:tc>
        <w:tc>
          <w:tcPr>
            <w:tcW w:w="4680" w:type="dxa"/>
            <w:vAlign w:val="bottom"/>
            <w:gridSpan w:val="2"/>
          </w:tcPr>
          <w:p>
            <w:pPr>
              <w:jc w:val="right"/>
              <w:ind w:right="2476"/>
              <w:spacing w:after="0"/>
              <w:rPr>
                <w:sz w:val="20"/>
                <w:szCs w:val="20"/>
                <w:color w:val="auto"/>
              </w:rPr>
            </w:pPr>
            <w:r>
              <w:rPr>
                <w:rFonts w:ascii="Arial" w:cs="Arial" w:eastAsia="Arial" w:hAnsi="Arial"/>
                <w:sz w:val="18"/>
                <w:szCs w:val="18"/>
                <w:color w:val="auto"/>
              </w:rPr>
              <w:t>F-21</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assumptions used to determine the fair value of options granted were as follows. Each of these inputs is subjective and generally requires significant judgement.</w:t>
      </w:r>
    </w:p>
    <w:p>
      <w:pPr>
        <w:spacing w:after="0" w:line="62" w:lineRule="exact"/>
        <w:rPr>
          <w:sz w:val="20"/>
          <w:szCs w:val="20"/>
          <w:color w:val="auto"/>
        </w:rPr>
      </w:pPr>
    </w:p>
    <w:p>
      <w:pPr>
        <w:ind w:left="560" w:right="380" w:firstLine="423"/>
        <w:spacing w:after="0" w:line="263"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b w:val="1"/>
          <w:bCs w:val="1"/>
          <w:i w:val="1"/>
          <w:iCs w:val="1"/>
          <w:color w:val="auto"/>
        </w:rPr>
        <w:t>—</w:t>
      </w:r>
      <w:r>
        <w:rPr>
          <w:rFonts w:ascii="Arial" w:cs="Arial" w:eastAsia="Arial" w:hAnsi="Arial"/>
          <w:sz w:val="18"/>
          <w:szCs w:val="18"/>
          <w:color w:val="auto"/>
        </w:rPr>
        <w:t>The Company determines the expected term, which represents the period that stock-based awards are expected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in accordance with the simplified method due to its limited operating history, which is presumed to be the mid-point between the contractual term and the vesting period.</w:t>
      </w:r>
    </w:p>
    <w:p>
      <w:pPr>
        <w:spacing w:after="0" w:line="76" w:lineRule="exact"/>
        <w:rPr>
          <w:sz w:val="20"/>
          <w:szCs w:val="20"/>
          <w:color w:val="auto"/>
        </w:rPr>
      </w:pPr>
    </w:p>
    <w:p>
      <w:pPr>
        <w:ind w:left="560" w:right="120" w:firstLine="423"/>
        <w:spacing w:after="0" w:line="259"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b w:val="1"/>
          <w:bCs w:val="1"/>
          <w:i w:val="1"/>
          <w:iCs w:val="1"/>
          <w:color w:val="auto"/>
        </w:rPr>
        <w:t>—</w:t>
      </w:r>
      <w:r>
        <w:rPr>
          <w:rFonts w:ascii="Arial" w:cs="Arial" w:eastAsia="Arial" w:hAnsi="Arial"/>
          <w:sz w:val="18"/>
          <w:szCs w:val="18"/>
          <w:color w:val="auto"/>
        </w:rPr>
        <w:t>As there is no trading history for the Company’s common stock, the Company determines its computation of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on the historical volatility of a representative group of public companies with similar characteristics to the Company, including stage of product development and life science industry focus. The historical volatility is calculated based on a period of time commensurate with the expected term assumption.</w:t>
      </w:r>
    </w:p>
    <w:p>
      <w:pPr>
        <w:spacing w:after="0" w:line="79" w:lineRule="exact"/>
        <w:rPr>
          <w:sz w:val="20"/>
          <w:szCs w:val="20"/>
          <w:color w:val="auto"/>
        </w:rPr>
      </w:pPr>
    </w:p>
    <w:p>
      <w:pPr>
        <w:ind w:left="560" w:right="80" w:firstLine="423"/>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b w:val="1"/>
          <w:bCs w:val="1"/>
          <w:i w:val="1"/>
          <w:iCs w:val="1"/>
          <w:color w:val="auto"/>
        </w:rPr>
        <w:t>—</w:t>
      </w:r>
      <w:r>
        <w:rPr>
          <w:rFonts w:ascii="Arial" w:cs="Arial" w:eastAsia="Arial" w:hAnsi="Arial"/>
          <w:sz w:val="18"/>
          <w:szCs w:val="18"/>
          <w:color w:val="auto"/>
        </w:rPr>
        <w:t>The Company bases the risk-free interest rate on U.S. Treasury zero coupon issues in effect at the time of grant for</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corresponding with the expected term assumption.</w:t>
      </w:r>
    </w:p>
    <w:p>
      <w:pPr>
        <w:spacing w:after="0" w:line="62" w:lineRule="exact"/>
        <w:rPr>
          <w:sz w:val="20"/>
          <w:szCs w:val="20"/>
          <w:color w:val="auto"/>
        </w:rPr>
      </w:pPr>
    </w:p>
    <w:p>
      <w:pPr>
        <w:ind w:left="560" w:right="260" w:firstLine="423"/>
        <w:spacing w:after="0" w:line="277" w:lineRule="auto"/>
        <w:rPr>
          <w:sz w:val="20"/>
          <w:szCs w:val="20"/>
          <w:color w:val="auto"/>
        </w:rPr>
      </w:pPr>
      <w:r>
        <w:rPr>
          <w:rFonts w:ascii="Arial" w:cs="Arial" w:eastAsia="Arial" w:hAnsi="Arial"/>
          <w:sz w:val="18"/>
          <w:szCs w:val="18"/>
          <w:i w:val="1"/>
          <w:iCs w:val="1"/>
          <w:color w:val="auto"/>
        </w:rPr>
        <w:t>Expected Dividend Yield</w:t>
      </w:r>
      <w:r>
        <w:rPr>
          <w:rFonts w:ascii="Arial" w:cs="Arial" w:eastAsia="Arial" w:hAnsi="Arial"/>
          <w:sz w:val="18"/>
          <w:szCs w:val="18"/>
          <w:b w:val="1"/>
          <w:bCs w:val="1"/>
          <w:i w:val="1"/>
          <w:iCs w:val="1"/>
          <w:color w:val="auto"/>
        </w:rPr>
        <w:t>—</w:t>
      </w:r>
      <w:r>
        <w:rPr>
          <w:rFonts w:ascii="Arial" w:cs="Arial" w:eastAsia="Arial" w:hAnsi="Arial"/>
          <w:sz w:val="18"/>
          <w:szCs w:val="18"/>
          <w:color w:val="auto"/>
        </w:rPr>
        <w:t>The expected dividend yield is assumed to be zero as the Company has never paid and has no plans to pay any</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on its common stock.</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The 2016 Plan allows the Company to grant stock options that may be exercised by option holders prior to vesting, subject to certain limitations. The Company has also issued restricted stock awards to certain employees and non-employee founders under its 2016 Plan. The shares related to early exercised stock options and restricted stock are subject to the Company’s lapsing repurchase right upon termination at the original purchase price. In order to vest, the holders are required to provide continued service to the Company.</w:t>
      </w:r>
    </w:p>
    <w:p>
      <w:pPr>
        <w:spacing w:after="0" w:line="17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proceeds from early exercises are initially recorded in accrued expenses and other current liabilities and other non-current liabilities and are reclassified to common stock and additional paid-in capital the vesting conditions are met and the repurchase right lapses. As of December 31, 2019 and 2020, $0.1 million and $53,000 was recorded as liabilities on the balance sheets.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summary of restricted stock activity is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8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48"/>
        </w:trPr>
        <w:tc>
          <w:tcPr>
            <w:tcW w:w="8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8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Value at</w:t>
            </w:r>
          </w:p>
        </w:tc>
        <w:tc>
          <w:tcPr>
            <w:tcW w:w="0" w:type="dxa"/>
            <w:vAlign w:val="bottom"/>
          </w:tcPr>
          <w:p>
            <w:pPr>
              <w:spacing w:after="0"/>
              <w:rPr>
                <w:sz w:val="1"/>
                <w:szCs w:val="1"/>
                <w:color w:val="auto"/>
              </w:rPr>
            </w:pPr>
          </w:p>
        </w:tc>
      </w:tr>
      <w:tr>
        <w:trPr>
          <w:trHeight w:val="148"/>
        </w:trPr>
        <w:tc>
          <w:tcPr>
            <w:tcW w:w="8580" w:type="dxa"/>
            <w:vAlign w:val="bottom"/>
          </w:tcPr>
          <w:p>
            <w:pPr>
              <w:spacing w:after="0"/>
              <w:rPr>
                <w:sz w:val="12"/>
                <w:szCs w:val="12"/>
                <w:color w:val="auto"/>
              </w:rPr>
            </w:pPr>
          </w:p>
        </w:tc>
        <w:tc>
          <w:tcPr>
            <w:tcW w:w="118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w w:val="94"/>
              </w:rPr>
              <w:t>Number of</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48"/>
        </w:trPr>
        <w:tc>
          <w:tcPr>
            <w:tcW w:w="858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of Grant</w:t>
            </w:r>
          </w:p>
        </w:tc>
        <w:tc>
          <w:tcPr>
            <w:tcW w:w="0" w:type="dxa"/>
            <w:vAlign w:val="bottom"/>
          </w:tcPr>
          <w:p>
            <w:pPr>
              <w:spacing w:after="0"/>
              <w:rPr>
                <w:sz w:val="1"/>
                <w:szCs w:val="1"/>
                <w:color w:val="auto"/>
              </w:rPr>
            </w:pPr>
          </w:p>
        </w:tc>
      </w:tr>
      <w:tr>
        <w:trPr>
          <w:trHeight w:val="171"/>
        </w:trPr>
        <w:tc>
          <w:tcPr>
            <w:tcW w:w="8580" w:type="dxa"/>
            <w:vAlign w:val="bottom"/>
          </w:tcPr>
          <w:p>
            <w:pPr>
              <w:spacing w:after="0"/>
              <w:rPr>
                <w:sz w:val="14"/>
                <w:szCs w:val="14"/>
                <w:color w:val="auto"/>
              </w:rPr>
            </w:pPr>
          </w:p>
        </w:tc>
        <w:tc>
          <w:tcPr>
            <w:tcW w:w="11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10"/>
        </w:trPr>
        <w:tc>
          <w:tcPr>
            <w:tcW w:w="8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as of December 31, 2019</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331,089</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Vested</w:t>
            </w: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w w:val="95"/>
              </w:rPr>
              <w:t>(191,934)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Repurchased</w:t>
            </w:r>
          </w:p>
        </w:tc>
        <w:tc>
          <w:tcPr>
            <w:tcW w:w="1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(1,028)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Unvested as of December 31, 2020</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138,127</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Employee Recourse Notes</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2017 and 2018, the Company entered into full recourse notes with certain employees, including one of its officers, upon the exercise of stock options that are treated as substantive exercises for accounting purposes. The Company has the right to repurchase unvested shares up to 90 days after employment is terminated. As of December 31, 2020, the principal and accrued interest amount of the notes was $87,000. The notes are presented in the statements of convertible preferred stock and stockholders’ deficit.</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40"/>
          </w:cols>
          <w:pgMar w:left="320" w:top="459" w:right="43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No provision for, or benefit from, income taxes was recorded during the years ended December 31, 2019 and 2020. The Company has established a full valuation allowance against its net deferred tax assets due to the uncertainty regarding the realization of such assets. All losses to date have been incurred in the United States. Deferred income taxes reflect the net tax effects of (a) temporary differences between the carrying amounts of assets and liabilities for financial reporting purposes and the amounts used for income tax purposes, and (b) operating losses and tax credit carryforwards.</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Effective Tax Rate Reconciliation</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effective tax rate of the Company’s provision for income taxes differs from the federal statutory rate and the effective tax rate reconciliation is as follows: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9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9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U.S. federal taxes at statutory rate</w:t>
            </w:r>
          </w:p>
        </w:tc>
        <w:tc>
          <w:tcPr>
            <w:tcW w:w="700" w:type="dxa"/>
            <w:vAlign w:val="bottom"/>
            <w:gridSpan w:val="3"/>
            <w:shd w:val="clear" w:color="auto" w:fill="CCEEFF"/>
          </w:tcPr>
          <w:p>
            <w:pPr>
              <w:jc w:val="right"/>
              <w:ind w:right="35"/>
              <w:spacing w:after="0"/>
              <w:rPr>
                <w:sz w:val="20"/>
                <w:szCs w:val="20"/>
                <w:color w:val="auto"/>
              </w:rPr>
            </w:pPr>
            <w:r>
              <w:rPr>
                <w:rFonts w:ascii="Arial" w:cs="Arial" w:eastAsia="Arial" w:hAnsi="Arial"/>
                <w:sz w:val="18"/>
                <w:szCs w:val="18"/>
                <w:color w:val="auto"/>
              </w:rPr>
              <w:t>21.0%</w:t>
            </w:r>
          </w:p>
        </w:tc>
        <w:tc>
          <w:tcPr>
            <w:tcW w:w="82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Credits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8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700" w:type="dxa"/>
            <w:vAlign w:val="bottom"/>
            <w:gridSpan w:val="3"/>
          </w:tcPr>
          <w:p>
            <w:pPr>
              <w:jc w:val="right"/>
              <w:ind w:right="135"/>
              <w:spacing w:after="0"/>
              <w:rPr>
                <w:sz w:val="20"/>
                <w:szCs w:val="20"/>
                <w:color w:val="auto"/>
              </w:rPr>
            </w:pPr>
            <w:r>
              <w:rPr>
                <w:rFonts w:ascii="Arial" w:cs="Arial" w:eastAsia="Arial" w:hAnsi="Arial"/>
                <w:sz w:val="18"/>
                <w:szCs w:val="18"/>
                <w:color w:val="auto"/>
              </w:rPr>
              <w:t>(0.2)</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Section 382 limitation on tax attribute carryforwards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700" w:type="dxa"/>
            <w:vAlign w:val="bottom"/>
            <w:gridSpan w:val="3"/>
          </w:tcPr>
          <w:p>
            <w:pPr>
              <w:jc w:val="right"/>
              <w:ind w:right="135"/>
              <w:spacing w:after="0"/>
              <w:rPr>
                <w:sz w:val="20"/>
                <w:szCs w:val="20"/>
                <w:color w:val="auto"/>
              </w:rPr>
            </w:pPr>
            <w:r>
              <w:rPr>
                <w:rFonts w:ascii="Arial" w:cs="Arial" w:eastAsia="Arial" w:hAnsi="Arial"/>
                <w:sz w:val="18"/>
                <w:szCs w:val="18"/>
                <w:color w:val="auto"/>
                <w:w w:val="97"/>
              </w:rPr>
              <w:t>(30.7)</w:t>
            </w:r>
          </w:p>
        </w:tc>
        <w:tc>
          <w:tcPr>
            <w:tcW w:w="1300" w:type="dxa"/>
            <w:vAlign w:val="bottom"/>
            <w:gridSpan w:val="4"/>
          </w:tcPr>
          <w:p>
            <w:pPr>
              <w:jc w:val="right"/>
              <w:ind w:right="4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00" w:type="dxa"/>
            <w:vAlign w:val="bottom"/>
            <w:gridSpan w:val="3"/>
            <w:shd w:val="clear" w:color="auto" w:fill="CCEEFF"/>
          </w:tcPr>
          <w:p>
            <w:pPr>
              <w:jc w:val="right"/>
              <w:ind w:right="135"/>
              <w:spacing w:after="0"/>
              <w:rPr>
                <w:sz w:val="20"/>
                <w:szCs w:val="20"/>
                <w:color w:val="auto"/>
              </w:rPr>
            </w:pPr>
            <w:r>
              <w:rPr>
                <w:rFonts w:ascii="Arial" w:cs="Arial" w:eastAsia="Arial" w:hAnsi="Arial"/>
                <w:sz w:val="18"/>
                <w:szCs w:val="18"/>
                <w:color w:val="auto"/>
              </w:rPr>
              <w:t>(0.1)</w:t>
            </w:r>
          </w:p>
        </w:tc>
        <w:tc>
          <w:tcPr>
            <w:tcW w:w="8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0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900" w:type="dxa"/>
            <w:vAlign w:val="bottom"/>
            <w:vMerge w:val="continue"/>
          </w:tcPr>
          <w:p>
            <w:pPr>
              <w:spacing w:after="0"/>
              <w:rPr>
                <w:sz w:val="19"/>
                <w:szCs w:val="19"/>
                <w:color w:val="auto"/>
              </w:rPr>
            </w:pPr>
          </w:p>
        </w:tc>
        <w:tc>
          <w:tcPr>
            <w:tcW w:w="700" w:type="dxa"/>
            <w:vAlign w:val="bottom"/>
            <w:gridSpan w:val="3"/>
          </w:tcPr>
          <w:p>
            <w:pPr>
              <w:jc w:val="right"/>
              <w:ind w:right="35"/>
              <w:spacing w:after="0"/>
              <w:rPr>
                <w:sz w:val="20"/>
                <w:szCs w:val="20"/>
                <w:color w:val="auto"/>
              </w:rPr>
            </w:pPr>
            <w:r>
              <w:rPr>
                <w:rFonts w:ascii="Arial" w:cs="Arial" w:eastAsia="Arial" w:hAnsi="Arial"/>
                <w:sz w:val="18"/>
                <w:szCs w:val="18"/>
                <w:color w:val="auto"/>
              </w:rPr>
              <w:t>0.0%</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8900" w:type="dxa"/>
            <w:vAlign w:val="bottom"/>
            <w:vMerge w:val="restart"/>
          </w:tcPr>
          <w:p>
            <w:pPr>
              <w:ind w:left="440"/>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9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Borders>
              <w:bottom w:val="single" w:sz="8" w:color="auto"/>
            </w:tcBorders>
            <w:gridSpan w:val="2"/>
          </w:tcPr>
          <w:p>
            <w:pPr>
              <w:jc w:val="right"/>
              <w:ind w:right="15"/>
              <w:spacing w:after="0" w:line="142" w:lineRule="exact"/>
              <w:rPr>
                <w:sz w:val="20"/>
                <w:szCs w:val="20"/>
                <w:color w:val="auto"/>
              </w:rPr>
            </w:pPr>
            <w:r>
              <w:rPr>
                <w:rFonts w:ascii="Arial" w:cs="Arial" w:eastAsia="Arial" w:hAnsi="Arial"/>
                <w:sz w:val="14"/>
                <w:szCs w:val="14"/>
                <w:b w:val="1"/>
                <w:bCs w:val="1"/>
                <w:color w:val="auto"/>
              </w:rPr>
              <w:t>2019</w:t>
            </w:r>
          </w:p>
        </w:tc>
        <w:tc>
          <w:tcPr>
            <w:tcW w:w="8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42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Additions based on tax positions related to current year</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473</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12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Additions based on tax positions related to prior years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271</w:t>
            </w:r>
          </w:p>
        </w:tc>
        <w:tc>
          <w:tcPr>
            <w:tcW w:w="8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Reductions for tax positions related to prior years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42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744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Company does not expect that its uncertain tax positions will materially change in the next twelve months. The reversal of the uncertain tax benefits would not impact the Company’s effective tax rate as the Company continues to maintain a full valuation allowance against its deferred tax assets.</w:t>
      </w:r>
    </w:p>
    <w:p>
      <w:pPr>
        <w:spacing w:after="0" w:line="184"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Company files tax returns in U.S. federal and state with varying statutes of limitations. Due to net operating loss and credit carryforwards, all of the tax years since inception through the 2020 tax year remain subject to examination by the U.S. federal and state authorities. The Company is currently not subject to any income tax audits by federal or state taxing authorities.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40"/>
          </w:cols>
          <w:pgMar w:left="320" w:top="459" w:right="43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Deferred Income Taxes</w:t>
      </w:r>
    </w:p>
    <w:p>
      <w:pPr>
        <w:spacing w:after="0" w:line="11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tax effects of significant items comprising the Company’s deferred income taxes are as follows</w:t>
      </w:r>
      <w:r>
        <w:rPr>
          <w:rFonts w:ascii="Arial" w:cs="Arial" w:eastAsia="Arial" w:hAnsi="Arial"/>
          <w:sz w:val="18"/>
          <w:szCs w:val="18"/>
          <w:b w:val="1"/>
          <w:bCs w:val="1"/>
          <w:color w:val="auto"/>
        </w:rPr>
        <w:t>:</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89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142"/>
        </w:trPr>
        <w:tc>
          <w:tcPr>
            <w:tcW w:w="8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Net operating losses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11,820</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20,917</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credits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1,684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1,346</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Accrued expenses and other</w:t>
            </w: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696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918</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Tenant improvements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1,085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896</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93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120</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r>
      <w:tr>
        <w:trPr>
          <w:trHeight w:val="27"/>
        </w:trPr>
        <w:tc>
          <w:tcPr>
            <w:tcW w:w="8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deferred tax assets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15,418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24,287</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(15,418)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(24,287)</w:t>
            </w:r>
          </w:p>
        </w:tc>
      </w:tr>
      <w:tr>
        <w:trPr>
          <w:trHeight w:val="27"/>
        </w:trPr>
        <w:tc>
          <w:tcPr>
            <w:tcW w:w="8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deferred tax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8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color w:val="auto"/>
        </w:rPr>
        <w:t>The tax benefit of net operating losses, temporary differences and credit carryforwards are recorded as an asset to the extent that the Company assesses that realization is more likely than not. Realization of the future tax benefits is dependent on the Company’s ability to generate sufficient taxable income within the carryforward period. As a result of the Company’s recent history of operating losses, the Company believes that recognition of deferred tax assets arising from the above-mentioned future tax benefits is currently not likely to be realized and, accordingly, has provided a full valuation allowance. The valuation allowance increased by $7.4 million and $8.9 million during the years ended December 31, 2019 and 2020. The increase in the valuation allowance during the year ended December 31, 2020 would have been larger but for the reduction in net operating loss and tax credit carryforwards limited under Section 382. The impact of the Section 382 limitation resulted in the reduction of deferred tax assets for federal research credits and state net operating loss carryforwards, with an offsetting reduction of the valuation allowance.</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Net Operating Loss and Tax Credit Carryforwards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2020, the Company’s net operating loss and tax carryforwards are summarized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Amount</w:t>
            </w:r>
          </w:p>
        </w:tc>
        <w:tc>
          <w:tcPr>
            <w:tcW w:w="2040" w:type="dxa"/>
            <w:vAlign w:val="bottom"/>
          </w:tcPr>
          <w:p>
            <w:pPr>
              <w:ind w:left="420"/>
              <w:spacing w:after="0"/>
              <w:rPr>
                <w:sz w:val="20"/>
                <w:szCs w:val="20"/>
                <w:color w:val="auto"/>
              </w:rPr>
            </w:pPr>
            <w:r>
              <w:rPr>
                <w:rFonts w:ascii="Arial" w:cs="Arial" w:eastAsia="Arial" w:hAnsi="Arial"/>
                <w:sz w:val="14"/>
                <w:szCs w:val="14"/>
                <w:b w:val="1"/>
                <w:bCs w:val="1"/>
                <w:color w:val="auto"/>
              </w:rPr>
              <w:t>Expiration in years</w:t>
            </w:r>
          </w:p>
        </w:tc>
      </w:tr>
      <w:tr>
        <w:trPr>
          <w:trHeight w:val="209"/>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operating losses, federal (post-December 31, 2017)</w:t>
            </w:r>
          </w:p>
        </w:tc>
        <w:tc>
          <w:tcPr>
            <w:tcW w:w="19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75,431</w:t>
            </w:r>
          </w:p>
        </w:tc>
        <w:tc>
          <w:tcPr>
            <w:tcW w:w="28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Do Not Expire</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operating losses, federal (pre-January 1, 2018)</w:t>
            </w:r>
          </w:p>
        </w:tc>
        <w:tc>
          <w:tcPr>
            <w:tcW w:w="3020" w:type="dxa"/>
            <w:vAlign w:val="bottom"/>
            <w:gridSpan w:val="3"/>
          </w:tcPr>
          <w:p>
            <w:pPr>
              <w:jc w:val="right"/>
              <w:ind w:right="280"/>
              <w:spacing w:after="0"/>
              <w:rPr>
                <w:sz w:val="20"/>
                <w:szCs w:val="20"/>
                <w:color w:val="auto"/>
              </w:rPr>
            </w:pPr>
            <w:r>
              <w:rPr>
                <w:rFonts w:ascii="Arial" w:cs="Arial" w:eastAsia="Arial" w:hAnsi="Arial"/>
                <w:sz w:val="18"/>
                <w:szCs w:val="18"/>
                <w:color w:val="auto"/>
              </w:rPr>
              <w:t>3,093</w:t>
            </w:r>
          </w:p>
        </w:tc>
        <w:tc>
          <w:tcPr>
            <w:tcW w:w="2040" w:type="dxa"/>
            <w:vAlign w:val="bottom"/>
          </w:tcPr>
          <w:p>
            <w:pPr>
              <w:spacing w:after="0"/>
              <w:rPr>
                <w:sz w:val="20"/>
                <w:szCs w:val="20"/>
                <w:color w:val="auto"/>
              </w:rPr>
            </w:pPr>
            <w:r>
              <w:rPr>
                <w:rFonts w:ascii="Arial" w:cs="Arial" w:eastAsia="Arial" w:hAnsi="Arial"/>
                <w:sz w:val="18"/>
                <w:szCs w:val="18"/>
                <w:color w:val="auto"/>
              </w:rPr>
              <w:t>Begins to Expire 2036</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losses, state</w:t>
            </w:r>
          </w:p>
        </w:tc>
        <w:tc>
          <w:tcPr>
            <w:tcW w:w="3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62,508</w:t>
            </w: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Begins to Expire 2036</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Tax credits, federal</w:t>
            </w:r>
          </w:p>
        </w:tc>
        <w:tc>
          <w:tcPr>
            <w:tcW w:w="3020" w:type="dxa"/>
            <w:vAlign w:val="bottom"/>
            <w:gridSpan w:val="3"/>
          </w:tcPr>
          <w:p>
            <w:pPr>
              <w:jc w:val="right"/>
              <w:ind w:right="280"/>
              <w:spacing w:after="0"/>
              <w:rPr>
                <w:sz w:val="20"/>
                <w:szCs w:val="20"/>
                <w:color w:val="auto"/>
              </w:rPr>
            </w:pPr>
            <w:r>
              <w:rPr>
                <w:rFonts w:ascii="Arial" w:cs="Arial" w:eastAsia="Arial" w:hAnsi="Arial"/>
                <w:sz w:val="18"/>
                <w:szCs w:val="18"/>
                <w:color w:val="auto"/>
              </w:rPr>
              <w:t>244</w:t>
            </w:r>
          </w:p>
        </w:tc>
        <w:tc>
          <w:tcPr>
            <w:tcW w:w="2040" w:type="dxa"/>
            <w:vAlign w:val="bottom"/>
          </w:tcPr>
          <w:p>
            <w:pPr>
              <w:spacing w:after="0"/>
              <w:rPr>
                <w:sz w:val="20"/>
                <w:szCs w:val="20"/>
                <w:color w:val="auto"/>
              </w:rPr>
            </w:pPr>
            <w:r>
              <w:rPr>
                <w:rFonts w:ascii="Arial" w:cs="Arial" w:eastAsia="Arial" w:hAnsi="Arial"/>
                <w:sz w:val="18"/>
                <w:szCs w:val="18"/>
                <w:color w:val="auto"/>
              </w:rPr>
              <w:t>Begins to Expire 2036</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Tax credits, state</w:t>
            </w:r>
          </w:p>
        </w:tc>
        <w:tc>
          <w:tcPr>
            <w:tcW w:w="3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2,068</w:t>
            </w: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Do Not Expire</w:t>
            </w:r>
          </w:p>
        </w:tc>
      </w:tr>
    </w:tbl>
    <w:p>
      <w:pPr>
        <w:spacing w:after="0" w:line="202"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Under Section 382 of the Internal Revenue Code of 1986, as amended, the ability to utilize net operating loss carryforwards or other tax attributes, such as research tax credits, in any taxable year may be limited if the Company has experienced an “ownership change”. This annual limitation may result in the expiration of net operating losses and credits before utilization. As of December 31, 2020, a formal study was conducted and concluded that the Company has experienced an ownership change in 2020. As a result, the Company has removed $3.1 million of deferred tax assets related to net operating loss carryforwards and research tax credit carryforwards due to Section 382 limitations. The Company’s ability to use its remaining net operating loss carryforwards may be further limited if the Company experiences a Section 382 ownership change as a result of future changes in its stock ownership.</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40"/>
          </w:cols>
          <w:pgMar w:left="320" w:top="459" w:right="43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Company recognizes interest and penalties related to taxes and uncertain tax positions as a component of income tax expense. During the years ended December 31, 2019 and 2020, no interest and penalties were accrued by the Company.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Net Loss Per Share</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following potentially dilutive securities were not included in the calculation of diluted net loss per share for the periods presented because the effect would have been anti-dilutive:</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920" w:type="dxa"/>
            <w:vAlign w:val="bottom"/>
          </w:tcPr>
          <w:p>
            <w:pPr>
              <w:spacing w:after="0"/>
              <w:rPr>
                <w:sz w:val="14"/>
                <w:szCs w:val="14"/>
                <w:color w:val="auto"/>
              </w:rPr>
            </w:pPr>
          </w:p>
        </w:tc>
        <w:tc>
          <w:tcPr>
            <w:tcW w:w="3100" w:type="dxa"/>
            <w:vAlign w:val="bottom"/>
            <w:gridSpan w:val="5"/>
          </w:tcPr>
          <w:p>
            <w:pPr>
              <w:ind w:left="7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792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74"/>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2"/>
                <w:szCs w:val="12"/>
                <w:color w:val="auto"/>
              </w:rPr>
            </w:pPr>
          </w:p>
        </w:tc>
      </w:tr>
      <w:tr>
        <w:trPr>
          <w:trHeight w:val="209"/>
        </w:trPr>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 preferred stock</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11,403,077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24,493,528</w:t>
            </w:r>
          </w:p>
        </w:tc>
        <w:tc>
          <w:tcPr>
            <w:tcW w:w="80" w:type="dxa"/>
            <w:vAlign w:val="bottom"/>
            <w:shd w:val="clear" w:color="auto" w:fill="CCEEFF"/>
          </w:tcPr>
          <w:p>
            <w:pPr>
              <w:spacing w:after="0"/>
              <w:rPr>
                <w:sz w:val="18"/>
                <w:szCs w:val="18"/>
                <w:color w:val="auto"/>
              </w:rPr>
            </w:pPr>
          </w:p>
        </w:tc>
      </w:tr>
      <w:tr>
        <w:trPr>
          <w:trHeight w:val="216"/>
        </w:trPr>
        <w:tc>
          <w:tcPr>
            <w:tcW w:w="7920" w:type="dxa"/>
            <w:vAlign w:val="bottom"/>
          </w:tcPr>
          <w:p>
            <w:pPr>
              <w:ind w:left="180"/>
              <w:spacing w:after="0"/>
              <w:rPr>
                <w:sz w:val="20"/>
                <w:szCs w:val="20"/>
                <w:color w:val="auto"/>
              </w:rPr>
            </w:pPr>
            <w:r>
              <w:rPr>
                <w:rFonts w:ascii="Arial" w:cs="Arial" w:eastAsia="Arial" w:hAnsi="Arial"/>
                <w:sz w:val="18"/>
                <w:szCs w:val="18"/>
                <w:color w:val="auto"/>
              </w:rPr>
              <w:t>Outstanding stock options</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880,816</w:t>
            </w:r>
          </w:p>
        </w:tc>
        <w:tc>
          <w:tcPr>
            <w:tcW w:w="2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1,160,808</w:t>
            </w:r>
          </w:p>
        </w:tc>
      </w:tr>
      <w:tr>
        <w:trPr>
          <w:trHeight w:val="216"/>
        </w:trPr>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subject to future vesting</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331,089</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138,127</w:t>
            </w:r>
          </w:p>
        </w:tc>
      </w:tr>
      <w:tr>
        <w:trPr>
          <w:trHeight w:val="223"/>
        </w:trPr>
        <w:tc>
          <w:tcPr>
            <w:tcW w:w="7920" w:type="dxa"/>
            <w:vAlign w:val="bottom"/>
          </w:tcPr>
          <w:p>
            <w:pPr>
              <w:ind w:left="360"/>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12,614,982</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25,792,463</w:t>
            </w:r>
          </w:p>
        </w:tc>
        <w:tc>
          <w:tcPr>
            <w:tcW w:w="80" w:type="dxa"/>
            <w:vAlign w:val="bottom"/>
          </w:tcPr>
          <w:p>
            <w:pPr>
              <w:spacing w:after="0"/>
              <w:rPr>
                <w:sz w:val="19"/>
                <w:szCs w:val="19"/>
                <w:color w:val="auto"/>
              </w:rPr>
            </w:pPr>
          </w:p>
        </w:tc>
      </w:tr>
      <w:tr>
        <w:trPr>
          <w:trHeight w:val="20"/>
        </w:trPr>
        <w:tc>
          <w:tcPr>
            <w:tcW w:w="79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8560"/>
        <w:spacing w:after="0"/>
        <w:rPr>
          <w:sz w:val="20"/>
          <w:szCs w:val="20"/>
          <w:color w:val="auto"/>
        </w:rPr>
      </w:pPr>
      <w:r>
        <w:rPr>
          <w:rFonts w:ascii="Arial" w:cs="Arial" w:eastAsia="Arial" w:hAnsi="Arial"/>
          <w:sz w:val="17"/>
          <w:szCs w:val="17"/>
          <w:b w:val="1"/>
          <w:bCs w:val="1"/>
          <w:color w:val="auto"/>
        </w:rPr>
        <w:t>12. Related Party Transactions</w:t>
      </w:r>
    </w:p>
    <w:p>
      <w:pPr>
        <w:spacing w:after="0" w:line="24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Gladstone Institutes</w:t>
      </w:r>
    </w:p>
    <w:p>
      <w:pPr>
        <w:spacing w:after="0" w:line="117"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Under the MCA, Gladstone performed specific research activities for the Company in accordance with the mutually agreed-upon annual project plans (see Note 5). During the year ended December 31, 2019, the Company recognized $0.4 million in research and development expenses in relation to the services provided by Gladstone. No such research services were provided during the year ended December 31, 2020. In addition, during the year ended December 31, 2019, the Company recognized $0.2 million in aggregate lab, license and patent fees and $75,000 in stock. During the year ended December 31, 2020, the Company recognized $0.1 million in aggregate lab, license and patent fees. As of December 31, 2019 and 2020, the related party balance included within accounts payable and accrued expenses was $10,000 and $nil.</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Scientific Founders</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During the years ended December 31, 2019 and 2020, the Company recognized a total of $0.2 million in each period in consulting expense paid to five of its scientific founders.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Subsequent Events</w:t>
      </w:r>
    </w:p>
    <w:p>
      <w:pPr>
        <w:spacing w:after="0" w:line="121" w:lineRule="exact"/>
        <w:rPr>
          <w:sz w:val="20"/>
          <w:szCs w:val="20"/>
          <w:color w:val="auto"/>
        </w:rPr>
      </w:pPr>
    </w:p>
    <w:p>
      <w:pPr>
        <w:ind w:left="120" w:right="360" w:firstLine="440"/>
        <w:spacing w:after="0" w:line="286" w:lineRule="auto"/>
        <w:rPr>
          <w:sz w:val="20"/>
          <w:szCs w:val="20"/>
          <w:color w:val="auto"/>
        </w:rPr>
      </w:pPr>
      <w:r>
        <w:rPr>
          <w:rFonts w:ascii="Arial" w:cs="Arial" w:eastAsia="Arial" w:hAnsi="Arial"/>
          <w:sz w:val="17"/>
          <w:szCs w:val="17"/>
          <w:color w:val="auto"/>
        </w:rPr>
        <w:t>The Company evaluated subsequent events from December 31, 2020, the date of these financial statements, through May 7, 2021, the date the financial statements were available for issuance, for events requiring recognition or disclosure in the financial statements for the year ended December 31, 2020, except for the 1-for-6 reverse stock split discussed below, which was evaluated through July 26, 2021.</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Series C Convertible Preferred Stock Issuance</w:t>
      </w:r>
    </w:p>
    <w:p>
      <w:pPr>
        <w:spacing w:after="0" w:line="11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In January 2021, the Company sold an additional 1,608,750 shares of Series C convertible preferred stock at the price of $12.432 per share for aggregate gross proceeds of $20.0 million.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Manufacturing and Office Space Lease Agreement</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 February 2021, the Company entered into a lease agreement for manufacturing and office space located in Union City, California. The lease has a ten-year term with one five-year renewal option. Upon the execution of the lease agreement, the Company provided the landlord with a security deposit of $3.3 million. Total lease payments during the lease term are expected to be $13.9 million.</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40"/>
          </w:cols>
          <w:pgMar w:left="320" w:top="459" w:right="43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2021 Stock Options Grants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January 2021, the Company granted 129,698 options to employees, each with an exercise price of $5.64 per share and a four-year vesting schedule. In February 2021, the Company granted 416,666 options to its chief executive officer, with an exercise price of $5.64 per share and a four-year vesting schedule.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In July 2021, the Company’s board of directors and stockholders approved an amendment to the Company’s amended and restated certificate of incorporation to effect a reverse split of shares of the Company’s common stock, convertible preferred stock and authorized shares on a 1-for-6 basis (the Reverse Stock Split) effective on July 23, 2021. The par value of the common stock and preferred stock was not adjusted as a result of the Reverse Stock Split. Accordingly, all share data and per share data amounts for all periods presented in the accompanying financial statements and notes thereto have been retrospectively adjusted to reflect the effect of the Reverse Stock Split.</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20"/>
          </w:cols>
          <w:pgMar w:left="320" w:top="459" w:right="45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TENAYA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Balance Sheets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8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89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4"/>
                <w:szCs w:val="14"/>
                <w:color w:val="auto"/>
              </w:rPr>
            </w:pPr>
          </w:p>
        </w:tc>
      </w:tr>
      <w:tr>
        <w:trPr>
          <w:trHeight w:val="196"/>
        </w:trPr>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128,535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128,439</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1,429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1,311</w:t>
            </w:r>
          </w:p>
        </w:tc>
      </w:tr>
      <w:tr>
        <w:trPr>
          <w:trHeight w:val="27"/>
        </w:trPr>
        <w:tc>
          <w:tcPr>
            <w:tcW w:w="8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129,964</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129,750</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1100" w:type="dxa"/>
            <w:vAlign w:val="bottom"/>
            <w:gridSpan w:val="3"/>
          </w:tcPr>
          <w:p>
            <w:pPr>
              <w:jc w:val="right"/>
              <w:ind w:right="440"/>
              <w:spacing w:after="0"/>
              <w:rPr>
                <w:sz w:val="20"/>
                <w:szCs w:val="20"/>
                <w:color w:val="auto"/>
              </w:rPr>
            </w:pPr>
            <w:r>
              <w:rPr>
                <w:rFonts w:ascii="Arial" w:cs="Arial" w:eastAsia="Arial" w:hAnsi="Arial"/>
                <w:sz w:val="18"/>
                <w:szCs w:val="18"/>
                <w:color w:val="auto"/>
              </w:rPr>
              <w:t>17,185</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21,267</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w:t>
            </w: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4,415</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Restricted cash, non-current</w:t>
            </w:r>
          </w:p>
        </w:tc>
        <w:tc>
          <w:tcPr>
            <w:tcW w:w="180" w:type="dxa"/>
            <w:vAlign w:val="bottom"/>
          </w:tcPr>
          <w:p>
            <w:pPr>
              <w:spacing w:after="0"/>
              <w:rPr>
                <w:sz w:val="18"/>
                <w:szCs w:val="18"/>
                <w:color w:val="auto"/>
              </w:rPr>
            </w:pPr>
          </w:p>
        </w:tc>
        <w:tc>
          <w:tcPr>
            <w:tcW w:w="1100" w:type="dxa"/>
            <w:vAlign w:val="bottom"/>
            <w:gridSpan w:val="3"/>
          </w:tcPr>
          <w:p>
            <w:pPr>
              <w:jc w:val="right"/>
              <w:ind w:right="440"/>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547</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465</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3,778</w:t>
            </w:r>
          </w:p>
        </w:tc>
      </w:tr>
      <w:tr>
        <w:trPr>
          <w:trHeight w:val="223"/>
        </w:trPr>
        <w:tc>
          <w:tcPr>
            <w:tcW w:w="890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148,161</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159,757</w:t>
            </w:r>
          </w:p>
        </w:tc>
        <w:tc>
          <w:tcPr>
            <w:tcW w:w="120" w:type="dxa"/>
            <w:vAlign w:val="bottom"/>
          </w:tcPr>
          <w:p>
            <w:pPr>
              <w:spacing w:after="0"/>
              <w:rPr>
                <w:sz w:val="19"/>
                <w:szCs w:val="19"/>
                <w:color w:val="auto"/>
              </w:rPr>
            </w:pPr>
          </w:p>
        </w:tc>
      </w:tr>
      <w:tr>
        <w:trPr>
          <w:trHeight w:val="20"/>
        </w:trPr>
        <w:tc>
          <w:tcPr>
            <w:tcW w:w="8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2,092</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3,161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2,128</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rent and other lease liabilities, current</w:t>
            </w: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863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Operating lease liabilities, current</w:t>
            </w:r>
          </w:p>
        </w:tc>
        <w:tc>
          <w:tcPr>
            <w:tcW w:w="180" w:type="dxa"/>
            <w:vAlign w:val="bottom"/>
          </w:tcPr>
          <w:p>
            <w:pPr>
              <w:spacing w:after="0"/>
              <w:rPr>
                <w:sz w:val="18"/>
                <w:szCs w:val="18"/>
                <w:color w:val="auto"/>
              </w:rPr>
            </w:pPr>
          </w:p>
        </w:tc>
        <w:tc>
          <w:tcPr>
            <w:tcW w:w="11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1,690</w:t>
            </w:r>
          </w:p>
        </w:tc>
      </w:tr>
      <w:tr>
        <w:trPr>
          <w:trHeight w:val="27"/>
        </w:trPr>
        <w:tc>
          <w:tcPr>
            <w:tcW w:w="8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5,910</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Deferred rent and other lease liabilities, non-current</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3,662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non-current</w:t>
            </w: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7,036</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r>
      <w:tr>
        <w:trPr>
          <w:trHeight w:val="27"/>
        </w:trPr>
        <w:tc>
          <w:tcPr>
            <w:tcW w:w="8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8,722</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12,965</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Commitments and contingencies (Note 6)</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8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Convertible preferred stock, $0.0001 par value; 26,102,301 shares authorized as of December 31, 2020 and March 31,</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2021; 24,493,528 and 26,102,278 shares issued and outstanding as of December 31, 2020 and March 31, 2021;</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8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aggregate liquidation preference of $247,900 as of March 31, 2021</w:t>
            </w:r>
          </w:p>
        </w:tc>
        <w:tc>
          <w:tcPr>
            <w:tcW w:w="1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220,754</w:t>
            </w: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240,735</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Stockholders’ deficit:</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8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Common stock, $0.0001 par value; 30,330,000 shares authorized as of December 31, 2020 and March 31, 2021;</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8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1,210,306 and 1,222,449 shares issued and outstanding as of December 31, 2020 and March 31, 2021</w:t>
            </w:r>
          </w:p>
        </w:tc>
        <w:tc>
          <w:tcPr>
            <w:tcW w:w="18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1,584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2,054</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Notes receivable from stockholders</w:t>
            </w: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8"/>
                <w:szCs w:val="18"/>
                <w:color w:val="auto"/>
              </w:rPr>
            </w:pPr>
          </w:p>
        </w:tc>
        <w:tc>
          <w:tcPr>
            <w:tcW w:w="1100" w:type="dxa"/>
            <w:vAlign w:val="bottom"/>
            <w:gridSpan w:val="3"/>
          </w:tcPr>
          <w:p>
            <w:pPr>
              <w:jc w:val="right"/>
              <w:ind w:right="380"/>
              <w:spacing w:after="0"/>
              <w:rPr>
                <w:sz w:val="20"/>
                <w:szCs w:val="20"/>
                <w:color w:val="auto"/>
              </w:rPr>
            </w:pPr>
            <w:r>
              <w:rPr>
                <w:rFonts w:ascii="Arial" w:cs="Arial" w:eastAsia="Arial" w:hAnsi="Arial"/>
                <w:sz w:val="18"/>
                <w:szCs w:val="18"/>
                <w:color w:val="auto"/>
              </w:rPr>
              <w:t>(82,812)</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(95,910)</w:t>
            </w:r>
          </w:p>
        </w:tc>
      </w:tr>
      <w:tr>
        <w:trPr>
          <w:trHeight w:val="27"/>
        </w:trPr>
        <w:tc>
          <w:tcPr>
            <w:tcW w:w="8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(81,315)</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(93,943)</w:t>
            </w:r>
          </w:p>
        </w:tc>
      </w:tr>
      <w:tr>
        <w:trPr>
          <w:trHeight w:val="223"/>
        </w:trPr>
        <w:tc>
          <w:tcPr>
            <w:tcW w:w="8900" w:type="dxa"/>
            <w:vAlign w:val="bottom"/>
          </w:tcPr>
          <w:p>
            <w:pPr>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148,161</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159,757</w:t>
            </w:r>
          </w:p>
        </w:tc>
        <w:tc>
          <w:tcPr>
            <w:tcW w:w="120" w:type="dxa"/>
            <w:vAlign w:val="bottom"/>
          </w:tcPr>
          <w:p>
            <w:pPr>
              <w:spacing w:after="0"/>
              <w:rPr>
                <w:sz w:val="19"/>
                <w:szCs w:val="19"/>
                <w:color w:val="auto"/>
              </w:rPr>
            </w:pPr>
          </w:p>
        </w:tc>
      </w:tr>
      <w:tr>
        <w:trPr>
          <w:trHeight w:val="20"/>
        </w:trPr>
        <w:tc>
          <w:tcPr>
            <w:tcW w:w="8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40"/>
          </w:cols>
          <w:pgMar w:left="320" w:top="459" w:right="43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TENAYA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right"/>
              <w:ind w:right="30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9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right"/>
              <w:ind w:right="641"/>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90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1"/>
              <w:spacing w:after="0"/>
              <w:rPr>
                <w:sz w:val="20"/>
                <w:szCs w:val="20"/>
                <w:color w:val="auto"/>
              </w:rPr>
            </w:pPr>
            <w:r>
              <w:rPr>
                <w:rFonts w:ascii="Arial" w:cs="Arial" w:eastAsia="Arial" w:hAnsi="Arial"/>
                <w:sz w:val="18"/>
                <w:szCs w:val="18"/>
                <w:color w:val="auto"/>
              </w:rPr>
              <w:t>7,297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9,590</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1,969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3,515</w:t>
            </w:r>
          </w:p>
        </w:tc>
        <w:tc>
          <w:tcPr>
            <w:tcW w:w="0" w:type="dxa"/>
            <w:vAlign w:val="bottom"/>
          </w:tcPr>
          <w:p>
            <w:pPr>
              <w:spacing w:after="0"/>
              <w:rPr>
                <w:sz w:val="1"/>
                <w:szCs w:val="1"/>
                <w:color w:val="auto"/>
              </w:rPr>
            </w:pPr>
          </w:p>
        </w:tc>
      </w:tr>
      <w:tr>
        <w:trPr>
          <w:trHeight w:val="230"/>
        </w:trPr>
        <w:tc>
          <w:tcPr>
            <w:tcW w:w="90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13,105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(9,266)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(13,105)</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Change in fair value of convertible preferred stock tranche liability</w:t>
            </w:r>
          </w:p>
        </w:tc>
        <w:tc>
          <w:tcPr>
            <w:tcW w:w="100" w:type="dxa"/>
            <w:vAlign w:val="bottom"/>
          </w:tcPr>
          <w:p>
            <w:pPr>
              <w:spacing w:after="0"/>
              <w:rPr>
                <w:sz w:val="18"/>
                <w:szCs w:val="18"/>
                <w:color w:val="auto"/>
              </w:rPr>
            </w:pPr>
          </w:p>
        </w:tc>
        <w:tc>
          <w:tcPr>
            <w:tcW w:w="780" w:type="dxa"/>
            <w:vAlign w:val="bottom"/>
            <w:gridSpan w:val="2"/>
          </w:tcPr>
          <w:p>
            <w:pPr>
              <w:jc w:val="right"/>
              <w:ind w:right="41"/>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9060" w:type="dxa"/>
            <w:vAlign w:val="bottom"/>
          </w:tcPr>
          <w:p>
            <w:pPr>
              <w:ind w:left="720"/>
              <w:spacing w:after="0"/>
              <w:rPr>
                <w:sz w:val="20"/>
                <w:szCs w:val="20"/>
                <w:color w:val="auto"/>
              </w:rPr>
            </w:pPr>
            <w:r>
              <w:rPr>
                <w:rFonts w:ascii="Arial" w:cs="Arial" w:eastAsia="Arial" w:hAnsi="Arial"/>
                <w:sz w:val="18"/>
                <w:szCs w:val="18"/>
                <w:color w:val="auto"/>
              </w:rPr>
              <w:t>Total other income (expense), net</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(9,051)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(13,098)</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(13,098)</w:t>
            </w:r>
          </w:p>
        </w:tc>
        <w:tc>
          <w:tcPr>
            <w:tcW w:w="0" w:type="dxa"/>
            <w:vAlign w:val="bottom"/>
          </w:tcPr>
          <w:p>
            <w:pPr>
              <w:spacing w:after="0"/>
              <w:rPr>
                <w:sz w:val="1"/>
                <w:szCs w:val="1"/>
                <w:color w:val="auto"/>
              </w:rPr>
            </w:pPr>
          </w:p>
        </w:tc>
      </w:tr>
      <w:tr>
        <w:trPr>
          <w:trHeight w:val="20"/>
        </w:trPr>
        <w:tc>
          <w:tcPr>
            <w:tcW w:w="906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6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used in computing net loss per share, basic and diluted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89"/>
              </w:rPr>
              <w:t>891,990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7"/>
              </w:rPr>
              <w:t>1,097,805</w:t>
            </w: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40"/>
          </w:cols>
          <w:pgMar w:left="320" w:top="459" w:right="43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TENAYA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Statements of Convertible Preferred Stock and Stockholders’ Deficit</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4080" w:type="dxa"/>
            <w:vAlign w:val="bottom"/>
          </w:tcPr>
          <w:p>
            <w:pPr>
              <w:spacing w:after="0"/>
              <w:rPr>
                <w:sz w:val="3"/>
                <w:szCs w:val="3"/>
                <w:color w:val="auto"/>
              </w:rPr>
            </w:pPr>
          </w:p>
        </w:tc>
        <w:tc>
          <w:tcPr>
            <w:tcW w:w="1540" w:type="dxa"/>
            <w:vAlign w:val="bottom"/>
            <w:gridSpan w:val="6"/>
            <w:vMerge w:val="restart"/>
          </w:tcPr>
          <w:p>
            <w:pPr>
              <w:ind w:left="360"/>
              <w:spacing w:after="0"/>
              <w:rPr>
                <w:sz w:val="20"/>
                <w:szCs w:val="20"/>
                <w:color w:val="auto"/>
              </w:rPr>
            </w:pPr>
            <w:r>
              <w:rPr>
                <w:rFonts w:ascii="Arial" w:cs="Arial" w:eastAsia="Arial" w:hAnsi="Arial"/>
                <w:sz w:val="14"/>
                <w:szCs w:val="14"/>
                <w:b w:val="1"/>
                <w:bCs w:val="1"/>
                <w:color w:val="auto"/>
              </w:rPr>
              <w:t>Convertible</w:t>
            </w: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Notes</w:t>
            </w: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4080" w:type="dxa"/>
            <w:vAlign w:val="bottom"/>
          </w:tcPr>
          <w:p>
            <w:pPr>
              <w:spacing w:after="0"/>
              <w:rPr>
                <w:sz w:val="10"/>
                <w:szCs w:val="10"/>
                <w:color w:val="auto"/>
              </w:rPr>
            </w:pPr>
          </w:p>
        </w:tc>
        <w:tc>
          <w:tcPr>
            <w:tcW w:w="1540" w:type="dxa"/>
            <w:vAlign w:val="bottom"/>
            <w:gridSpan w:val="6"/>
            <w:vMerge w:val="continue"/>
          </w:tcPr>
          <w:p>
            <w:pPr>
              <w:spacing w:after="0"/>
              <w:rPr>
                <w:sz w:val="10"/>
                <w:szCs w:val="10"/>
                <w:color w:val="auto"/>
              </w:rPr>
            </w:pPr>
          </w:p>
        </w:tc>
        <w:tc>
          <w:tcPr>
            <w:tcW w:w="120" w:type="dxa"/>
            <w:vAlign w:val="bottom"/>
            <w:tcBorders>
              <w:lef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080" w:type="dxa"/>
            <w:vAlign w:val="bottom"/>
          </w:tcPr>
          <w:p>
            <w:pPr>
              <w:spacing w:after="0"/>
              <w:rPr>
                <w:sz w:val="7"/>
                <w:szCs w:val="7"/>
                <w:color w:val="auto"/>
              </w:rPr>
            </w:pPr>
          </w:p>
        </w:tc>
        <w:tc>
          <w:tcPr>
            <w:tcW w:w="1540" w:type="dxa"/>
            <w:vAlign w:val="bottom"/>
            <w:gridSpan w:val="6"/>
            <w:vMerge w:val="continue"/>
          </w:tcPr>
          <w:p>
            <w:pPr>
              <w:spacing w:after="0"/>
              <w:rPr>
                <w:sz w:val="7"/>
                <w:szCs w:val="7"/>
                <w:color w:val="auto"/>
              </w:rPr>
            </w:pPr>
          </w:p>
        </w:tc>
        <w:tc>
          <w:tcPr>
            <w:tcW w:w="120" w:type="dxa"/>
            <w:vAlign w:val="bottom"/>
            <w:tcBorders>
              <w:left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7"/>
                <w:szCs w:val="7"/>
                <w:color w:val="auto"/>
              </w:rPr>
            </w:pPr>
          </w:p>
        </w:tc>
        <w:tc>
          <w:tcPr>
            <w:tcW w:w="92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Receivable</w:t>
            </w: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gridSpan w:val="2"/>
            <w:vMerge w:val="restart"/>
          </w:tcPr>
          <w:p>
            <w:pPr>
              <w:jc w:val="right"/>
              <w:ind w:right="38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8"/>
        </w:trPr>
        <w:tc>
          <w:tcPr>
            <w:tcW w:w="4080" w:type="dxa"/>
            <w:vAlign w:val="bottom"/>
          </w:tcPr>
          <w:p>
            <w:pPr>
              <w:spacing w:after="0"/>
              <w:rPr>
                <w:sz w:val="5"/>
                <w:szCs w:val="5"/>
                <w:color w:val="auto"/>
              </w:rPr>
            </w:pPr>
          </w:p>
        </w:tc>
        <w:tc>
          <w:tcPr>
            <w:tcW w:w="1460" w:type="dxa"/>
            <w:vAlign w:val="bottom"/>
            <w:gridSpan w:val="5"/>
            <w:vMerge w:val="restart"/>
          </w:tcPr>
          <w:p>
            <w:pPr>
              <w:jc w:val="right"/>
              <w:ind w:right="179"/>
              <w:spacing w:after="0"/>
              <w:rPr>
                <w:sz w:val="20"/>
                <w:szCs w:val="20"/>
                <w:color w:val="auto"/>
              </w:rPr>
            </w:pPr>
            <w:r>
              <w:rPr>
                <w:rFonts w:ascii="Arial" w:cs="Arial" w:eastAsia="Arial" w:hAnsi="Arial"/>
                <w:sz w:val="14"/>
                <w:szCs w:val="14"/>
                <w:b w:val="1"/>
                <w:bCs w:val="1"/>
                <w:color w:val="auto"/>
              </w:rPr>
              <w:t>Preferred Stock</w:t>
            </w:r>
          </w:p>
        </w:tc>
        <w:tc>
          <w:tcPr>
            <w:tcW w:w="80" w:type="dxa"/>
            <w:vAlign w:val="bottom"/>
            <w:vMerge w:val="restart"/>
          </w:tcPr>
          <w:p>
            <w:pPr>
              <w:spacing w:after="0"/>
              <w:rPr>
                <w:sz w:val="5"/>
                <w:szCs w:val="5"/>
                <w:color w:val="auto"/>
              </w:rPr>
            </w:pPr>
          </w:p>
        </w:tc>
        <w:tc>
          <w:tcPr>
            <w:tcW w:w="120" w:type="dxa"/>
            <w:vAlign w:val="bottom"/>
            <w:tcBorders>
              <w:left w:val="single" w:sz="8" w:color="auto"/>
            </w:tcBorders>
          </w:tcPr>
          <w:p>
            <w:pPr>
              <w:spacing w:after="0"/>
              <w:rPr>
                <w:sz w:val="5"/>
                <w:szCs w:val="5"/>
                <w:color w:val="auto"/>
              </w:rPr>
            </w:pPr>
          </w:p>
        </w:tc>
        <w:tc>
          <w:tcPr>
            <w:tcW w:w="12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4080" w:type="dxa"/>
            <w:vAlign w:val="bottom"/>
          </w:tcPr>
          <w:p>
            <w:pPr>
              <w:spacing w:after="0"/>
              <w:rPr>
                <w:sz w:val="9"/>
                <w:szCs w:val="9"/>
                <w:color w:val="auto"/>
              </w:rPr>
            </w:pPr>
          </w:p>
        </w:tc>
        <w:tc>
          <w:tcPr>
            <w:tcW w:w="1460" w:type="dxa"/>
            <w:vAlign w:val="bottom"/>
            <w:tcBorders>
              <w:bottom w:val="single" w:sz="8" w:color="auto"/>
            </w:tcBorders>
            <w:gridSpan w:val="5"/>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20" w:type="dxa"/>
            <w:vAlign w:val="bottom"/>
            <w:tcBorders>
              <w:left w:val="single" w:sz="8" w:color="auto"/>
            </w:tcBorders>
          </w:tcPr>
          <w:p>
            <w:pPr>
              <w:spacing w:after="0"/>
              <w:rPr>
                <w:sz w:val="9"/>
                <w:szCs w:val="9"/>
                <w:color w:val="auto"/>
              </w:rPr>
            </w:pPr>
          </w:p>
        </w:tc>
        <w:tc>
          <w:tcPr>
            <w:tcW w:w="1200" w:type="dxa"/>
            <w:vAlign w:val="bottom"/>
            <w:tcBorders>
              <w:bottom w:val="single" w:sz="8" w:color="auto"/>
            </w:tcBorders>
            <w:gridSpan w:val="3"/>
            <w:vMerge w:val="continue"/>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restart"/>
          </w:tcPr>
          <w:p>
            <w:pPr>
              <w:jc w:val="right"/>
              <w:ind w:right="160"/>
              <w:spacing w:after="0" w:line="149" w:lineRule="exact"/>
              <w:rPr>
                <w:sz w:val="20"/>
                <w:szCs w:val="20"/>
                <w:color w:val="auto"/>
              </w:rPr>
            </w:pPr>
            <w:r>
              <w:rPr>
                <w:rFonts w:ascii="Arial" w:cs="Arial" w:eastAsia="Arial" w:hAnsi="Arial"/>
                <w:sz w:val="14"/>
                <w:szCs w:val="14"/>
                <w:b w:val="1"/>
                <w:bCs w:val="1"/>
                <w:color w:val="auto"/>
                <w:w w:val="98"/>
              </w:rPr>
              <w:t>Paid-In</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from</w:t>
            </w:r>
          </w:p>
        </w:tc>
        <w:tc>
          <w:tcPr>
            <w:tcW w:w="80" w:type="dxa"/>
            <w:vAlign w:val="bottom"/>
          </w:tcPr>
          <w:p>
            <w:pPr>
              <w:spacing w:after="0"/>
              <w:rPr>
                <w:sz w:val="9"/>
                <w:szCs w:val="9"/>
                <w:color w:val="auto"/>
              </w:rPr>
            </w:pPr>
          </w:p>
        </w:tc>
        <w:tc>
          <w:tcPr>
            <w:tcW w:w="100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9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5"/>
        </w:trPr>
        <w:tc>
          <w:tcPr>
            <w:tcW w:w="4080" w:type="dxa"/>
            <w:vAlign w:val="bottom"/>
          </w:tcPr>
          <w:p>
            <w:pPr>
              <w:spacing w:after="0"/>
              <w:rPr>
                <w:sz w:val="2"/>
                <w:szCs w:val="2"/>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2"/>
                <w:szCs w:val="2"/>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left w:val="single" w:sz="8" w:color="auto"/>
            </w:tcBorders>
          </w:tcPr>
          <w:p>
            <w:pPr>
              <w:spacing w:after="0"/>
              <w:rPr>
                <w:sz w:val="2"/>
                <w:szCs w:val="2"/>
                <w:color w:val="auto"/>
              </w:rPr>
            </w:pPr>
          </w:p>
        </w:tc>
        <w:tc>
          <w:tcPr>
            <w:tcW w:w="8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40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120" w:type="dxa"/>
            <w:vAlign w:val="bottom"/>
            <w:tcBorders>
              <w:left w:val="single" w:sz="8" w:color="auto"/>
            </w:tcBorders>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4"/>
                <w:szCs w:val="14"/>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Stockholders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96"/>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as of December 31, 2019</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11,403,077</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73,042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left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1,193,488</w:t>
            </w:r>
          </w:p>
        </w:tc>
        <w:tc>
          <w:tcPr>
            <w:tcW w:w="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764</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(44,417)</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(43,739)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080" w:type="dxa"/>
            <w:vAlign w:val="bottom"/>
          </w:tcPr>
          <w:p>
            <w:pPr>
              <w:ind w:left="240"/>
              <w:spacing w:after="0"/>
              <w:rPr>
                <w:sz w:val="20"/>
                <w:szCs w:val="20"/>
                <w:color w:val="auto"/>
              </w:rPr>
            </w:pPr>
            <w:r>
              <w:rPr>
                <w:rFonts w:ascii="Arial" w:cs="Arial" w:eastAsia="Arial" w:hAnsi="Arial"/>
                <w:sz w:val="16"/>
                <w:szCs w:val="16"/>
                <w:color w:val="auto"/>
                <w:w w:val="98"/>
              </w:rPr>
              <w:t>Issuance of Series B convertible preferred stock, net of</w:t>
            </w: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left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80" w:type="dxa"/>
            <w:vAlign w:val="bottom"/>
          </w:tcPr>
          <w:p>
            <w:pPr>
              <w:ind w:left="400"/>
              <w:spacing w:after="0"/>
              <w:rPr>
                <w:sz w:val="20"/>
                <w:szCs w:val="20"/>
                <w:color w:val="auto"/>
              </w:rPr>
            </w:pPr>
            <w:r>
              <w:rPr>
                <w:rFonts w:ascii="Arial" w:cs="Arial" w:eastAsia="Arial" w:hAnsi="Arial"/>
                <w:sz w:val="16"/>
                <w:szCs w:val="16"/>
                <w:color w:val="auto"/>
              </w:rPr>
              <w:t>issuance costs of $23 and partial settlement of</w:t>
            </w: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80" w:type="dxa"/>
            <w:vAlign w:val="bottom"/>
          </w:tcPr>
          <w:p>
            <w:pPr>
              <w:ind w:left="400"/>
              <w:spacing w:after="0"/>
              <w:rPr>
                <w:sz w:val="20"/>
                <w:szCs w:val="20"/>
                <w:color w:val="auto"/>
              </w:rPr>
            </w:pPr>
            <w:r>
              <w:rPr>
                <w:rFonts w:ascii="Arial" w:cs="Arial" w:eastAsia="Arial" w:hAnsi="Arial"/>
                <w:sz w:val="16"/>
                <w:szCs w:val="16"/>
                <w:color w:val="auto"/>
              </w:rPr>
              <w:t>convertible preferred stock tranche liability of $27</w:t>
            </w:r>
          </w:p>
        </w:tc>
        <w:tc>
          <w:tcPr>
            <w:tcW w:w="760" w:type="dxa"/>
            <w:vAlign w:val="bottom"/>
          </w:tcPr>
          <w:p>
            <w:pPr>
              <w:jc w:val="right"/>
              <w:spacing w:after="0"/>
              <w:rPr>
                <w:sz w:val="20"/>
                <w:szCs w:val="20"/>
                <w:color w:val="auto"/>
              </w:rPr>
            </w:pPr>
            <w:r>
              <w:rPr>
                <w:rFonts w:ascii="Arial" w:cs="Arial" w:eastAsia="Arial" w:hAnsi="Arial"/>
                <w:sz w:val="16"/>
                <w:szCs w:val="16"/>
                <w:color w:val="auto"/>
              </w:rPr>
              <w:t>3,086,415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30,671</w:t>
            </w:r>
          </w:p>
        </w:tc>
        <w:tc>
          <w:tcPr>
            <w:tcW w:w="120" w:type="dxa"/>
            <w:vAlign w:val="bottom"/>
            <w:tcBorders>
              <w:left w:val="single" w:sz="8" w:color="auto"/>
            </w:tcBorders>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w w:val="93"/>
              </w:rPr>
              <w:t>Issuance of common stock upon exercise of stock options</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auto"/>
            </w:tcBorders>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3,333</w:t>
            </w:r>
          </w:p>
        </w:tc>
        <w:tc>
          <w:tcPr>
            <w:tcW w:w="3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080" w:type="dxa"/>
            <w:vAlign w:val="bottom"/>
          </w:tcPr>
          <w:p>
            <w:pPr>
              <w:ind w:left="240"/>
              <w:spacing w:after="0"/>
              <w:rPr>
                <w:sz w:val="20"/>
                <w:szCs w:val="20"/>
                <w:color w:val="auto"/>
              </w:rPr>
            </w:pPr>
            <w:r>
              <w:rPr>
                <w:rFonts w:ascii="Arial" w:cs="Arial" w:eastAsia="Arial" w:hAnsi="Arial"/>
                <w:sz w:val="16"/>
                <w:szCs w:val="16"/>
                <w:color w:val="auto"/>
                <w:w w:val="94"/>
              </w:rPr>
              <w:t>Repurchase of common stock related to early exercise of</w:t>
            </w: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left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80" w:type="dxa"/>
            <w:vAlign w:val="bottom"/>
          </w:tcPr>
          <w:p>
            <w:pPr>
              <w:ind w:left="400"/>
              <w:spacing w:after="0"/>
              <w:rPr>
                <w:sz w:val="20"/>
                <w:szCs w:val="20"/>
                <w:color w:val="auto"/>
              </w:rPr>
            </w:pPr>
            <w:r>
              <w:rPr>
                <w:rFonts w:ascii="Arial" w:cs="Arial" w:eastAsia="Arial" w:hAnsi="Arial"/>
                <w:sz w:val="16"/>
                <w:szCs w:val="16"/>
                <w:color w:val="auto"/>
              </w:rPr>
              <w:t>options</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auto"/>
            </w:tcBorders>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(612)</w:t>
            </w:r>
          </w:p>
        </w:tc>
        <w:tc>
          <w:tcPr>
            <w:tcW w:w="32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Vesting of early exercised stock options</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auto"/>
            </w:tcBorders>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3"/>
        </w:trPr>
        <w:tc>
          <w:tcPr>
            <w:tcW w:w="4080" w:type="dxa"/>
            <w:vAlign w:val="bottom"/>
          </w:tcPr>
          <w:p>
            <w:pPr>
              <w:ind w:left="240"/>
              <w:spacing w:after="0"/>
              <w:rPr>
                <w:sz w:val="20"/>
                <w:szCs w:val="20"/>
                <w:color w:val="auto"/>
              </w:rPr>
            </w:pPr>
            <w:r>
              <w:rPr>
                <w:rFonts w:ascii="Arial" w:cs="Arial" w:eastAsia="Arial" w:hAnsi="Arial"/>
                <w:sz w:val="16"/>
                <w:szCs w:val="16"/>
                <w:color w:val="auto"/>
              </w:rPr>
              <w:t>Notes receivable from stockholders</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auto"/>
            </w:tcBorders>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auto"/>
            </w:tcBorders>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ind w:left="240"/>
              <w:spacing w:after="0"/>
              <w:rPr>
                <w:sz w:val="20"/>
                <w:szCs w:val="20"/>
                <w:color w:val="auto"/>
              </w:rPr>
            </w:pPr>
            <w:r>
              <w:rPr>
                <w:rFonts w:ascii="Arial" w:cs="Arial" w:eastAsia="Arial" w:hAnsi="Arial"/>
                <w:sz w:val="16"/>
                <w:szCs w:val="16"/>
                <w:color w:val="auto"/>
              </w:rPr>
              <w:t>Net loss and other comprehensive loss</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auto"/>
            </w:tcBorders>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(9,051)</w:t>
            </w:r>
          </w:p>
        </w:tc>
        <w:tc>
          <w:tcPr>
            <w:tcW w:w="16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(9,051)</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Balance as of March 31, 2020</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14,489,492</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103,713</w:t>
            </w:r>
          </w:p>
        </w:tc>
        <w:tc>
          <w:tcPr>
            <w:tcW w:w="80" w:type="dxa"/>
            <w:vAlign w:val="bottom"/>
            <w:shd w:val="clear" w:color="auto" w:fill="CCEEFF"/>
          </w:tcPr>
          <w:p>
            <w:pPr>
              <w:spacing w:after="0"/>
              <w:rPr>
                <w:sz w:val="17"/>
                <w:szCs w:val="17"/>
                <w:color w:val="auto"/>
              </w:rPr>
            </w:pPr>
          </w:p>
        </w:tc>
        <w:tc>
          <w:tcPr>
            <w:tcW w:w="120" w:type="dxa"/>
            <w:vAlign w:val="bottom"/>
            <w:tcBorders>
              <w:left w:val="single" w:sz="8" w:color="auto"/>
            </w:tcBorders>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2"/>
              </w:rPr>
              <w:t>1,196,209</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w:t>
            </w:r>
          </w:p>
        </w:tc>
        <w:tc>
          <w:tcPr>
            <w:tcW w:w="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7"/>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(85)</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(53,468)</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(52,621)</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9" w:right="43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TENAYA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Statements of Convertible Preferred Stock and Stockholders’ Deficit</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3540" w:type="dxa"/>
            <w:vAlign w:val="bottom"/>
          </w:tcPr>
          <w:p>
            <w:pPr>
              <w:spacing w:after="0"/>
              <w:rPr>
                <w:sz w:val="3"/>
                <w:szCs w:val="3"/>
                <w:color w:val="auto"/>
              </w:rPr>
            </w:pPr>
          </w:p>
        </w:tc>
        <w:tc>
          <w:tcPr>
            <w:tcW w:w="1520" w:type="dxa"/>
            <w:vAlign w:val="bottom"/>
            <w:gridSpan w:val="4"/>
            <w:vMerge w:val="restart"/>
          </w:tcPr>
          <w:p>
            <w:pPr>
              <w:jc w:val="right"/>
              <w:ind w:right="320"/>
              <w:spacing w:after="0"/>
              <w:rPr>
                <w:sz w:val="20"/>
                <w:szCs w:val="20"/>
                <w:color w:val="auto"/>
              </w:rPr>
            </w:pPr>
            <w:r>
              <w:rPr>
                <w:rFonts w:ascii="Arial" w:cs="Arial" w:eastAsia="Arial" w:hAnsi="Arial"/>
                <w:sz w:val="14"/>
                <w:szCs w:val="14"/>
                <w:b w:val="1"/>
                <w:bCs w:val="1"/>
                <w:color w:val="auto"/>
              </w:rPr>
              <w:t>Convertible</w:t>
            </w: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Notes</w:t>
            </w: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3540" w:type="dxa"/>
            <w:vAlign w:val="bottom"/>
          </w:tcPr>
          <w:p>
            <w:pPr>
              <w:spacing w:after="0"/>
              <w:rPr>
                <w:sz w:val="10"/>
                <w:szCs w:val="10"/>
                <w:color w:val="auto"/>
              </w:rPr>
            </w:pPr>
          </w:p>
        </w:tc>
        <w:tc>
          <w:tcPr>
            <w:tcW w:w="1520" w:type="dxa"/>
            <w:vAlign w:val="bottom"/>
            <w:gridSpan w:val="4"/>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540" w:type="dxa"/>
            <w:vAlign w:val="bottom"/>
          </w:tcPr>
          <w:p>
            <w:pPr>
              <w:spacing w:after="0"/>
              <w:rPr>
                <w:sz w:val="7"/>
                <w:szCs w:val="7"/>
                <w:color w:val="auto"/>
              </w:rPr>
            </w:pPr>
          </w:p>
        </w:tc>
        <w:tc>
          <w:tcPr>
            <w:tcW w:w="1520" w:type="dxa"/>
            <w:vAlign w:val="bottom"/>
            <w:gridSpan w:val="4"/>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w w:val="93"/>
              </w:rPr>
              <w:t>Additional</w:t>
            </w:r>
          </w:p>
        </w:tc>
        <w:tc>
          <w:tcPr>
            <w:tcW w:w="220" w:type="dxa"/>
            <w:vAlign w:val="bottom"/>
          </w:tcPr>
          <w:p>
            <w:pPr>
              <w:spacing w:after="0"/>
              <w:rPr>
                <w:sz w:val="7"/>
                <w:szCs w:val="7"/>
                <w:color w:val="auto"/>
              </w:rPr>
            </w:pPr>
          </w:p>
        </w:tc>
        <w:tc>
          <w:tcPr>
            <w:tcW w:w="96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Receivable</w:t>
            </w: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gridSpan w:val="2"/>
            <w:vMerge w:val="restart"/>
          </w:tcPr>
          <w:p>
            <w:pPr>
              <w:jc w:val="right"/>
              <w:ind w:right="38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8"/>
        </w:trPr>
        <w:tc>
          <w:tcPr>
            <w:tcW w:w="3540" w:type="dxa"/>
            <w:vAlign w:val="bottom"/>
          </w:tcPr>
          <w:p>
            <w:pPr>
              <w:spacing w:after="0"/>
              <w:rPr>
                <w:sz w:val="5"/>
                <w:szCs w:val="5"/>
                <w:color w:val="auto"/>
              </w:rPr>
            </w:pPr>
          </w:p>
        </w:tc>
        <w:tc>
          <w:tcPr>
            <w:tcW w:w="152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rPr>
              <w:t>Preferred Stock</w:t>
            </w:r>
          </w:p>
        </w:tc>
        <w:tc>
          <w:tcPr>
            <w:tcW w:w="12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3540" w:type="dxa"/>
            <w:vAlign w:val="bottom"/>
          </w:tcPr>
          <w:p>
            <w:pPr>
              <w:spacing w:after="0"/>
              <w:rPr>
                <w:sz w:val="9"/>
                <w:szCs w:val="9"/>
                <w:color w:val="auto"/>
              </w:rPr>
            </w:pPr>
          </w:p>
        </w:tc>
        <w:tc>
          <w:tcPr>
            <w:tcW w:w="1520" w:type="dxa"/>
            <w:vAlign w:val="bottom"/>
            <w:tcBorders>
              <w:bottom w:val="single" w:sz="8" w:color="auto"/>
            </w:tcBorders>
            <w:gridSpan w:val="4"/>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Borders>
              <w:bottom w:val="single" w:sz="8" w:color="auto"/>
            </w:tcBorders>
            <w:gridSpan w:val="3"/>
            <w:vMerge w:val="continue"/>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right"/>
              <w:ind w:right="21"/>
              <w:spacing w:after="0" w:line="149" w:lineRule="exact"/>
              <w:rPr>
                <w:sz w:val="20"/>
                <w:szCs w:val="20"/>
                <w:color w:val="auto"/>
              </w:rPr>
            </w:pPr>
            <w:r>
              <w:rPr>
                <w:rFonts w:ascii="Arial" w:cs="Arial" w:eastAsia="Arial" w:hAnsi="Arial"/>
                <w:sz w:val="14"/>
                <w:szCs w:val="14"/>
                <w:b w:val="1"/>
                <w:bCs w:val="1"/>
                <w:color w:val="auto"/>
                <w:w w:val="98"/>
              </w:rPr>
              <w:t>Paid-In</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from</w:t>
            </w:r>
          </w:p>
        </w:tc>
        <w:tc>
          <w:tcPr>
            <w:tcW w:w="120" w:type="dxa"/>
            <w:vAlign w:val="bottom"/>
          </w:tcPr>
          <w:p>
            <w:pPr>
              <w:spacing w:after="0"/>
              <w:rPr>
                <w:sz w:val="9"/>
                <w:szCs w:val="9"/>
                <w:color w:val="auto"/>
              </w:rPr>
            </w:pPr>
          </w:p>
        </w:tc>
        <w:tc>
          <w:tcPr>
            <w:tcW w:w="10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9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5"/>
        </w:trPr>
        <w:tc>
          <w:tcPr>
            <w:tcW w:w="3540" w:type="dxa"/>
            <w:vAlign w:val="bottom"/>
          </w:tcPr>
          <w:p>
            <w:pPr>
              <w:spacing w:after="0"/>
              <w:rPr>
                <w:sz w:val="2"/>
                <w:szCs w:val="2"/>
                <w:color w:val="auto"/>
              </w:rPr>
            </w:pPr>
          </w:p>
        </w:tc>
        <w:tc>
          <w:tcPr>
            <w:tcW w:w="92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354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21"/>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4"/>
                <w:szCs w:val="14"/>
                <w:color w:val="auto"/>
              </w:rPr>
            </w:pPr>
          </w:p>
        </w:tc>
        <w:tc>
          <w:tcPr>
            <w:tcW w:w="9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Stockholders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96"/>
        </w:trPr>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as of December 31, 2020</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24,493,528</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$220,754</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1,210,306</w:t>
            </w:r>
          </w:p>
        </w:tc>
        <w:tc>
          <w:tcPr>
            <w:tcW w:w="2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1,584</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(82,812)</w:t>
            </w: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(81,315)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40" w:type="dxa"/>
            <w:vAlign w:val="bottom"/>
          </w:tcPr>
          <w:p>
            <w:pPr>
              <w:ind w:left="240"/>
              <w:spacing w:after="0"/>
              <w:rPr>
                <w:sz w:val="20"/>
                <w:szCs w:val="20"/>
                <w:color w:val="auto"/>
              </w:rPr>
            </w:pPr>
            <w:r>
              <w:rPr>
                <w:rFonts w:ascii="Arial" w:cs="Arial" w:eastAsia="Arial" w:hAnsi="Arial"/>
                <w:sz w:val="16"/>
                <w:szCs w:val="16"/>
                <w:color w:val="auto"/>
              </w:rPr>
              <w:t>Issuance of Series C convertible preferred</w:t>
            </w: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540" w:type="dxa"/>
            <w:vAlign w:val="bottom"/>
          </w:tcPr>
          <w:p>
            <w:pPr>
              <w:ind w:left="400"/>
              <w:spacing w:after="0"/>
              <w:rPr>
                <w:sz w:val="20"/>
                <w:szCs w:val="20"/>
                <w:color w:val="auto"/>
              </w:rPr>
            </w:pPr>
            <w:r>
              <w:rPr>
                <w:rFonts w:ascii="Arial" w:cs="Arial" w:eastAsia="Arial" w:hAnsi="Arial"/>
                <w:sz w:val="16"/>
                <w:szCs w:val="16"/>
                <w:color w:val="auto"/>
              </w:rPr>
              <w:t>stock, net of issuance costs of $20</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1,608,750</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19,981</w:t>
            </w:r>
          </w:p>
        </w:tc>
        <w:tc>
          <w:tcPr>
            <w:tcW w:w="1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35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Issuance of common stock upon exercise of</w:t>
            </w: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stock options</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12,508</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540" w:type="dxa"/>
            <w:vAlign w:val="bottom"/>
          </w:tcPr>
          <w:p>
            <w:pPr>
              <w:ind w:left="240"/>
              <w:spacing w:after="0"/>
              <w:rPr>
                <w:sz w:val="20"/>
                <w:szCs w:val="20"/>
                <w:color w:val="auto"/>
              </w:rPr>
            </w:pPr>
            <w:r>
              <w:rPr>
                <w:rFonts w:ascii="Arial" w:cs="Arial" w:eastAsia="Arial" w:hAnsi="Arial"/>
                <w:sz w:val="16"/>
                <w:szCs w:val="16"/>
                <w:color w:val="auto"/>
              </w:rPr>
              <w:t>Repurchase of common stock related to early</w:t>
            </w: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540" w:type="dxa"/>
            <w:vAlign w:val="bottom"/>
          </w:tcPr>
          <w:p>
            <w:pPr>
              <w:ind w:left="400"/>
              <w:spacing w:after="0"/>
              <w:rPr>
                <w:sz w:val="20"/>
                <w:szCs w:val="20"/>
                <w:color w:val="auto"/>
              </w:rPr>
            </w:pPr>
            <w:r>
              <w:rPr>
                <w:rFonts w:ascii="Arial" w:cs="Arial" w:eastAsia="Arial" w:hAnsi="Arial"/>
                <w:sz w:val="16"/>
                <w:szCs w:val="16"/>
                <w:color w:val="auto"/>
              </w:rPr>
              <w:t>exercise of options</w:t>
            </w:r>
          </w:p>
        </w:tc>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8"/>
                <w:szCs w:val="18"/>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6"/>
                <w:szCs w:val="16"/>
                <w:color w:val="auto"/>
              </w:rPr>
              <w:t>(365)</w:t>
            </w:r>
          </w:p>
        </w:tc>
        <w:tc>
          <w:tcPr>
            <w:tcW w:w="30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35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Vesting of early exercised stock options</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240"/>
              <w:spacing w:after="0"/>
              <w:rPr>
                <w:sz w:val="20"/>
                <w:szCs w:val="20"/>
                <w:color w:val="auto"/>
              </w:rPr>
            </w:pPr>
            <w:r>
              <w:rPr>
                <w:rFonts w:ascii="Arial" w:cs="Arial" w:eastAsia="Arial" w:hAnsi="Arial"/>
                <w:sz w:val="16"/>
                <w:szCs w:val="16"/>
                <w:color w:val="auto"/>
              </w:rPr>
              <w:t>Stock-based compensation</w:t>
            </w:r>
          </w:p>
        </w:tc>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432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loss and other comprehensive loss</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gridSpan w:val="2"/>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(13,098)</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(13,098)</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6"/>
                <w:szCs w:val="16"/>
                <w:color w:val="auto"/>
              </w:rPr>
              <w:t>Balance as of March 31, 2021</w:t>
            </w: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540" w:type="dxa"/>
            <w:vAlign w:val="bottom"/>
            <w:vMerge w:val="continue"/>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4"/>
              </w:rPr>
              <w:t>26,102,278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u w:val="single" w:color="auto"/>
                <w:color w:val="auto"/>
                <w:w w:val="86"/>
              </w:rPr>
              <w:t>$</w:t>
            </w:r>
            <w:r>
              <w:rPr>
                <w:rFonts w:ascii="Arial" w:cs="Arial" w:eastAsia="Arial" w:hAnsi="Arial"/>
                <w:sz w:val="16"/>
                <w:szCs w:val="16"/>
                <w:color w:val="auto"/>
                <w:w w:val="86"/>
              </w:rPr>
              <w:t>240,735</w:t>
            </w:r>
          </w:p>
        </w:tc>
        <w:tc>
          <w:tcPr>
            <w:tcW w:w="1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5"/>
              </w:rPr>
              <w:t>1,222,449</w:t>
            </w:r>
          </w:p>
        </w:tc>
        <w:tc>
          <w:tcPr>
            <w:tcW w:w="260" w:type="dxa"/>
            <w:vAlign w:val="bottom"/>
          </w:tcPr>
          <w:p>
            <w:pPr>
              <w:spacing w:after="0"/>
              <w:rPr>
                <w:sz w:val="17"/>
                <w:szCs w:val="17"/>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2,054</w:t>
            </w:r>
          </w:p>
        </w:tc>
        <w:tc>
          <w:tcPr>
            <w:tcW w:w="380" w:type="dxa"/>
            <w:vAlign w:val="bottom"/>
            <w:gridSpan w:val="2"/>
          </w:tcPr>
          <w:p>
            <w:pPr>
              <w:jc w:val="right"/>
              <w:ind w:right="7"/>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(87)</w:t>
            </w:r>
          </w:p>
        </w:tc>
        <w:tc>
          <w:tcPr>
            <w:tcW w:w="2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(95,910)</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(93,943)</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40"/>
          </w:cols>
          <w:pgMar w:left="320" w:top="459" w:right="43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TENAYA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Statements of Cash Flows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(in thousands)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8"/>
              </w:rPr>
              <w:t>Three Months Ended March 31,</w:t>
            </w:r>
          </w:p>
        </w:tc>
        <w:tc>
          <w:tcPr>
            <w:tcW w:w="0" w:type="dxa"/>
            <w:vAlign w:val="bottom"/>
          </w:tcPr>
          <w:p>
            <w:pPr>
              <w:spacing w:after="0"/>
              <w:rPr>
                <w:sz w:val="1"/>
                <w:szCs w:val="1"/>
                <w:color w:val="auto"/>
              </w:rPr>
            </w:pPr>
          </w:p>
        </w:tc>
      </w:tr>
      <w:tr>
        <w:trPr>
          <w:trHeight w:val="142"/>
        </w:trPr>
        <w:tc>
          <w:tcPr>
            <w:tcW w:w="84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848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48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(9,051)</w:t>
            </w:r>
          </w:p>
        </w:tc>
        <w:tc>
          <w:tcPr>
            <w:tcW w:w="5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(13,098)</w:t>
            </w:r>
          </w:p>
        </w:tc>
        <w:tc>
          <w:tcPr>
            <w:tcW w:w="0" w:type="dxa"/>
            <w:vAlign w:val="bottom"/>
          </w:tcPr>
          <w:p>
            <w:pPr>
              <w:spacing w:after="0"/>
              <w:rPr>
                <w:sz w:val="1"/>
                <w:szCs w:val="1"/>
                <w:color w:val="auto"/>
              </w:rPr>
            </w:pPr>
          </w:p>
        </w:tc>
      </w:tr>
      <w:tr>
        <w:trPr>
          <w:trHeight w:val="148"/>
        </w:trPr>
        <w:tc>
          <w:tcPr>
            <w:tcW w:w="8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80" w:type="dxa"/>
            <w:vAlign w:val="bottom"/>
          </w:tcPr>
          <w:p>
            <w:pPr>
              <w:ind w:left="280"/>
              <w:spacing w:after="0" w:line="149" w:lineRule="exact"/>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12"/>
                <w:szCs w:val="12"/>
                <w:color w:val="auto"/>
              </w:rPr>
            </w:pP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584</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689</w:t>
            </w:r>
          </w:p>
        </w:tc>
        <w:tc>
          <w:tcPr>
            <w:tcW w:w="0" w:type="dxa"/>
            <w:vAlign w:val="bottom"/>
          </w:tcPr>
          <w:p>
            <w:pPr>
              <w:spacing w:after="0"/>
              <w:rPr>
                <w:sz w:val="1"/>
                <w:szCs w:val="1"/>
                <w:color w:val="auto"/>
              </w:rPr>
            </w:pPr>
          </w:p>
        </w:tc>
      </w:tr>
      <w:tr>
        <w:trPr>
          <w:trHeight w:val="148"/>
        </w:trPr>
        <w:tc>
          <w:tcPr>
            <w:tcW w:w="8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Stock-based compensation</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154</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432</w:t>
            </w:r>
          </w:p>
        </w:tc>
        <w:tc>
          <w:tcPr>
            <w:tcW w:w="0" w:type="dxa"/>
            <w:vAlign w:val="bottom"/>
          </w:tcPr>
          <w:p>
            <w:pPr>
              <w:spacing w:after="0"/>
              <w:rPr>
                <w:sz w:val="1"/>
                <w:szCs w:val="1"/>
                <w:color w:val="auto"/>
              </w:rPr>
            </w:pPr>
          </w:p>
        </w:tc>
      </w:tr>
      <w:tr>
        <w:trPr>
          <w:trHeight w:val="149"/>
        </w:trPr>
        <w:tc>
          <w:tcPr>
            <w:tcW w:w="8480" w:type="dxa"/>
            <w:vAlign w:val="bottom"/>
          </w:tcPr>
          <w:p>
            <w:pPr>
              <w:ind w:left="280"/>
              <w:spacing w:after="0" w:line="149" w:lineRule="exact"/>
              <w:rPr>
                <w:sz w:val="20"/>
                <w:szCs w:val="20"/>
                <w:color w:val="auto"/>
              </w:rPr>
            </w:pPr>
            <w:r>
              <w:rPr>
                <w:rFonts w:ascii="Arial" w:cs="Arial" w:eastAsia="Arial" w:hAnsi="Arial"/>
                <w:sz w:val="14"/>
                <w:szCs w:val="14"/>
                <w:color w:val="auto"/>
              </w:rPr>
              <w:t>Loss on disposal of property and equipment</w:t>
            </w:r>
          </w:p>
        </w:tc>
        <w:tc>
          <w:tcPr>
            <w:tcW w:w="140" w:type="dxa"/>
            <w:vAlign w:val="bottom"/>
          </w:tcPr>
          <w:p>
            <w:pPr>
              <w:spacing w:after="0"/>
              <w:rPr>
                <w:sz w:val="12"/>
                <w:szCs w:val="12"/>
                <w:color w:val="auto"/>
              </w:rPr>
            </w:pP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35</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8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Non-cash operating lease expense</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48"/>
        </w:trPr>
        <w:tc>
          <w:tcPr>
            <w:tcW w:w="8480" w:type="dxa"/>
            <w:vAlign w:val="bottom"/>
          </w:tcPr>
          <w:p>
            <w:pPr>
              <w:ind w:left="280"/>
              <w:spacing w:after="0" w:line="149" w:lineRule="exact"/>
              <w:rPr>
                <w:sz w:val="20"/>
                <w:szCs w:val="20"/>
                <w:color w:val="auto"/>
              </w:rPr>
            </w:pPr>
            <w:r>
              <w:rPr>
                <w:rFonts w:ascii="Arial" w:cs="Arial" w:eastAsia="Arial" w:hAnsi="Arial"/>
                <w:sz w:val="14"/>
                <w:szCs w:val="14"/>
                <w:color w:val="auto"/>
              </w:rPr>
              <w:t>Change in fair value of convertible preferred stock tranche liability</w:t>
            </w:r>
          </w:p>
        </w:tc>
        <w:tc>
          <w:tcPr>
            <w:tcW w:w="140" w:type="dxa"/>
            <w:vAlign w:val="bottom"/>
          </w:tcPr>
          <w:p>
            <w:pPr>
              <w:spacing w:after="0"/>
              <w:rPr>
                <w:sz w:val="12"/>
                <w:szCs w:val="12"/>
                <w:color w:val="auto"/>
              </w:rPr>
            </w:pP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19</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8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80" w:type="dxa"/>
            <w:vAlign w:val="bottom"/>
          </w:tcPr>
          <w:p>
            <w:pPr>
              <w:ind w:left="58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40" w:type="dxa"/>
            <w:vAlign w:val="bottom"/>
          </w:tcPr>
          <w:p>
            <w:pPr>
              <w:spacing w:after="0"/>
              <w:rPr>
                <w:sz w:val="12"/>
                <w:szCs w:val="12"/>
                <w:color w:val="auto"/>
              </w:rPr>
            </w:pP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158</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48"/>
        </w:trPr>
        <w:tc>
          <w:tcPr>
            <w:tcW w:w="84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Other non-current assets</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(169)</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(3,313)</w:t>
            </w:r>
          </w:p>
        </w:tc>
        <w:tc>
          <w:tcPr>
            <w:tcW w:w="0" w:type="dxa"/>
            <w:vAlign w:val="bottom"/>
          </w:tcPr>
          <w:p>
            <w:pPr>
              <w:spacing w:after="0"/>
              <w:rPr>
                <w:sz w:val="1"/>
                <w:szCs w:val="1"/>
                <w:color w:val="auto"/>
              </w:rPr>
            </w:pPr>
          </w:p>
        </w:tc>
      </w:tr>
      <w:tr>
        <w:trPr>
          <w:trHeight w:val="149"/>
        </w:trPr>
        <w:tc>
          <w:tcPr>
            <w:tcW w:w="8480" w:type="dxa"/>
            <w:vAlign w:val="bottom"/>
          </w:tcPr>
          <w:p>
            <w:pPr>
              <w:ind w:left="580"/>
              <w:spacing w:after="0" w:line="149" w:lineRule="exact"/>
              <w:rPr>
                <w:sz w:val="20"/>
                <w:szCs w:val="20"/>
                <w:color w:val="auto"/>
              </w:rPr>
            </w:pPr>
            <w:r>
              <w:rPr>
                <w:rFonts w:ascii="Arial" w:cs="Arial" w:eastAsia="Arial" w:hAnsi="Arial"/>
                <w:sz w:val="14"/>
                <w:szCs w:val="14"/>
                <w:color w:val="auto"/>
              </w:rPr>
              <w:t>Accounts payable</w:t>
            </w:r>
          </w:p>
        </w:tc>
        <w:tc>
          <w:tcPr>
            <w:tcW w:w="140" w:type="dxa"/>
            <w:vAlign w:val="bottom"/>
          </w:tcPr>
          <w:p>
            <w:pPr>
              <w:spacing w:after="0"/>
              <w:rPr>
                <w:sz w:val="12"/>
                <w:szCs w:val="12"/>
                <w:color w:val="auto"/>
              </w:rPr>
            </w:pP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674</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618</w:t>
            </w:r>
          </w:p>
        </w:tc>
        <w:tc>
          <w:tcPr>
            <w:tcW w:w="0" w:type="dxa"/>
            <w:vAlign w:val="bottom"/>
          </w:tcPr>
          <w:p>
            <w:pPr>
              <w:spacing w:after="0"/>
              <w:rPr>
                <w:sz w:val="1"/>
                <w:szCs w:val="1"/>
                <w:color w:val="auto"/>
              </w:rPr>
            </w:pPr>
          </w:p>
        </w:tc>
      </w:tr>
      <w:tr>
        <w:trPr>
          <w:trHeight w:val="148"/>
        </w:trPr>
        <w:tc>
          <w:tcPr>
            <w:tcW w:w="84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(452)</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(1,022)</w:t>
            </w:r>
          </w:p>
        </w:tc>
        <w:tc>
          <w:tcPr>
            <w:tcW w:w="0" w:type="dxa"/>
            <w:vAlign w:val="bottom"/>
          </w:tcPr>
          <w:p>
            <w:pPr>
              <w:spacing w:after="0"/>
              <w:rPr>
                <w:sz w:val="1"/>
                <w:szCs w:val="1"/>
                <w:color w:val="auto"/>
              </w:rPr>
            </w:pPr>
          </w:p>
        </w:tc>
      </w:tr>
      <w:tr>
        <w:trPr>
          <w:trHeight w:val="148"/>
        </w:trPr>
        <w:tc>
          <w:tcPr>
            <w:tcW w:w="8480" w:type="dxa"/>
            <w:vAlign w:val="bottom"/>
          </w:tcPr>
          <w:p>
            <w:pPr>
              <w:ind w:left="580"/>
              <w:spacing w:after="0" w:line="149" w:lineRule="exact"/>
              <w:rPr>
                <w:sz w:val="20"/>
                <w:szCs w:val="20"/>
                <w:color w:val="auto"/>
              </w:rPr>
            </w:pPr>
            <w:r>
              <w:rPr>
                <w:rFonts w:ascii="Arial" w:cs="Arial" w:eastAsia="Arial" w:hAnsi="Arial"/>
                <w:sz w:val="14"/>
                <w:szCs w:val="14"/>
                <w:color w:val="auto"/>
              </w:rPr>
              <w:t>Deferred rent and other lease liabilities</w:t>
            </w:r>
          </w:p>
        </w:tc>
        <w:tc>
          <w:tcPr>
            <w:tcW w:w="14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(182)</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84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Operating lease liabilities</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(384)</w:t>
            </w:r>
          </w:p>
        </w:tc>
        <w:tc>
          <w:tcPr>
            <w:tcW w:w="0" w:type="dxa"/>
            <w:vAlign w:val="bottom"/>
          </w:tcPr>
          <w:p>
            <w:pPr>
              <w:spacing w:after="0"/>
              <w:rPr>
                <w:sz w:val="1"/>
                <w:szCs w:val="1"/>
                <w:color w:val="auto"/>
              </w:rPr>
            </w:pPr>
          </w:p>
        </w:tc>
      </w:tr>
      <w:tr>
        <w:trPr>
          <w:trHeight w:val="148"/>
        </w:trPr>
        <w:tc>
          <w:tcPr>
            <w:tcW w:w="8480" w:type="dxa"/>
            <w:vAlign w:val="bottom"/>
          </w:tcPr>
          <w:p>
            <w:pPr>
              <w:ind w:left="580"/>
              <w:spacing w:after="0" w:line="149" w:lineRule="exact"/>
              <w:rPr>
                <w:sz w:val="20"/>
                <w:szCs w:val="20"/>
                <w:color w:val="auto"/>
              </w:rPr>
            </w:pPr>
            <w:r>
              <w:rPr>
                <w:rFonts w:ascii="Arial" w:cs="Arial" w:eastAsia="Arial" w:hAnsi="Arial"/>
                <w:sz w:val="14"/>
                <w:szCs w:val="14"/>
                <w:color w:val="auto"/>
              </w:rPr>
              <w:t>Other non-current liabilities</w:t>
            </w:r>
          </w:p>
        </w:tc>
        <w:tc>
          <w:tcPr>
            <w:tcW w:w="14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4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Net cash used in operating activities</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(8,238)</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(15,789)</w:t>
            </w:r>
          </w:p>
        </w:tc>
        <w:tc>
          <w:tcPr>
            <w:tcW w:w="0" w:type="dxa"/>
            <w:vAlign w:val="bottom"/>
          </w:tcPr>
          <w:p>
            <w:pPr>
              <w:spacing w:after="0"/>
              <w:rPr>
                <w:sz w:val="1"/>
                <w:szCs w:val="1"/>
                <w:color w:val="auto"/>
              </w:rPr>
            </w:pPr>
          </w:p>
        </w:tc>
      </w:tr>
      <w:tr>
        <w:trPr>
          <w:trHeight w:val="156"/>
        </w:trPr>
        <w:tc>
          <w:tcPr>
            <w:tcW w:w="848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property and equipment</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(435)</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(4,323)</w:t>
            </w:r>
          </w:p>
        </w:tc>
        <w:tc>
          <w:tcPr>
            <w:tcW w:w="0" w:type="dxa"/>
            <w:vAlign w:val="bottom"/>
          </w:tcPr>
          <w:p>
            <w:pPr>
              <w:spacing w:after="0"/>
              <w:rPr>
                <w:sz w:val="1"/>
                <w:szCs w:val="1"/>
                <w:color w:val="auto"/>
              </w:rPr>
            </w:pPr>
          </w:p>
        </w:tc>
      </w:tr>
      <w:tr>
        <w:trPr>
          <w:trHeight w:val="148"/>
        </w:trPr>
        <w:tc>
          <w:tcPr>
            <w:tcW w:w="8480" w:type="dxa"/>
            <w:vAlign w:val="bottom"/>
          </w:tcPr>
          <w:p>
            <w:pPr>
              <w:spacing w:after="0" w:line="149" w:lineRule="exact"/>
              <w:rPr>
                <w:sz w:val="20"/>
                <w:szCs w:val="20"/>
                <w:color w:val="auto"/>
              </w:rPr>
            </w:pPr>
            <w:r>
              <w:rPr>
                <w:rFonts w:ascii="Arial" w:cs="Arial" w:eastAsia="Arial" w:hAnsi="Arial"/>
                <w:sz w:val="14"/>
                <w:szCs w:val="14"/>
                <w:color w:val="auto"/>
              </w:rPr>
              <w:t>Proceeds from maturities of marketable securities</w:t>
            </w:r>
          </w:p>
        </w:tc>
        <w:tc>
          <w:tcPr>
            <w:tcW w:w="140" w:type="dxa"/>
            <w:vAlign w:val="bottom"/>
          </w:tcPr>
          <w:p>
            <w:pPr>
              <w:spacing w:after="0"/>
              <w:rPr>
                <w:sz w:val="12"/>
                <w:szCs w:val="12"/>
                <w:color w:val="auto"/>
              </w:rPr>
            </w:pP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2,753</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84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Net cash provided by (used in) investing activities</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2,318</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(4,323)</w:t>
            </w:r>
          </w:p>
        </w:tc>
        <w:tc>
          <w:tcPr>
            <w:tcW w:w="0" w:type="dxa"/>
            <w:vAlign w:val="bottom"/>
          </w:tcPr>
          <w:p>
            <w:pPr>
              <w:spacing w:after="0"/>
              <w:rPr>
                <w:sz w:val="1"/>
                <w:szCs w:val="1"/>
                <w:color w:val="auto"/>
              </w:rPr>
            </w:pPr>
          </w:p>
        </w:tc>
      </w:tr>
      <w:tr>
        <w:trPr>
          <w:trHeight w:val="155"/>
        </w:trPr>
        <w:tc>
          <w:tcPr>
            <w:tcW w:w="848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 of Series B convertible preferred stock, net of issuance costs</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30,667</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8480" w:type="dxa"/>
            <w:vAlign w:val="bottom"/>
          </w:tcPr>
          <w:p>
            <w:pPr>
              <w:spacing w:after="0" w:line="149" w:lineRule="exact"/>
              <w:rPr>
                <w:sz w:val="20"/>
                <w:szCs w:val="20"/>
                <w:color w:val="auto"/>
              </w:rPr>
            </w:pPr>
            <w:r>
              <w:rPr>
                <w:rFonts w:ascii="Arial" w:cs="Arial" w:eastAsia="Arial" w:hAnsi="Arial"/>
                <w:sz w:val="14"/>
                <w:szCs w:val="14"/>
                <w:color w:val="auto"/>
              </w:rPr>
              <w:t>Proceeds from issuance of Series C convertible preferred stock, net of issuance costs</w:t>
            </w:r>
          </w:p>
        </w:tc>
        <w:tc>
          <w:tcPr>
            <w:tcW w:w="140" w:type="dxa"/>
            <w:vAlign w:val="bottom"/>
          </w:tcPr>
          <w:p>
            <w:pPr>
              <w:spacing w:after="0"/>
              <w:rPr>
                <w:sz w:val="12"/>
                <w:szCs w:val="12"/>
                <w:color w:val="auto"/>
              </w:rPr>
            </w:pP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19,986</w:t>
            </w:r>
          </w:p>
        </w:tc>
        <w:tc>
          <w:tcPr>
            <w:tcW w:w="0" w:type="dxa"/>
            <w:vAlign w:val="bottom"/>
          </w:tcPr>
          <w:p>
            <w:pPr>
              <w:spacing w:after="0"/>
              <w:rPr>
                <w:sz w:val="1"/>
                <w:szCs w:val="1"/>
                <w:color w:val="auto"/>
              </w:rPr>
            </w:pPr>
          </w:p>
        </w:tc>
      </w:tr>
      <w:tr>
        <w:trPr>
          <w:trHeight w:val="149"/>
        </w:trPr>
        <w:tc>
          <w:tcPr>
            <w:tcW w:w="8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exercise of stock options</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62"/>
        </w:trPr>
        <w:tc>
          <w:tcPr>
            <w:tcW w:w="8480" w:type="dxa"/>
            <w:vAlign w:val="bottom"/>
          </w:tcPr>
          <w:p>
            <w:pPr>
              <w:ind w:left="860"/>
              <w:spacing w:after="0" w:line="155" w:lineRule="exact"/>
              <w:rPr>
                <w:sz w:val="20"/>
                <w:szCs w:val="20"/>
                <w:color w:val="auto"/>
              </w:rPr>
            </w:pPr>
            <w:r>
              <w:rPr>
                <w:rFonts w:ascii="Arial" w:cs="Arial" w:eastAsia="Arial" w:hAnsi="Arial"/>
                <w:sz w:val="14"/>
                <w:szCs w:val="14"/>
                <w:color w:val="auto"/>
              </w:rPr>
              <w:t>Net cash provided by financing activities</w:t>
            </w:r>
          </w:p>
        </w:tc>
        <w:tc>
          <w:tcPr>
            <w:tcW w:w="1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30,670</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cash, cash equivalents and restricted cash</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24,750</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48"/>
        </w:trPr>
        <w:tc>
          <w:tcPr>
            <w:tcW w:w="8480" w:type="dxa"/>
            <w:vAlign w:val="bottom"/>
          </w:tcPr>
          <w:p>
            <w:pPr>
              <w:spacing w:after="0" w:line="149" w:lineRule="exact"/>
              <w:rPr>
                <w:sz w:val="20"/>
                <w:szCs w:val="20"/>
                <w:color w:val="auto"/>
              </w:rPr>
            </w:pPr>
            <w:r>
              <w:rPr>
                <w:rFonts w:ascii="Arial" w:cs="Arial" w:eastAsia="Arial" w:hAnsi="Arial"/>
                <w:sz w:val="14"/>
                <w:szCs w:val="14"/>
                <w:color w:val="auto"/>
              </w:rPr>
              <w:t>Cash, cash equivalents and restricted cash at beginning of period</w:t>
            </w:r>
          </w:p>
        </w:tc>
        <w:tc>
          <w:tcPr>
            <w:tcW w:w="140" w:type="dxa"/>
            <w:vAlign w:val="bottom"/>
          </w:tcPr>
          <w:p>
            <w:pPr>
              <w:spacing w:after="0"/>
              <w:rPr>
                <w:sz w:val="12"/>
                <w:szCs w:val="12"/>
                <w:color w:val="auto"/>
              </w:rPr>
            </w:pP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24,271</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129,083</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cash equivalents and restricted cash at end of period</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49,021</w:t>
            </w:r>
          </w:p>
        </w:tc>
        <w:tc>
          <w:tcPr>
            <w:tcW w:w="5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128,986</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4"/>
                <w:szCs w:val="14"/>
                <w:b w:val="1"/>
                <w:bCs w:val="1"/>
                <w:color w:val="auto"/>
              </w:rPr>
              <w:t>Components of cash, cash equivalents and restricted cash:</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4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48,622</w:t>
            </w:r>
          </w:p>
        </w:tc>
        <w:tc>
          <w:tcPr>
            <w:tcW w:w="5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128,439</w:t>
            </w:r>
          </w:p>
        </w:tc>
        <w:tc>
          <w:tcPr>
            <w:tcW w:w="0" w:type="dxa"/>
            <w:vAlign w:val="bottom"/>
          </w:tcPr>
          <w:p>
            <w:pPr>
              <w:spacing w:after="0"/>
              <w:rPr>
                <w:sz w:val="1"/>
                <w:szCs w:val="1"/>
                <w:color w:val="auto"/>
              </w:rPr>
            </w:pPr>
          </w:p>
        </w:tc>
      </w:tr>
      <w:tr>
        <w:trPr>
          <w:trHeight w:val="148"/>
        </w:trPr>
        <w:tc>
          <w:tcPr>
            <w:tcW w:w="8480" w:type="dxa"/>
            <w:vAlign w:val="bottom"/>
          </w:tcPr>
          <w:p>
            <w:pPr>
              <w:spacing w:after="0" w:line="149" w:lineRule="exact"/>
              <w:rPr>
                <w:sz w:val="20"/>
                <w:szCs w:val="20"/>
                <w:color w:val="auto"/>
              </w:rPr>
            </w:pPr>
            <w:r>
              <w:rPr>
                <w:rFonts w:ascii="Arial" w:cs="Arial" w:eastAsia="Arial" w:hAnsi="Arial"/>
                <w:sz w:val="14"/>
                <w:szCs w:val="14"/>
                <w:color w:val="auto"/>
              </w:rPr>
              <w:t>Restricted cash, non-current</w:t>
            </w:r>
          </w:p>
        </w:tc>
        <w:tc>
          <w:tcPr>
            <w:tcW w:w="140" w:type="dxa"/>
            <w:vAlign w:val="bottom"/>
          </w:tcPr>
          <w:p>
            <w:pPr>
              <w:spacing w:after="0"/>
              <w:rPr>
                <w:sz w:val="12"/>
                <w:szCs w:val="12"/>
                <w:color w:val="auto"/>
              </w:rPr>
            </w:pP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399</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547</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cash equivalents and restricted cash</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49,021</w:t>
            </w:r>
          </w:p>
        </w:tc>
        <w:tc>
          <w:tcPr>
            <w:tcW w:w="5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128,986</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 of cash operating activities: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4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paid for leases that were included in operating cash outflows</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1,389</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 of non-cash operating activities: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4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Lease liability obtained in exchange for right-of-use asset</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4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offering costs related to initial public offering included in accounts payable</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4"/>
                <w:szCs w:val="14"/>
                <w:color w:val="auto"/>
              </w:rPr>
              <w:t>Property and equipment included in accounts payable and accrued expenses and other current liabilities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480" w:type="dxa"/>
            <w:vAlign w:val="bottom"/>
            <w:vMerge w:val="continue"/>
          </w:tcPr>
          <w:p>
            <w:pPr>
              <w:spacing w:after="0"/>
              <w:rPr>
                <w:sz w:val="12"/>
                <w:szCs w:val="12"/>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162</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4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Partial settlement of convertible preferred stock tranche liability in connection with the issuance of Series B convertible preferred stock</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line="143" w:lineRule="exact"/>
              <w:rPr>
                <w:sz w:val="20"/>
                <w:szCs w:val="20"/>
                <w:color w:val="auto"/>
              </w:rPr>
            </w:pPr>
            <w:r>
              <w:rPr>
                <w:rFonts w:ascii="Arial" w:cs="Arial" w:eastAsia="Arial" w:hAnsi="Arial"/>
                <w:sz w:val="14"/>
                <w:szCs w:val="14"/>
                <w:color w:val="auto"/>
              </w:rPr>
              <w:t>27</w:t>
            </w:r>
          </w:p>
        </w:tc>
        <w:tc>
          <w:tcPr>
            <w:tcW w:w="500" w:type="dxa"/>
            <w:vAlign w:val="bottom"/>
            <w:gridSpan w:val="2"/>
            <w:shd w:val="clear" w:color="auto" w:fill="CCEEFF"/>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4"/>
                <w:szCs w:val="14"/>
                <w:color w:val="auto"/>
              </w:rPr>
              <w:t>Offering costs related to Series B convertible preferred stock included in accounts payable and accrued expenses and other current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84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8480" w:type="dxa"/>
            <w:vAlign w:val="bottom"/>
          </w:tcPr>
          <w:p>
            <w:pPr>
              <w:ind w:left="140"/>
              <w:spacing w:after="0"/>
              <w:rPr>
                <w:sz w:val="20"/>
                <w:szCs w:val="20"/>
                <w:color w:val="auto"/>
              </w:rPr>
            </w:pPr>
            <w:r>
              <w:rPr>
                <w:rFonts w:ascii="Arial" w:cs="Arial" w:eastAsia="Arial" w:hAnsi="Arial"/>
                <w:sz w:val="14"/>
                <w:szCs w:val="14"/>
                <w:color w:val="auto"/>
              </w:rPr>
              <w:t>liabilities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4"/>
                <w:szCs w:val="14"/>
                <w:color w:val="auto"/>
              </w:rPr>
              <w:t>23</w:t>
            </w:r>
          </w:p>
        </w:tc>
        <w:tc>
          <w:tcPr>
            <w:tcW w:w="5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4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Offering costs related to Series C convertible preferred stock included in accounts payable</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line="143"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40"/>
          </w:cols>
          <w:pgMar w:left="320" w:top="459" w:right="43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 and Description of the Business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Tenaya Therapeutics, Inc. (the Company) was incorporated in the state of Delaware in August 2016 and is headquartered in South San Francisco, California. The Company is a preclinical stage biotechnology company focused on discovering, developing and delivering curative therapies that address the underlying drivers of heart disease. The Company is advancing product candidates from three distinct but interrelated product platforms: gene therapy, cellular regeneration and precision medicine.</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has incurred net losses since inception and expects such losses to continue in the future as it conducts research and development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activities. As of March 31, 2021, the Company had an accumulated deficit of $95.9 million. The Company incurred a net loss of $9.1 million and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$13.1 million during the three months ended March 31, 2020 and 2021. The Company had $128.4 million of cash and cash equivalents as of March 31,</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2021.</w:t>
      </w:r>
    </w:p>
    <w:p>
      <w:pPr>
        <w:spacing w:after="0" w:line="21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Management recognizes the need to raise capital to fully implement its business plan. The Company has historically financed its operations primarily with proceeds from the issuance of its convertible preferred stock and may seek to raise capital through equity financings, debt financings, license agreements, collaborative agreements or other sources of financing. Management believes that its existing cash and cash equivalents as of March 31, 2021 are sufficient to fund the Company’s operations for at least the next twelve months following the filing date of these condensed financial statements.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The accompanying condensed financial statements have been prepared in accordance with accounting principles generally accepted in the United States of America (GAAP) and follow the requirements of the Securities and Exchange Commission (SEC) for interim reporting. As permitted under those rules, certain footnotes or other financial information that are normally required by GAAP can be condensed or omitted.</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The preparation of condensed financial statements in conformity with GAAP requires management to make estimates and assumptions that affect the reported amounts of assets, liabilities, and the disclosure of contingent assets and liabilities at the date of the condensed financial statements and the reported amounts of expenses during the reporting period. Significant estimates and assumptions made in the accompanying condensed financial statements include, but are not limited to, the fair value of common stock, the valuation of equity-based awards, the useful lives of property and equipment, the fair value of the convertible preferred stock tranche liability, accrued expenses related to research and development activities and the valuation allowance for deferred tax assets. Management bases its estimates on historical experience, the current economic environment, and on various other assumptions that are believed to be reasonable under the circumstances. Actual results may differ from those estimates or assumptions.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Unaudited Interim Condensed Financial Statements</w:t>
      </w:r>
    </w:p>
    <w:p>
      <w:pPr>
        <w:spacing w:after="0" w:line="117" w:lineRule="exact"/>
        <w:rPr>
          <w:sz w:val="20"/>
          <w:szCs w:val="20"/>
          <w:color w:val="auto"/>
        </w:rPr>
      </w:pPr>
    </w:p>
    <w:p>
      <w:pPr>
        <w:ind w:left="120" w:right="580" w:firstLine="440"/>
        <w:spacing w:after="0" w:line="301" w:lineRule="auto"/>
        <w:rPr>
          <w:sz w:val="20"/>
          <w:szCs w:val="20"/>
          <w:color w:val="auto"/>
        </w:rPr>
      </w:pPr>
      <w:r>
        <w:rPr>
          <w:rFonts w:ascii="Arial" w:cs="Arial" w:eastAsia="Arial" w:hAnsi="Arial"/>
          <w:sz w:val="16"/>
          <w:szCs w:val="16"/>
          <w:color w:val="auto"/>
        </w:rPr>
        <w:t>The interim condensed balance sheet as of March 31, 2021, and the interim condensed statements of operations and comprehensive loss, convertible preferred stock and stockholders’ deficit and cash flows for the three months ended March 31, 2020 and 2021 are unaudited. These unaudited interim condensed financial statements have been prepared on the same basis as the Company’s annual financial statements and, in the opinion of management, reflect all adjustments (consisting only of normal recurring adjustments) that are</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40"/>
          </w:cols>
          <w:pgMar w:left="320" w:top="459" w:right="43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necessary for the fair statement of the Company’s financial position, results of operations and cash flows for the interim periods presented. The condensed results of operations for the three months ended March 31, 2021 are not necessarily indicative of the results to be expected for the full year or for any other future annual or interim period. The condensed balance sheet as of December 31, 2020 included herein was derived from the audited financial statements as of that date. These interim condensed financial statements should be read in conjunction with the Company’s audited financial statements included elsewhere in this prospectus.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on the date of purchase to be cash equivalents. Cash equivalents primarily consist of money market funds that are stated at fair value.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 xml:space="preserve">The Company adopted Accounting Standards Codification (ASC) Topic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842) on January 1, 2021, as discussed below in the section titled “Recently Adopted Accounting Standards”. Under ASC 842, the Company determines if an arrangement is a lease at inception.</w:t>
      </w:r>
    </w:p>
    <w:p>
      <w:pPr>
        <w:spacing w:after="0" w:line="124"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Operating lease right-of-use (ROU) assets represent the Company’s right to use an underlying asset for the lease term and lease liabilities represent the Company’s obligation to make lease payments arising from the lease. Operating lease ROU assets and liabilities are recognized based on the present value of lease payments over the lease term at the commencement date of the lease. ROU assets also include any initial direct costs incurred and any lease payments made at or before the lease commencement date, less any lease incentive received. The Company uses the rate implicit in the lease in determining the present value of lease payments and, if that rate is not readily determinable, the Company uses its incremental borrowing rate based on the information available at the date of lease commencement. The incremental borrowing rate reflects the rate of interest that a lessee would have to pay to borrow, on a collateralized basis over a similar term, an amount equal to the lease payments in a similar economic environment. The Company’s lease terms may include options to extend or terminate the lease when it is reasonably certain that the Company will exercise that option. Lease expense for lease payments is recognized on a straight-line basis over the lease term.</w:t>
      </w:r>
    </w:p>
    <w:p>
      <w:pPr>
        <w:spacing w:after="0" w:line="58"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Company’s non-lease components are primarily related to property taxes, insurance, and common area maintenance, which vary based on future outcomes, and are recognized as rent expense when incurred.</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Deferred offering costs, consisting of legal, accounting, audit and filing fees relating to the Company’s initial public offering, are capitalized.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Deferred offering costs will be offset against offering proceeds upon the completion of the offering. In the event the offering is terminated or delayed,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deferred offering costs will be expensed. As of December 31, 2020, the Company did not incur any deferred offering costs. As of March 31, 2021,</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$0.1 million of deferred offering costs were capitalized, which are included in other non-current assets in the accompanying condensed balance sheet.</w:t>
      </w:r>
    </w:p>
    <w:p>
      <w:pPr>
        <w:spacing w:after="0" w:line="34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left="120" w:right="340" w:firstLine="440"/>
        <w:spacing w:after="0" w:line="257" w:lineRule="auto"/>
        <w:rPr>
          <w:sz w:val="20"/>
          <w:szCs w:val="20"/>
          <w:color w:val="auto"/>
        </w:rPr>
      </w:pPr>
      <w:r>
        <w:rPr>
          <w:rFonts w:ascii="Arial" w:cs="Arial" w:eastAsia="Arial" w:hAnsi="Arial"/>
          <w:sz w:val="18"/>
          <w:szCs w:val="18"/>
          <w:color w:val="auto"/>
        </w:rPr>
        <w:t>Basic net loss per share is calculated by dividing the net loss by the weighted-average number of shares of the Company’s common stock outstanding for the period, without consideration for potential dilutive shares of common stock. As the Company is in a loss position for the periods presented, diluted net loss per share is the same as basic net loss per share, since the effects of potentially dilutive securities are antidilutive. Shares related to early exercised stock options and restricted stock that are subject to repurchase are excluded from the basic and diluted net loss per share calculation until the Company’s repurchase right lapses.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00"/>
          </w:cols>
          <w:pgMar w:left="320" w:top="459" w:right="47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On January 1, 2020, the Company adopted Financial Accounting Standards Board (FASB) Accounting Standard Update (ASU) No. 2018-13, </w:t>
      </w:r>
      <w:r>
        <w:rPr>
          <w:rFonts w:ascii="Arial" w:cs="Arial" w:eastAsia="Arial" w:hAnsi="Arial"/>
          <w:sz w:val="18"/>
          <w:szCs w:val="18"/>
          <w:i w:val="1"/>
          <w:iCs w:val="1"/>
          <w:color w:val="auto"/>
        </w:rPr>
        <w:t>Fair</w:t>
      </w:r>
      <w:r>
        <w:rPr>
          <w:rFonts w:ascii="Arial" w:cs="Arial" w:eastAsia="Arial" w:hAnsi="Arial"/>
          <w:sz w:val="18"/>
          <w:szCs w:val="18"/>
          <w:color w:val="auto"/>
        </w:rPr>
        <w:t xml:space="preserve"> </w:t>
      </w:r>
      <w:r>
        <w:rPr>
          <w:rFonts w:ascii="Arial" w:cs="Arial" w:eastAsia="Arial" w:hAnsi="Arial"/>
          <w:sz w:val="18"/>
          <w:szCs w:val="18"/>
          <w:i w:val="1"/>
          <w:iCs w:val="1"/>
          <w:color w:val="auto"/>
        </w:rPr>
        <w:t>Value Measurement (Topic 820): Disclosure Framework—Changes to the Disclosure Requirements for Fair Value Measurement</w:t>
      </w:r>
      <w:r>
        <w:rPr>
          <w:rFonts w:ascii="Arial" w:cs="Arial" w:eastAsia="Arial" w:hAnsi="Arial"/>
          <w:sz w:val="18"/>
          <w:szCs w:val="18"/>
          <w:color w:val="auto"/>
        </w:rPr>
        <w:t>. This standard</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eliminates, modifies and adds disclosure requirements for fair value measurements. The Company adopted the removed and modified disclosures on a retrospective basis and the new disclosures on a prospective basis. The adoption of this standard did not have a material impact on the Company’s financial statements.</w:t>
      </w:r>
    </w:p>
    <w:p>
      <w:pPr>
        <w:spacing w:after="0" w:line="188"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 xml:space="preserve">On January 1, 2021, the Company adopted ASC 842 using the modified retrospective transition method and elected the practical expedients to not reassess whether any expired or existing contracts are or contain leases, carry forward its historical lease classification and not reassess initial direct costs for existing leases. The Company elected to not separate non-lease components from the associated lease components and to not recognize ROU assets and lease liabilities for leases with a term of twelve months or less. Upon adoption of ASC 842, the Company recorded an operating right-of-use asset of $4.6 million, operating lease liabilities of $9.1 million and derecognized deferred rent and other lease liabilities of $4.5 million. Results for the three months ended March 31, 2021 are presented under ASC 842. Prior period amounts before January 1, 2021 have not been adjusted and continue to be reported in accordance with the Company’s historical accounting under previous lease guidance, ASC 840: </w:t>
      </w:r>
      <w:r>
        <w:rPr>
          <w:rFonts w:ascii="Arial" w:cs="Arial" w:eastAsia="Arial" w:hAnsi="Arial"/>
          <w:sz w:val="16"/>
          <w:szCs w:val="16"/>
          <w:i w:val="1"/>
          <w:iCs w:val="1"/>
          <w:color w:val="auto"/>
        </w:rPr>
        <w:t>Leases (Topic 840)</w:t>
      </w:r>
      <w:r>
        <w:rPr>
          <w:rFonts w:ascii="Arial" w:cs="Arial" w:eastAsia="Arial" w:hAnsi="Arial"/>
          <w:sz w:val="16"/>
          <w:szCs w:val="16"/>
          <w:color w:val="auto"/>
        </w:rPr>
        <w:t>.</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which replaces the existing incurred loss impairment model with an expected credit loss model. This standard will require</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to recognize an allowance for credit losses on available-for-sale debt securities rather than the current approach of recording a reduction to the carrying value of the asset. As an emerging growth company, ASU 2016-13 is effective for the Company beginning January 1, 2023. The Company is evaluating the impact of this standard on its financial statements.</w:t>
      </w:r>
    </w:p>
    <w:p>
      <w:pPr>
        <w:spacing w:after="0" w:line="8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 which is intended to simplify the accounting for income taxes. This standard eliminates certain exceptions to the approach for intra period tax allocation, the methodology for calculating income taxes in an interim period and the recognition of deferred tax liabilities for outside basis differences. As an emerging growth company, ASU 2019-12 is effective for the Company beginning January 1, 2022. The Company is evaluating the impact of this standard on its financial statements.</w:t>
      </w:r>
    </w:p>
    <w:p>
      <w:pPr>
        <w:spacing w:after="0" w:line="80"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In August 2020, the FASB issued ASU No. 2020-06, Debt—</w:t>
      </w:r>
      <w:r>
        <w:rPr>
          <w:rFonts w:ascii="Arial" w:cs="Arial" w:eastAsia="Arial" w:hAnsi="Arial"/>
          <w:sz w:val="18"/>
          <w:szCs w:val="18"/>
          <w:i w:val="1"/>
          <w:iCs w:val="1"/>
          <w:color w:val="auto"/>
        </w:rPr>
        <w:t>Debt with Conversion and Other Options (Subtopic 470-20) and 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Hedging—Contracts in Entity’s Own Equity (Subtopic 815-40) </w:t>
      </w:r>
      <w:r>
        <w:rPr>
          <w:rFonts w:ascii="Arial" w:cs="Arial" w:eastAsia="Arial" w:hAnsi="Arial"/>
          <w:sz w:val="18"/>
          <w:szCs w:val="18"/>
          <w:color w:val="auto"/>
        </w:rPr>
        <w:t>(ASU 2020-06), which is intended to simplify the accounting for convertible debt</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and convertible preferred stock. This standard removes the existing guidance in ASC 470-20 that requires companies to account for cash conversion features and beneficial conversion features in equity, separately from the host convertible debt or preferred stock. As an emerging growth company, ASU 2020-06 is effective for the Company beginning January 1, 2024. The Company currently does not expect the adoption of this standard to have a material impact on its financial statements.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00"/>
          </w:cols>
          <w:pgMar w:left="320" w:top="459" w:right="47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Financial assets and liabilities are recognized at fair value on a recurring basis. The following tables summarize the Company’s financial assets measured at fair value on a recurring basis by level within the fair value hierarchy:</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Valuation</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9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3"/>
          </w:tcPr>
          <w:p>
            <w:pPr>
              <w:jc w:val="center"/>
              <w:ind w:right="40"/>
              <w:spacing w:after="0" w:line="119" w:lineRule="exact"/>
              <w:rPr>
                <w:sz w:val="20"/>
                <w:szCs w:val="20"/>
                <w:color w:val="auto"/>
              </w:rPr>
            </w:pPr>
            <w:r>
              <w:rPr>
                <w:rFonts w:ascii="Arial" w:cs="Arial" w:eastAsia="Arial" w:hAnsi="Arial"/>
                <w:sz w:val="13"/>
                <w:szCs w:val="13"/>
                <w:b w:val="1"/>
                <w:bCs w:val="1"/>
                <w:color w:val="auto"/>
              </w:rPr>
              <w:t>Amortized</w:t>
            </w:r>
          </w:p>
        </w:tc>
        <w:tc>
          <w:tcPr>
            <w:tcW w:w="340" w:type="dxa"/>
            <w:vAlign w:val="bottom"/>
          </w:tcPr>
          <w:p>
            <w:pPr>
              <w:spacing w:after="0"/>
              <w:rPr>
                <w:sz w:val="10"/>
                <w:szCs w:val="10"/>
                <w:color w:val="auto"/>
              </w:rPr>
            </w:pPr>
          </w:p>
        </w:tc>
        <w:tc>
          <w:tcPr>
            <w:tcW w:w="10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Unrealized</w:t>
            </w:r>
          </w:p>
        </w:tc>
        <w:tc>
          <w:tcPr>
            <w:tcW w:w="86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Unrealized</w:t>
            </w:r>
          </w:p>
        </w:tc>
        <w:tc>
          <w:tcPr>
            <w:tcW w:w="180" w:type="dxa"/>
            <w:vAlign w:val="bottom"/>
          </w:tcPr>
          <w:p>
            <w:pPr>
              <w:spacing w:after="0"/>
              <w:rPr>
                <w:sz w:val="10"/>
                <w:szCs w:val="10"/>
                <w:color w:val="auto"/>
              </w:rPr>
            </w:pPr>
          </w:p>
        </w:tc>
        <w:tc>
          <w:tcPr>
            <w:tcW w:w="8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98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2"/>
              </w:rPr>
              <w:t>Hierarchy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Cost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Gain</w:t>
            </w:r>
          </w:p>
        </w:tc>
        <w:tc>
          <w:tcPr>
            <w:tcW w:w="500" w:type="dxa"/>
            <w:vAlign w:val="bottom"/>
          </w:tcPr>
          <w:p>
            <w:pPr>
              <w:ind w:left="20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720"/>
              <w:spacing w:after="0"/>
              <w:rPr>
                <w:sz w:val="20"/>
                <w:szCs w:val="20"/>
                <w:color w:val="auto"/>
              </w:rPr>
            </w:pPr>
            <w:r>
              <w:rPr>
                <w:rFonts w:ascii="Arial" w:cs="Arial" w:eastAsia="Arial" w:hAnsi="Arial"/>
                <w:sz w:val="18"/>
                <w:szCs w:val="18"/>
                <w:b w:val="1"/>
                <w:bCs w:val="1"/>
                <w:color w:val="auto"/>
              </w:rPr>
              <w:t>Cash equivalents:</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Money market funds</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Level 1</w:t>
            </w:r>
          </w:p>
        </w:tc>
        <w:tc>
          <w:tcPr>
            <w:tcW w:w="140" w:type="dxa"/>
            <w:vAlign w:val="bottom"/>
            <w:gridSpan w:val="2"/>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127,535</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127,535</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Total financial assets</w:t>
            </w: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127,535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127,535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980" w:type="dxa"/>
            <w:vAlign w:val="bottom"/>
          </w:tcPr>
          <w:p>
            <w:pPr>
              <w:spacing w:after="0"/>
              <w:rPr>
                <w:sz w:val="24"/>
                <w:szCs w:val="24"/>
                <w:color w:val="auto"/>
              </w:rPr>
            </w:pPr>
          </w:p>
        </w:tc>
        <w:tc>
          <w:tcPr>
            <w:tcW w:w="10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5"/>
              </w:rPr>
              <w:t>Valuation</w:t>
            </w: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March 31, 2021</w:t>
            </w: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9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3"/>
          </w:tcPr>
          <w:p>
            <w:pPr>
              <w:jc w:val="center"/>
              <w:ind w:right="40"/>
              <w:spacing w:after="0" w:line="119" w:lineRule="exact"/>
              <w:rPr>
                <w:sz w:val="20"/>
                <w:szCs w:val="20"/>
                <w:color w:val="auto"/>
              </w:rPr>
            </w:pPr>
            <w:r>
              <w:rPr>
                <w:rFonts w:ascii="Arial" w:cs="Arial" w:eastAsia="Arial" w:hAnsi="Arial"/>
                <w:sz w:val="13"/>
                <w:szCs w:val="13"/>
                <w:b w:val="1"/>
                <w:bCs w:val="1"/>
                <w:color w:val="auto"/>
              </w:rPr>
              <w:t>Amortized</w:t>
            </w:r>
          </w:p>
        </w:tc>
        <w:tc>
          <w:tcPr>
            <w:tcW w:w="340" w:type="dxa"/>
            <w:vAlign w:val="bottom"/>
          </w:tcPr>
          <w:p>
            <w:pPr>
              <w:spacing w:after="0"/>
              <w:rPr>
                <w:sz w:val="10"/>
                <w:szCs w:val="10"/>
                <w:color w:val="auto"/>
              </w:rPr>
            </w:pPr>
          </w:p>
        </w:tc>
        <w:tc>
          <w:tcPr>
            <w:tcW w:w="10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Unrealized</w:t>
            </w:r>
          </w:p>
        </w:tc>
        <w:tc>
          <w:tcPr>
            <w:tcW w:w="86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Unrealized</w:t>
            </w:r>
          </w:p>
        </w:tc>
        <w:tc>
          <w:tcPr>
            <w:tcW w:w="180" w:type="dxa"/>
            <w:vAlign w:val="bottom"/>
          </w:tcPr>
          <w:p>
            <w:pPr>
              <w:spacing w:after="0"/>
              <w:rPr>
                <w:sz w:val="10"/>
                <w:szCs w:val="10"/>
                <w:color w:val="auto"/>
              </w:rPr>
            </w:pPr>
          </w:p>
        </w:tc>
        <w:tc>
          <w:tcPr>
            <w:tcW w:w="8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98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2"/>
              </w:rPr>
              <w:t>Hierarchy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Cost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Gain</w:t>
            </w:r>
          </w:p>
        </w:tc>
        <w:tc>
          <w:tcPr>
            <w:tcW w:w="500" w:type="dxa"/>
            <w:vAlign w:val="bottom"/>
          </w:tcPr>
          <w:p>
            <w:pPr>
              <w:ind w:left="20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720"/>
              <w:spacing w:after="0"/>
              <w:rPr>
                <w:sz w:val="20"/>
                <w:szCs w:val="20"/>
                <w:color w:val="auto"/>
              </w:rPr>
            </w:pPr>
            <w:r>
              <w:rPr>
                <w:rFonts w:ascii="Arial" w:cs="Arial" w:eastAsia="Arial" w:hAnsi="Arial"/>
                <w:sz w:val="18"/>
                <w:szCs w:val="18"/>
                <w:b w:val="1"/>
                <w:bCs w:val="1"/>
                <w:color w:val="auto"/>
              </w:rPr>
              <w:t>Cash equivalents:</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Money market funds</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Level 1</w:t>
            </w:r>
          </w:p>
        </w:tc>
        <w:tc>
          <w:tcPr>
            <w:tcW w:w="140" w:type="dxa"/>
            <w:vAlign w:val="bottom"/>
            <w:gridSpan w:val="2"/>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127,433</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127,433</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Total financial assets</w:t>
            </w: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127,433</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127,433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Money market funds are classified as Level 1 because they are valued using quoted market prices in active markets for identical assets.</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unrealized losses as of December 31, 2020 and March 31, 2021.</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Convertible Preferred Stock Tranche Liability</w:t>
      </w:r>
    </w:p>
    <w:p>
      <w:pPr>
        <w:spacing w:after="0" w:line="11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The Company’s convertible preferred stock tranche liability (see Note 7) was determined based on significant inputs not observable in the market, which represents a Level 3 measurement within the fair value hierarchy. Fair value was calculated using an option pricing model that required significant unobservable inputs supported by little or no market activity. The convertible preferred stock tranche liability is considered a non-contingent forward and the standard forward pricing model was used with the following key assumptions: (a) calculation of an expected term and (b) a risk-free interest rate. On the second and third closings of the Company’s Series B convertible preferred stock financings in March and August 2020, the convertible preferred stock tranche liability was settled and reclassified to Series B convertible preferred stock. Accordingly, there is no convertible preferred stock tranche liability as of December 31, 2020 and March 31, 2021.</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summarizes the significant unobservable assumptions used to value the convertible preferred stock tranche liability as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31, 2020:</w:t>
      </w:r>
    </w:p>
    <w:p>
      <w:pPr>
        <w:spacing w:after="0" w:line="217"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2"/>
              </w:rPr>
              <w:t>March 31,</w:t>
            </w:r>
          </w:p>
        </w:tc>
      </w:tr>
      <w:tr>
        <w:trPr>
          <w:trHeight w:val="171"/>
        </w:trPr>
        <w:tc>
          <w:tcPr>
            <w:tcW w:w="2960" w:type="dxa"/>
            <w:vAlign w:val="bottom"/>
          </w:tcPr>
          <w:p>
            <w:pPr>
              <w:spacing w:after="0"/>
              <w:rPr>
                <w:sz w:val="14"/>
                <w:szCs w:val="14"/>
                <w:color w:val="auto"/>
              </w:rPr>
            </w:pPr>
          </w:p>
        </w:tc>
        <w:tc>
          <w:tcPr>
            <w:tcW w:w="446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210"/>
        </w:trPr>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Term to valuation date (in years)</w:t>
            </w:r>
          </w:p>
        </w:tc>
        <w:tc>
          <w:tcPr>
            <w:tcW w:w="38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Discount rate</w:t>
            </w:r>
          </w:p>
        </w:tc>
        <w:tc>
          <w:tcPr>
            <w:tcW w:w="4520" w:type="dxa"/>
            <w:vAlign w:val="bottom"/>
            <w:gridSpan w:val="3"/>
          </w:tcPr>
          <w:p>
            <w:pPr>
              <w:jc w:val="right"/>
              <w:ind w:right="60"/>
              <w:spacing w:after="0"/>
              <w:rPr>
                <w:sz w:val="20"/>
                <w:szCs w:val="20"/>
                <w:color w:val="auto"/>
              </w:rPr>
            </w:pPr>
            <w:r>
              <w:rPr>
                <w:rFonts w:ascii="Arial" w:cs="Arial" w:eastAsia="Arial" w:hAnsi="Arial"/>
                <w:sz w:val="18"/>
                <w:szCs w:val="18"/>
                <w:color w:val="auto"/>
              </w:rPr>
              <w:t>5.0%</w:t>
            </w:r>
          </w:p>
        </w:tc>
      </w:tr>
      <w:tr>
        <w:trPr>
          <w:trHeight w:val="350"/>
        </w:trPr>
        <w:tc>
          <w:tcPr>
            <w:tcW w:w="2960" w:type="dxa"/>
            <w:vAlign w:val="bottom"/>
          </w:tcPr>
          <w:p>
            <w:pPr>
              <w:spacing w:after="0"/>
              <w:rPr>
                <w:sz w:val="24"/>
                <w:szCs w:val="24"/>
                <w:color w:val="auto"/>
              </w:rPr>
            </w:pPr>
          </w:p>
        </w:tc>
        <w:tc>
          <w:tcPr>
            <w:tcW w:w="4520" w:type="dxa"/>
            <w:vAlign w:val="bottom"/>
            <w:gridSpan w:val="3"/>
          </w:tcPr>
          <w:p>
            <w:pPr>
              <w:jc w:val="right"/>
              <w:ind w:right="3560"/>
              <w:spacing w:after="0"/>
              <w:rPr>
                <w:sz w:val="20"/>
                <w:szCs w:val="20"/>
                <w:color w:val="auto"/>
              </w:rPr>
            </w:pPr>
            <w:r>
              <w:rPr>
                <w:rFonts w:ascii="Arial" w:cs="Arial" w:eastAsia="Arial" w:hAnsi="Arial"/>
                <w:sz w:val="18"/>
                <w:szCs w:val="18"/>
                <w:color w:val="auto"/>
              </w:rPr>
              <w:t>F-35</w:t>
            </w:r>
          </w:p>
        </w:tc>
      </w:tr>
    </w:tbl>
    <w:p>
      <w:pPr>
        <w:sectPr>
          <w:pgSz w:w="11900" w:h="16838" w:orient="portrait"/>
          <w:cols w:equalWidth="0" w:num="1">
            <w:col w:w="11140"/>
          </w:cols>
          <w:pgMar w:left="320" w:top="459" w:right="43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following table summarizes the changes in the estimated fair value of the Company’s convertible preferred stock tranche liability measured on a recurring basis using significant Level 3 inputs: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27"/>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6"/>
          </w:tcPr>
          <w:p>
            <w:pP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3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786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80" w:type="dxa"/>
            <w:vAlign w:val="bottom"/>
          </w:tcPr>
          <w:p>
            <w:pPr>
              <w:ind w:left="360"/>
              <w:spacing w:after="0" w:line="201" w:lineRule="exact"/>
              <w:rPr>
                <w:sz w:val="20"/>
                <w:szCs w:val="20"/>
                <w:color w:val="auto"/>
              </w:rPr>
            </w:pPr>
            <w:r>
              <w:rPr>
                <w:rFonts w:ascii="Arial" w:cs="Arial" w:eastAsia="Arial" w:hAnsi="Arial"/>
                <w:sz w:val="18"/>
                <w:szCs w:val="18"/>
                <w:color w:val="auto"/>
                <w:w w:val="92"/>
              </w:rPr>
              <w:t>Partial settlement upon second closing of Series B convertible preferred</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80" w:type="dxa"/>
            <w:vAlign w:val="bottom"/>
          </w:tcPr>
          <w:p>
            <w:pPr>
              <w:ind w:left="540"/>
              <w:spacing w:after="0"/>
              <w:rPr>
                <w:sz w:val="20"/>
                <w:szCs w:val="20"/>
                <w:color w:val="auto"/>
              </w:rPr>
            </w:pPr>
            <w:r>
              <w:rPr>
                <w:rFonts w:ascii="Arial" w:cs="Arial" w:eastAsia="Arial" w:hAnsi="Arial"/>
                <w:sz w:val="18"/>
                <w:szCs w:val="18"/>
                <w:color w:val="auto"/>
              </w:rPr>
              <w:t>stock</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gridSpan w:val="4"/>
          </w:tcPr>
          <w:p>
            <w:pPr>
              <w:jc w:val="right"/>
              <w:ind w:right="40"/>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upon remeasurement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060" w:type="dxa"/>
            <w:vAlign w:val="bottom"/>
            <w:gridSpan w:val="2"/>
          </w:tcPr>
          <w:p>
            <w:pPr>
              <w:ind w:left="380"/>
              <w:spacing w:after="0"/>
              <w:rPr>
                <w:sz w:val="20"/>
                <w:szCs w:val="20"/>
                <w:color w:val="auto"/>
              </w:rPr>
            </w:pPr>
            <w:r>
              <w:rPr>
                <w:rFonts w:ascii="Arial" w:cs="Arial" w:eastAsia="Arial" w:hAnsi="Arial"/>
                <w:sz w:val="18"/>
                <w:szCs w:val="18"/>
                <w:color w:val="auto"/>
              </w:rPr>
              <w:t>Ending balance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4. Balance Sheet Components</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44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40" w:type="dxa"/>
            <w:vAlign w:val="bottom"/>
            <w:gridSpan w:val="3"/>
          </w:tcPr>
          <w:p>
            <w:pPr>
              <w:ind w:left="440"/>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40" w:type="dxa"/>
            <w:vAlign w:val="bottom"/>
            <w:gridSpan w:val="3"/>
          </w:tcPr>
          <w:p>
            <w:pPr>
              <w:ind w:left="440"/>
              <w:spacing w:after="0"/>
              <w:rPr>
                <w:sz w:val="20"/>
                <w:szCs w:val="20"/>
                <w:color w:val="auto"/>
              </w:rPr>
            </w:pPr>
            <w:r>
              <w:rPr>
                <w:rFonts w:ascii="Arial" w:cs="Arial" w:eastAsia="Arial" w:hAnsi="Arial"/>
                <w:sz w:val="18"/>
                <w:szCs w:val="18"/>
                <w:color w:val="auto"/>
              </w:rPr>
              <w:t>Property and equipment, net consists of the following:</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5"/>
          </w:tcPr>
          <w:p>
            <w:pPr>
              <w:spacing w:after="0"/>
              <w:rPr>
                <w:sz w:val="20"/>
                <w:szCs w:val="20"/>
                <w:color w:val="auto"/>
              </w:rPr>
            </w:pPr>
            <w:r>
              <w:rPr>
                <w:rFonts w:ascii="Arial" w:cs="Arial" w:eastAsia="Arial" w:hAnsi="Arial"/>
                <w:sz w:val="14"/>
                <w:szCs w:val="14"/>
                <w:b w:val="1"/>
                <w:bCs w:val="1"/>
                <w:color w:val="auto"/>
                <w:w w:val="96"/>
              </w:rPr>
              <w:t>December 31,</w:t>
            </w:r>
          </w:p>
        </w:tc>
        <w:tc>
          <w:tcPr>
            <w:tcW w:w="480" w:type="dxa"/>
            <w:vAlign w:val="bottom"/>
          </w:tcPr>
          <w:p>
            <w:pPr>
              <w:spacing w:after="0"/>
              <w:rPr>
                <w:sz w:val="24"/>
                <w:szCs w:val="24"/>
                <w:color w:val="auto"/>
              </w:rPr>
            </w:pPr>
          </w:p>
        </w:tc>
        <w:tc>
          <w:tcPr>
            <w:tcW w:w="80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6"/>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8,182</w:t>
            </w: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8,676</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7,678</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ind w:right="120"/>
              <w:spacing w:after="0"/>
              <w:rPr>
                <w:sz w:val="20"/>
                <w:szCs w:val="20"/>
                <w:color w:val="auto"/>
              </w:rPr>
            </w:pPr>
            <w:r>
              <w:rPr>
                <w:rFonts w:ascii="Arial" w:cs="Arial" w:eastAsia="Arial" w:hAnsi="Arial"/>
                <w:sz w:val="18"/>
                <w:szCs w:val="18"/>
                <w:color w:val="auto"/>
              </w:rPr>
              <w:t>11,937</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7,237</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7,237</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534</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ind w:right="12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257</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060" w:type="dxa"/>
            <w:vAlign w:val="bottom"/>
            <w:gridSpan w:val="2"/>
          </w:tcPr>
          <w:p>
            <w:pPr>
              <w:ind w:left="360"/>
              <w:spacing w:after="0"/>
              <w:rPr>
                <w:sz w:val="20"/>
                <w:szCs w:val="20"/>
                <w:color w:val="auto"/>
              </w:rPr>
            </w:pPr>
            <w:r>
              <w:rPr>
                <w:rFonts w:ascii="Arial" w:cs="Arial" w:eastAsia="Arial" w:hAnsi="Arial"/>
                <w:sz w:val="18"/>
                <w:szCs w:val="18"/>
                <w:color w:val="auto"/>
              </w:rPr>
              <w:t>Total property and equipment</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23,888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color w:val="auto"/>
                <w:w w:val="83"/>
              </w:rPr>
              <w:t>28,656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(6,703)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(7,389)</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060" w:type="dxa"/>
            <w:vAlign w:val="bottom"/>
            <w:gridSpan w:val="2"/>
          </w:tcPr>
          <w:p>
            <w:pPr>
              <w:ind w:left="360"/>
              <w:spacing w:after="0"/>
              <w:rPr>
                <w:sz w:val="20"/>
                <w:szCs w:val="20"/>
                <w:color w:val="auto"/>
              </w:rPr>
            </w:pPr>
            <w:r>
              <w:rPr>
                <w:rFonts w:ascii="Arial" w:cs="Arial" w:eastAsia="Arial" w:hAnsi="Arial"/>
                <w:sz w:val="18"/>
                <w:szCs w:val="18"/>
                <w:color w:val="auto"/>
              </w:rPr>
              <w:t>Total property and equipment, net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17,185</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w w:val="83"/>
              </w:rPr>
              <w:t>21,267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Depreciation and amortization expense for the three months ended March 31, 2020 and 2021 was $0.6 million and $0.7 million. Construction in progress consists primarily of capitalized machinery and equipment that is expected to be placed in service in the Company’s manufacturing and office space located in Union City, California after the lease commencement date in May 2021.</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31"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2021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4"/>
          </w:tcPr>
          <w:p>
            <w:pPr>
              <w:ind w:left="42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related expenses</w:t>
            </w:r>
          </w:p>
        </w:tc>
        <w:tc>
          <w:tcPr>
            <w:tcW w:w="11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2,090</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Accrued research and development expenses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391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services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Accrued property and equipment</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231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3"/>
        </w:trPr>
        <w:tc>
          <w:tcPr>
            <w:tcW w:w="5220" w:type="dxa"/>
            <w:vAlign w:val="bottom"/>
          </w:tcPr>
          <w:p>
            <w:pPr>
              <w:ind w:left="360"/>
              <w:spacing w:after="0"/>
              <w:rPr>
                <w:sz w:val="20"/>
                <w:szCs w:val="20"/>
                <w:color w:val="auto"/>
              </w:rPr>
            </w:pPr>
            <w:r>
              <w:rPr>
                <w:rFonts w:ascii="Arial" w:cs="Arial" w:eastAsia="Arial" w:hAnsi="Arial"/>
                <w:sz w:val="18"/>
                <w:szCs w:val="18"/>
                <w:color w:val="auto"/>
              </w:rPr>
              <w:t>Total accrued expenses and other current liabilities</w:t>
            </w:r>
          </w:p>
        </w:tc>
        <w:tc>
          <w:tcPr>
            <w:tcW w:w="9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ind w:left="3960"/>
              <w:spacing w:after="0"/>
              <w:rPr>
                <w:sz w:val="20"/>
                <w:szCs w:val="20"/>
                <w:color w:val="auto"/>
              </w:rPr>
            </w:pPr>
            <w:r>
              <w:rPr>
                <w:rFonts w:ascii="Arial" w:cs="Arial" w:eastAsia="Arial" w:hAnsi="Arial"/>
                <w:sz w:val="18"/>
                <w:szCs w:val="18"/>
                <w:color w:val="auto"/>
              </w:rPr>
              <w:t>F-36</w:t>
            </w:r>
          </w:p>
        </w:tc>
        <w:tc>
          <w:tcPr>
            <w:tcW w:w="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2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Collaboration and License Agreements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Gladstone License Agreement</w:t>
      </w:r>
    </w:p>
    <w:p>
      <w:pPr>
        <w:spacing w:after="0" w:line="117"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In October 2016, the Company entered into a license agreement with Gladstone Institutes (Gladstone), pursuant to which Gladstone granted the Company a worldwide, royalty-bearing exclusive patent license and a non-exclusive technology license to develop and commercialize certain products for certain diseases (Gladstone License Agreement). Pursuant to the Gladstone License Agreement, the Company is obligated, among other things, to pay Gladstone (i) annual license maintenance fees ranging from $25,000 to $0.1 million per year, which will be creditable against royalties paid in the following twelve month period, (ii) milestone payments up to $4.1 million for royalty-bearing products directed to a particular target, which are contingent upon achieving specific clinical and commercialization milestone events, and (iii) tiered low-single digit royalties on future net sales of each royalty-bearing product. Under the agreement, the Company is subject to diligence requirements to develop and commercialize at least one royalty-bearing product. The Company may pay $50,000 to $100,000 to extend the deadline for its diligence milestone obligations for up to four additional one-year terms. As of March 31, 2021, the Company has not recognized any milestone and royalty payments under the Gladstone License Agreement.</w:t>
      </w:r>
    </w:p>
    <w:p>
      <w:pPr>
        <w:spacing w:after="0" w:line="166"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During the three months ended March 31, 2020 and 2021, there were no amounts recorded related to annual license fees payable pursuant to the Gladstone License Agreement.</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University of Texas Southwestern License Agreement</w:t>
      </w:r>
    </w:p>
    <w:p>
      <w:pPr>
        <w:spacing w:after="0" w:line="117"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color w:val="auto"/>
        </w:rPr>
        <w:t>In January 2020, the Company entered into a license agreement with the University of Texas Southwestern (UTSW License), pursuant to which UTSW granted the Company a royalty-bearing exclusive and sublicensable patent license and a non-exclusive, non-sublicensable license for mutually agreed upon development activities. Under the UTSW License, the Company is obligated to pay UTSW (i) a non-refundable upfront license fee of $0.1 million, (ii) milestone payments up to a total of $14.8 million in aggregate, which are contingent upon achieving specific development and commercialization milestone events, and (iii) royalties on future net sales of each royalty-bearing product ranging in the low-single digits. As of March 31, 2021, the Company has not recognized any milestone and royalty payments under the UTSW License.</w:t>
      </w:r>
    </w:p>
    <w:p>
      <w:pPr>
        <w:spacing w:after="0" w:line="178"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During the three months ended March 31, 2020, the Company recorded research and development expenses of $0.1 million related to the upfront license fee payable pursuant to the UTSW License.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License Agreements</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In addition to the agreements described above, the Company has also entered into other license agreements with various institutions and business entities, none of which are material individually or in the aggregate.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Commitments and Contingencies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Facility Leases</w:t>
      </w:r>
    </w:p>
    <w:p>
      <w:pPr>
        <w:spacing w:after="0" w:line="117" w:lineRule="exact"/>
        <w:rPr>
          <w:sz w:val="20"/>
          <w:szCs w:val="20"/>
          <w:color w:val="auto"/>
        </w:rPr>
      </w:pPr>
    </w:p>
    <w:p>
      <w:pPr>
        <w:ind w:left="120" w:right="280" w:firstLine="440"/>
        <w:spacing w:after="0" w:line="286" w:lineRule="auto"/>
        <w:rPr>
          <w:sz w:val="20"/>
          <w:szCs w:val="20"/>
          <w:color w:val="auto"/>
        </w:rPr>
      </w:pPr>
      <w:r>
        <w:rPr>
          <w:rFonts w:ascii="Arial" w:cs="Arial" w:eastAsia="Arial" w:hAnsi="Arial"/>
          <w:sz w:val="17"/>
          <w:szCs w:val="17"/>
          <w:color w:val="auto"/>
        </w:rPr>
        <w:t>In December 2016, the Company entered into a lease agreement for office and laboratory space in South San Francisco, California. The lease expires in May 2025 and the Company may renew the lease term for two additional five-year periods. Pursuant to the lease agreement, the Company received a tenant improvement allowance of $5.8 million in aggregate for leasehold improvements to the facility.</w:t>
      </w:r>
    </w:p>
    <w:p>
      <w:pPr>
        <w:spacing w:after="0" w:line="16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In December 2020, the Company entered into a short-term sublease agreement for additional office and laboratory space in South San Francisco, California with a lease term that expires on November 30, 2021.</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On January 1, 2021, the Company adopted ASC 842 (see Note 2) and the following disclosures as of and for the three months ended March 31, 2021 are presented under ASC 842. As of March 31, 2021, the remaining lease term was 4.4 years and the incremental borrowing rate used to determine the operating lease liability was 9.0%.</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00"/>
          </w:cols>
          <w:pgMar w:left="320" w:top="459" w:right="47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0" w:firstLine="440"/>
        <w:spacing w:after="0" w:line="263" w:lineRule="auto"/>
        <w:rPr>
          <w:sz w:val="20"/>
          <w:szCs w:val="20"/>
          <w:color w:val="auto"/>
        </w:rPr>
      </w:pPr>
      <w:r>
        <w:rPr>
          <w:rFonts w:ascii="Arial" w:cs="Arial" w:eastAsia="Arial" w:hAnsi="Arial"/>
          <w:sz w:val="18"/>
          <w:szCs w:val="18"/>
          <w:color w:val="auto"/>
        </w:rPr>
        <w:t>For the three months ended March 31, 2021, the Company incurred $1.2 million in rent expense, of which $0.6 million is related to the Company’s short-term lease. Variable lease payments were $0.4 million for the three months ended March 31, 2021. For the three months ended March 31, 2020, the Company incurred $0.6 million in rent expense.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March 31, 2021 the undiscounted future minimum lease payments due under the Company’s non-cancelable operating lease are as follows:</w:t>
      </w:r>
    </w:p>
    <w:p>
      <w:pPr>
        <w:spacing w:after="0" w:line="267"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8"/>
              </w:rPr>
              <w:t>Amount</w:t>
            </w:r>
          </w:p>
        </w:tc>
      </w:tr>
      <w:tr>
        <w:trPr>
          <w:trHeight w:val="142"/>
        </w:trPr>
        <w:tc>
          <w:tcPr>
            <w:tcW w:w="6500" w:type="dxa"/>
            <w:vAlign w:val="bottom"/>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gridSpan w:val="2"/>
          </w:tcPr>
          <w:p>
            <w:pPr>
              <w:spacing w:after="0"/>
              <w:rPr>
                <w:sz w:val="12"/>
                <w:szCs w:val="12"/>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2021 (remaining 9 months)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1,788</w:t>
            </w:r>
          </w:p>
        </w:tc>
        <w:tc>
          <w:tcPr>
            <w:tcW w:w="8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2,446</w:t>
            </w:r>
          </w:p>
        </w:tc>
        <w:tc>
          <w:tcPr>
            <w:tcW w:w="8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2,523</w:t>
            </w:r>
          </w:p>
        </w:tc>
        <w:tc>
          <w:tcPr>
            <w:tcW w:w="8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2,603</w:t>
            </w:r>
          </w:p>
        </w:tc>
        <w:tc>
          <w:tcPr>
            <w:tcW w:w="8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1,099</w:t>
            </w:r>
          </w:p>
        </w:tc>
        <w:tc>
          <w:tcPr>
            <w:tcW w:w="80" w:type="dxa"/>
            <w:vAlign w:val="bottom"/>
            <w:shd w:val="clear" w:color="auto" w:fill="CCEEFF"/>
          </w:tcPr>
          <w:p>
            <w:pPr>
              <w:spacing w:after="0"/>
              <w:rPr>
                <w:sz w:val="18"/>
                <w:szCs w:val="18"/>
                <w:color w:val="auto"/>
              </w:rPr>
            </w:pPr>
          </w:p>
        </w:tc>
      </w:tr>
      <w:tr>
        <w:trPr>
          <w:trHeight w:val="223"/>
        </w:trPr>
        <w:tc>
          <w:tcPr>
            <w:tcW w:w="6500" w:type="dxa"/>
            <w:vAlign w:val="bottom"/>
          </w:tcPr>
          <w:p>
            <w:pPr>
              <w:ind w:left="360"/>
              <w:spacing w:after="0"/>
              <w:rPr>
                <w:sz w:val="20"/>
                <w:szCs w:val="20"/>
                <w:color w:val="auto"/>
              </w:rPr>
            </w:pPr>
            <w:r>
              <w:rPr>
                <w:rFonts w:ascii="Arial" w:cs="Arial" w:eastAsia="Arial" w:hAnsi="Arial"/>
                <w:sz w:val="18"/>
                <w:szCs w:val="18"/>
                <w:color w:val="auto"/>
              </w:rPr>
              <w:t>Total undiscounted future minimum lease payments</w:t>
            </w: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Present value adjustment for minimum lease commitments</w:t>
            </w: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(1,733)</w:t>
            </w:r>
          </w:p>
        </w:tc>
      </w:tr>
      <w:tr>
        <w:trPr>
          <w:trHeight w:val="223"/>
        </w:trPr>
        <w:tc>
          <w:tcPr>
            <w:tcW w:w="6500" w:type="dxa"/>
            <w:vAlign w:val="bottom"/>
          </w:tcPr>
          <w:p>
            <w:pPr>
              <w:ind w:left="360"/>
              <w:spacing w:after="0"/>
              <w:rPr>
                <w:sz w:val="20"/>
                <w:szCs w:val="20"/>
                <w:color w:val="auto"/>
              </w:rPr>
            </w:pPr>
            <w:r>
              <w:rPr>
                <w:rFonts w:ascii="Arial" w:cs="Arial" w:eastAsia="Arial" w:hAnsi="Arial"/>
                <w:sz w:val="18"/>
                <w:szCs w:val="18"/>
                <w:color w:val="auto"/>
              </w:rPr>
              <w:t>Total operating lease liabilities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8,726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December 31, 2020, undiscounted future minimum lease payments due under the Company’s non-cancelable operating lease are as follows:</w:t>
      </w:r>
    </w:p>
    <w:p>
      <w:pPr>
        <w:spacing w:after="0" w:line="267" w:lineRule="exact"/>
        <w:rPr>
          <w:sz w:val="20"/>
          <w:szCs w:val="20"/>
          <w:color w:val="auto"/>
        </w:rPr>
      </w:pPr>
    </w:p>
    <w:tbl>
      <w:tblPr>
        <w:tblLayout w:type="fixed"/>
        <w:tblInd w:w="1500" w:type="dxa"/>
        <w:tblCellMar>
          <w:top w:w="0" w:type="dxa"/>
          <w:left w:w="0" w:type="dxa"/>
          <w:bottom w:w="0" w:type="dxa"/>
          <w:right w:w="0" w:type="dxa"/>
        </w:tblCellMar>
      </w:tblPr>
      <w:tr>
        <w:trPr>
          <w:trHeight w:val="171"/>
        </w:trPr>
        <w:tc>
          <w:tcPr>
            <w:tcW w:w="7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r>
      <w:tr>
        <w:trPr>
          <w:trHeight w:val="142"/>
        </w:trPr>
        <w:tc>
          <w:tcPr>
            <w:tcW w:w="7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60" w:type="dxa"/>
            <w:vAlign w:val="bottom"/>
            <w:gridSpan w:val="2"/>
          </w:tcPr>
          <w:p>
            <w:pPr>
              <w:spacing w:after="0"/>
              <w:rPr>
                <w:sz w:val="12"/>
                <w:szCs w:val="12"/>
                <w:color w:val="auto"/>
              </w:rPr>
            </w:pPr>
          </w:p>
        </w:tc>
      </w:tr>
      <w:tr>
        <w:trPr>
          <w:trHeight w:val="216"/>
        </w:trPr>
        <w:tc>
          <w:tcPr>
            <w:tcW w:w="7320" w:type="dxa"/>
            <w:vAlign w:val="bottom"/>
            <w:shd w:val="clear" w:color="auto" w:fill="CCEEFF"/>
          </w:tcPr>
          <w:p>
            <w:pPr>
              <w:jc w:val="right"/>
              <w:ind w:right="6870"/>
              <w:spacing w:after="0"/>
              <w:rPr>
                <w:sz w:val="20"/>
                <w:szCs w:val="20"/>
                <w:color w:val="auto"/>
              </w:rPr>
            </w:pPr>
            <w:r>
              <w:rPr>
                <w:rFonts w:ascii="Arial" w:cs="Arial" w:eastAsia="Arial" w:hAnsi="Arial"/>
                <w:sz w:val="18"/>
                <w:szCs w:val="18"/>
                <w:color w:val="auto"/>
                <w:w w:val="84"/>
              </w:rPr>
              <w:t>2021</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3,752</w:t>
            </w:r>
          </w:p>
        </w:tc>
        <w:tc>
          <w:tcPr>
            <w:tcW w:w="40" w:type="dxa"/>
            <w:vAlign w:val="bottom"/>
            <w:shd w:val="clear" w:color="auto" w:fill="CCEEFF"/>
          </w:tcPr>
          <w:p>
            <w:pPr>
              <w:spacing w:after="0"/>
              <w:rPr>
                <w:sz w:val="18"/>
                <w:szCs w:val="18"/>
                <w:color w:val="auto"/>
              </w:rPr>
            </w:pPr>
          </w:p>
        </w:tc>
      </w:tr>
      <w:tr>
        <w:trPr>
          <w:trHeight w:val="216"/>
        </w:trPr>
        <w:tc>
          <w:tcPr>
            <w:tcW w:w="7320" w:type="dxa"/>
            <w:vAlign w:val="bottom"/>
          </w:tcPr>
          <w:p>
            <w:pPr>
              <w:jc w:val="right"/>
              <w:ind w:right="6870"/>
              <w:spacing w:after="0"/>
              <w:rPr>
                <w:sz w:val="20"/>
                <w:szCs w:val="20"/>
                <w:color w:val="auto"/>
              </w:rPr>
            </w:pPr>
            <w:r>
              <w:rPr>
                <w:rFonts w:ascii="Arial" w:cs="Arial" w:eastAsia="Arial" w:hAnsi="Arial"/>
                <w:sz w:val="18"/>
                <w:szCs w:val="18"/>
                <w:color w:val="auto"/>
                <w:w w:val="84"/>
              </w:rPr>
              <w:t>2022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2,206</w:t>
            </w:r>
          </w:p>
        </w:tc>
        <w:tc>
          <w:tcPr>
            <w:tcW w:w="40" w:type="dxa"/>
            <w:vAlign w:val="bottom"/>
          </w:tcPr>
          <w:p>
            <w:pPr>
              <w:spacing w:after="0"/>
              <w:rPr>
                <w:sz w:val="18"/>
                <w:szCs w:val="18"/>
                <w:color w:val="auto"/>
              </w:rPr>
            </w:pPr>
          </w:p>
        </w:tc>
      </w:tr>
      <w:tr>
        <w:trPr>
          <w:trHeight w:val="216"/>
        </w:trPr>
        <w:tc>
          <w:tcPr>
            <w:tcW w:w="7320" w:type="dxa"/>
            <w:vAlign w:val="bottom"/>
            <w:shd w:val="clear" w:color="auto" w:fill="CCEEFF"/>
          </w:tcPr>
          <w:p>
            <w:pPr>
              <w:jc w:val="right"/>
              <w:ind w:right="6870"/>
              <w:spacing w:after="0"/>
              <w:rPr>
                <w:sz w:val="20"/>
                <w:szCs w:val="20"/>
                <w:color w:val="auto"/>
              </w:rPr>
            </w:pPr>
            <w:r>
              <w:rPr>
                <w:rFonts w:ascii="Arial" w:cs="Arial" w:eastAsia="Arial" w:hAnsi="Arial"/>
                <w:sz w:val="18"/>
                <w:szCs w:val="18"/>
                <w:color w:val="auto"/>
                <w:w w:val="84"/>
              </w:rPr>
              <w:t>2023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2,283</w:t>
            </w:r>
          </w:p>
        </w:tc>
        <w:tc>
          <w:tcPr>
            <w:tcW w:w="40" w:type="dxa"/>
            <w:vAlign w:val="bottom"/>
            <w:shd w:val="clear" w:color="auto" w:fill="CCEEFF"/>
          </w:tcPr>
          <w:p>
            <w:pPr>
              <w:spacing w:after="0"/>
              <w:rPr>
                <w:sz w:val="18"/>
                <w:szCs w:val="18"/>
                <w:color w:val="auto"/>
              </w:rPr>
            </w:pPr>
          </w:p>
        </w:tc>
      </w:tr>
      <w:tr>
        <w:trPr>
          <w:trHeight w:val="216"/>
        </w:trPr>
        <w:tc>
          <w:tcPr>
            <w:tcW w:w="7320" w:type="dxa"/>
            <w:vAlign w:val="bottom"/>
          </w:tcPr>
          <w:p>
            <w:pPr>
              <w:jc w:val="right"/>
              <w:ind w:right="6870"/>
              <w:spacing w:after="0"/>
              <w:rPr>
                <w:sz w:val="20"/>
                <w:szCs w:val="20"/>
                <w:color w:val="auto"/>
              </w:rPr>
            </w:pPr>
            <w:r>
              <w:rPr>
                <w:rFonts w:ascii="Arial" w:cs="Arial" w:eastAsia="Arial" w:hAnsi="Arial"/>
                <w:sz w:val="18"/>
                <w:szCs w:val="18"/>
                <w:color w:val="auto"/>
                <w:w w:val="84"/>
              </w:rPr>
              <w:t>2024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2,363</w:t>
            </w:r>
          </w:p>
        </w:tc>
        <w:tc>
          <w:tcPr>
            <w:tcW w:w="40" w:type="dxa"/>
            <w:vAlign w:val="bottom"/>
          </w:tcPr>
          <w:p>
            <w:pPr>
              <w:spacing w:after="0"/>
              <w:rPr>
                <w:sz w:val="18"/>
                <w:szCs w:val="18"/>
                <w:color w:val="auto"/>
              </w:rPr>
            </w:pPr>
          </w:p>
        </w:tc>
      </w:tr>
      <w:tr>
        <w:trPr>
          <w:trHeight w:val="216"/>
        </w:trPr>
        <w:tc>
          <w:tcPr>
            <w:tcW w:w="7320" w:type="dxa"/>
            <w:vAlign w:val="bottom"/>
            <w:shd w:val="clear" w:color="auto" w:fill="CCEEFF"/>
          </w:tcPr>
          <w:p>
            <w:pPr>
              <w:jc w:val="right"/>
              <w:ind w:right="6870"/>
              <w:spacing w:after="0"/>
              <w:rPr>
                <w:sz w:val="20"/>
                <w:szCs w:val="20"/>
                <w:color w:val="auto"/>
              </w:rPr>
            </w:pPr>
            <w:r>
              <w:rPr>
                <w:rFonts w:ascii="Arial" w:cs="Arial" w:eastAsia="Arial" w:hAnsi="Arial"/>
                <w:sz w:val="18"/>
                <w:szCs w:val="18"/>
                <w:color w:val="auto"/>
                <w:w w:val="84"/>
              </w:rPr>
              <w:t>2025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999</w:t>
            </w:r>
          </w:p>
        </w:tc>
        <w:tc>
          <w:tcPr>
            <w:tcW w:w="40" w:type="dxa"/>
            <w:vAlign w:val="bottom"/>
            <w:shd w:val="clear" w:color="auto" w:fill="CCEEFF"/>
          </w:tcPr>
          <w:p>
            <w:pPr>
              <w:spacing w:after="0"/>
              <w:rPr>
                <w:sz w:val="18"/>
                <w:szCs w:val="18"/>
                <w:color w:val="auto"/>
              </w:rPr>
            </w:pPr>
          </w:p>
        </w:tc>
      </w:tr>
      <w:tr>
        <w:trPr>
          <w:trHeight w:val="223"/>
        </w:trPr>
        <w:tc>
          <w:tcPr>
            <w:tcW w:w="7320" w:type="dxa"/>
            <w:vAlign w:val="bottom"/>
          </w:tcPr>
          <w:p>
            <w:pPr>
              <w:jc w:val="right"/>
              <w:ind w:right="4150"/>
              <w:spacing w:after="0"/>
              <w:rPr>
                <w:sz w:val="20"/>
                <w:szCs w:val="20"/>
                <w:color w:val="auto"/>
              </w:rPr>
            </w:pPr>
            <w:r>
              <w:rPr>
                <w:rFonts w:ascii="Arial" w:cs="Arial" w:eastAsia="Arial" w:hAnsi="Arial"/>
                <w:sz w:val="18"/>
                <w:szCs w:val="18"/>
                <w:color w:val="auto"/>
              </w:rPr>
              <w:t>Total future minimum lease payments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11,603</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In February 2021, the Company entered into a lease agreement for manufacturing and office space located in Union City, California. The lease commenced in May 2021 and has a ten-year term with one five-year renewal option. Upon the execution of the lease agreement, the Company provided the landlord with a refundable security deposit of $3.3 million, which is included in other non-current assets on the condensed balance sheets. The total undiscounted future minimum lease payments associated with this operating lease are $13.9 million and are not included in the table above.</w:t>
      </w:r>
    </w:p>
    <w:p>
      <w:pPr>
        <w:spacing w:after="0" w:line="157" w:lineRule="exact"/>
        <w:rPr>
          <w:sz w:val="20"/>
          <w:szCs w:val="20"/>
          <w:color w:val="auto"/>
        </w:rPr>
      </w:pPr>
    </w:p>
    <w:p>
      <w:pPr>
        <w:ind w:left="120" w:right="340" w:firstLine="440"/>
        <w:spacing w:after="0" w:line="291" w:lineRule="auto"/>
        <w:rPr>
          <w:sz w:val="20"/>
          <w:szCs w:val="20"/>
          <w:color w:val="auto"/>
        </w:rPr>
      </w:pPr>
      <w:r>
        <w:rPr>
          <w:rFonts w:ascii="Arial" w:cs="Arial" w:eastAsia="Arial" w:hAnsi="Arial"/>
          <w:sz w:val="16"/>
          <w:szCs w:val="16"/>
          <w:color w:val="auto"/>
        </w:rPr>
        <w:t>The Company has previously entered into agreements to sublease portions of the Company’s facilities in South San Francisco to two different subtenants, both of which expired as of December 31, 2020. Pursuant to the sublease agreements, the Company received sublease income of</w:t>
      </w:r>
    </w:p>
    <w:p>
      <w:pPr>
        <w:ind w:left="120"/>
        <w:spacing w:after="0" w:line="260" w:lineRule="auto"/>
        <w:rPr>
          <w:sz w:val="20"/>
          <w:szCs w:val="20"/>
          <w:color w:val="auto"/>
        </w:rPr>
      </w:pPr>
      <w:r>
        <w:rPr>
          <w:rFonts w:ascii="Arial" w:cs="Arial" w:eastAsia="Arial" w:hAnsi="Arial"/>
          <w:sz w:val="18"/>
          <w:szCs w:val="18"/>
          <w:color w:val="auto"/>
        </w:rPr>
        <w:t>$0.2 million during the three months ended March 31, 2020, which is included in other income (expense), net on the condensed statements of operations and comprehensive loss.</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17"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The Company enters into contractual agreements with various suppliers in the normal course of its business, including vendors that provide machinery and equipment. All contracts are terminable, with varying provisions regarding termination. If a contract with a specific vendor were to be terminated, the Company would only be obligated for the products or services that the Company had received through the time of termination.</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00"/>
          </w:cols>
          <w:pgMar w:left="320" w:top="459" w:right="47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In the normal course of business, the Company enters into agreements that may include indemnification provisions. Pursuant to such agreements, the Company may indemnify, hold harmless and defend an indemnified party for losses suffered or incurred by the indemnified party. In some cases, the indemnification will continue after the termination of the agreement. The maximum potential amounts of future payments the Company could be required to make under these provisions is not determinable. In addition, the Company has entered into indemnification agreements with its directors and certain officers that may require the Company, among other things, to indemnify them against certain liabilities that may arise by reason of their status or service as directors or officers. As of December 31, 2020 and March 31, 2021, the Company does not have any material indemnification claims that were probable or reasonably possible and, consequently, has not recorded any related liabilities.</w:t>
      </w:r>
    </w:p>
    <w:p>
      <w:pPr>
        <w:spacing w:after="0" w:line="281" w:lineRule="exact"/>
        <w:rPr>
          <w:sz w:val="20"/>
          <w:szCs w:val="20"/>
          <w:color w:val="auto"/>
        </w:rPr>
      </w:pPr>
    </w:p>
    <w:p>
      <w:pPr>
        <w:ind w:left="300" w:hanging="184"/>
        <w:spacing w:after="0"/>
        <w:tabs>
          <w:tab w:leader="none" w:pos="300" w:val="left"/>
        </w:tabs>
        <w:numPr>
          <w:ilvl w:val="0"/>
          <w:numId w:val="161"/>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Convertible Preferred Stock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Series B Convertible Preferred Stock Financing</w:t>
      </w:r>
    </w:p>
    <w:p>
      <w:pPr>
        <w:spacing w:after="0" w:line="117"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In August 2019, the Company entered into a Series B preferred stock purchase agreement (Series B SPA) for the issuance of up to 9,259,254 shares of the Company’s Series B convertible preferred stock at a purchase price of $9.936 per share in multiple closings. The Company completed the initial closing in August 2019, whereby 3,086,415 shares of Series B convertible preferred stock were issued for gross proceeds of $30.7 million. Pursuant to the Series B SPA, the Company was permitted to sell additional shares in subsequent closings contingent upon the approval of the Company’s board of directors.</w:t>
      </w:r>
    </w:p>
    <w:p>
      <w:pPr>
        <w:spacing w:after="0" w:line="188"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On issuance, the Company determined that its obligation to issue additional shares of Series B convertible preferred stock in future closings was a freestanding instrument that should be classified as a liability on the Company’s balance sheets. The freestanding financial instrument, or convertible preferred stock tranche liability, was recorded at fair value on issuance of $0.8 million with the remaining proceeds being allocated to the Series B convertible preferred stock. Any changes in fair value of the convertible preferred stock tranche liability in subsequent reporting periods are recognized as a component of other income (expense), net in the statements of operations and comprehensive loss (see Note 3).</w:t>
      </w:r>
    </w:p>
    <w:p>
      <w:pPr>
        <w:spacing w:after="0" w:line="176"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In March 2020, the Company completed its second closing of Series B convertible preferred stock financing and issued 3,086,415 shares of Series B convertible preferred stock at the fixed purchase price of $9.936 per share for gross proceeds of $30.7 million, thereby settling a portion of the convertible preferred stock tranche liability. Immediately prior to the second closing, the Company measured the convertible preferred stock tranche liability to its then fair value. Upon the closing of the second tranche, the convertible preferred stock tranche liability was partially settled and the related balance of the liability of $27,000 was reclassified to Series B convertible preferred stock.</w:t>
      </w:r>
    </w:p>
    <w:p>
      <w:pPr>
        <w:spacing w:after="0" w:line="176"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In August 2020, the Company completed its third closing of Series B convertible preferred stock financing and issued 3,086,415 shares of Series B convertible preferred stock at the purchase price of $9.936 per share for gross proceeds of $30.7 million, thereby settling the remainder of the convertible preferred stock tranche liability. Immediately prior to the third closing, the Company measured the convertible preferred stock tranche liability to its then fair value. Upon the closing of the third tranche, the remaining convertible preferred stock tranche liability was settled and the balance of the liability of $0.7 million was reclassified to Series B convertible preferred stock.</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Series C Convertible Preferred Stock Financing</w:t>
      </w:r>
    </w:p>
    <w:p>
      <w:pPr>
        <w:spacing w:after="0" w:line="11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In December 2020, the Company entered into a Series C preferred stock purchase agreement (Series C SPA) for the issuance of up to 8,526,381 shares of the Company’s Series C convertible preferred stock at a purchase price of $12.432 per share in two closings. The Company completed the initial closing in December 2020,</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20"/>
          </w:cols>
          <w:pgMar w:left="320" w:top="459" w:right="45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whereby 6,917,621 shares of Series C convertible preferred stock were issued for gross proceeds of $86.0 million.</w:t>
      </w:r>
    </w:p>
    <w:p>
      <w:pPr>
        <w:spacing w:after="0" w:line="22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In January 2021, the Company sold an additional 1,608,750 shares of Series C convertible preferred stock at a purchase price of $12.432 per share for gross proceeds of $20.0 million.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convertible preferred stock consists of the following:</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1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ind w:left="460"/>
              <w:spacing w:after="0"/>
              <w:rPr>
                <w:sz w:val="20"/>
                <w:szCs w:val="20"/>
                <w:color w:val="auto"/>
              </w:rPr>
            </w:pPr>
            <w:r>
              <w:rPr>
                <w:rFonts w:ascii="Arial" w:cs="Arial" w:eastAsia="Arial" w:hAnsi="Arial"/>
                <w:sz w:val="14"/>
                <w:szCs w:val="14"/>
                <w:b w:val="1"/>
                <w:bCs w:val="1"/>
                <w:color w:val="auto"/>
                <w:w w:val="91"/>
              </w:rPr>
              <w:t>December 31, 2020</w:t>
            </w: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19"/>
        </w:trPr>
        <w:tc>
          <w:tcPr>
            <w:tcW w:w="216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118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2"/>
              </w:rPr>
              <w:t>Shares</w:t>
            </w:r>
          </w:p>
        </w:tc>
        <w:tc>
          <w:tcPr>
            <w:tcW w:w="14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5"/>
              </w:rPr>
              <w:t>Shares Issued and</w:t>
            </w:r>
          </w:p>
        </w:tc>
        <w:tc>
          <w:tcPr>
            <w:tcW w:w="1140" w:type="dxa"/>
            <w:vAlign w:val="bottom"/>
            <w:gridSpan w:val="3"/>
          </w:tcPr>
          <w:p>
            <w:pPr>
              <w:jc w:val="center"/>
              <w:ind w:right="280"/>
              <w:spacing w:after="0" w:line="119" w:lineRule="exact"/>
              <w:rPr>
                <w:sz w:val="20"/>
                <w:szCs w:val="20"/>
                <w:color w:val="auto"/>
              </w:rPr>
            </w:pPr>
            <w:r>
              <w:rPr>
                <w:rFonts w:ascii="Arial" w:cs="Arial" w:eastAsia="Arial" w:hAnsi="Arial"/>
                <w:sz w:val="13"/>
                <w:szCs w:val="13"/>
                <w:b w:val="1"/>
                <w:bCs w:val="1"/>
                <w:color w:val="auto"/>
              </w:rPr>
              <w:t>Net Carrying</w:t>
            </w:r>
          </w:p>
        </w:tc>
        <w:tc>
          <w:tcPr>
            <w:tcW w:w="8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Liquidation</w:t>
            </w:r>
          </w:p>
        </w:tc>
        <w:tc>
          <w:tcPr>
            <w:tcW w:w="80" w:type="dxa"/>
            <w:vAlign w:val="bottom"/>
          </w:tcPr>
          <w:p>
            <w:pPr>
              <w:spacing w:after="0"/>
              <w:rPr>
                <w:sz w:val="10"/>
                <w:szCs w:val="10"/>
                <w:color w:val="auto"/>
              </w:rPr>
            </w:pPr>
          </w:p>
        </w:tc>
      </w:tr>
      <w:tr>
        <w:trPr>
          <w:trHeight w:val="171"/>
        </w:trPr>
        <w:tc>
          <w:tcPr>
            <w:tcW w:w="21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Authorized</w:t>
            </w: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Outstanding</w:t>
            </w:r>
          </w:p>
        </w:tc>
        <w:tc>
          <w:tcPr>
            <w:tcW w:w="260" w:type="dxa"/>
            <w:vAlign w:val="bottom"/>
          </w:tcPr>
          <w:p>
            <w:pPr>
              <w:spacing w:after="0"/>
              <w:rPr>
                <w:sz w:val="14"/>
                <w:szCs w:val="14"/>
                <w:color w:val="auto"/>
              </w:rPr>
            </w:pPr>
          </w:p>
        </w:tc>
        <w:tc>
          <w:tcPr>
            <w:tcW w:w="8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6"/>
              </w:rPr>
              <w:t>Value</w:t>
            </w: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Preference</w:t>
            </w:r>
          </w:p>
        </w:tc>
      </w:tr>
      <w:tr>
        <w:trPr>
          <w:trHeight w:val="142"/>
        </w:trPr>
        <w:tc>
          <w:tcPr>
            <w:tcW w:w="21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5"/>
          </w:tcPr>
          <w:p>
            <w:pPr>
              <w:jc w:val="center"/>
              <w:ind w:right="340"/>
              <w:spacing w:after="0" w:line="142" w:lineRule="exact"/>
              <w:rPr>
                <w:sz w:val="20"/>
                <w:szCs w:val="20"/>
                <w:color w:val="auto"/>
              </w:rPr>
            </w:pPr>
            <w:r>
              <w:rPr>
                <w:rFonts w:ascii="Arial" w:cs="Arial" w:eastAsia="Arial" w:hAnsi="Arial"/>
                <w:sz w:val="14"/>
                <w:szCs w:val="14"/>
                <w:b w:val="1"/>
                <w:bCs w:val="1"/>
                <w:color w:val="auto"/>
                <w:w w:val="89"/>
              </w:rPr>
              <w:t>(in thousands, except shares)</w:t>
            </w: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96"/>
        </w:trPr>
        <w:tc>
          <w:tcPr>
            <w:tcW w:w="6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Convertible Preferred Stock</w:t>
            </w: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Series A</w:t>
            </w:r>
          </w:p>
        </w:tc>
        <w:tc>
          <w:tcPr>
            <w:tcW w:w="42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8,316,666</w:t>
            </w:r>
          </w:p>
        </w:tc>
        <w:tc>
          <w:tcPr>
            <w:tcW w:w="144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8,316,662</w:t>
            </w:r>
          </w:p>
        </w:tc>
        <w:tc>
          <w:tcPr>
            <w:tcW w:w="260" w:type="dxa"/>
            <w:vAlign w:val="bottom"/>
            <w:tcBorders>
              <w:top w:val="single" w:sz="8" w:color="CCEEFF"/>
            </w:tcBorders>
          </w:tcPr>
          <w:p>
            <w:pPr>
              <w:jc w:val="right"/>
              <w:ind w:right="78"/>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43,393</w:t>
            </w: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49,900</w:t>
            </w: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9,259,254</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9,259,245</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91,644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92,000</w:t>
            </w: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Series C</w:t>
            </w:r>
          </w:p>
        </w:tc>
        <w:tc>
          <w:tcPr>
            <w:tcW w:w="920" w:type="dxa"/>
            <w:vAlign w:val="bottom"/>
          </w:tcPr>
          <w:p>
            <w:pPr>
              <w:jc w:val="right"/>
              <w:spacing w:after="0"/>
              <w:rPr>
                <w:sz w:val="20"/>
                <w:szCs w:val="20"/>
                <w:color w:val="auto"/>
              </w:rPr>
            </w:pPr>
            <w:r>
              <w:rPr>
                <w:rFonts w:ascii="Arial" w:cs="Arial" w:eastAsia="Arial" w:hAnsi="Arial"/>
                <w:sz w:val="18"/>
                <w:szCs w:val="18"/>
                <w:color w:val="auto"/>
              </w:rPr>
              <w:t>8,526,381</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6,917,621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85,717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86,000</w:t>
            </w:r>
          </w:p>
        </w:tc>
      </w:tr>
      <w:tr>
        <w:trPr>
          <w:trHeight w:val="27"/>
        </w:trPr>
        <w:tc>
          <w:tcPr>
            <w:tcW w:w="21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26,102,301</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24,493,528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220,754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227,900</w:t>
            </w:r>
          </w:p>
        </w:tc>
      </w:tr>
      <w:tr>
        <w:trPr>
          <w:trHeight w:val="20"/>
        </w:trPr>
        <w:tc>
          <w:tcPr>
            <w:tcW w:w="21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3"/>
        </w:trPr>
        <w:tc>
          <w:tcPr>
            <w:tcW w:w="21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3"/>
          </w:tcPr>
          <w:p>
            <w:pPr>
              <w:jc w:val="center"/>
              <w:ind w:left="460"/>
              <w:spacing w:after="0" w:line="143" w:lineRule="exact"/>
              <w:rPr>
                <w:sz w:val="20"/>
                <w:szCs w:val="20"/>
                <w:color w:val="auto"/>
              </w:rPr>
            </w:pPr>
            <w:r>
              <w:rPr>
                <w:rFonts w:ascii="Arial" w:cs="Arial" w:eastAsia="Arial" w:hAnsi="Arial"/>
                <w:sz w:val="14"/>
                <w:szCs w:val="14"/>
                <w:b w:val="1"/>
                <w:bCs w:val="1"/>
                <w:color w:val="auto"/>
                <w:w w:val="96"/>
              </w:rPr>
              <w:t>March 31, 2021</w:t>
            </w:r>
          </w:p>
        </w:tc>
        <w:tc>
          <w:tcPr>
            <w:tcW w:w="6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19"/>
        </w:trPr>
        <w:tc>
          <w:tcPr>
            <w:tcW w:w="216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118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2"/>
              </w:rPr>
              <w:t>Shares</w:t>
            </w:r>
          </w:p>
        </w:tc>
        <w:tc>
          <w:tcPr>
            <w:tcW w:w="14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5"/>
              </w:rPr>
              <w:t>Shares Issued and</w:t>
            </w:r>
          </w:p>
        </w:tc>
        <w:tc>
          <w:tcPr>
            <w:tcW w:w="1140" w:type="dxa"/>
            <w:vAlign w:val="bottom"/>
            <w:gridSpan w:val="3"/>
          </w:tcPr>
          <w:p>
            <w:pPr>
              <w:jc w:val="center"/>
              <w:ind w:right="280"/>
              <w:spacing w:after="0" w:line="119" w:lineRule="exact"/>
              <w:rPr>
                <w:sz w:val="20"/>
                <w:szCs w:val="20"/>
                <w:color w:val="auto"/>
              </w:rPr>
            </w:pPr>
            <w:r>
              <w:rPr>
                <w:rFonts w:ascii="Arial" w:cs="Arial" w:eastAsia="Arial" w:hAnsi="Arial"/>
                <w:sz w:val="13"/>
                <w:szCs w:val="13"/>
                <w:b w:val="1"/>
                <w:bCs w:val="1"/>
                <w:color w:val="auto"/>
              </w:rPr>
              <w:t>Net Carrying</w:t>
            </w:r>
          </w:p>
        </w:tc>
        <w:tc>
          <w:tcPr>
            <w:tcW w:w="8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Liquidation</w:t>
            </w:r>
          </w:p>
        </w:tc>
        <w:tc>
          <w:tcPr>
            <w:tcW w:w="80" w:type="dxa"/>
            <w:vAlign w:val="bottom"/>
          </w:tcPr>
          <w:p>
            <w:pPr>
              <w:spacing w:after="0"/>
              <w:rPr>
                <w:sz w:val="10"/>
                <w:szCs w:val="10"/>
                <w:color w:val="auto"/>
              </w:rPr>
            </w:pPr>
          </w:p>
        </w:tc>
      </w:tr>
      <w:tr>
        <w:trPr>
          <w:trHeight w:val="171"/>
        </w:trPr>
        <w:tc>
          <w:tcPr>
            <w:tcW w:w="21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Authorized</w:t>
            </w: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Outstanding</w:t>
            </w:r>
          </w:p>
        </w:tc>
        <w:tc>
          <w:tcPr>
            <w:tcW w:w="260" w:type="dxa"/>
            <w:vAlign w:val="bottom"/>
          </w:tcPr>
          <w:p>
            <w:pPr>
              <w:spacing w:after="0"/>
              <w:rPr>
                <w:sz w:val="14"/>
                <w:szCs w:val="14"/>
                <w:color w:val="auto"/>
              </w:rPr>
            </w:pPr>
          </w:p>
        </w:tc>
        <w:tc>
          <w:tcPr>
            <w:tcW w:w="8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6"/>
              </w:rPr>
              <w:t>Value</w:t>
            </w: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Preference</w:t>
            </w:r>
          </w:p>
        </w:tc>
      </w:tr>
      <w:tr>
        <w:trPr>
          <w:trHeight w:val="142"/>
        </w:trPr>
        <w:tc>
          <w:tcPr>
            <w:tcW w:w="21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5"/>
          </w:tcPr>
          <w:p>
            <w:pPr>
              <w:jc w:val="center"/>
              <w:ind w:right="340"/>
              <w:spacing w:after="0" w:line="142" w:lineRule="exact"/>
              <w:rPr>
                <w:sz w:val="20"/>
                <w:szCs w:val="20"/>
                <w:color w:val="auto"/>
              </w:rPr>
            </w:pPr>
            <w:r>
              <w:rPr>
                <w:rFonts w:ascii="Arial" w:cs="Arial" w:eastAsia="Arial" w:hAnsi="Arial"/>
                <w:sz w:val="14"/>
                <w:szCs w:val="14"/>
                <w:b w:val="1"/>
                <w:bCs w:val="1"/>
                <w:color w:val="auto"/>
                <w:w w:val="89"/>
              </w:rPr>
              <w:t>(in thousands, except shares)</w:t>
            </w: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96"/>
        </w:trPr>
        <w:tc>
          <w:tcPr>
            <w:tcW w:w="6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Convertible Preferred Stock</w:t>
            </w: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Series A</w:t>
            </w:r>
          </w:p>
        </w:tc>
        <w:tc>
          <w:tcPr>
            <w:tcW w:w="42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8,316,666</w:t>
            </w:r>
          </w:p>
        </w:tc>
        <w:tc>
          <w:tcPr>
            <w:tcW w:w="144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8,316,662</w:t>
            </w:r>
          </w:p>
        </w:tc>
        <w:tc>
          <w:tcPr>
            <w:tcW w:w="260" w:type="dxa"/>
            <w:vAlign w:val="bottom"/>
            <w:tcBorders>
              <w:top w:val="single" w:sz="8" w:color="CCEEFF"/>
            </w:tcBorders>
          </w:tcPr>
          <w:p>
            <w:pPr>
              <w:jc w:val="right"/>
              <w:ind w:right="78"/>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43,393</w:t>
            </w: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49,900</w:t>
            </w: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9,259,254</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9,259,245</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91,644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92,000</w:t>
            </w: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Series C</w:t>
            </w:r>
          </w:p>
        </w:tc>
        <w:tc>
          <w:tcPr>
            <w:tcW w:w="920" w:type="dxa"/>
            <w:vAlign w:val="bottom"/>
          </w:tcPr>
          <w:p>
            <w:pPr>
              <w:jc w:val="right"/>
              <w:spacing w:after="0"/>
              <w:rPr>
                <w:sz w:val="20"/>
                <w:szCs w:val="20"/>
                <w:color w:val="auto"/>
              </w:rPr>
            </w:pPr>
            <w:r>
              <w:rPr>
                <w:rFonts w:ascii="Arial" w:cs="Arial" w:eastAsia="Arial" w:hAnsi="Arial"/>
                <w:sz w:val="18"/>
                <w:szCs w:val="18"/>
                <w:color w:val="auto"/>
              </w:rPr>
              <w:t>8,526,381</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8,526,371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105,698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106,000</w:t>
            </w:r>
          </w:p>
        </w:tc>
      </w:tr>
      <w:tr>
        <w:trPr>
          <w:trHeight w:val="27"/>
        </w:trPr>
        <w:tc>
          <w:tcPr>
            <w:tcW w:w="21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26,102,301</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26,102,278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240,735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247,900</w:t>
            </w:r>
          </w:p>
        </w:tc>
      </w:tr>
      <w:tr>
        <w:trPr>
          <w:trHeight w:val="20"/>
        </w:trPr>
        <w:tc>
          <w:tcPr>
            <w:tcW w:w="21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Company classifies its convertible preferred stock outside of total stockholders’ deficit because, in the event of certain change of control events that are not solely within the control of the Company (including liquidation, sale or transfer of the Company), the shares would become redeemable at the option of the holders. As a result, the Company has classified its convertible preferred stock as mezzanine equity on the balance sheets as the preferred stock is contingently redeemable. The Company did not adjust the carrying values of the convertible preferred stock to the deemed liquidation values of such shares since a liquidation event was not probable as of each reporting date. Subsequent adjustments to increase or decrease the carrying values to the ultimate liquidation values will be made only if and when it becomes probable that such liquidation event will occur.</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Common Stock</w:t>
      </w:r>
    </w:p>
    <w:p>
      <w:pPr>
        <w:spacing w:after="0" w:line="121"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The holders of the common stock are entitled to one vote per share on all matters to be voted on by the stockholders of the Company and are entitled to dividends, if and when declared by the board of directors, subject to the prior rights of the preferred stockholders. Common stock issued and outstanding on the condensed balance sheets and condensed statements of convertible preferred stock and stockholders’ deficit includes shares related to early exercised options and restricted stock that are subject to repurchase. Common stock issued and outstanding is reduced for any repurchases of early exercised stock options and restricted stock. As of December 31, 2020 and March 31, 2021, outstanding common stock included 138,127 and 101,592 shares, respectively, related to early exercised stock options and restricted stock that are unvested and subject to repurchase.</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40"/>
          </w:cols>
          <w:pgMar w:left="320" w:top="459" w:right="43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has reserved the following shares of common stock for issuance, on an as-if converted basis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640" w:type="dxa"/>
            <w:vAlign w:val="bottom"/>
            <w:gridSpan w:val="3"/>
          </w:tcPr>
          <w:p>
            <w:pPr>
              <w:ind w:left="220"/>
              <w:spacing w:after="0"/>
              <w:rPr>
                <w:sz w:val="20"/>
                <w:szCs w:val="20"/>
                <w:color w:val="auto"/>
              </w:rPr>
            </w:pPr>
            <w:r>
              <w:rPr>
                <w:rFonts w:ascii="Arial" w:cs="Arial" w:eastAsia="Arial" w:hAnsi="Arial"/>
                <w:sz w:val="14"/>
                <w:szCs w:val="14"/>
                <w:b w:val="1"/>
                <w:bCs w:val="1"/>
                <w:color w:val="auto"/>
              </w:rPr>
              <w:t>December 31,</w:t>
            </w:r>
          </w:p>
        </w:tc>
        <w:tc>
          <w:tcPr>
            <w:tcW w:w="1360" w:type="dxa"/>
            <w:vAlign w:val="bottom"/>
            <w:gridSpan w:val="2"/>
          </w:tcPr>
          <w:p>
            <w:pPr>
              <w:ind w:left="32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802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4"/>
                <w:szCs w:val="14"/>
                <w:color w:val="auto"/>
              </w:rPr>
            </w:pPr>
          </w:p>
        </w:tc>
      </w:tr>
      <w:tr>
        <w:trPr>
          <w:trHeight w:val="209"/>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Conversion of outstanding shares of convertible preferred stock</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24,493,528</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26,102,278</w:t>
            </w:r>
          </w:p>
        </w:tc>
        <w:tc>
          <w:tcPr>
            <w:tcW w:w="80" w:type="dxa"/>
            <w:vAlign w:val="bottom"/>
            <w:shd w:val="clear" w:color="auto" w:fill="CCEEFF"/>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Options outstanding under the 2016 Plan</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1,160,808</w:t>
            </w:r>
          </w:p>
        </w:tc>
        <w:tc>
          <w:tcPr>
            <w:tcW w:w="3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1,727,968</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Options available for future grant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412,170</w:t>
            </w: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379,271</w:t>
            </w:r>
          </w:p>
        </w:tc>
      </w:tr>
      <w:tr>
        <w:trPr>
          <w:trHeight w:val="223"/>
        </w:trPr>
        <w:tc>
          <w:tcPr>
            <w:tcW w:w="8020" w:type="dxa"/>
            <w:vAlign w:val="bottom"/>
          </w:tcPr>
          <w:p>
            <w:pPr>
              <w:ind w:left="360"/>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26,066,506</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28,209,517</w:t>
            </w:r>
          </w:p>
        </w:tc>
        <w:tc>
          <w:tcPr>
            <w:tcW w:w="80" w:type="dxa"/>
            <w:vAlign w:val="bottom"/>
          </w:tcPr>
          <w:p>
            <w:pPr>
              <w:spacing w:after="0"/>
              <w:rPr>
                <w:sz w:val="19"/>
                <w:szCs w:val="19"/>
                <w:color w:val="auto"/>
              </w:rPr>
            </w:pPr>
          </w:p>
        </w:tc>
      </w:tr>
      <w:tr>
        <w:trPr>
          <w:trHeight w:val="20"/>
        </w:trPr>
        <w:tc>
          <w:tcPr>
            <w:tcW w:w="80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Stock-Based Compensation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2016 Equity Incentive Plan</w:t>
      </w:r>
    </w:p>
    <w:p>
      <w:pPr>
        <w:spacing w:after="0" w:line="117" w:lineRule="exact"/>
        <w:rPr>
          <w:sz w:val="20"/>
          <w:szCs w:val="20"/>
          <w:color w:val="auto"/>
        </w:rPr>
      </w:pPr>
    </w:p>
    <w:p>
      <w:pPr>
        <w:ind w:left="120" w:right="560" w:firstLine="440"/>
        <w:spacing w:after="0" w:line="263" w:lineRule="auto"/>
        <w:rPr>
          <w:sz w:val="20"/>
          <w:szCs w:val="20"/>
          <w:color w:val="auto"/>
        </w:rPr>
      </w:pPr>
      <w:r>
        <w:rPr>
          <w:rFonts w:ascii="Arial" w:cs="Arial" w:eastAsia="Arial" w:hAnsi="Arial"/>
          <w:sz w:val="18"/>
          <w:szCs w:val="18"/>
          <w:color w:val="auto"/>
        </w:rPr>
        <w:t>In October 2016, the Company adopted the 2016 Equity Incentive Plan (the 2016 Plan), which provides for the granting of incentive and non-statutory stock options, stock appreciation rights, restricted stock and restricted stock units and other forms of stock awards to its employees, directors and non-employee service providers.</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Total shares reserved and available for grant under the 2016 Plan as of March 31, 2021 are 379,271.</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stock option activity under the 2016 Plan:</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Weighted-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1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7"/>
              </w:rPr>
              <w:t>Number of</w:t>
            </w:r>
          </w:p>
        </w:tc>
        <w:tc>
          <w:tcPr>
            <w:tcW w:w="260" w:type="dxa"/>
            <w:vAlign w:val="bottom"/>
          </w:tcPr>
          <w:p>
            <w:pPr>
              <w:spacing w:after="0"/>
              <w:rPr>
                <w:sz w:val="12"/>
                <w:szCs w:val="12"/>
                <w:color w:val="auto"/>
              </w:rPr>
            </w:pPr>
          </w:p>
        </w:tc>
        <w:tc>
          <w:tcPr>
            <w:tcW w:w="118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Average</w:t>
            </w: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Exercise</w:t>
            </w: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1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Options</w:t>
            </w:r>
          </w:p>
        </w:tc>
        <w:tc>
          <w:tcPr>
            <w:tcW w:w="260" w:type="dxa"/>
            <w:vAlign w:val="bottom"/>
          </w:tcPr>
          <w:p>
            <w:pPr>
              <w:spacing w:after="0"/>
              <w:rPr>
                <w:sz w:val="12"/>
                <w:szCs w:val="12"/>
                <w:color w:val="auto"/>
              </w:rPr>
            </w:pPr>
          </w:p>
        </w:tc>
        <w:tc>
          <w:tcPr>
            <w:tcW w:w="118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Price Per</w:t>
            </w: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Contractual Life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940" w:type="dxa"/>
            <w:vAlign w:val="bottom"/>
          </w:tcPr>
          <w:p>
            <w:pPr>
              <w:spacing w:after="0"/>
              <w:rPr>
                <w:sz w:val="14"/>
                <w:szCs w:val="14"/>
                <w:color w:val="auto"/>
              </w:rPr>
            </w:pPr>
          </w:p>
        </w:tc>
        <w:tc>
          <w:tcPr>
            <w:tcW w:w="11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Outstanding</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2"/>
              </w:rPr>
              <w:t>Share</w:t>
            </w: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(years)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59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2020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1,160,808</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1.74</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8.40</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6,060</w:t>
            </w:r>
          </w:p>
        </w:tc>
        <w:tc>
          <w:tcPr>
            <w:tcW w:w="0" w:type="dxa"/>
            <w:vAlign w:val="bottom"/>
          </w:tcPr>
          <w:p>
            <w:pPr>
              <w:spacing w:after="0"/>
              <w:rPr>
                <w:sz w:val="1"/>
                <w:szCs w:val="1"/>
                <w:color w:val="auto"/>
              </w:rPr>
            </w:pPr>
          </w:p>
        </w:tc>
      </w:tr>
      <w:tr>
        <w:trPr>
          <w:trHeight w:val="216"/>
        </w:trPr>
        <w:tc>
          <w:tcPr>
            <w:tcW w:w="5940" w:type="dxa"/>
            <w:vAlign w:val="bottom"/>
          </w:tcPr>
          <w:p>
            <w:pPr>
              <w:ind w:left="360"/>
              <w:spacing w:after="0"/>
              <w:rPr>
                <w:sz w:val="20"/>
                <w:szCs w:val="20"/>
                <w:color w:val="auto"/>
              </w:rPr>
            </w:pPr>
            <w:r>
              <w:rPr>
                <w:rFonts w:ascii="Arial" w:cs="Arial" w:eastAsia="Arial" w:hAnsi="Arial"/>
                <w:sz w:val="18"/>
                <w:szCs w:val="18"/>
                <w:color w:val="auto"/>
              </w:rPr>
              <w:t>Options granted</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596,855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5.64</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Options exercised</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(12,508)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2.49</w:t>
            </w: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40" w:type="dxa"/>
            <w:vAlign w:val="bottom"/>
          </w:tcPr>
          <w:p>
            <w:pPr>
              <w:ind w:left="360"/>
              <w:spacing w:after="0"/>
              <w:rPr>
                <w:sz w:val="20"/>
                <w:szCs w:val="20"/>
                <w:color w:val="auto"/>
              </w:rPr>
            </w:pPr>
            <w:r>
              <w:rPr>
                <w:rFonts w:ascii="Arial" w:cs="Arial" w:eastAsia="Arial" w:hAnsi="Arial"/>
                <w:sz w:val="18"/>
                <w:szCs w:val="18"/>
                <w:color w:val="auto"/>
              </w:rPr>
              <w:t>Options cancelled</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(17,187)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3.14</w:t>
            </w: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March 31, 2021</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1,727,968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3.06</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8.74</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10,178</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color w:val="auto"/>
              </w:rPr>
              <w:t>Exercisable as of March 31, 2021</w:t>
            </w: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vMerge w:val="restart"/>
          </w:tcPr>
          <w:p>
            <w:pPr>
              <w:ind w:left="260"/>
              <w:spacing w:after="0"/>
              <w:rPr>
                <w:sz w:val="20"/>
                <w:szCs w:val="20"/>
                <w:color w:val="auto"/>
              </w:rPr>
            </w:pPr>
            <w:r>
              <w:rPr>
                <w:rFonts w:ascii="Arial" w:cs="Arial" w:eastAsia="Arial" w:hAnsi="Arial"/>
                <w:sz w:val="18"/>
                <w:szCs w:val="18"/>
                <w:color w:val="auto"/>
                <w:w w:val="99"/>
              </w:rPr>
              <w:t>$</w:t>
            </w:r>
          </w:p>
        </w:tc>
        <w:tc>
          <w:tcPr>
            <w:tcW w:w="1060" w:type="dxa"/>
            <w:vAlign w:val="bottom"/>
            <w:gridSpan w:val="2"/>
            <w:vMerge w:val="restart"/>
          </w:tcPr>
          <w:p>
            <w:pPr>
              <w:jc w:val="right"/>
              <w:ind w:right="540"/>
              <w:spacing w:after="0"/>
              <w:rPr>
                <w:sz w:val="20"/>
                <w:szCs w:val="20"/>
                <w:color w:val="auto"/>
              </w:rPr>
            </w:pPr>
            <w:r>
              <w:rPr>
                <w:rFonts w:ascii="Arial" w:cs="Arial" w:eastAsia="Arial" w:hAnsi="Arial"/>
                <w:sz w:val="18"/>
                <w:szCs w:val="18"/>
                <w:color w:val="auto"/>
              </w:rPr>
              <w:t>1.39</w:t>
            </w:r>
          </w:p>
        </w:tc>
        <w:tc>
          <w:tcPr>
            <w:tcW w:w="13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7.93</w:t>
            </w:r>
          </w:p>
        </w:tc>
        <w:tc>
          <w:tcPr>
            <w:tcW w:w="360" w:type="dxa"/>
            <w:vAlign w:val="bottom"/>
            <w:gridSpan w:val="2"/>
            <w:vMerge w:val="restart"/>
          </w:tcPr>
          <w:p>
            <w:pPr>
              <w:ind w:left="260"/>
              <w:spacing w:after="0"/>
              <w:rPr>
                <w:sz w:val="20"/>
                <w:szCs w:val="20"/>
                <w:color w:val="auto"/>
              </w:rPr>
            </w:pPr>
            <w:r>
              <w:rPr>
                <w:rFonts w:ascii="Arial" w:cs="Arial" w:eastAsia="Arial" w:hAnsi="Arial"/>
                <w:sz w:val="18"/>
                <w:szCs w:val="18"/>
                <w:color w:val="auto"/>
                <w:w w:val="79"/>
              </w:rPr>
              <w:t>$</w:t>
            </w: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3,935</w:t>
            </w:r>
          </w:p>
        </w:tc>
        <w:tc>
          <w:tcPr>
            <w:tcW w:w="0" w:type="dxa"/>
            <w:vAlign w:val="bottom"/>
          </w:tcPr>
          <w:p>
            <w:pPr>
              <w:spacing w:after="0" w:line="20" w:lineRule="exact"/>
              <w:rPr>
                <w:sz w:val="1"/>
                <w:szCs w:val="1"/>
                <w:color w:val="auto"/>
              </w:rPr>
            </w:pPr>
          </w:p>
        </w:tc>
      </w:tr>
      <w:tr>
        <w:trPr>
          <w:trHeight w:val="210"/>
        </w:trPr>
        <w:tc>
          <w:tcPr>
            <w:tcW w:w="5940" w:type="dxa"/>
            <w:vAlign w:val="bottom"/>
            <w:vMerge w:val="continue"/>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520,105</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total intrinsic value of options exercised during the three months ended March 31, 2020 and 2021 was $6,000 and $70,000. The aggregate intrinsic value is the difference between the fair value of the Company’s common stock, as approved by the Company’s board of directors, and exercise price of the option.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weighted average grant-date fair value of options granted during the three months ended March 31, 2020 and 2021 was $4.74 and $7.74 per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40"/>
          </w:cols>
          <w:pgMar w:left="320" w:top="459" w:right="43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stock-based compensation recognized in the Company’s condensed statements of operations and comprehensive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loss: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85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2020</w:t>
            </w:r>
          </w:p>
        </w:tc>
        <w:tc>
          <w:tcPr>
            <w:tcW w:w="8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2021</w:t>
            </w:r>
          </w:p>
        </w:tc>
        <w:tc>
          <w:tcPr>
            <w:tcW w:w="60" w:type="dxa"/>
            <w:vAlign w:val="bottom"/>
          </w:tcPr>
          <w:p>
            <w:pPr>
              <w:spacing w:after="0"/>
              <w:rPr>
                <w:sz w:val="12"/>
                <w:szCs w:val="12"/>
                <w:color w:val="auto"/>
              </w:rPr>
            </w:pPr>
          </w:p>
        </w:tc>
      </w:tr>
      <w:tr>
        <w:trPr>
          <w:trHeight w:val="142"/>
        </w:trPr>
        <w:tc>
          <w:tcPr>
            <w:tcW w:w="8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72</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278</w:t>
            </w:r>
          </w:p>
        </w:tc>
      </w:tr>
      <w:tr>
        <w:trPr>
          <w:trHeight w:val="27"/>
        </w:trPr>
        <w:tc>
          <w:tcPr>
            <w:tcW w:w="8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stock-based compensation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432</w:t>
            </w:r>
          </w:p>
        </w:tc>
      </w:tr>
      <w:tr>
        <w:trPr>
          <w:trHeight w:val="20"/>
        </w:trPr>
        <w:tc>
          <w:tcPr>
            <w:tcW w:w="8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As of March 31, 2021, there was $6.4 million of unrecognized stock-based compensation, which the Company expects to recognize over a weighted-average period of 3.5 years.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11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fair value of the Company’s stock option awards is estimated on the date of grant using the Black-Scholes option pricing model using the following assumptions: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580" w:type="dxa"/>
            <w:vAlign w:val="bottom"/>
          </w:tcPr>
          <w:p>
            <w:pPr>
              <w:spacing w:after="0"/>
              <w:rPr>
                <w:sz w:val="14"/>
                <w:szCs w:val="14"/>
                <w:color w:val="auto"/>
              </w:rPr>
            </w:pPr>
          </w:p>
        </w:tc>
        <w:tc>
          <w:tcPr>
            <w:tcW w:w="344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7580" w:type="dxa"/>
            <w:vAlign w:val="bottom"/>
            <w:tcBorders>
              <w:bottom w:val="single" w:sz="8" w:color="CCEEFF"/>
            </w:tcBorders>
          </w:tcPr>
          <w:p>
            <w:pPr>
              <w:spacing w:after="0"/>
              <w:rPr>
                <w:sz w:val="12"/>
                <w:szCs w:val="12"/>
                <w:color w:val="auto"/>
              </w:rPr>
            </w:pPr>
          </w:p>
        </w:tc>
        <w:tc>
          <w:tcPr>
            <w:tcW w:w="15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2020</w:t>
            </w:r>
          </w:p>
        </w:tc>
        <w:tc>
          <w:tcPr>
            <w:tcW w:w="340" w:type="dxa"/>
            <w:vAlign w:val="bottom"/>
            <w:tcBorders>
              <w:bottom w:val="single" w:sz="8" w:color="CCEEFF"/>
            </w:tcBorders>
          </w:tcPr>
          <w:p>
            <w:pPr>
              <w:spacing w:after="0"/>
              <w:rPr>
                <w:sz w:val="12"/>
                <w:szCs w:val="12"/>
                <w:color w:val="auto"/>
              </w:rPr>
            </w:pPr>
          </w:p>
        </w:tc>
        <w:tc>
          <w:tcPr>
            <w:tcW w:w="15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2021</w:t>
            </w:r>
          </w:p>
        </w:tc>
      </w:tr>
      <w:tr>
        <w:trPr>
          <w:trHeight w:val="209"/>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w:t>
            </w: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6.0 – 6.1</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Expected volatility</w:t>
            </w: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178%</w:t>
            </w:r>
          </w:p>
        </w:tc>
        <w:tc>
          <w:tcPr>
            <w:tcW w:w="3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183%</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8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2"/>
              </w:rPr>
              <w:t>0.7% – 1.5%</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0.6% – 1.0%</w:t>
            </w:r>
          </w:p>
        </w:tc>
      </w:t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86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center"/>
              <w:spacing w:after="0"/>
              <w:rPr>
                <w:sz w:val="20"/>
                <w:szCs w:val="20"/>
                <w:color w:val="auto"/>
              </w:rPr>
            </w:pPr>
            <w:r>
              <w:rPr>
                <w:rFonts w:ascii="Arial" w:cs="Arial" w:eastAsia="Arial" w:hAnsi="Arial"/>
                <w:sz w:val="18"/>
                <w:szCs w:val="18"/>
                <w:color w:val="auto"/>
                <w:w w:val="93"/>
              </w:rPr>
              <w:t>—%</w:t>
            </w:r>
          </w:p>
        </w:tc>
      </w:tr>
    </w:tbl>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Shares related to early exercised stock options and restricted stock are subject to the Company’s lapsing repurchase right upon termination at the original purchase price. In order to vest, the holders are required to provide continued service to the Company.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summary of restricted stock activity is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8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8580" w:type="dxa"/>
            <w:vAlign w:val="bottom"/>
          </w:tcPr>
          <w:p>
            <w:pPr>
              <w:spacing w:after="0"/>
              <w:rPr>
                <w:sz w:val="12"/>
                <w:szCs w:val="12"/>
                <w:color w:val="auto"/>
              </w:rPr>
            </w:pPr>
          </w:p>
        </w:tc>
        <w:tc>
          <w:tcPr>
            <w:tcW w:w="118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4"/>
              </w:rPr>
              <w:t>Number</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Value at</w:t>
            </w:r>
          </w:p>
        </w:tc>
        <w:tc>
          <w:tcPr>
            <w:tcW w:w="0" w:type="dxa"/>
            <w:vAlign w:val="bottom"/>
          </w:tcPr>
          <w:p>
            <w:pPr>
              <w:spacing w:after="0"/>
              <w:rPr>
                <w:sz w:val="1"/>
                <w:szCs w:val="1"/>
                <w:color w:val="auto"/>
              </w:rPr>
            </w:pPr>
          </w:p>
        </w:tc>
      </w:tr>
      <w:tr>
        <w:trPr>
          <w:trHeight w:val="149"/>
        </w:trPr>
        <w:tc>
          <w:tcPr>
            <w:tcW w:w="85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48"/>
        </w:trPr>
        <w:tc>
          <w:tcPr>
            <w:tcW w:w="8580" w:type="dxa"/>
            <w:vAlign w:val="bottom"/>
          </w:tcPr>
          <w:p>
            <w:pPr>
              <w:spacing w:after="0"/>
              <w:rPr>
                <w:sz w:val="12"/>
                <w:szCs w:val="12"/>
                <w:color w:val="auto"/>
              </w:rPr>
            </w:pP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of</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9"/>
              </w:rPr>
              <w:t>of Grant</w:t>
            </w:r>
          </w:p>
        </w:tc>
        <w:tc>
          <w:tcPr>
            <w:tcW w:w="0" w:type="dxa"/>
            <w:vAlign w:val="bottom"/>
          </w:tcPr>
          <w:p>
            <w:pPr>
              <w:spacing w:after="0"/>
              <w:rPr>
                <w:sz w:val="1"/>
                <w:szCs w:val="1"/>
                <w:color w:val="auto"/>
              </w:rPr>
            </w:pPr>
          </w:p>
        </w:tc>
      </w:tr>
      <w:tr>
        <w:trPr>
          <w:trHeight w:val="171"/>
        </w:trPr>
        <w:tc>
          <w:tcPr>
            <w:tcW w:w="8580" w:type="dxa"/>
            <w:vAlign w:val="bottom"/>
          </w:tcPr>
          <w:p>
            <w:pPr>
              <w:spacing w:after="0"/>
              <w:rPr>
                <w:sz w:val="14"/>
                <w:szCs w:val="14"/>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Shares</w:t>
            </w:r>
          </w:p>
        </w:tc>
        <w:tc>
          <w:tcPr>
            <w:tcW w:w="460" w:type="dxa"/>
            <w:vAlign w:val="bottom"/>
          </w:tcPr>
          <w:p>
            <w:pPr>
              <w:spacing w:after="0"/>
              <w:rPr>
                <w:sz w:val="14"/>
                <w:szCs w:val="14"/>
                <w:color w:val="auto"/>
              </w:rPr>
            </w:pPr>
          </w:p>
        </w:tc>
        <w:tc>
          <w:tcPr>
            <w:tcW w:w="8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09"/>
        </w:trPr>
        <w:tc>
          <w:tcPr>
            <w:tcW w:w="8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as of December 31, 2020</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138,127</w:t>
            </w:r>
          </w:p>
        </w:tc>
        <w:tc>
          <w:tcPr>
            <w:tcW w:w="5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Granted</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442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(36,612)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Repurchased</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(365)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Unvested as of March 31, 2021</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101,592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Employee Recourse Notes</w:t>
      </w:r>
    </w:p>
    <w:p>
      <w:pPr>
        <w:spacing w:after="0" w:line="11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In 2017 and 2018, the Company entered into full recourse notes with certain employees, including one of its officers, upon the exercise of stock options that are treated as substantive exercises for accounting purposes. The Company has the right to repurchase unvested shares up to 90 days after employment is terminated. As of March 31, 2021, the principal and accrued interest amount of the notes was $87,000. The notes are presented in the condensed statements of convertible preferred stock and stockholders’ deficit.</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40"/>
          </w:cols>
          <w:pgMar w:left="320" w:top="459" w:right="43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For the three months ended March 31, 2020 and 2021, the Company did not record any income tax expense. The Company has recorded a full valuation allowance against its U.S. federal and state deferred tax assets as the Company believes it is not more likely than not that the benefit will be realized.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Net Loss Per Share</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following potentially dilutive securities were not included in the calculation of diluted net loss per share for the periods presented because the effect would have been anti-dilutive:</w:t>
      </w:r>
    </w:p>
    <w:p>
      <w:pPr>
        <w:spacing w:after="0" w:line="189" w:lineRule="exact"/>
        <w:rPr>
          <w:sz w:val="20"/>
          <w:szCs w:val="20"/>
          <w:color w:val="auto"/>
        </w:rPr>
      </w:pPr>
    </w:p>
    <w:p>
      <w:pPr>
        <w:jc w:val="center"/>
        <w:ind w:left="7020"/>
        <w:spacing w:after="0"/>
        <w:rPr>
          <w:sz w:val="20"/>
          <w:szCs w:val="20"/>
          <w:color w:val="auto"/>
        </w:rPr>
      </w:pPr>
      <w:r>
        <w:rPr>
          <w:rFonts w:ascii="Arial" w:cs="Arial" w:eastAsia="Arial" w:hAnsi="Arial"/>
          <w:sz w:val="14"/>
          <w:szCs w:val="14"/>
          <w:b w:val="1"/>
          <w:bCs w:val="1"/>
          <w:color w:val="auto"/>
        </w:rPr>
        <w:t>Three Months Ended</w:t>
      </w:r>
    </w:p>
    <w:p>
      <w:pPr>
        <w:jc w:val="center"/>
        <w:ind w:left="70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9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980" w:type="dxa"/>
            <w:vAlign w:val="bottom"/>
            <w:tcBorders>
              <w:top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2020</w:t>
            </w:r>
          </w:p>
        </w:tc>
        <w:tc>
          <w:tcPr>
            <w:tcW w:w="1220" w:type="dxa"/>
            <w:vAlign w:val="bottom"/>
            <w:tcBorders>
              <w:top w:val="single" w:sz="8" w:color="auto"/>
            </w:tcBorders>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14,489,492</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26,102,278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Series B convertible preferred stock issuable in a future closing</w:t>
            </w:r>
          </w:p>
        </w:tc>
        <w:tc>
          <w:tcPr>
            <w:tcW w:w="980" w:type="dxa"/>
            <w:vAlign w:val="bottom"/>
          </w:tcPr>
          <w:p>
            <w:pPr>
              <w:jc w:val="right"/>
              <w:spacing w:after="0"/>
              <w:rPr>
                <w:sz w:val="20"/>
                <w:szCs w:val="20"/>
                <w:color w:val="auto"/>
              </w:rPr>
            </w:pPr>
            <w:r>
              <w:rPr>
                <w:rFonts w:ascii="Arial" w:cs="Arial" w:eastAsia="Arial" w:hAnsi="Arial"/>
                <w:sz w:val="18"/>
                <w:szCs w:val="18"/>
                <w:color w:val="auto"/>
              </w:rPr>
              <w:t>3,086,415</w:t>
            </w:r>
          </w:p>
        </w:tc>
        <w:tc>
          <w:tcPr>
            <w:tcW w:w="22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Outstanding stock options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1,043,247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1,727,968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Restricted stock subject to future vesting</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278,790</w:t>
            </w: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101,592</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18,897,944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27,931,838</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8520"/>
        <w:spacing w:after="0"/>
        <w:rPr>
          <w:sz w:val="20"/>
          <w:szCs w:val="20"/>
          <w:color w:val="auto"/>
        </w:rPr>
      </w:pPr>
      <w:r>
        <w:rPr>
          <w:rFonts w:ascii="Arial" w:cs="Arial" w:eastAsia="Arial" w:hAnsi="Arial"/>
          <w:sz w:val="17"/>
          <w:szCs w:val="17"/>
          <w:b w:val="1"/>
          <w:bCs w:val="1"/>
          <w:color w:val="auto"/>
        </w:rPr>
        <w:t>12. Related Party Transactions</w:t>
      </w:r>
    </w:p>
    <w:p>
      <w:pPr>
        <w:spacing w:after="0" w:line="133" w:lineRule="exact"/>
        <w:rPr>
          <w:sz w:val="20"/>
          <w:szCs w:val="20"/>
          <w:color w:val="auto"/>
        </w:rPr>
      </w:pPr>
    </w:p>
    <w:p>
      <w:pPr>
        <w:jc w:val="center"/>
        <w:ind w:right="8540"/>
        <w:spacing w:after="0"/>
        <w:rPr>
          <w:sz w:val="20"/>
          <w:szCs w:val="20"/>
          <w:color w:val="auto"/>
        </w:rPr>
      </w:pPr>
      <w:r>
        <w:rPr>
          <w:rFonts w:ascii="Arial" w:cs="Arial" w:eastAsia="Arial" w:hAnsi="Arial"/>
          <w:sz w:val="18"/>
          <w:szCs w:val="18"/>
          <w:b w:val="1"/>
          <w:bCs w:val="1"/>
          <w:i w:val="1"/>
          <w:iCs w:val="1"/>
          <w:color w:val="auto"/>
        </w:rPr>
        <w:t>Scientific Founders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During the three months ended March 31, 2020 and 2021, the Company recognized a total of $62,000 in each period in consulting expense paid to five of its scientific founders.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Subsequent Events</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Company evaluated subsequent events through June 15, 2021, the date the condensed financial statements were available to be filed, except for the 1-for-6 reverse stock split discussed below, which was evaluated through July 26, 2021.</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 Options Grants</w:t>
      </w:r>
    </w:p>
    <w:p>
      <w:pPr>
        <w:spacing w:after="0" w:line="11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In June 2021, the Company granted 388,475 stock options at an exercise price of $9.36 per share. In July 2021, the Company granted 446,998 stock options at an exercise price of $10.56 per share. The awards generally vest over a four-year vesting schedule.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jc w:val="both"/>
        <w:ind w:left="120" w:right="80" w:firstLine="440"/>
        <w:spacing w:after="0" w:line="275" w:lineRule="auto"/>
        <w:rPr>
          <w:sz w:val="20"/>
          <w:szCs w:val="20"/>
          <w:color w:val="auto"/>
        </w:rPr>
      </w:pPr>
      <w:r>
        <w:rPr>
          <w:rFonts w:ascii="Arial" w:cs="Arial" w:eastAsia="Arial" w:hAnsi="Arial"/>
          <w:sz w:val="17"/>
          <w:szCs w:val="17"/>
          <w:color w:val="auto"/>
        </w:rPr>
        <w:t>In July 2021, the Company’s board of directors and the stockholders approved an amendment to the Company’s amended and restated certificate of incorporation to effect a reverse split of shares of the Company’s common stock, convertible preferred stock and authorized shares on a 1-for-6 basis (the Reverse Stock Split) effective on July 23, 2021. The par value of the common stock and preferred stock was not adjusted as a result of the Reverse Stock Split. Accordingly, all share data and per share data amounts for all periods presented in the accompanying financial statements and notes thereto have been retrospectively adjusted to reflect the effect of the Reverse Stock Split.</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00"/>
          </w:cols>
          <w:pgMar w:left="320" w:top="459" w:right="47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32"/>
          <w:szCs w:val="32"/>
          <w:i w:val="1"/>
          <w:iCs w:val="1"/>
          <w:color w:val="auto"/>
        </w:rPr>
        <w:t>10,000,000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421640</wp:posOffset>
            </wp:positionV>
            <wp:extent cx="2331720" cy="83121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331720"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19"/>
        <w:spacing w:after="0"/>
        <w:rPr>
          <w:sz w:val="20"/>
          <w:szCs w:val="20"/>
          <w:color w:val="auto"/>
        </w:rPr>
      </w:pPr>
      <w:r>
        <w:rPr>
          <w:rFonts w:ascii="Arial" w:cs="Arial" w:eastAsia="Arial" w:hAnsi="Arial"/>
          <w:sz w:val="22"/>
          <w:szCs w:val="22"/>
          <w:i w:val="1"/>
          <w:i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0"/>
        <w:spacing w:after="0"/>
        <w:tabs>
          <w:tab w:leader="none" w:pos="5220" w:val="left"/>
          <w:tab w:leader="none" w:pos="9300" w:val="left"/>
        </w:tabs>
        <w:rPr>
          <w:sz w:val="20"/>
          <w:szCs w:val="20"/>
          <w:color w:val="auto"/>
        </w:rPr>
      </w:pPr>
      <w:r>
        <w:rPr>
          <w:rFonts w:ascii="Arial" w:cs="Arial" w:eastAsia="Arial" w:hAnsi="Arial"/>
          <w:sz w:val="32"/>
          <w:szCs w:val="32"/>
          <w:i w:val="1"/>
          <w:iCs w:val="1"/>
          <w:color w:val="auto"/>
        </w:rPr>
        <w:t>Morgan Stanley</w:t>
      </w:r>
      <w:r>
        <w:rPr>
          <w:sz w:val="20"/>
          <w:szCs w:val="20"/>
          <w:color w:val="auto"/>
        </w:rPr>
        <w:tab/>
      </w:r>
      <w:r>
        <w:rPr>
          <w:rFonts w:ascii="Arial" w:cs="Arial" w:eastAsia="Arial" w:hAnsi="Arial"/>
          <w:sz w:val="32"/>
          <w:szCs w:val="32"/>
          <w:i w:val="1"/>
          <w:iCs w:val="1"/>
          <w:color w:val="auto"/>
        </w:rPr>
        <w:t>Cowen</w:t>
      </w:r>
      <w:r>
        <w:rPr>
          <w:sz w:val="20"/>
          <w:szCs w:val="20"/>
          <w:color w:val="auto"/>
        </w:rPr>
        <w:tab/>
      </w:r>
      <w:r>
        <w:rPr>
          <w:rFonts w:ascii="Arial" w:cs="Arial" w:eastAsia="Arial" w:hAnsi="Arial"/>
          <w:sz w:val="30"/>
          <w:szCs w:val="30"/>
          <w:i w:val="1"/>
          <w:iCs w:val="1"/>
          <w:color w:val="auto"/>
        </w:rPr>
        <w:t>Piper Sandler</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32"/>
          <w:szCs w:val="32"/>
          <w:i w:val="1"/>
          <w:iCs w:val="1"/>
          <w:color w:val="auto"/>
        </w:rPr>
        <w:t>Chardan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840"/>
        <w:spacing w:after="0"/>
        <w:rPr>
          <w:sz w:val="20"/>
          <w:szCs w:val="20"/>
          <w:color w:val="auto"/>
        </w:rPr>
      </w:pPr>
      <w:r>
        <w:rPr>
          <w:rFonts w:ascii="Arial" w:cs="Arial" w:eastAsia="Arial" w:hAnsi="Arial"/>
          <w:sz w:val="18"/>
          <w:szCs w:val="18"/>
          <w:i w:val="1"/>
          <w:iCs w:val="1"/>
          <w:color w:val="auto"/>
        </w:rPr>
        <w:t>, 2021</w:t>
      </w:r>
    </w:p>
    <w:p>
      <w:pPr>
        <w:sectPr>
          <w:pgSz w:w="11900" w:h="16838" w:orient="portrait"/>
          <w:cols w:equalWidth="0" w:num="1">
            <w:col w:w="11140"/>
          </w:cols>
          <w:pgMar w:left="320" w:top="459" w:right="43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left="120" w:right="300" w:firstLine="440"/>
        <w:spacing w:after="0" w:line="311" w:lineRule="auto"/>
        <w:rPr>
          <w:sz w:val="20"/>
          <w:szCs w:val="20"/>
          <w:color w:val="auto"/>
        </w:rPr>
      </w:pPr>
      <w:r>
        <w:rPr>
          <w:rFonts w:ascii="Arial" w:cs="Arial" w:eastAsia="Arial" w:hAnsi="Arial"/>
          <w:sz w:val="16"/>
          <w:szCs w:val="16"/>
          <w:color w:val="auto"/>
        </w:rPr>
        <w:t>The following table sets forth the expenses to be incurred in connection with the offering described in this Registration Statement, other than underwriting discounts and commissions, all of which will be paid by us. All amounts are estimates except the Securities and Exchange Commission (SEC) registration fee, the Financial Industry Regulatory Authority, Inc. (FINRA) filing fee and the Nasdaq Stock Market listing fee.</w:t>
      </w:r>
    </w:p>
    <w:p>
      <w:pPr>
        <w:spacing w:after="0" w:line="15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Amount Paid</w:t>
            </w:r>
          </w:p>
        </w:tc>
      </w:tr>
      <w:tr>
        <w:trPr>
          <w:trHeight w:val="148"/>
        </w:trPr>
        <w:tc>
          <w:tcPr>
            <w:tcW w:w="60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or</w:t>
            </w:r>
          </w:p>
        </w:tc>
      </w:tr>
      <w:tr>
        <w:trPr>
          <w:trHeight w:val="171"/>
        </w:trPr>
        <w:tc>
          <w:tcPr>
            <w:tcW w:w="60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to Be Paid</w:t>
            </w:r>
          </w:p>
        </w:tc>
      </w:tr>
      <w:tr>
        <w:trPr>
          <w:trHeight w:val="209"/>
        </w:trPr>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20,075.00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FINRA filing fee</w:t>
            </w:r>
          </w:p>
        </w:tc>
        <w:tc>
          <w:tcPr>
            <w:tcW w:w="3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28,100.00</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Exchange listing fee</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150,000.00</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3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500,000.00</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1,710,000.00</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3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900,000.00</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and registrar fees</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3,500.00</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Miscellaneous expenses</w:t>
            </w:r>
          </w:p>
        </w:tc>
        <w:tc>
          <w:tcPr>
            <w:tcW w:w="37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388,325.00</w:t>
            </w:r>
          </w:p>
        </w:tc>
      </w:tr>
      <w:tr>
        <w:trPr>
          <w:trHeight w:val="27"/>
        </w:trPr>
        <w:tc>
          <w:tcPr>
            <w:tcW w:w="60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3,700,000.00</w:t>
            </w:r>
          </w:p>
        </w:tc>
      </w:tr>
      <w:tr>
        <w:trPr>
          <w:trHeight w:val="20"/>
        </w:trPr>
        <w:tc>
          <w:tcPr>
            <w:tcW w:w="60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Section 145 of the Delaware General Corporation Law empowers a corporation to indemnify its directors and officers and to purchase insurance with respect to liability arising out of their capacity or status as directors and officers, provided that the person acted in good faith and in a manner the person reasonably believed to be in our best interests, and, with respect to any criminal action, had no reasonable cause to believe the person’s actions were unlawful. The Delaware General Corporation Law further provides that the indemnification permitted thereunder shall not be deemed exclusive of any other rights to which the directors and officers may be entitled under the corporation’s bylaws, any agreement, a vote of stockholders or otherwise. The certificate of incorporation of the registrant to be in effect upon the completion of this offering provides for the indemnification of the registrant’s directors and officers to the fullest extent permitted under the Delaware General Corporation Law. In addition, the bylaws of the registrant to be in effect upon the completion of this offering require the registrant to fully indemnify any person who was or is a party or is threatened to be made a party to any threatened, pending or completed action, suit or proceeding (whether civil, criminal, administrative or investigative) by reason of the fact that such person is or was a director or officer of the registrant, or is or was a director or officer of the registrant serving at the registrant’s request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to the fullest extent permitted by applicable law.</w:t>
      </w:r>
    </w:p>
    <w:p>
      <w:pPr>
        <w:spacing w:after="0" w:line="186"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6"/>
          <w:szCs w:val="16"/>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(1) for any breach of the director’s duty of loyalty to the corporation or its stockholders, (2) for acts or omissions not in good faith or which involve intentional misconduct or a knowing violation of law, (3) for payments of unlawful dividends or unlawful stock repurchases or redemptions or</w:t>
      </w:r>
    </w:p>
    <w:p>
      <w:pPr>
        <w:spacing w:after="0" w:line="1" w:lineRule="exact"/>
        <w:rPr>
          <w:sz w:val="20"/>
          <w:szCs w:val="20"/>
          <w:color w:val="auto"/>
        </w:rPr>
      </w:pPr>
    </w:p>
    <w:p>
      <w:pPr>
        <w:jc w:val="both"/>
        <w:ind w:left="120" w:right="80" w:hanging="4"/>
        <w:spacing w:after="0" w:line="255" w:lineRule="auto"/>
        <w:tabs>
          <w:tab w:leader="none" w:pos="37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 The registrant’s certificate of incorporation to be in effect upon the completion of this offering provides that the registrant’s directors shall not be personally liable to it or its stockholders for monetary damages for breach of fiduciary duty as a director and that if the Delaware General Corporation Law is amended</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40"/>
          </w:cols>
          <w:pgMar w:left="320" w:top="459" w:right="43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to authorize corporate action further eliminating or limiting the personal liability of directors, then the liability of the registrant’s directors shall be eliminated or limited to the fullest extent permitted by the Delaware General Corporation Law, as so amended.</w:t>
      </w:r>
    </w:p>
    <w:p>
      <w:pPr>
        <w:spacing w:after="0" w:line="17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Section 174 of the Delaware General Corporation Law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88"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As permitted by the Delaware General Corporation Law, the registrant has entered into separate indemnification agreements with each of the registrant’s directors and executive officers which would require the registrant, among other things, to indemnify them against certain liabilities which may arise by reason of their status as directors or executive officers.</w:t>
      </w:r>
    </w:p>
    <w:p>
      <w:pPr>
        <w:spacing w:after="0" w:line="18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registrant expects to obtain and maintain insurance policies under which its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directors or officers. The coverage provided by these policies may apply whether or not the registrant would have the power to indemnify such person against such liability under the provisions of the Delaware General Corporation Law.</w:t>
      </w:r>
    </w:p>
    <w:p>
      <w:pPr>
        <w:spacing w:after="0" w:line="18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These indemnification provisions and the indemnification agreements entered into between the registrant and the registrant’s officers and directors may be sufficiently broad to permit indemnification of the registrant’s officers and directors for liabilities (including reimbursement of expenses incurred) arising under the Securities Act of 1933, as amended.</w:t>
      </w:r>
    </w:p>
    <w:p>
      <w:pPr>
        <w:spacing w:after="0" w:line="184"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The underwriting agreement between the registrant and the underwriters filed as Exhibit 1.1 to this registration statement provides for the indemnification by the underwriters of the registrant’s directors and officers and certain controlling persons against specified liabilities, including liabilities under the Securities Act with respect to information provided by the underwriters specifically for inclusion in the registration statement. The investors’ rights agreement with certain holders of our capital stock also provides for cross-indemnification in connection with the registration of the registrant’s common stock on behalf of such holders.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following list sets forth information regarding all unregistered securities sold by us since January 1, 2018. No underwriters were involved in the sales and the certificates representing the securities sold and issued contain legends restricting transfer of the securities without registration under the Securities Act or an applicable exemption from registration.</w:t>
      </w:r>
    </w:p>
    <w:p>
      <w:pPr>
        <w:spacing w:after="0" w:line="184" w:lineRule="exact"/>
        <w:rPr>
          <w:sz w:val="20"/>
          <w:szCs w:val="20"/>
          <w:color w:val="auto"/>
        </w:rPr>
      </w:pPr>
    </w:p>
    <w:p>
      <w:pPr>
        <w:ind w:left="120" w:right="420" w:firstLine="436"/>
        <w:spacing w:after="0" w:line="277" w:lineRule="auto"/>
        <w:tabs>
          <w:tab w:leader="none" w:pos="80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 December 2018, we issued and sold an aggregate of 8,316,662 shares of our Series A convertible preferred stock at a purchase price of $6.00 per share for an aggregate purchase price of $19.9 million.</w:t>
      </w:r>
    </w:p>
    <w:p>
      <w:pPr>
        <w:spacing w:after="0" w:line="170" w:lineRule="exact"/>
        <w:rPr>
          <w:rFonts w:ascii="Arial" w:cs="Arial" w:eastAsia="Arial" w:hAnsi="Arial"/>
          <w:sz w:val="18"/>
          <w:szCs w:val="18"/>
          <w:color w:val="auto"/>
        </w:rPr>
      </w:pPr>
    </w:p>
    <w:p>
      <w:pPr>
        <w:ind w:left="120" w:right="120" w:firstLine="436"/>
        <w:spacing w:after="0" w:line="277" w:lineRule="auto"/>
        <w:tabs>
          <w:tab w:leader="none" w:pos="81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 August 2019, March 2019 and August 2020, we issued and sold 9,259,245 shares of our Series B convertible preferred stock at a purchase price of $9.936 per share for an aggregate purchase price of $92.0 million.</w:t>
      </w:r>
    </w:p>
    <w:p>
      <w:pPr>
        <w:spacing w:after="0" w:line="170" w:lineRule="exact"/>
        <w:rPr>
          <w:rFonts w:ascii="Arial" w:cs="Arial" w:eastAsia="Arial" w:hAnsi="Arial"/>
          <w:sz w:val="18"/>
          <w:szCs w:val="18"/>
          <w:color w:val="auto"/>
        </w:rPr>
      </w:pPr>
    </w:p>
    <w:p>
      <w:pPr>
        <w:ind w:left="120" w:right="380" w:firstLine="436"/>
        <w:spacing w:after="0" w:line="277" w:lineRule="auto"/>
        <w:tabs>
          <w:tab w:leader="none" w:pos="80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 December 2020 and January 2021, we issued and sold an aggregate of 8,526,371 shares of our Series C convertible preferred stock at a purchase price of $12.432 per share for an aggregate purchase price of $106.0 million.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00"/>
          </w:cols>
          <w:pgMar w:left="320" w:top="459" w:right="47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36"/>
        <w:spacing w:after="0" w:line="263" w:lineRule="auto"/>
        <w:tabs>
          <w:tab w:leader="none" w:pos="81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From January 2018 through July 25, 2021, we granted stock options to purchase an aggregate of 2,718,461 shares of common stock upon the exercise of options under our 2016 Plan at exercise prices per share ranging from $0.66 to $10.56, for an aggregate exercise price of approximately $13.87 million.</w:t>
      </w:r>
    </w:p>
    <w:p>
      <w:pPr>
        <w:spacing w:after="0" w:line="183" w:lineRule="exact"/>
        <w:rPr>
          <w:rFonts w:ascii="Arial" w:cs="Arial" w:eastAsia="Arial" w:hAnsi="Arial"/>
          <w:sz w:val="18"/>
          <w:szCs w:val="18"/>
          <w:color w:val="auto"/>
        </w:rPr>
      </w:pPr>
    </w:p>
    <w:p>
      <w:pPr>
        <w:ind w:left="120" w:right="140" w:firstLine="436"/>
        <w:spacing w:after="0" w:line="263" w:lineRule="auto"/>
        <w:tabs>
          <w:tab w:leader="none" w:pos="80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From January 2018 through July 25, 2021, we issued and sold to certain service providers of ours an aggregate of 317,898 shares of common stock upon the exercise of options under our 2016 Plan at exercise prices per share ranging from $0.66 to $9.36, for an aggregate exercise price of approximately $458,350.</w:t>
      </w:r>
    </w:p>
    <w:p>
      <w:pPr>
        <w:spacing w:after="0" w:line="184"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offers, sales and issuances of the securities described in Items 15(a), 15(b) and 15(c) were exempt from registration under the Securities Act under Section 4(a)(2) of the Securities Act or Regulation D promulgated thereunder as transactions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person and had adequate access, through employment, business or other relationships, to information about the registrant.</w:t>
      </w:r>
    </w:p>
    <w:p>
      <w:pPr>
        <w:spacing w:after="0" w:line="161"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offers, sales and issuances of the securities described in Items 15(d) and 15(e) were exempt from registration under the Securities Act under either (1) Rule 701 in that the transactions were under compensatory benefit plans and contracts relating to compensation as provided under Rule 701 or</w:t>
      </w:r>
    </w:p>
    <w:p>
      <w:pPr>
        <w:ind w:left="120" w:right="40" w:hanging="4"/>
        <w:spacing w:after="0" w:line="253" w:lineRule="auto"/>
        <w:tabs>
          <w:tab w:leader="none" w:pos="37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Section 4(a)(2) of the Securities Act as transactions by an issuer not involving any public offering. The recipients of such securities were the registrant’s employees, consultants or directors and received the securities under our 2016 Plan. The recipients of securities in each of these transactions represented their intention to acquire the securities for investment only and not with view to or for sale in connection with any distribution thereof and appropriate legends were affixed to the securities issued in these transactions.</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 and Financial Statement Schedules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 Exhibits.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See the Exhibit Index immediately preceding the signature page hereto for a list of exhibits filed as part of this registration statement on Form S-1, which Exhibit Index is incorporated herein by reference.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Schedules have been omitted because the information required to be set forth therein is not applicable or is shown in the financial statements or notes thereto.</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46" w:lineRule="exact"/>
        <w:rPr>
          <w:sz w:val="20"/>
          <w:szCs w:val="20"/>
          <w:color w:val="auto"/>
        </w:rPr>
      </w:pPr>
    </w:p>
    <w:p>
      <w:pPr>
        <w:ind w:left="120" w:right="200" w:firstLine="440"/>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00"/>
          </w:cols>
          <w:pgMar w:left="320" w:top="459" w:right="47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undersigned hereby undertakes that:</w:t>
      </w:r>
    </w:p>
    <w:p>
      <w:pPr>
        <w:spacing w:after="0" w:line="117" w:lineRule="exact"/>
        <w:rPr>
          <w:sz w:val="20"/>
          <w:szCs w:val="20"/>
          <w:color w:val="auto"/>
        </w:rPr>
      </w:pPr>
    </w:p>
    <w:p>
      <w:pPr>
        <w:ind w:left="120" w:right="200" w:firstLine="436"/>
        <w:spacing w:after="0" w:line="311" w:lineRule="auto"/>
        <w:tabs>
          <w:tab w:leader="none" w:pos="815" w:val="left"/>
        </w:tabs>
        <w:numPr>
          <w:ilvl w:val="0"/>
          <w:numId w:val="166"/>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of 1933 shall be deemed to be part of this registration statement as of the time it was declared effective.</w:t>
      </w:r>
    </w:p>
    <w:p>
      <w:pPr>
        <w:spacing w:after="0" w:line="148" w:lineRule="exact"/>
        <w:rPr>
          <w:rFonts w:ascii="Arial" w:cs="Arial" w:eastAsia="Arial" w:hAnsi="Arial"/>
          <w:sz w:val="16"/>
          <w:szCs w:val="16"/>
          <w:color w:val="auto"/>
        </w:rPr>
      </w:pPr>
    </w:p>
    <w:p>
      <w:pPr>
        <w:jc w:val="both"/>
        <w:ind w:left="120" w:firstLine="436"/>
        <w:spacing w:after="0" w:line="263" w:lineRule="auto"/>
        <w:tabs>
          <w:tab w:leader="none" w:pos="81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000"/>
          </w:cols>
          <w:pgMar w:left="320" w:top="459" w:right="57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100" w:type="dxa"/>
            <w:vAlign w:val="bottom"/>
            <w:gridSpan w:val="21"/>
          </w:tcPr>
          <w:p>
            <w:pPr>
              <w:ind w:left="1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40" w:type="dxa"/>
            <w:vAlign w:val="bottom"/>
          </w:tcPr>
          <w:p>
            <w:pPr>
              <w:spacing w:after="0"/>
              <w:rPr>
                <w:sz w:val="24"/>
                <w:szCs w:val="24"/>
                <w:color w:val="auto"/>
              </w:rPr>
            </w:pPr>
          </w:p>
        </w:tc>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98"/>
              </w:rPr>
              <w:t>Exhibit</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vMerge w:val="restart"/>
          </w:tcPr>
          <w:p>
            <w:pPr>
              <w:spacing w:after="0"/>
              <w:rPr>
                <w:sz w:val="24"/>
                <w:szCs w:val="24"/>
                <w:color w:val="auto"/>
              </w:rPr>
            </w:pPr>
          </w:p>
        </w:tc>
        <w:tc>
          <w:tcPr>
            <w:tcW w:w="72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380" w:type="dxa"/>
            <w:vAlign w:val="bottom"/>
            <w:gridSpan w:val="15"/>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20" w:type="dxa"/>
            <w:vAlign w:val="bottom"/>
            <w:tcBorders>
              <w:bottom w:val="single" w:sz="8" w:color="auto"/>
            </w:tcBorders>
            <w:gridSpan w:val="4"/>
            <w:vMerge w:val="continue"/>
          </w:tcPr>
          <w:p>
            <w:pPr>
              <w:spacing w:after="0"/>
              <w:rPr>
                <w:sz w:val="14"/>
                <w:szCs w:val="14"/>
                <w:color w:val="auto"/>
              </w:rPr>
            </w:pPr>
          </w:p>
        </w:tc>
        <w:tc>
          <w:tcPr>
            <w:tcW w:w="4380" w:type="dxa"/>
            <w:vAlign w:val="bottom"/>
            <w:gridSpan w:val="1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640" w:type="dxa"/>
            <w:vAlign w:val="bottom"/>
            <w:gridSpan w:val="2"/>
          </w:tcPr>
          <w:p>
            <w:pPr>
              <w:ind w:left="80"/>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24"/>
                <w:szCs w:val="24"/>
                <w:color w:val="auto"/>
              </w:rPr>
            </w:pPr>
          </w:p>
        </w:tc>
        <w:tc>
          <w:tcPr>
            <w:tcW w:w="250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318">
              <w:r>
                <w:rPr>
                  <w:rFonts w:ascii="Arial" w:cs="Arial" w:eastAsia="Arial" w:hAnsi="Arial"/>
                  <w:sz w:val="18"/>
                  <w:szCs w:val="18"/>
                  <w:color w:val="0000EE"/>
                  <w:w w:val="93"/>
                </w:rPr>
                <w:t>Form of Underwriting Agreement.</w:t>
              </w:r>
            </w:hyperlink>
          </w:p>
        </w:tc>
        <w:tc>
          <w:tcPr>
            <w:tcW w:w="7200" w:type="dxa"/>
            <w:vAlign w:val="bottom"/>
            <w:gridSpan w:val="2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ind w:left="80"/>
              <w:spacing w:after="0"/>
              <w:rPr>
                <w:sz w:val="20"/>
                <w:szCs w:val="20"/>
                <w:color w:val="auto"/>
              </w:rPr>
            </w:pPr>
            <w:r>
              <w:rPr>
                <w:rFonts w:ascii="Arial" w:cs="Arial" w:eastAsia="Arial" w:hAnsi="Arial"/>
                <w:sz w:val="18"/>
                <w:szCs w:val="18"/>
                <w:color w:val="auto"/>
              </w:rPr>
              <w:t>3.1</w:t>
            </w:r>
          </w:p>
        </w:tc>
        <w:tc>
          <w:tcPr>
            <w:tcW w:w="460" w:type="dxa"/>
            <w:vAlign w:val="bottom"/>
          </w:tcPr>
          <w:p>
            <w:pPr>
              <w:spacing w:after="0"/>
              <w:rPr>
                <w:sz w:val="24"/>
                <w:szCs w:val="24"/>
                <w:color w:val="auto"/>
              </w:rPr>
            </w:pPr>
          </w:p>
        </w:tc>
        <w:tc>
          <w:tcPr>
            <w:tcW w:w="9700" w:type="dxa"/>
            <w:vAlign w:val="bottom"/>
            <w:gridSpan w:val="27"/>
          </w:tcPr>
          <w:p>
            <w:pPr>
              <w:spacing w:after="0"/>
              <w:rPr>
                <w:rFonts w:ascii="Arial" w:cs="Arial" w:eastAsia="Arial" w:hAnsi="Arial"/>
                <w:sz w:val="18"/>
                <w:szCs w:val="18"/>
                <w:color w:val="0000EE"/>
              </w:rPr>
            </w:pPr>
            <w:hyperlink w:anchor="page366">
              <w:r>
                <w:rPr>
                  <w:rFonts w:ascii="Arial" w:cs="Arial" w:eastAsia="Arial" w:hAnsi="Arial"/>
                  <w:sz w:val="18"/>
                  <w:szCs w:val="18"/>
                  <w:color w:val="0000EE"/>
                </w:rPr>
                <w:t>Amended and Restated Certificate of Incorporation of the Registrant, as amended, as currently in effect.</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ind w:left="80"/>
              <w:spacing w:after="0"/>
              <w:rPr>
                <w:sz w:val="20"/>
                <w:szCs w:val="20"/>
                <w:color w:val="auto"/>
              </w:rPr>
            </w:pPr>
            <w:r>
              <w:rPr>
                <w:rFonts w:ascii="Arial" w:cs="Arial" w:eastAsia="Arial" w:hAnsi="Arial"/>
                <w:sz w:val="18"/>
                <w:szCs w:val="18"/>
                <w:color w:val="auto"/>
              </w:rPr>
              <w:t>3.2^</w:t>
            </w:r>
          </w:p>
        </w:tc>
        <w:tc>
          <w:tcPr>
            <w:tcW w:w="460" w:type="dxa"/>
            <w:vAlign w:val="bottom"/>
          </w:tcPr>
          <w:p>
            <w:pPr>
              <w:spacing w:after="0"/>
              <w:rPr>
                <w:sz w:val="24"/>
                <w:szCs w:val="24"/>
                <w:color w:val="auto"/>
              </w:rPr>
            </w:pPr>
          </w:p>
        </w:tc>
        <w:tc>
          <w:tcPr>
            <w:tcW w:w="9700" w:type="dxa"/>
            <w:vAlign w:val="bottom"/>
            <w:gridSpan w:val="27"/>
          </w:tcPr>
          <w:p>
            <w:pPr>
              <w:spacing w:after="0"/>
              <w:rPr>
                <w:rFonts w:ascii="Arial" w:cs="Arial" w:eastAsia="Arial" w:hAnsi="Arial"/>
                <w:sz w:val="18"/>
                <w:szCs w:val="18"/>
                <w:color w:val="0000EE"/>
                <w:w w:val="95"/>
              </w:rPr>
            </w:pPr>
            <w:hyperlink r:id="rId427">
              <w:r>
                <w:rPr>
                  <w:rFonts w:ascii="Arial" w:cs="Arial" w:eastAsia="Arial" w:hAnsi="Arial"/>
                  <w:sz w:val="18"/>
                  <w:szCs w:val="18"/>
                  <w:color w:val="0000EE"/>
                  <w:w w:val="95"/>
                </w:rPr>
                <w:t>Form of Amended and Restated Certificate of Incorporation of the Registrant, to be in effect upon the completion of this offering.</w:t>
              </w:r>
            </w:hyperlink>
          </w:p>
        </w:tc>
        <w:tc>
          <w:tcPr>
            <w:tcW w:w="0" w:type="dxa"/>
            <w:vAlign w:val="bottom"/>
          </w:tcPr>
          <w:p>
            <w:pPr>
              <w:spacing w:after="0"/>
              <w:rPr>
                <w:sz w:val="1"/>
                <w:szCs w:val="1"/>
                <w:color w:val="auto"/>
              </w:rPr>
            </w:pPr>
          </w:p>
        </w:tc>
      </w:tr>
      <w:tr>
        <w:trPr>
          <w:trHeight w:val="304"/>
        </w:trPr>
        <w:tc>
          <w:tcPr>
            <w:tcW w:w="640" w:type="dxa"/>
            <w:vAlign w:val="bottom"/>
            <w:gridSpan w:val="2"/>
          </w:tcPr>
          <w:p>
            <w:pPr>
              <w:ind w:left="80"/>
              <w:spacing w:after="0"/>
              <w:rPr>
                <w:sz w:val="20"/>
                <w:szCs w:val="20"/>
                <w:color w:val="auto"/>
              </w:rPr>
            </w:pPr>
            <w:r>
              <w:rPr>
                <w:rFonts w:ascii="Arial" w:cs="Arial" w:eastAsia="Arial" w:hAnsi="Arial"/>
                <w:sz w:val="18"/>
                <w:szCs w:val="18"/>
                <w:color w:val="auto"/>
              </w:rPr>
              <w:t>3.3^</w:t>
            </w:r>
          </w:p>
        </w:tc>
        <w:tc>
          <w:tcPr>
            <w:tcW w:w="460" w:type="dxa"/>
            <w:vAlign w:val="bottom"/>
          </w:tcPr>
          <w:p>
            <w:pPr>
              <w:spacing w:after="0"/>
              <w:rPr>
                <w:sz w:val="24"/>
                <w:szCs w:val="24"/>
                <w:color w:val="auto"/>
              </w:rPr>
            </w:pPr>
          </w:p>
        </w:tc>
        <w:tc>
          <w:tcPr>
            <w:tcW w:w="9340" w:type="dxa"/>
            <w:vAlign w:val="bottom"/>
            <w:tcBorders>
              <w:top w:val="single" w:sz="8" w:color="0000EE"/>
            </w:tcBorders>
            <w:gridSpan w:val="25"/>
          </w:tcPr>
          <w:p>
            <w:pPr>
              <w:spacing w:after="0"/>
              <w:rPr>
                <w:rFonts w:ascii="Arial" w:cs="Arial" w:eastAsia="Arial" w:hAnsi="Arial"/>
                <w:sz w:val="18"/>
                <w:szCs w:val="18"/>
                <w:color w:val="0000EE"/>
              </w:rPr>
            </w:pPr>
            <w:hyperlink r:id="rId428">
              <w:r>
                <w:rPr>
                  <w:rFonts w:ascii="Arial" w:cs="Arial" w:eastAsia="Arial" w:hAnsi="Arial"/>
                  <w:sz w:val="18"/>
                  <w:szCs w:val="18"/>
                  <w:color w:val="0000EE"/>
                </w:rPr>
                <w:t>Bylaws of the Registrant, as currently in effect.</w:t>
              </w:r>
            </w:hyperlink>
          </w:p>
        </w:tc>
        <w:tc>
          <w:tcPr>
            <w:tcW w:w="3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ind w:left="80"/>
              <w:spacing w:after="0"/>
              <w:rPr>
                <w:sz w:val="20"/>
                <w:szCs w:val="20"/>
                <w:color w:val="auto"/>
              </w:rPr>
            </w:pPr>
            <w:r>
              <w:rPr>
                <w:rFonts w:ascii="Arial" w:cs="Arial" w:eastAsia="Arial" w:hAnsi="Arial"/>
                <w:sz w:val="18"/>
                <w:szCs w:val="18"/>
                <w:color w:val="auto"/>
              </w:rPr>
              <w:t>3.4^</w:t>
            </w:r>
          </w:p>
        </w:tc>
        <w:tc>
          <w:tcPr>
            <w:tcW w:w="460" w:type="dxa"/>
            <w:vAlign w:val="bottom"/>
          </w:tcPr>
          <w:p>
            <w:pPr>
              <w:spacing w:after="0"/>
              <w:rPr>
                <w:sz w:val="24"/>
                <w:szCs w:val="24"/>
                <w:color w:val="auto"/>
              </w:rPr>
            </w:pPr>
          </w:p>
        </w:tc>
        <w:tc>
          <w:tcPr>
            <w:tcW w:w="9700" w:type="dxa"/>
            <w:vAlign w:val="bottom"/>
            <w:gridSpan w:val="27"/>
          </w:tcPr>
          <w:p>
            <w:pPr>
              <w:spacing w:after="0"/>
              <w:rPr>
                <w:rFonts w:ascii="Arial" w:cs="Arial" w:eastAsia="Arial" w:hAnsi="Arial"/>
                <w:sz w:val="18"/>
                <w:szCs w:val="18"/>
                <w:color w:val="0000EE"/>
              </w:rPr>
            </w:pPr>
            <w:hyperlink r:id="rId429">
              <w:r>
                <w:rPr>
                  <w:rFonts w:ascii="Arial" w:cs="Arial" w:eastAsia="Arial" w:hAnsi="Arial"/>
                  <w:sz w:val="18"/>
                  <w:szCs w:val="18"/>
                  <w:color w:val="0000EE"/>
                </w:rPr>
                <w:t>Form of Amended and Restated Bylaws of the Registrant, to be in effect upon the completion of this offering.</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ind w:left="80"/>
              <w:spacing w:after="0"/>
              <w:rPr>
                <w:sz w:val="20"/>
                <w:szCs w:val="20"/>
                <w:color w:val="auto"/>
              </w:rPr>
            </w:pPr>
            <w:r>
              <w:rPr>
                <w:rFonts w:ascii="Arial" w:cs="Arial" w:eastAsia="Arial" w:hAnsi="Arial"/>
                <w:sz w:val="18"/>
                <w:szCs w:val="18"/>
                <w:color w:val="auto"/>
              </w:rPr>
              <w:t>4.1^</w:t>
            </w:r>
          </w:p>
        </w:tc>
        <w:tc>
          <w:tcPr>
            <w:tcW w:w="460" w:type="dxa"/>
            <w:vAlign w:val="bottom"/>
          </w:tcPr>
          <w:p>
            <w:pPr>
              <w:spacing w:after="0"/>
              <w:rPr>
                <w:sz w:val="24"/>
                <w:szCs w:val="24"/>
                <w:color w:val="auto"/>
              </w:rPr>
            </w:pPr>
          </w:p>
        </w:tc>
        <w:tc>
          <w:tcPr>
            <w:tcW w:w="9700" w:type="dxa"/>
            <w:vAlign w:val="bottom"/>
            <w:tcBorders>
              <w:bottom w:val="single" w:sz="8" w:color="0000EE"/>
            </w:tcBorders>
            <w:gridSpan w:val="27"/>
          </w:tcPr>
          <w:p>
            <w:pPr>
              <w:spacing w:after="0"/>
              <w:rPr>
                <w:rFonts w:ascii="Arial" w:cs="Arial" w:eastAsia="Arial" w:hAnsi="Arial"/>
                <w:sz w:val="18"/>
                <w:szCs w:val="18"/>
                <w:color w:val="0000EE"/>
                <w:w w:val="90"/>
              </w:rPr>
            </w:pPr>
            <w:hyperlink r:id="rId430">
              <w:r>
                <w:rPr>
                  <w:rFonts w:ascii="Arial" w:cs="Arial" w:eastAsia="Arial" w:hAnsi="Arial"/>
                  <w:sz w:val="18"/>
                  <w:szCs w:val="18"/>
                  <w:color w:val="0000EE"/>
                  <w:w w:val="90"/>
                </w:rPr>
                <w:t>Amended and Restated Investors’ Rights Agreement by and among the Registrant and certain of its stockholders, dated December 17,</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Arial" w:cs="Arial" w:eastAsia="Arial" w:hAnsi="Arial"/>
                <w:sz w:val="18"/>
                <w:szCs w:val="18"/>
                <w:color w:val="0000EE"/>
                <w:w w:val="84"/>
              </w:rPr>
            </w:pPr>
            <w:hyperlink r:id="rId430">
              <w:r>
                <w:rPr>
                  <w:rFonts w:ascii="Arial" w:cs="Arial" w:eastAsia="Arial" w:hAnsi="Arial"/>
                  <w:sz w:val="18"/>
                  <w:szCs w:val="18"/>
                  <w:color w:val="0000EE"/>
                  <w:w w:val="84"/>
                </w:rPr>
                <w:t>2020.</w:t>
              </w:r>
            </w:hyperlink>
          </w:p>
        </w:tc>
        <w:tc>
          <w:tcPr>
            <w:tcW w:w="2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ind w:left="80"/>
              <w:spacing w:after="0"/>
              <w:rPr>
                <w:sz w:val="20"/>
                <w:szCs w:val="20"/>
                <w:color w:val="auto"/>
              </w:rPr>
            </w:pPr>
            <w:r>
              <w:rPr>
                <w:rFonts w:ascii="Arial" w:cs="Arial" w:eastAsia="Arial" w:hAnsi="Arial"/>
                <w:sz w:val="18"/>
                <w:szCs w:val="18"/>
                <w:color w:val="auto"/>
              </w:rPr>
              <w:t>4.2</w:t>
            </w:r>
          </w:p>
        </w:tc>
        <w:tc>
          <w:tcPr>
            <w:tcW w:w="460" w:type="dxa"/>
            <w:vAlign w:val="bottom"/>
          </w:tcPr>
          <w:p>
            <w:pPr>
              <w:spacing w:after="0"/>
              <w:rPr>
                <w:sz w:val="24"/>
                <w:szCs w:val="24"/>
                <w:color w:val="auto"/>
              </w:rPr>
            </w:pPr>
          </w:p>
        </w:tc>
        <w:tc>
          <w:tcPr>
            <w:tcW w:w="9700" w:type="dxa"/>
            <w:vAlign w:val="bottom"/>
            <w:gridSpan w:val="27"/>
          </w:tcPr>
          <w:p>
            <w:pPr>
              <w:spacing w:after="0"/>
              <w:rPr>
                <w:rFonts w:ascii="Arial" w:cs="Arial" w:eastAsia="Arial" w:hAnsi="Arial"/>
                <w:sz w:val="18"/>
                <w:szCs w:val="18"/>
                <w:color w:val="0000EE"/>
              </w:rPr>
            </w:pPr>
            <w:hyperlink w:anchor="page385">
              <w:r>
                <w:rPr>
                  <w:rFonts w:ascii="Arial" w:cs="Arial" w:eastAsia="Arial" w:hAnsi="Arial"/>
                  <w:sz w:val="18"/>
                  <w:szCs w:val="18"/>
                  <w:color w:val="0000EE"/>
                </w:rPr>
                <w:t>Specimen common stock certificate of the Registrant.</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ind w:left="80"/>
              <w:spacing w:after="0"/>
              <w:rPr>
                <w:sz w:val="20"/>
                <w:szCs w:val="20"/>
                <w:color w:val="auto"/>
              </w:rPr>
            </w:pPr>
            <w:r>
              <w:rPr>
                <w:rFonts w:ascii="Arial" w:cs="Arial" w:eastAsia="Arial" w:hAnsi="Arial"/>
                <w:sz w:val="18"/>
                <w:szCs w:val="18"/>
                <w:color w:val="auto"/>
              </w:rPr>
              <w:t>5.1</w:t>
            </w:r>
          </w:p>
        </w:tc>
        <w:tc>
          <w:tcPr>
            <w:tcW w:w="460" w:type="dxa"/>
            <w:vAlign w:val="bottom"/>
          </w:tcPr>
          <w:p>
            <w:pPr>
              <w:spacing w:after="0"/>
              <w:rPr>
                <w:sz w:val="24"/>
                <w:szCs w:val="24"/>
                <w:color w:val="auto"/>
              </w:rPr>
            </w:pPr>
          </w:p>
        </w:tc>
        <w:tc>
          <w:tcPr>
            <w:tcW w:w="9700" w:type="dxa"/>
            <w:vAlign w:val="bottom"/>
            <w:gridSpan w:val="27"/>
          </w:tcPr>
          <w:p>
            <w:pPr>
              <w:spacing w:after="0"/>
              <w:rPr>
                <w:rFonts w:ascii="Arial" w:cs="Arial" w:eastAsia="Arial" w:hAnsi="Arial"/>
                <w:sz w:val="18"/>
                <w:szCs w:val="18"/>
                <w:color w:val="0000EE"/>
              </w:rPr>
            </w:pPr>
            <w:hyperlink w:anchor="page387">
              <w:r>
                <w:rPr>
                  <w:rFonts w:ascii="Arial" w:cs="Arial" w:eastAsia="Arial" w:hAnsi="Arial"/>
                  <w:sz w:val="18"/>
                  <w:szCs w:val="18"/>
                  <w:color w:val="0000EE"/>
                </w:rPr>
                <w:t>Opinion of Wilson Sonsini Goodrich &amp; Rosati, Professional Corporation.</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rPr>
              <w:t>10.1+^</w:t>
            </w:r>
          </w:p>
        </w:tc>
        <w:tc>
          <w:tcPr>
            <w:tcW w:w="460" w:type="dxa"/>
            <w:vAlign w:val="bottom"/>
          </w:tcPr>
          <w:p>
            <w:pPr>
              <w:spacing w:after="0"/>
              <w:rPr>
                <w:sz w:val="24"/>
                <w:szCs w:val="24"/>
                <w:color w:val="auto"/>
              </w:rPr>
            </w:pPr>
          </w:p>
        </w:tc>
        <w:tc>
          <w:tcPr>
            <w:tcW w:w="7760" w:type="dxa"/>
            <w:vAlign w:val="bottom"/>
            <w:tcBorders>
              <w:bottom w:val="single" w:sz="8" w:color="0000EE"/>
            </w:tcBorders>
            <w:gridSpan w:val="21"/>
          </w:tcPr>
          <w:p>
            <w:pPr>
              <w:spacing w:after="0"/>
              <w:rPr>
                <w:rFonts w:ascii="Arial" w:cs="Arial" w:eastAsia="Arial" w:hAnsi="Arial"/>
                <w:sz w:val="18"/>
                <w:szCs w:val="18"/>
                <w:color w:val="0000EE"/>
                <w:w w:val="90"/>
              </w:rPr>
            </w:pPr>
            <w:hyperlink r:id="rId431">
              <w:r>
                <w:rPr>
                  <w:rFonts w:ascii="Arial" w:cs="Arial" w:eastAsia="Arial" w:hAnsi="Arial"/>
                  <w:sz w:val="18"/>
                  <w:szCs w:val="18"/>
                  <w:color w:val="0000EE"/>
                  <w:w w:val="90"/>
                </w:rPr>
                <w:t>Form of Indemnification Agreement between the Registrant and each of its directors and executive officers.</w:t>
              </w:r>
            </w:hyperlink>
          </w:p>
        </w:tc>
        <w:tc>
          <w:tcPr>
            <w:tcW w:w="19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rPr>
              <w:t>10.2+^</w:t>
            </w:r>
          </w:p>
        </w:tc>
        <w:tc>
          <w:tcPr>
            <w:tcW w:w="460" w:type="dxa"/>
            <w:vAlign w:val="bottom"/>
          </w:tcPr>
          <w:p>
            <w:pPr>
              <w:spacing w:after="0"/>
              <w:rPr>
                <w:sz w:val="24"/>
                <w:szCs w:val="24"/>
                <w:color w:val="auto"/>
              </w:rPr>
            </w:pPr>
          </w:p>
        </w:tc>
        <w:tc>
          <w:tcPr>
            <w:tcW w:w="9700" w:type="dxa"/>
            <w:vAlign w:val="bottom"/>
            <w:gridSpan w:val="27"/>
          </w:tcPr>
          <w:p>
            <w:pPr>
              <w:spacing w:after="0"/>
              <w:rPr>
                <w:rFonts w:ascii="Arial" w:cs="Arial" w:eastAsia="Arial" w:hAnsi="Arial"/>
                <w:sz w:val="18"/>
                <w:szCs w:val="18"/>
                <w:color w:val="0000EE"/>
              </w:rPr>
            </w:pPr>
            <w:hyperlink r:id="rId432">
              <w:r>
                <w:rPr>
                  <w:rFonts w:ascii="Arial" w:cs="Arial" w:eastAsia="Arial" w:hAnsi="Arial"/>
                  <w:sz w:val="18"/>
                  <w:szCs w:val="18"/>
                  <w:color w:val="0000EE"/>
                </w:rPr>
                <w:t>Amended and Restated 2016 Equity Incentive Plan and forms of agreement thereunder.</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rPr>
              <w:t>10.3+</w:t>
            </w:r>
          </w:p>
        </w:tc>
        <w:tc>
          <w:tcPr>
            <w:tcW w:w="460" w:type="dxa"/>
            <w:vAlign w:val="bottom"/>
          </w:tcPr>
          <w:p>
            <w:pPr>
              <w:spacing w:after="0"/>
              <w:rPr>
                <w:sz w:val="24"/>
                <w:szCs w:val="24"/>
                <w:color w:val="auto"/>
              </w:rPr>
            </w:pPr>
          </w:p>
        </w:tc>
        <w:tc>
          <w:tcPr>
            <w:tcW w:w="8380" w:type="dxa"/>
            <w:vAlign w:val="bottom"/>
            <w:tcBorders>
              <w:bottom w:val="single" w:sz="8" w:color="0000EE"/>
            </w:tcBorders>
            <w:gridSpan w:val="23"/>
          </w:tcPr>
          <w:p>
            <w:pPr>
              <w:spacing w:after="0"/>
              <w:rPr>
                <w:rFonts w:ascii="Arial" w:cs="Arial" w:eastAsia="Arial" w:hAnsi="Arial"/>
                <w:sz w:val="18"/>
                <w:szCs w:val="18"/>
                <w:color w:val="0000EE"/>
                <w:w w:val="91"/>
              </w:rPr>
            </w:pPr>
            <w:hyperlink w:anchor="page389">
              <w:r>
                <w:rPr>
                  <w:rFonts w:ascii="Arial" w:cs="Arial" w:eastAsia="Arial" w:hAnsi="Arial"/>
                  <w:sz w:val="18"/>
                  <w:szCs w:val="18"/>
                  <w:color w:val="0000EE"/>
                  <w:w w:val="91"/>
                </w:rPr>
                <w:t>2021 Equity Incentive Plan and forms of agreements thereunder, to be in effect upon the completion of this offering.</w:t>
              </w:r>
            </w:hyperlink>
          </w:p>
        </w:tc>
        <w:tc>
          <w:tcPr>
            <w:tcW w:w="13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rPr>
              <w:t>10.4+</w:t>
            </w:r>
          </w:p>
        </w:tc>
        <w:tc>
          <w:tcPr>
            <w:tcW w:w="460" w:type="dxa"/>
            <w:vAlign w:val="bottom"/>
          </w:tcPr>
          <w:p>
            <w:pPr>
              <w:spacing w:after="0"/>
              <w:rPr>
                <w:sz w:val="24"/>
                <w:szCs w:val="24"/>
                <w:color w:val="auto"/>
              </w:rPr>
            </w:pPr>
          </w:p>
        </w:tc>
        <w:tc>
          <w:tcPr>
            <w:tcW w:w="9060" w:type="dxa"/>
            <w:vAlign w:val="bottom"/>
            <w:tcBorders>
              <w:bottom w:val="single" w:sz="8" w:color="0000EE"/>
            </w:tcBorders>
            <w:gridSpan w:val="24"/>
          </w:tcPr>
          <w:p>
            <w:pPr>
              <w:spacing w:after="0"/>
              <w:rPr>
                <w:rFonts w:ascii="Arial" w:cs="Arial" w:eastAsia="Arial" w:hAnsi="Arial"/>
                <w:sz w:val="18"/>
                <w:szCs w:val="18"/>
                <w:color w:val="0000EE"/>
                <w:w w:val="90"/>
              </w:rPr>
            </w:pPr>
            <w:hyperlink w:anchor="page424">
              <w:r>
                <w:rPr>
                  <w:rFonts w:ascii="Arial" w:cs="Arial" w:eastAsia="Arial" w:hAnsi="Arial"/>
                  <w:sz w:val="18"/>
                  <w:szCs w:val="18"/>
                  <w:color w:val="0000EE"/>
                  <w:w w:val="90"/>
                </w:rPr>
                <w:t>2021 Employee Stock Purchase Plan and forms of agreements thereunder, to be in effect upon the completion of this offering.</w:t>
              </w:r>
            </w:hyperlink>
          </w:p>
        </w:tc>
        <w:tc>
          <w:tcPr>
            <w:tcW w:w="6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rPr>
              <w:t>10.5+^</w:t>
            </w:r>
          </w:p>
        </w:tc>
        <w:tc>
          <w:tcPr>
            <w:tcW w:w="460" w:type="dxa"/>
            <w:vAlign w:val="bottom"/>
          </w:tcPr>
          <w:p>
            <w:pPr>
              <w:spacing w:after="0"/>
              <w:rPr>
                <w:sz w:val="24"/>
                <w:szCs w:val="24"/>
                <w:color w:val="auto"/>
              </w:rPr>
            </w:pPr>
          </w:p>
        </w:tc>
        <w:tc>
          <w:tcPr>
            <w:tcW w:w="4760" w:type="dxa"/>
            <w:vAlign w:val="bottom"/>
            <w:tcBorders>
              <w:bottom w:val="single" w:sz="8" w:color="0000EE"/>
            </w:tcBorders>
            <w:gridSpan w:val="9"/>
          </w:tcPr>
          <w:p>
            <w:pPr>
              <w:spacing w:after="0"/>
              <w:rPr>
                <w:rFonts w:ascii="Arial" w:cs="Arial" w:eastAsia="Arial" w:hAnsi="Arial"/>
                <w:sz w:val="18"/>
                <w:szCs w:val="18"/>
                <w:color w:val="0000EE"/>
                <w:w w:val="91"/>
              </w:rPr>
            </w:pPr>
            <w:hyperlink r:id="rId433">
              <w:r>
                <w:rPr>
                  <w:rFonts w:ascii="Arial" w:cs="Arial" w:eastAsia="Arial" w:hAnsi="Arial"/>
                  <w:sz w:val="18"/>
                  <w:szCs w:val="18"/>
                  <w:color w:val="0000EE"/>
                  <w:w w:val="91"/>
                </w:rPr>
                <w:t>Employment Letter between the Registrant and Faraz Ali, M.B.A.</w:t>
              </w:r>
            </w:hyperlink>
          </w:p>
        </w:tc>
        <w:tc>
          <w:tcPr>
            <w:tcW w:w="494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rPr>
              <w:t>10.6+^</w:t>
            </w:r>
          </w:p>
        </w:tc>
        <w:tc>
          <w:tcPr>
            <w:tcW w:w="460" w:type="dxa"/>
            <w:vAlign w:val="bottom"/>
          </w:tcPr>
          <w:p>
            <w:pPr>
              <w:spacing w:after="0"/>
              <w:rPr>
                <w:sz w:val="24"/>
                <w:szCs w:val="24"/>
                <w:color w:val="auto"/>
              </w:rPr>
            </w:pPr>
          </w:p>
        </w:tc>
        <w:tc>
          <w:tcPr>
            <w:tcW w:w="9700" w:type="dxa"/>
            <w:vAlign w:val="bottom"/>
            <w:gridSpan w:val="27"/>
          </w:tcPr>
          <w:p>
            <w:pPr>
              <w:spacing w:after="0"/>
              <w:rPr>
                <w:rFonts w:ascii="Arial" w:cs="Arial" w:eastAsia="Arial" w:hAnsi="Arial"/>
                <w:sz w:val="18"/>
                <w:szCs w:val="18"/>
                <w:color w:val="0000EE"/>
              </w:rPr>
            </w:pPr>
            <w:hyperlink r:id="rId434">
              <w:r>
                <w:rPr>
                  <w:rFonts w:ascii="Arial" w:cs="Arial" w:eastAsia="Arial" w:hAnsi="Arial"/>
                  <w:sz w:val="18"/>
                  <w:szCs w:val="18"/>
                  <w:color w:val="0000EE"/>
                </w:rPr>
                <w:t>Employment Letter between the Registrant and Timothy Hoey, Ph.D.</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rPr>
              <w:t>10.7+^</w:t>
            </w:r>
          </w:p>
        </w:tc>
        <w:tc>
          <w:tcPr>
            <w:tcW w:w="460" w:type="dxa"/>
            <w:vAlign w:val="bottom"/>
          </w:tcPr>
          <w:p>
            <w:pPr>
              <w:spacing w:after="0"/>
              <w:rPr>
                <w:sz w:val="24"/>
                <w:szCs w:val="24"/>
                <w:color w:val="auto"/>
              </w:rPr>
            </w:pPr>
          </w:p>
        </w:tc>
        <w:tc>
          <w:tcPr>
            <w:tcW w:w="9700" w:type="dxa"/>
            <w:vAlign w:val="bottom"/>
            <w:gridSpan w:val="27"/>
          </w:tcPr>
          <w:p>
            <w:pPr>
              <w:spacing w:after="0"/>
              <w:rPr>
                <w:rFonts w:ascii="Arial" w:cs="Arial" w:eastAsia="Arial" w:hAnsi="Arial"/>
                <w:sz w:val="18"/>
                <w:szCs w:val="18"/>
                <w:color w:val="0000EE"/>
              </w:rPr>
            </w:pPr>
            <w:hyperlink r:id="rId435">
              <w:r>
                <w:rPr>
                  <w:rFonts w:ascii="Arial" w:cs="Arial" w:eastAsia="Arial" w:hAnsi="Arial"/>
                  <w:sz w:val="18"/>
                  <w:szCs w:val="18"/>
                  <w:color w:val="0000EE"/>
                </w:rPr>
                <w:t>Employment Letter between the Registrant and Leone D. Patterson, M.B.A.</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60" w:type="dxa"/>
            <w:vAlign w:val="bottom"/>
            <w:gridSpan w:val="7"/>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rPr>
              <w:t>10.8+^</w:t>
            </w:r>
          </w:p>
        </w:tc>
        <w:tc>
          <w:tcPr>
            <w:tcW w:w="460" w:type="dxa"/>
            <w:vAlign w:val="bottom"/>
          </w:tcPr>
          <w:p>
            <w:pPr>
              <w:spacing w:after="0"/>
              <w:rPr>
                <w:sz w:val="24"/>
                <w:szCs w:val="24"/>
                <w:color w:val="auto"/>
              </w:rPr>
            </w:pPr>
          </w:p>
        </w:tc>
        <w:tc>
          <w:tcPr>
            <w:tcW w:w="6400" w:type="dxa"/>
            <w:vAlign w:val="bottom"/>
            <w:tcBorders>
              <w:bottom w:val="single" w:sz="8" w:color="0000EE"/>
            </w:tcBorders>
            <w:gridSpan w:val="16"/>
          </w:tcPr>
          <w:p>
            <w:pPr>
              <w:spacing w:after="0"/>
              <w:rPr>
                <w:rFonts w:ascii="Arial" w:cs="Arial" w:eastAsia="Arial" w:hAnsi="Arial"/>
                <w:sz w:val="18"/>
                <w:szCs w:val="18"/>
                <w:color w:val="0000EE"/>
                <w:w w:val="92"/>
              </w:rPr>
            </w:pPr>
            <w:hyperlink r:id="rId436">
              <w:r>
                <w:rPr>
                  <w:rFonts w:ascii="Arial" w:cs="Arial" w:eastAsia="Arial" w:hAnsi="Arial"/>
                  <w:sz w:val="18"/>
                  <w:szCs w:val="18"/>
                  <w:color w:val="0000EE"/>
                  <w:w w:val="92"/>
                </w:rPr>
                <w:t>Employment Letter between the Registrant and Whittemore (Whit) Tingley, M.D., Ph.D.</w:t>
              </w:r>
            </w:hyperlink>
          </w:p>
        </w:tc>
        <w:tc>
          <w:tcPr>
            <w:tcW w:w="33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rPr>
              <w:t>10.9#^</w:t>
            </w:r>
          </w:p>
        </w:tc>
        <w:tc>
          <w:tcPr>
            <w:tcW w:w="460" w:type="dxa"/>
            <w:vAlign w:val="bottom"/>
          </w:tcPr>
          <w:p>
            <w:pPr>
              <w:spacing w:after="0"/>
              <w:rPr>
                <w:sz w:val="24"/>
                <w:szCs w:val="24"/>
                <w:color w:val="auto"/>
              </w:rPr>
            </w:pPr>
          </w:p>
        </w:tc>
        <w:tc>
          <w:tcPr>
            <w:tcW w:w="9700" w:type="dxa"/>
            <w:vAlign w:val="bottom"/>
            <w:gridSpan w:val="27"/>
          </w:tcPr>
          <w:p>
            <w:pPr>
              <w:spacing w:after="0"/>
              <w:rPr>
                <w:rFonts w:ascii="Arial" w:cs="Arial" w:eastAsia="Arial" w:hAnsi="Arial"/>
                <w:sz w:val="18"/>
                <w:szCs w:val="18"/>
                <w:color w:val="0000EE"/>
                <w:w w:val="89"/>
              </w:rPr>
            </w:pPr>
            <w:hyperlink r:id="rId437">
              <w:r>
                <w:rPr>
                  <w:rFonts w:ascii="Arial" w:cs="Arial" w:eastAsia="Arial" w:hAnsi="Arial"/>
                  <w:sz w:val="18"/>
                  <w:szCs w:val="18"/>
                  <w:color w:val="0000EE"/>
                  <w:w w:val="89"/>
                </w:rPr>
                <w:t>License Agreement between the Registrant and the Board of Regents of the University of Texas System, dated as of January 10, 2020.</w:t>
              </w:r>
            </w:hyperlink>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rPr>
              <w:t>10.10^</w:t>
            </w:r>
          </w:p>
        </w:tc>
        <w:tc>
          <w:tcPr>
            <w:tcW w:w="460" w:type="dxa"/>
            <w:vAlign w:val="bottom"/>
          </w:tcPr>
          <w:p>
            <w:pPr>
              <w:spacing w:after="0"/>
              <w:rPr>
                <w:sz w:val="24"/>
                <w:szCs w:val="24"/>
                <w:color w:val="auto"/>
              </w:rPr>
            </w:pPr>
          </w:p>
        </w:tc>
        <w:tc>
          <w:tcPr>
            <w:tcW w:w="7500" w:type="dxa"/>
            <w:vAlign w:val="bottom"/>
            <w:tcBorders>
              <w:top w:val="single" w:sz="8" w:color="0000EE"/>
              <w:bottom w:val="single" w:sz="8" w:color="0000EE"/>
            </w:tcBorders>
            <w:gridSpan w:val="19"/>
          </w:tcPr>
          <w:p>
            <w:pPr>
              <w:spacing w:after="0"/>
              <w:rPr>
                <w:rFonts w:ascii="Arial" w:cs="Arial" w:eastAsia="Arial" w:hAnsi="Arial"/>
                <w:sz w:val="18"/>
                <w:szCs w:val="18"/>
                <w:color w:val="0000EE"/>
                <w:w w:val="89"/>
              </w:rPr>
            </w:pPr>
            <w:hyperlink r:id="rId438">
              <w:r>
                <w:rPr>
                  <w:rFonts w:ascii="Arial" w:cs="Arial" w:eastAsia="Arial" w:hAnsi="Arial"/>
                  <w:sz w:val="18"/>
                  <w:szCs w:val="18"/>
                  <w:color w:val="0000EE"/>
                  <w:w w:val="89"/>
                </w:rPr>
                <w:t>Lease between HCP Oyster Point III LLC and Tenaya Therapeutics, Inc. dated as of September 6, 2016.</w:t>
              </w:r>
            </w:hyperlink>
          </w:p>
        </w:tc>
        <w:tc>
          <w:tcPr>
            <w:tcW w:w="2160" w:type="dxa"/>
            <w:vAlign w:val="bottom"/>
            <w:tcBorders>
              <w:top w:val="single" w:sz="8" w:color="0000EE"/>
            </w:tcBorders>
            <w:gridSpan w:val="7"/>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rPr>
              <w:t>10.11^</w:t>
            </w:r>
          </w:p>
        </w:tc>
        <w:tc>
          <w:tcPr>
            <w:tcW w:w="460" w:type="dxa"/>
            <w:vAlign w:val="bottom"/>
          </w:tcPr>
          <w:p>
            <w:pPr>
              <w:spacing w:after="0"/>
              <w:rPr>
                <w:sz w:val="24"/>
                <w:szCs w:val="24"/>
                <w:color w:val="auto"/>
              </w:rPr>
            </w:pPr>
          </w:p>
        </w:tc>
        <w:tc>
          <w:tcPr>
            <w:tcW w:w="9700" w:type="dxa"/>
            <w:vAlign w:val="bottom"/>
            <w:gridSpan w:val="27"/>
          </w:tcPr>
          <w:p>
            <w:pPr>
              <w:spacing w:after="0"/>
              <w:rPr>
                <w:rFonts w:ascii="Arial" w:cs="Arial" w:eastAsia="Arial" w:hAnsi="Arial"/>
                <w:sz w:val="18"/>
                <w:szCs w:val="18"/>
                <w:color w:val="0000EE"/>
              </w:rPr>
            </w:pPr>
            <w:hyperlink r:id="rId439">
              <w:r>
                <w:rPr>
                  <w:rFonts w:ascii="Arial" w:cs="Arial" w:eastAsia="Arial" w:hAnsi="Arial"/>
                  <w:sz w:val="18"/>
                  <w:szCs w:val="18"/>
                  <w:color w:val="0000EE"/>
                </w:rPr>
                <w:t>Lease between Terreno Park Union City LLC and Tenaya Therapeutics, Inc. dated as of February 12, 2021.</w:t>
              </w:r>
            </w:hyperlink>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w w:val="96"/>
              </w:rPr>
              <w:t>10.12+^</w:t>
            </w:r>
          </w:p>
        </w:tc>
        <w:tc>
          <w:tcPr>
            <w:tcW w:w="460" w:type="dxa"/>
            <w:vAlign w:val="bottom"/>
          </w:tcPr>
          <w:p>
            <w:pPr>
              <w:spacing w:after="0"/>
              <w:rPr>
                <w:sz w:val="24"/>
                <w:szCs w:val="24"/>
                <w:color w:val="auto"/>
              </w:rPr>
            </w:pPr>
          </w:p>
        </w:tc>
        <w:tc>
          <w:tcPr>
            <w:tcW w:w="36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r:id="rId440">
              <w:r>
                <w:rPr>
                  <w:rFonts w:ascii="Arial" w:cs="Arial" w:eastAsia="Arial" w:hAnsi="Arial"/>
                  <w:sz w:val="18"/>
                  <w:szCs w:val="18"/>
                  <w:color w:val="0000EE"/>
                  <w:w w:val="89"/>
                </w:rPr>
                <w:t>Executive Change in Control and Severance Plan.</w:t>
              </w:r>
            </w:hyperlink>
          </w:p>
        </w:tc>
        <w:tc>
          <w:tcPr>
            <w:tcW w:w="4120" w:type="dxa"/>
            <w:vAlign w:val="bottom"/>
            <w:tcBorders>
              <w:top w:val="single" w:sz="8" w:color="0000EE"/>
            </w:tcBorders>
            <w:gridSpan w:val="14"/>
          </w:tcPr>
          <w:p>
            <w:pPr>
              <w:spacing w:after="0"/>
              <w:rPr>
                <w:sz w:val="24"/>
                <w:szCs w:val="24"/>
                <w:color w:val="auto"/>
              </w:rPr>
            </w:pPr>
          </w:p>
        </w:tc>
        <w:tc>
          <w:tcPr>
            <w:tcW w:w="19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40" w:type="dxa"/>
            <w:vAlign w:val="bottom"/>
            <w:gridSpan w:val="2"/>
          </w:tcPr>
          <w:p>
            <w:pPr>
              <w:spacing w:after="0"/>
              <w:rPr>
                <w:sz w:val="20"/>
                <w:szCs w:val="20"/>
                <w:color w:val="auto"/>
              </w:rPr>
            </w:pPr>
            <w:r>
              <w:rPr>
                <w:rFonts w:ascii="Arial" w:cs="Arial" w:eastAsia="Arial" w:hAnsi="Arial"/>
                <w:sz w:val="18"/>
                <w:szCs w:val="18"/>
                <w:color w:val="auto"/>
                <w:w w:val="96"/>
              </w:rPr>
              <w:t>10.13+^</w:t>
            </w:r>
          </w:p>
        </w:tc>
        <w:tc>
          <w:tcPr>
            <w:tcW w:w="460" w:type="dxa"/>
            <w:vAlign w:val="bottom"/>
          </w:tcPr>
          <w:p>
            <w:pPr>
              <w:spacing w:after="0"/>
              <w:rPr>
                <w:sz w:val="24"/>
                <w:szCs w:val="24"/>
                <w:color w:val="auto"/>
              </w:rPr>
            </w:pPr>
          </w:p>
        </w:tc>
        <w:tc>
          <w:tcPr>
            <w:tcW w:w="2940" w:type="dxa"/>
            <w:vAlign w:val="bottom"/>
            <w:tcBorders>
              <w:bottom w:val="single" w:sz="8" w:color="0000EE"/>
            </w:tcBorders>
            <w:gridSpan w:val="4"/>
          </w:tcPr>
          <w:p>
            <w:pPr>
              <w:spacing w:after="0"/>
              <w:rPr>
                <w:rFonts w:ascii="Arial" w:cs="Arial" w:eastAsia="Arial" w:hAnsi="Arial"/>
                <w:sz w:val="18"/>
                <w:szCs w:val="18"/>
                <w:color w:val="0000EE"/>
                <w:w w:val="90"/>
              </w:rPr>
            </w:pPr>
            <w:hyperlink r:id="rId441">
              <w:r>
                <w:rPr>
                  <w:rFonts w:ascii="Arial" w:cs="Arial" w:eastAsia="Arial" w:hAnsi="Arial"/>
                  <w:sz w:val="18"/>
                  <w:szCs w:val="18"/>
                  <w:color w:val="0000EE"/>
                  <w:w w:val="90"/>
                </w:rPr>
                <w:t>Executive Incentive Compensation Plan.</w:t>
              </w:r>
            </w:hyperlink>
          </w:p>
        </w:tc>
        <w:tc>
          <w:tcPr>
            <w:tcW w:w="6760" w:type="dxa"/>
            <w:vAlign w:val="bottom"/>
            <w:gridSpan w:val="2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rPr>
              <w:t>10.14+</w:t>
            </w:r>
          </w:p>
        </w:tc>
        <w:tc>
          <w:tcPr>
            <w:tcW w:w="460" w:type="dxa"/>
            <w:vAlign w:val="bottom"/>
          </w:tcPr>
          <w:p>
            <w:pPr>
              <w:spacing w:after="0"/>
              <w:rPr>
                <w:sz w:val="24"/>
                <w:szCs w:val="24"/>
                <w:color w:val="auto"/>
              </w:rPr>
            </w:pPr>
          </w:p>
        </w:tc>
        <w:tc>
          <w:tcPr>
            <w:tcW w:w="9700" w:type="dxa"/>
            <w:vAlign w:val="bottom"/>
            <w:gridSpan w:val="27"/>
          </w:tcPr>
          <w:p>
            <w:pPr>
              <w:spacing w:after="0"/>
              <w:rPr>
                <w:rFonts w:ascii="Arial" w:cs="Arial" w:eastAsia="Arial" w:hAnsi="Arial"/>
                <w:sz w:val="18"/>
                <w:szCs w:val="18"/>
                <w:color w:val="0000EE"/>
              </w:rPr>
            </w:pPr>
            <w:hyperlink w:anchor="page449">
              <w:r>
                <w:rPr>
                  <w:rFonts w:ascii="Arial" w:cs="Arial" w:eastAsia="Arial" w:hAnsi="Arial"/>
                  <w:sz w:val="18"/>
                  <w:szCs w:val="18"/>
                  <w:color w:val="0000EE"/>
                </w:rPr>
                <w:t>Outside Director Compensation Policy.</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20" w:type="dxa"/>
            <w:vAlign w:val="bottom"/>
            <w:gridSpan w:val="3"/>
            <w:shd w:val="clear" w:color="auto" w:fill="0000EE"/>
          </w:tcPr>
          <w:p>
            <w:pPr>
              <w:spacing w:after="0" w:line="20" w:lineRule="exact"/>
              <w:rPr>
                <w:sz w:val="1"/>
                <w:szCs w:val="1"/>
                <w:color w:val="auto"/>
              </w:rPr>
            </w:pPr>
          </w:p>
        </w:tc>
        <w:tc>
          <w:tcPr>
            <w:tcW w:w="3320" w:type="dxa"/>
            <w:vAlign w:val="bottom"/>
            <w:gridSpan w:val="1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6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rPr>
              <w:t>23.1</w:t>
            </w:r>
          </w:p>
        </w:tc>
        <w:tc>
          <w:tcPr>
            <w:tcW w:w="460" w:type="dxa"/>
            <w:vAlign w:val="bottom"/>
          </w:tcPr>
          <w:p>
            <w:pPr>
              <w:spacing w:after="0"/>
              <w:rPr>
                <w:sz w:val="24"/>
                <w:szCs w:val="24"/>
                <w:color w:val="auto"/>
              </w:rPr>
            </w:pPr>
          </w:p>
        </w:tc>
        <w:tc>
          <w:tcPr>
            <w:tcW w:w="614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453">
              <w:r>
                <w:rPr>
                  <w:rFonts w:ascii="Arial" w:cs="Arial" w:eastAsia="Arial" w:hAnsi="Arial"/>
                  <w:sz w:val="18"/>
                  <w:szCs w:val="18"/>
                  <w:color w:val="0000EE"/>
                  <w:w w:val="91"/>
                </w:rPr>
                <w:t>Consent of Deloitte &amp; Touche LLP, Independent Registered Public Accounting Firm.</w:t>
              </w:r>
            </w:hyperlink>
          </w:p>
        </w:tc>
        <w:tc>
          <w:tcPr>
            <w:tcW w:w="35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rPr>
              <w:t>23.2</w:t>
            </w:r>
          </w:p>
        </w:tc>
        <w:tc>
          <w:tcPr>
            <w:tcW w:w="460" w:type="dxa"/>
            <w:vAlign w:val="bottom"/>
          </w:tcPr>
          <w:p>
            <w:pPr>
              <w:spacing w:after="0"/>
              <w:rPr>
                <w:sz w:val="24"/>
                <w:szCs w:val="24"/>
                <w:color w:val="auto"/>
              </w:rPr>
            </w:pPr>
          </w:p>
        </w:tc>
        <w:tc>
          <w:tcPr>
            <w:tcW w:w="7100" w:type="dxa"/>
            <w:vAlign w:val="bottom"/>
            <w:tcBorders>
              <w:bottom w:val="single" w:sz="8" w:color="0000EE"/>
            </w:tcBorders>
            <w:gridSpan w:val="17"/>
          </w:tcPr>
          <w:p>
            <w:pPr>
              <w:spacing w:after="0"/>
              <w:rPr>
                <w:rFonts w:ascii="Arial" w:cs="Arial" w:eastAsia="Arial" w:hAnsi="Arial"/>
                <w:sz w:val="18"/>
                <w:szCs w:val="18"/>
                <w:color w:val="0000EE"/>
                <w:w w:val="92"/>
              </w:rPr>
            </w:pPr>
            <w:hyperlink w:anchor="page387">
              <w:r>
                <w:rPr>
                  <w:rFonts w:ascii="Arial" w:cs="Arial" w:eastAsia="Arial" w:hAnsi="Arial"/>
                  <w:sz w:val="18"/>
                  <w:szCs w:val="18"/>
                  <w:color w:val="0000EE"/>
                  <w:w w:val="92"/>
                </w:rPr>
                <w:t>Consent of Wilson Sonsini Goodrich &amp; Rosati, Professional Corporation (included in Exhibit 5.1).</w:t>
              </w:r>
            </w:hyperlink>
          </w:p>
        </w:tc>
        <w:tc>
          <w:tcPr>
            <w:tcW w:w="26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rPr>
              <w:t>24.1^</w:t>
            </w:r>
          </w:p>
        </w:tc>
        <w:tc>
          <w:tcPr>
            <w:tcW w:w="460" w:type="dxa"/>
            <w:vAlign w:val="bottom"/>
          </w:tcPr>
          <w:p>
            <w:pPr>
              <w:spacing w:after="0"/>
              <w:rPr>
                <w:sz w:val="24"/>
                <w:szCs w:val="24"/>
                <w:color w:val="auto"/>
              </w:rPr>
            </w:pPr>
          </w:p>
        </w:tc>
        <w:tc>
          <w:tcPr>
            <w:tcW w:w="6280" w:type="dxa"/>
            <w:vAlign w:val="bottom"/>
            <w:tcBorders>
              <w:bottom w:val="single" w:sz="8" w:color="0000EE"/>
            </w:tcBorders>
            <w:gridSpan w:val="15"/>
          </w:tcPr>
          <w:p>
            <w:pPr>
              <w:spacing w:after="0"/>
              <w:rPr>
                <w:rFonts w:ascii="Arial" w:cs="Arial" w:eastAsia="Arial" w:hAnsi="Arial"/>
                <w:sz w:val="18"/>
                <w:szCs w:val="18"/>
                <w:color w:val="0000EE"/>
                <w:w w:val="92"/>
              </w:rPr>
            </w:pPr>
            <w:hyperlink r:id="rId442">
              <w:r>
                <w:rPr>
                  <w:rFonts w:ascii="Arial" w:cs="Arial" w:eastAsia="Arial" w:hAnsi="Arial"/>
                  <w:sz w:val="18"/>
                  <w:szCs w:val="18"/>
                  <w:color w:val="0000EE"/>
                  <w:w w:val="92"/>
                </w:rPr>
                <w:t>Power of Attorney (see page II-6 to the Form S-1 filed with the SEC on July 9, 2021).</w:t>
              </w:r>
            </w:hyperlink>
          </w:p>
        </w:tc>
        <w:tc>
          <w:tcPr>
            <w:tcW w:w="34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540" w:hanging="424"/>
        <w:spacing w:after="0"/>
        <w:tabs>
          <w:tab w:leader="none" w:pos="5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3" w:lineRule="exact"/>
        <w:rPr>
          <w:sz w:val="20"/>
          <w:szCs w:val="20"/>
          <w:color w:val="auto"/>
        </w:rPr>
      </w:pPr>
    </w:p>
    <w:p>
      <w:pPr>
        <w:ind w:left="540" w:hanging="424"/>
        <w:spacing w:after="0"/>
        <w:tabs>
          <w:tab w:leader="none" w:pos="5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9" w:lineRule="exact"/>
        <w:rPr>
          <w:sz w:val="20"/>
          <w:szCs w:val="20"/>
          <w:color w:val="auto"/>
        </w:rPr>
      </w:pPr>
    </w:p>
    <w:p>
      <w:pPr>
        <w:ind w:left="540" w:hanging="424"/>
        <w:spacing w:after="0" w:line="260" w:lineRule="auto"/>
        <w:tabs>
          <w:tab w:leader="none" w:pos="5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as the registrant has determined that (1) the omitted information is not material and (2) the omitted information would likely cause competitive harm to the registrant if publicly disclosed.</w:t>
      </w:r>
    </w:p>
    <w:p>
      <w:pPr>
        <w:spacing w:after="0" w:line="11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000"/>
          </w:cols>
          <w:pgMar w:left="320" w:top="459" w:right="57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South San Francisco, California, on July 26, 2021.</w:t>
      </w:r>
    </w:p>
    <w:p>
      <w:pPr>
        <w:spacing w:after="0" w:line="169"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TENAYA THERAPEUTICS,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Faraz Ali,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Faraz Ali, M.B.A.</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80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w w:val="89"/>
              </w:rPr>
              <w:t>Signature</w:t>
            </w:r>
          </w:p>
        </w:tc>
        <w:tc>
          <w:tcPr>
            <w:tcW w:w="18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1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18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25"/>
        </w:trPr>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Faraz Ali, M.B.A.</w:t>
            </w:r>
          </w:p>
        </w:tc>
        <w:tc>
          <w:tcPr>
            <w:tcW w:w="6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400" w:type="dxa"/>
            <w:vAlign w:val="bottom"/>
            <w:gridSpan w:val="3"/>
          </w:tcPr>
          <w:p>
            <w:pPr>
              <w:ind w:left="120"/>
              <w:spacing w:after="0"/>
              <w:rPr>
                <w:sz w:val="20"/>
                <w:szCs w:val="20"/>
                <w:color w:val="auto"/>
              </w:rPr>
            </w:pPr>
            <w:r>
              <w:rPr>
                <w:rFonts w:ascii="Arial" w:cs="Arial" w:eastAsia="Arial" w:hAnsi="Arial"/>
                <w:sz w:val="18"/>
                <w:szCs w:val="18"/>
                <w:color w:val="auto"/>
              </w:rPr>
              <w:t>Chief Executive Officer and Director</w:t>
            </w:r>
          </w:p>
        </w:tc>
        <w:tc>
          <w:tcPr>
            <w:tcW w:w="1960" w:type="dxa"/>
            <w:vAlign w:val="bottom"/>
            <w:gridSpan w:val="3"/>
          </w:tcPr>
          <w:p>
            <w:pPr>
              <w:jc w:val="center"/>
              <w:ind w:left="910"/>
              <w:spacing w:after="0"/>
              <w:rPr>
                <w:sz w:val="20"/>
                <w:szCs w:val="20"/>
                <w:color w:val="auto"/>
              </w:rPr>
            </w:pPr>
            <w:r>
              <w:rPr>
                <w:rFonts w:ascii="Arial" w:cs="Arial" w:eastAsia="Arial" w:hAnsi="Arial"/>
                <w:sz w:val="18"/>
                <w:szCs w:val="18"/>
                <w:color w:val="auto"/>
                <w:w w:val="89"/>
              </w:rPr>
              <w:t>July 26, 2021</w:t>
            </w:r>
          </w:p>
        </w:tc>
      </w:tr>
      <w:tr>
        <w:trPr>
          <w:trHeight w:val="224"/>
        </w:trPr>
        <w:tc>
          <w:tcPr>
            <w:tcW w:w="4200" w:type="dxa"/>
            <w:vAlign w:val="bottom"/>
            <w:gridSpan w:val="3"/>
          </w:tcPr>
          <w:p>
            <w:pPr>
              <w:spacing w:after="0"/>
              <w:rPr>
                <w:sz w:val="20"/>
                <w:szCs w:val="20"/>
                <w:color w:val="auto"/>
              </w:rPr>
            </w:pPr>
            <w:r>
              <w:rPr>
                <w:rFonts w:ascii="Arial" w:cs="Arial" w:eastAsia="Arial" w:hAnsi="Arial"/>
                <w:sz w:val="18"/>
                <w:szCs w:val="18"/>
                <w:color w:val="auto"/>
              </w:rPr>
              <w:t>Faraz Ali, M.B.A.</w:t>
            </w:r>
          </w:p>
        </w:tc>
        <w:tc>
          <w:tcPr>
            <w:tcW w:w="4400" w:type="dxa"/>
            <w:vAlign w:val="bottom"/>
            <w:gridSpan w:val="3"/>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31"/>
        </w:trPr>
        <w:tc>
          <w:tcPr>
            <w:tcW w:w="42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Leone D. Patterson, M.B.A.</w:t>
            </w:r>
          </w:p>
        </w:tc>
        <w:tc>
          <w:tcPr>
            <w:tcW w:w="4400" w:type="dxa"/>
            <w:vAlign w:val="bottom"/>
            <w:gridSpan w:val="3"/>
          </w:tcPr>
          <w:p>
            <w:pPr>
              <w:ind w:left="120"/>
              <w:spacing w:after="0"/>
              <w:rPr>
                <w:sz w:val="20"/>
                <w:szCs w:val="20"/>
                <w:color w:val="auto"/>
              </w:rPr>
            </w:pPr>
            <w:r>
              <w:rPr>
                <w:rFonts w:ascii="Arial" w:cs="Arial" w:eastAsia="Arial" w:hAnsi="Arial"/>
                <w:sz w:val="18"/>
                <w:szCs w:val="18"/>
                <w:color w:val="auto"/>
              </w:rPr>
              <w:t>Chief Financial and Business Officer</w:t>
            </w:r>
          </w:p>
        </w:tc>
        <w:tc>
          <w:tcPr>
            <w:tcW w:w="1960" w:type="dxa"/>
            <w:vAlign w:val="bottom"/>
            <w:gridSpan w:val="3"/>
          </w:tcPr>
          <w:p>
            <w:pPr>
              <w:jc w:val="center"/>
              <w:ind w:left="910"/>
              <w:spacing w:after="0"/>
              <w:rPr>
                <w:sz w:val="20"/>
                <w:szCs w:val="20"/>
                <w:color w:val="auto"/>
              </w:rPr>
            </w:pPr>
            <w:r>
              <w:rPr>
                <w:rFonts w:ascii="Arial" w:cs="Arial" w:eastAsia="Arial" w:hAnsi="Arial"/>
                <w:sz w:val="18"/>
                <w:szCs w:val="18"/>
                <w:color w:val="auto"/>
                <w:w w:val="89"/>
              </w:rPr>
              <w:t>July 26, 2021</w:t>
            </w:r>
          </w:p>
        </w:tc>
      </w:tr>
      <w:tr>
        <w:trPr>
          <w:trHeight w:val="224"/>
        </w:trPr>
        <w:tc>
          <w:tcPr>
            <w:tcW w:w="4200" w:type="dxa"/>
            <w:vAlign w:val="bottom"/>
            <w:gridSpan w:val="3"/>
          </w:tcPr>
          <w:p>
            <w:pPr>
              <w:spacing w:after="0"/>
              <w:rPr>
                <w:sz w:val="20"/>
                <w:szCs w:val="20"/>
                <w:color w:val="auto"/>
              </w:rPr>
            </w:pPr>
            <w:r>
              <w:rPr>
                <w:rFonts w:ascii="Arial" w:cs="Arial" w:eastAsia="Arial" w:hAnsi="Arial"/>
                <w:sz w:val="18"/>
                <w:szCs w:val="18"/>
                <w:color w:val="auto"/>
              </w:rPr>
              <w:t>Leone D. Patterson, M.B.A.</w:t>
            </w:r>
          </w:p>
        </w:tc>
        <w:tc>
          <w:tcPr>
            <w:tcW w:w="4400" w:type="dxa"/>
            <w:vAlign w:val="bottom"/>
            <w:gridSpan w:val="3"/>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and Accounting Officer</w:t>
            </w:r>
            <w:r>
              <w:rPr>
                <w:rFonts w:ascii="Arial" w:cs="Arial" w:eastAsia="Arial" w:hAnsi="Arial"/>
                <w:sz w:val="18"/>
                <w:szCs w:val="18"/>
                <w:color w:val="auto"/>
              </w:rPr>
              <w:t>)</w:t>
            </w: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31"/>
        </w:trPr>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4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jc w:val="center"/>
              <w:ind w:left="910"/>
              <w:spacing w:after="0"/>
              <w:rPr>
                <w:sz w:val="20"/>
                <w:szCs w:val="20"/>
                <w:color w:val="auto"/>
              </w:rPr>
            </w:pPr>
            <w:r>
              <w:rPr>
                <w:rFonts w:ascii="Arial" w:cs="Arial" w:eastAsia="Arial" w:hAnsi="Arial"/>
                <w:sz w:val="18"/>
                <w:szCs w:val="18"/>
                <w:color w:val="auto"/>
                <w:w w:val="89"/>
              </w:rPr>
              <w:t>July 26, 2021</w:t>
            </w:r>
          </w:p>
        </w:tc>
      </w:tr>
      <w:tr>
        <w:trPr>
          <w:trHeight w:val="224"/>
        </w:trPr>
        <w:tc>
          <w:tcPr>
            <w:tcW w:w="4200" w:type="dxa"/>
            <w:vAlign w:val="bottom"/>
            <w:gridSpan w:val="3"/>
          </w:tcPr>
          <w:p>
            <w:pPr>
              <w:spacing w:after="0"/>
              <w:rPr>
                <w:sz w:val="20"/>
                <w:szCs w:val="20"/>
                <w:color w:val="auto"/>
              </w:rPr>
            </w:pPr>
            <w:r>
              <w:rPr>
                <w:rFonts w:ascii="Arial" w:cs="Arial" w:eastAsia="Arial" w:hAnsi="Arial"/>
                <w:sz w:val="18"/>
                <w:szCs w:val="18"/>
                <w:color w:val="auto"/>
              </w:rPr>
              <w:t>Eli Casdin, M.B.A.</w:t>
            </w:r>
          </w:p>
        </w:tc>
        <w:tc>
          <w:tcPr>
            <w:tcW w:w="2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31"/>
        </w:trPr>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4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jc w:val="center"/>
              <w:ind w:left="910"/>
              <w:spacing w:after="0"/>
              <w:rPr>
                <w:sz w:val="20"/>
                <w:szCs w:val="20"/>
                <w:color w:val="auto"/>
              </w:rPr>
            </w:pPr>
            <w:r>
              <w:rPr>
                <w:rFonts w:ascii="Arial" w:cs="Arial" w:eastAsia="Arial" w:hAnsi="Arial"/>
                <w:sz w:val="18"/>
                <w:szCs w:val="18"/>
                <w:color w:val="auto"/>
                <w:w w:val="89"/>
              </w:rPr>
              <w:t>July 26, 2021</w:t>
            </w:r>
          </w:p>
        </w:tc>
      </w:tr>
      <w:tr>
        <w:trPr>
          <w:trHeight w:val="224"/>
        </w:trPr>
        <w:tc>
          <w:tcPr>
            <w:tcW w:w="4200" w:type="dxa"/>
            <w:vAlign w:val="bottom"/>
            <w:gridSpan w:val="3"/>
          </w:tcPr>
          <w:p>
            <w:pPr>
              <w:spacing w:after="0"/>
              <w:rPr>
                <w:sz w:val="20"/>
                <w:szCs w:val="20"/>
                <w:color w:val="auto"/>
              </w:rPr>
            </w:pPr>
            <w:r>
              <w:rPr>
                <w:rFonts w:ascii="Arial" w:cs="Arial" w:eastAsia="Arial" w:hAnsi="Arial"/>
                <w:sz w:val="18"/>
                <w:szCs w:val="18"/>
                <w:color w:val="auto"/>
              </w:rPr>
              <w:t>Jin-Long Chen, Ph.D.</w:t>
            </w:r>
          </w:p>
        </w:tc>
        <w:tc>
          <w:tcPr>
            <w:tcW w:w="2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31"/>
        </w:trPr>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4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jc w:val="center"/>
              <w:ind w:left="910"/>
              <w:spacing w:after="0"/>
              <w:rPr>
                <w:sz w:val="20"/>
                <w:szCs w:val="20"/>
                <w:color w:val="auto"/>
              </w:rPr>
            </w:pPr>
            <w:r>
              <w:rPr>
                <w:rFonts w:ascii="Arial" w:cs="Arial" w:eastAsia="Arial" w:hAnsi="Arial"/>
                <w:sz w:val="18"/>
                <w:szCs w:val="18"/>
                <w:color w:val="auto"/>
                <w:w w:val="89"/>
              </w:rPr>
              <w:t>July 26, 2021</w:t>
            </w:r>
          </w:p>
        </w:tc>
      </w:tr>
      <w:tr>
        <w:trPr>
          <w:trHeight w:val="224"/>
        </w:trPr>
        <w:tc>
          <w:tcPr>
            <w:tcW w:w="4200" w:type="dxa"/>
            <w:vAlign w:val="bottom"/>
            <w:gridSpan w:val="3"/>
          </w:tcPr>
          <w:p>
            <w:pPr>
              <w:spacing w:after="0"/>
              <w:rPr>
                <w:sz w:val="20"/>
                <w:szCs w:val="20"/>
                <w:color w:val="auto"/>
              </w:rPr>
            </w:pPr>
            <w:r>
              <w:rPr>
                <w:rFonts w:ascii="Arial" w:cs="Arial" w:eastAsia="Arial" w:hAnsi="Arial"/>
                <w:sz w:val="18"/>
                <w:szCs w:val="18"/>
                <w:color w:val="auto"/>
              </w:rPr>
              <w:t>David V. Goeddel, Ph.D.</w:t>
            </w:r>
          </w:p>
        </w:tc>
        <w:tc>
          <w:tcPr>
            <w:tcW w:w="2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31"/>
        </w:trPr>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4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jc w:val="center"/>
              <w:ind w:left="910"/>
              <w:spacing w:after="0"/>
              <w:rPr>
                <w:sz w:val="20"/>
                <w:szCs w:val="20"/>
                <w:color w:val="auto"/>
              </w:rPr>
            </w:pPr>
            <w:r>
              <w:rPr>
                <w:rFonts w:ascii="Arial" w:cs="Arial" w:eastAsia="Arial" w:hAnsi="Arial"/>
                <w:sz w:val="18"/>
                <w:szCs w:val="18"/>
                <w:color w:val="auto"/>
                <w:w w:val="89"/>
              </w:rPr>
              <w:t>July 26, 2021</w:t>
            </w:r>
          </w:p>
        </w:tc>
      </w:tr>
      <w:tr>
        <w:trPr>
          <w:trHeight w:val="224"/>
        </w:trPr>
        <w:tc>
          <w:tcPr>
            <w:tcW w:w="4200" w:type="dxa"/>
            <w:vAlign w:val="bottom"/>
            <w:gridSpan w:val="3"/>
          </w:tcPr>
          <w:p>
            <w:pPr>
              <w:spacing w:after="0"/>
              <w:rPr>
                <w:sz w:val="20"/>
                <w:szCs w:val="20"/>
                <w:color w:val="auto"/>
              </w:rPr>
            </w:pPr>
            <w:r>
              <w:rPr>
                <w:rFonts w:ascii="Arial" w:cs="Arial" w:eastAsia="Arial" w:hAnsi="Arial"/>
                <w:sz w:val="18"/>
                <w:szCs w:val="18"/>
                <w:color w:val="auto"/>
              </w:rPr>
              <w:t>JeenJoo (JJ) Kang, Ph.D.</w:t>
            </w:r>
          </w:p>
        </w:tc>
        <w:tc>
          <w:tcPr>
            <w:tcW w:w="2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31"/>
        </w:trPr>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4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jc w:val="center"/>
              <w:ind w:left="910"/>
              <w:spacing w:after="0"/>
              <w:rPr>
                <w:sz w:val="20"/>
                <w:szCs w:val="20"/>
                <w:color w:val="auto"/>
              </w:rPr>
            </w:pPr>
            <w:r>
              <w:rPr>
                <w:rFonts w:ascii="Arial" w:cs="Arial" w:eastAsia="Arial" w:hAnsi="Arial"/>
                <w:sz w:val="18"/>
                <w:szCs w:val="18"/>
                <w:color w:val="auto"/>
                <w:w w:val="89"/>
              </w:rPr>
              <w:t>July 26, 2021</w:t>
            </w:r>
          </w:p>
        </w:tc>
      </w:tr>
      <w:tr>
        <w:trPr>
          <w:trHeight w:val="224"/>
        </w:trPr>
        <w:tc>
          <w:tcPr>
            <w:tcW w:w="4200" w:type="dxa"/>
            <w:vAlign w:val="bottom"/>
            <w:gridSpan w:val="3"/>
          </w:tcPr>
          <w:p>
            <w:pPr>
              <w:spacing w:after="0"/>
              <w:rPr>
                <w:sz w:val="20"/>
                <w:szCs w:val="20"/>
                <w:color w:val="auto"/>
              </w:rPr>
            </w:pPr>
            <w:r>
              <w:rPr>
                <w:rFonts w:ascii="Arial" w:cs="Arial" w:eastAsia="Arial" w:hAnsi="Arial"/>
                <w:sz w:val="18"/>
                <w:szCs w:val="18"/>
                <w:color w:val="auto"/>
              </w:rPr>
              <w:t>Deepak Srivastava, M.D.</w:t>
            </w:r>
          </w:p>
        </w:tc>
        <w:tc>
          <w:tcPr>
            <w:tcW w:w="2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31"/>
        </w:trPr>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4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jc w:val="center"/>
              <w:ind w:left="910"/>
              <w:spacing w:after="0"/>
              <w:rPr>
                <w:sz w:val="20"/>
                <w:szCs w:val="20"/>
                <w:color w:val="auto"/>
              </w:rPr>
            </w:pPr>
            <w:r>
              <w:rPr>
                <w:rFonts w:ascii="Arial" w:cs="Arial" w:eastAsia="Arial" w:hAnsi="Arial"/>
                <w:sz w:val="18"/>
                <w:szCs w:val="18"/>
                <w:color w:val="auto"/>
                <w:w w:val="89"/>
              </w:rPr>
              <w:t>July 26, 2021</w:t>
            </w:r>
          </w:p>
        </w:tc>
      </w:tr>
      <w:tr>
        <w:trPr>
          <w:trHeight w:val="224"/>
        </w:trPr>
        <w:tc>
          <w:tcPr>
            <w:tcW w:w="4200" w:type="dxa"/>
            <w:vAlign w:val="bottom"/>
            <w:gridSpan w:val="3"/>
          </w:tcPr>
          <w:p>
            <w:pPr>
              <w:spacing w:after="0"/>
              <w:rPr>
                <w:sz w:val="20"/>
                <w:szCs w:val="20"/>
                <w:color w:val="auto"/>
              </w:rPr>
            </w:pPr>
            <w:r>
              <w:rPr>
                <w:rFonts w:ascii="Arial" w:cs="Arial" w:eastAsia="Arial" w:hAnsi="Arial"/>
                <w:sz w:val="18"/>
                <w:szCs w:val="18"/>
                <w:color w:val="auto"/>
              </w:rPr>
              <w:t>Catherine Stehman-Breen, M.D.</w:t>
            </w:r>
          </w:p>
        </w:tc>
        <w:tc>
          <w:tcPr>
            <w:tcW w:w="2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31"/>
        </w:trPr>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4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jc w:val="center"/>
              <w:ind w:left="910"/>
              <w:spacing w:after="0"/>
              <w:rPr>
                <w:sz w:val="20"/>
                <w:szCs w:val="20"/>
                <w:color w:val="auto"/>
              </w:rPr>
            </w:pPr>
            <w:r>
              <w:rPr>
                <w:rFonts w:ascii="Arial" w:cs="Arial" w:eastAsia="Arial" w:hAnsi="Arial"/>
                <w:sz w:val="18"/>
                <w:szCs w:val="18"/>
                <w:color w:val="auto"/>
                <w:w w:val="89"/>
              </w:rPr>
              <w:t>July 26, 2021</w:t>
            </w:r>
          </w:p>
        </w:tc>
      </w:tr>
      <w:tr>
        <w:trPr>
          <w:trHeight w:val="224"/>
        </w:trPr>
        <w:tc>
          <w:tcPr>
            <w:tcW w:w="4200" w:type="dxa"/>
            <w:vAlign w:val="bottom"/>
            <w:gridSpan w:val="3"/>
          </w:tcPr>
          <w:p>
            <w:pPr>
              <w:spacing w:after="0"/>
              <w:rPr>
                <w:sz w:val="20"/>
                <w:szCs w:val="20"/>
                <w:color w:val="auto"/>
              </w:rPr>
            </w:pPr>
            <w:r>
              <w:rPr>
                <w:rFonts w:ascii="Arial" w:cs="Arial" w:eastAsia="Arial" w:hAnsi="Arial"/>
                <w:sz w:val="18"/>
                <w:szCs w:val="18"/>
                <w:color w:val="auto"/>
              </w:rPr>
              <w:t>Jeffrey T. Walsh, M.B.A.</w:t>
            </w:r>
          </w:p>
        </w:tc>
        <w:tc>
          <w:tcPr>
            <w:tcW w:w="2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31"/>
        </w:trPr>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4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jc w:val="center"/>
              <w:ind w:left="910"/>
              <w:spacing w:after="0"/>
              <w:rPr>
                <w:sz w:val="20"/>
                <w:szCs w:val="20"/>
                <w:color w:val="auto"/>
              </w:rPr>
            </w:pPr>
            <w:r>
              <w:rPr>
                <w:rFonts w:ascii="Arial" w:cs="Arial" w:eastAsia="Arial" w:hAnsi="Arial"/>
                <w:sz w:val="18"/>
                <w:szCs w:val="18"/>
                <w:color w:val="auto"/>
                <w:w w:val="89"/>
              </w:rPr>
              <w:t>July 26, 2021</w:t>
            </w:r>
          </w:p>
        </w:tc>
      </w:tr>
      <w:tr>
        <w:trPr>
          <w:trHeight w:val="224"/>
        </w:trPr>
        <w:tc>
          <w:tcPr>
            <w:tcW w:w="4200" w:type="dxa"/>
            <w:vAlign w:val="bottom"/>
            <w:gridSpan w:val="3"/>
          </w:tcPr>
          <w:p>
            <w:pPr>
              <w:spacing w:after="0"/>
              <w:rPr>
                <w:sz w:val="20"/>
                <w:szCs w:val="20"/>
                <w:color w:val="auto"/>
              </w:rPr>
            </w:pPr>
            <w:r>
              <w:rPr>
                <w:rFonts w:ascii="Arial" w:cs="Arial" w:eastAsia="Arial" w:hAnsi="Arial"/>
                <w:sz w:val="18"/>
                <w:szCs w:val="18"/>
                <w:color w:val="auto"/>
              </w:rPr>
              <w:t>R. Sanders (Sandy) Williams, M.D.</w:t>
            </w:r>
          </w:p>
        </w:tc>
        <w:tc>
          <w:tcPr>
            <w:tcW w:w="2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364"/>
        </w:trPr>
        <w:tc>
          <w:tcPr>
            <w:tcW w:w="1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400" w:type="dxa"/>
            <w:vAlign w:val="bottom"/>
            <w:gridSpan w:val="3"/>
          </w:tcPr>
          <w:p>
            <w:pPr>
              <w:ind w:left="1160"/>
              <w:spacing w:after="0"/>
              <w:rPr>
                <w:sz w:val="20"/>
                <w:szCs w:val="20"/>
                <w:color w:val="auto"/>
              </w:rPr>
            </w:pPr>
            <w:r>
              <w:rPr>
                <w:rFonts w:ascii="Arial" w:cs="Arial" w:eastAsia="Arial" w:hAnsi="Arial"/>
                <w:sz w:val="18"/>
                <w:szCs w:val="18"/>
                <w:color w:val="auto"/>
              </w:rPr>
              <w:t>II-6</w:t>
            </w: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5" w:lineRule="exact"/>
        <w:rPr>
          <w:sz w:val="20"/>
          <w:szCs w:val="20"/>
          <w:color w:val="auto"/>
        </w:rPr>
      </w:pPr>
    </w:p>
    <w:p>
      <w:pPr>
        <w:ind w:left="740" w:right="7879" w:hanging="624"/>
        <w:spacing w:after="0" w:line="223" w:lineRule="auto"/>
        <w:tabs>
          <w:tab w:leader="none" w:pos="254" w:val="left"/>
        </w:tabs>
        <w:numPr>
          <w:ilvl w:val="0"/>
          <w:numId w:val="170"/>
        </w:numPr>
        <w:rPr>
          <w:rFonts w:ascii="Arial" w:cs="Arial" w:eastAsia="Arial" w:hAnsi="Arial"/>
          <w:sz w:val="36"/>
          <w:szCs w:val="36"/>
          <w:color w:val="auto"/>
          <w:vertAlign w:val="superscript"/>
        </w:rPr>
      </w:pPr>
      <w:r>
        <w:rPr>
          <w:rFonts w:ascii="Arial" w:cs="Arial" w:eastAsia="Arial" w:hAnsi="Arial"/>
          <w:sz w:val="35"/>
          <w:szCs w:val="35"/>
          <w:color w:val="auto"/>
          <w:vertAlign w:val="superscript"/>
        </w:rPr>
        <w:t>By:</w:t>
      </w:r>
      <w:r>
        <w:rPr>
          <w:rFonts w:ascii="Arial" w:cs="Arial" w:eastAsia="Arial" w:hAnsi="Arial"/>
          <w:sz w:val="18"/>
          <w:szCs w:val="18"/>
          <w:color w:val="auto"/>
        </w:rPr>
        <w:t xml:space="preserve"> /s/ Faraz Ali, M.B.A. Faraz Ali, M.B.A.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-290195</wp:posOffset>
            </wp:positionV>
            <wp:extent cx="240030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7">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29"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0139"/>
          </w:cols>
          <w:pgMar w:left="320" w:top="459" w:right="1440" w:bottom="1440" w:gutter="0" w:footer="0" w:header="0"/>
        </w:sectPr>
      </w:pPr>
    </w:p>
    <w:bookmarkStart w:id="317" w:name="page318"/>
    <w:bookmarkEnd w:id="317"/>
    <w:p>
      <w:pPr>
        <w:jc w:val="right"/>
        <w:spacing w:after="0"/>
        <w:rPr>
          <w:sz w:val="20"/>
          <w:szCs w:val="20"/>
          <w:color w:val="auto"/>
        </w:rPr>
      </w:pPr>
      <w:r>
        <w:rPr>
          <w:rFonts w:ascii="Arial" w:cs="Arial" w:eastAsia="Arial" w:hAnsi="Arial"/>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Shares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TENAYA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$0.0001 PAR VALUE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2021</w:t>
      </w:r>
    </w:p>
    <w:p>
      <w:pPr>
        <w:sectPr>
          <w:pgSz w:w="11900" w:h="16838" w:orient="portrait"/>
          <w:cols w:equalWidth="0" w:num="1">
            <w:col w:w="11020"/>
          </w:cols>
          <w:pgMar w:left="440" w:top="121" w:right="439" w:bottom="1440" w:gutter="0" w:footer="0" w:header="0"/>
        </w:sectPr>
      </w:pPr>
    </w:p>
    <w:bookmarkStart w:id="318" w:name="page319"/>
    <w:bookmarkEnd w:id="31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Piper Sandler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 named in Schedule I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Morgan Stanley &amp; Co. LLC</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Cowen and Company, LLC</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Piper Sandler &amp; Co.</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800 Nicollet Mall, Suite 800</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Minneapolis, MN 55402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Tenaya Therapeutics,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proposes to issue and sell to the several Underwriters named in Schedule I hereto (the “</w:t>
      </w:r>
      <w:r>
        <w:rPr>
          <w:rFonts w:ascii="Arial" w:cs="Arial" w:eastAsia="Arial" w:hAnsi="Arial"/>
          <w:sz w:val="16"/>
          <w:szCs w:val="16"/>
          <w:b w:val="1"/>
          <w:bCs w:val="1"/>
          <w:color w:val="auto"/>
        </w:rPr>
        <w:t>Underwriters</w:t>
      </w:r>
      <w:r>
        <w:rPr>
          <w:rFonts w:ascii="Arial" w:cs="Arial" w:eastAsia="Arial" w:hAnsi="Arial"/>
          <w:sz w:val="16"/>
          <w:szCs w:val="16"/>
          <w:color w:val="auto"/>
        </w:rPr>
        <w:t>”), for whom Morgan Stanley &amp; Co. LLC (“</w:t>
      </w:r>
      <w:r>
        <w:rPr>
          <w:rFonts w:ascii="Arial" w:cs="Arial" w:eastAsia="Arial" w:hAnsi="Arial"/>
          <w:sz w:val="16"/>
          <w:szCs w:val="16"/>
          <w:b w:val="1"/>
          <w:bCs w:val="1"/>
          <w:color w:val="auto"/>
        </w:rPr>
        <w:t>Morgan Stanley</w:t>
      </w:r>
      <w:r>
        <w:rPr>
          <w:rFonts w:ascii="Arial" w:cs="Arial" w:eastAsia="Arial" w:hAnsi="Arial"/>
          <w:sz w:val="16"/>
          <w:szCs w:val="16"/>
          <w:color w:val="auto"/>
        </w:rPr>
        <w:t>”), Cowen and Company LLC (“</w:t>
      </w:r>
      <w:r>
        <w:rPr>
          <w:rFonts w:ascii="Arial" w:cs="Arial" w:eastAsia="Arial" w:hAnsi="Arial"/>
          <w:sz w:val="16"/>
          <w:szCs w:val="16"/>
          <w:b w:val="1"/>
          <w:bCs w:val="1"/>
          <w:color w:val="auto"/>
        </w:rPr>
        <w:t>Cowen</w:t>
      </w:r>
      <w:r>
        <w:rPr>
          <w:rFonts w:ascii="Arial" w:cs="Arial" w:eastAsia="Arial" w:hAnsi="Arial"/>
          <w:sz w:val="16"/>
          <w:szCs w:val="16"/>
          <w:color w:val="auto"/>
        </w:rPr>
        <w:t>”), and Piper Sandler &amp; Co. (“</w:t>
      </w:r>
      <w:r>
        <w:rPr>
          <w:rFonts w:ascii="Arial" w:cs="Arial" w:eastAsia="Arial" w:hAnsi="Arial"/>
          <w:sz w:val="16"/>
          <w:szCs w:val="16"/>
          <w:b w:val="1"/>
          <w:bCs w:val="1"/>
          <w:color w:val="auto"/>
        </w:rPr>
        <w:t>Piper Sandler</w:t>
      </w:r>
      <w:r>
        <w:rPr>
          <w:rFonts w:ascii="Arial" w:cs="Arial" w:eastAsia="Arial" w:hAnsi="Arial"/>
          <w:sz w:val="16"/>
          <w:szCs w:val="16"/>
          <w:color w:val="auto"/>
        </w:rPr>
        <w:t>” and, together with Morgan Stanley and Cowen, are acting as the “</w:t>
      </w:r>
      <w:r>
        <w:rPr>
          <w:rFonts w:ascii="Arial" w:cs="Arial" w:eastAsia="Arial" w:hAnsi="Arial"/>
          <w:sz w:val="16"/>
          <w:szCs w:val="16"/>
          <w:b w:val="1"/>
          <w:bCs w:val="1"/>
          <w:color w:val="auto"/>
        </w:rPr>
        <w:t>Representatives</w:t>
      </w:r>
      <w:r>
        <w:rPr>
          <w:rFonts w:ascii="Arial" w:cs="Arial" w:eastAsia="Arial" w:hAnsi="Arial"/>
          <w:sz w:val="16"/>
          <w:szCs w:val="16"/>
          <w:color w:val="auto"/>
        </w:rPr>
        <w:t>”) [•] shares of its common stock, $0.0001 par value per share (the “</w:t>
      </w:r>
      <w:r>
        <w:rPr>
          <w:rFonts w:ascii="Arial" w:cs="Arial" w:eastAsia="Arial" w:hAnsi="Arial"/>
          <w:sz w:val="16"/>
          <w:szCs w:val="16"/>
          <w:b w:val="1"/>
          <w:bCs w:val="1"/>
          <w:color w:val="auto"/>
        </w:rPr>
        <w:t>Firm Shares</w:t>
      </w:r>
      <w:r>
        <w:rPr>
          <w:rFonts w:ascii="Arial" w:cs="Arial" w:eastAsia="Arial" w:hAnsi="Arial"/>
          <w:sz w:val="16"/>
          <w:szCs w:val="16"/>
          <w:color w:val="auto"/>
        </w:rPr>
        <w:t>”). The Company also proposes to issue and sell to the several Underwriters not more than an additional [•] shares of its common stock, $0.0001 par value per share (the “</w:t>
      </w:r>
      <w:r>
        <w:rPr>
          <w:rFonts w:ascii="Arial" w:cs="Arial" w:eastAsia="Arial" w:hAnsi="Arial"/>
          <w:sz w:val="16"/>
          <w:szCs w:val="16"/>
          <w:b w:val="1"/>
          <w:bCs w:val="1"/>
          <w:color w:val="auto"/>
        </w:rPr>
        <w:t>Additional Shares</w:t>
      </w:r>
      <w:r>
        <w:rPr>
          <w:rFonts w:ascii="Arial" w:cs="Arial" w:eastAsia="Arial" w:hAnsi="Arial"/>
          <w:sz w:val="16"/>
          <w:szCs w:val="16"/>
          <w:color w:val="auto"/>
        </w:rPr>
        <w:t>”) if and to the extent that the Representatives shall have determined to exercise, on behalf of the Underwriters, the right to purchase such shares of common stock granted to the Underwriters in Section 2 hereof. The Firm Shares and the Additional Shares are hereinafter collectively referred to as the “</w:t>
      </w:r>
      <w:r>
        <w:rPr>
          <w:rFonts w:ascii="Arial" w:cs="Arial" w:eastAsia="Arial" w:hAnsi="Arial"/>
          <w:sz w:val="16"/>
          <w:szCs w:val="16"/>
          <w:b w:val="1"/>
          <w:bCs w:val="1"/>
          <w:color w:val="auto"/>
        </w:rPr>
        <w:t>Shares.</w:t>
      </w:r>
      <w:r>
        <w:rPr>
          <w:rFonts w:ascii="Arial" w:cs="Arial" w:eastAsia="Arial" w:hAnsi="Arial"/>
          <w:sz w:val="16"/>
          <w:szCs w:val="16"/>
          <w:color w:val="auto"/>
        </w:rPr>
        <w:t>” The shares of common stock, $0.0001 par value per share of the Company, to be outstanding after giving effect to the sales contemplated hereby are hereinafter referred to as the “</w:t>
      </w:r>
      <w:r>
        <w:rPr>
          <w:rFonts w:ascii="Arial" w:cs="Arial" w:eastAsia="Arial" w:hAnsi="Arial"/>
          <w:sz w:val="16"/>
          <w:szCs w:val="16"/>
          <w:b w:val="1"/>
          <w:bCs w:val="1"/>
          <w:color w:val="auto"/>
        </w:rPr>
        <w:t>Common Stock</w:t>
      </w:r>
      <w:r>
        <w:rPr>
          <w:rFonts w:ascii="Arial" w:cs="Arial" w:eastAsia="Arial" w:hAnsi="Arial"/>
          <w:sz w:val="16"/>
          <w:szCs w:val="16"/>
          <w:color w:val="auto"/>
        </w:rPr>
        <w:t>.”</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has filed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a registration statement on Form S-1 (File</w:t>
      </w:r>
    </w:p>
    <w:p>
      <w:pPr>
        <w:spacing w:after="0" w:line="3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No. 333-257820), including a preliminary prospectus, relating to the Shares. The registration statement as amended at the time it becomes effective, including the information (if any) deemed to be part of the registration statement at the time of effectiveness pursuant to Rule 430A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is hereinafter referred to as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the prospectus in the form first used to confirm sales of Shares (or in the form first made available to the Underwriters by the Company to meet</w:t>
      </w:r>
    </w:p>
    <w:p>
      <w:pPr>
        <w:sectPr>
          <w:pgSz w:w="11900" w:h="16838" w:orient="portrait"/>
          <w:cols w:equalWidth="0" w:num="1">
            <w:col w:w="11020"/>
          </w:cols>
          <w:pgMar w:left="440" w:top="274" w:right="439" w:bottom="1440" w:gutter="0" w:footer="0" w:header="0"/>
        </w:sectPr>
      </w:pPr>
    </w:p>
    <w:bookmarkStart w:id="319" w:name="page320"/>
    <w:bookmarkEnd w:id="319"/>
    <w:p>
      <w:pPr>
        <w:ind w:right="38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requests of purchasers pursuant to Rule 173 under the Securities Act) is hereinafter referred to as the “</w:t>
      </w:r>
      <w:r>
        <w:rPr>
          <w:rFonts w:ascii="Arial" w:cs="Arial" w:eastAsia="Arial" w:hAnsi="Arial"/>
          <w:sz w:val="18"/>
          <w:szCs w:val="18"/>
          <w:b w:val="1"/>
          <w:bCs w:val="1"/>
          <w:color w:val="auto"/>
        </w:rPr>
        <w:t>Prospectus</w:t>
      </w:r>
      <w:r>
        <w:rPr>
          <w:rFonts w:ascii="Arial" w:cs="Arial" w:eastAsia="Arial" w:hAnsi="Arial"/>
          <w:sz w:val="18"/>
          <w:szCs w:val="18"/>
          <w:color w:val="auto"/>
        </w:rPr>
        <w:t>.” If the Company has filed an abbreviated registration statement to register additional shares of Common Stock pursuant to Rule 462(b) under the Securities Act (a “</w:t>
      </w:r>
      <w:r>
        <w:rPr>
          <w:rFonts w:ascii="Arial" w:cs="Arial" w:eastAsia="Arial" w:hAnsi="Arial"/>
          <w:sz w:val="18"/>
          <w:szCs w:val="18"/>
          <w:b w:val="1"/>
          <w:bCs w:val="1"/>
          <w:color w:val="auto"/>
        </w:rPr>
        <w:t>Rule 462</w:t>
      </w:r>
      <w:r>
        <w:rPr>
          <w:rFonts w:ascii="Arial" w:cs="Arial" w:eastAsia="Arial" w:hAnsi="Arial"/>
          <w:sz w:val="18"/>
          <w:szCs w:val="18"/>
          <w:color w:val="auto"/>
        </w:rPr>
        <w:t xml:space="preserve"> </w:t>
      </w:r>
      <w:r>
        <w:rPr>
          <w:rFonts w:ascii="Arial" w:cs="Arial" w:eastAsia="Arial" w:hAnsi="Arial"/>
          <w:sz w:val="18"/>
          <w:szCs w:val="18"/>
          <w:b w:val="1"/>
          <w:bCs w:val="1"/>
          <w:color w:val="auto"/>
        </w:rPr>
        <w:t>Registration Statement</w:t>
      </w:r>
      <w:r>
        <w:rPr>
          <w:rFonts w:ascii="Arial" w:cs="Arial" w:eastAsia="Arial" w:hAnsi="Arial"/>
          <w:sz w:val="18"/>
          <w:szCs w:val="18"/>
          <w:color w:val="auto"/>
        </w:rPr>
        <w:t>”), then any reference herein to the term “</w:t>
      </w:r>
      <w:r>
        <w:rPr>
          <w:rFonts w:ascii="Arial" w:cs="Arial" w:eastAsia="Arial" w:hAnsi="Arial"/>
          <w:sz w:val="18"/>
          <w:szCs w:val="18"/>
          <w:b w:val="1"/>
          <w:bCs w:val="1"/>
          <w:color w:val="auto"/>
        </w:rPr>
        <w:t>Registration Statement</w:t>
      </w:r>
      <w:r>
        <w:rPr>
          <w:rFonts w:ascii="Arial" w:cs="Arial" w:eastAsia="Arial" w:hAnsi="Arial"/>
          <w:sz w:val="18"/>
          <w:szCs w:val="18"/>
          <w:color w:val="auto"/>
        </w:rPr>
        <w:t>” shall be deemed to include such Rule 462 Registration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w:t>
      </w:r>
    </w:p>
    <w:p>
      <w:pPr>
        <w:spacing w:after="0" w:line="180"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For purposes of this Agreement, “</w:t>
      </w:r>
      <w:r>
        <w:rPr>
          <w:rFonts w:ascii="Arial" w:cs="Arial" w:eastAsia="Arial" w:hAnsi="Arial"/>
          <w:sz w:val="17"/>
          <w:szCs w:val="17"/>
          <w:b w:val="1"/>
          <w:bCs w:val="1"/>
          <w:color w:val="auto"/>
        </w:rPr>
        <w:t>free writing prospectus</w:t>
      </w:r>
      <w:r>
        <w:rPr>
          <w:rFonts w:ascii="Arial" w:cs="Arial" w:eastAsia="Arial" w:hAnsi="Arial"/>
          <w:sz w:val="17"/>
          <w:szCs w:val="17"/>
          <w:color w:val="auto"/>
        </w:rPr>
        <w:t>” has the meaning set forth in Rule 405 under the Securities Act, “</w:t>
      </w:r>
      <w:r>
        <w:rPr>
          <w:rFonts w:ascii="Arial" w:cs="Arial" w:eastAsia="Arial" w:hAnsi="Arial"/>
          <w:sz w:val="17"/>
          <w:szCs w:val="17"/>
          <w:b w:val="1"/>
          <w:bCs w:val="1"/>
          <w:color w:val="auto"/>
        </w:rPr>
        <w:t>preliminary</w:t>
      </w:r>
      <w:r>
        <w:rPr>
          <w:rFonts w:ascii="Arial" w:cs="Arial" w:eastAsia="Arial" w:hAnsi="Arial"/>
          <w:sz w:val="17"/>
          <w:szCs w:val="17"/>
          <w:color w:val="auto"/>
        </w:rPr>
        <w:t xml:space="preserve"> </w:t>
      </w:r>
      <w:r>
        <w:rPr>
          <w:rFonts w:ascii="Arial" w:cs="Arial" w:eastAsia="Arial" w:hAnsi="Arial"/>
          <w:sz w:val="17"/>
          <w:szCs w:val="17"/>
          <w:b w:val="1"/>
          <w:bCs w:val="1"/>
          <w:color w:val="auto"/>
        </w:rPr>
        <w:t>prospectus</w:t>
      </w:r>
      <w:r>
        <w:rPr>
          <w:rFonts w:ascii="Arial" w:cs="Arial" w:eastAsia="Arial" w:hAnsi="Arial"/>
          <w:sz w:val="17"/>
          <w:szCs w:val="17"/>
          <w:color w:val="auto"/>
        </w:rPr>
        <w:t>” shall mean each prospectus used prior to the effectiveness of the Registration Statement, and each prospectus that omitted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Rule 430A under the Securities Act that was used after such effectiveness and prior to the execution and delivery of this Agreement, “</w:t>
      </w:r>
      <w:r>
        <w:rPr>
          <w:rFonts w:ascii="Arial" w:cs="Arial" w:eastAsia="Arial" w:hAnsi="Arial"/>
          <w:sz w:val="17"/>
          <w:szCs w:val="17"/>
          <w:b w:val="1"/>
          <w:bCs w:val="1"/>
          <w:color w:val="auto"/>
        </w:rPr>
        <w:t>Time</w:t>
      </w:r>
      <w:r>
        <w:rPr>
          <w:rFonts w:ascii="Arial" w:cs="Arial" w:eastAsia="Arial" w:hAnsi="Arial"/>
          <w:sz w:val="17"/>
          <w:szCs w:val="17"/>
          <w:color w:val="auto"/>
        </w:rPr>
        <w:t xml:space="preserve"> </w:t>
      </w:r>
      <w:r>
        <w:rPr>
          <w:rFonts w:ascii="Arial" w:cs="Arial" w:eastAsia="Arial" w:hAnsi="Arial"/>
          <w:sz w:val="17"/>
          <w:szCs w:val="17"/>
          <w:b w:val="1"/>
          <w:bCs w:val="1"/>
          <w:color w:val="auto"/>
        </w:rPr>
        <w:t>of Sale Prospectus</w:t>
      </w:r>
      <w:r>
        <w:rPr>
          <w:rFonts w:ascii="Arial" w:cs="Arial" w:eastAsia="Arial" w:hAnsi="Arial"/>
          <w:sz w:val="17"/>
          <w:szCs w:val="17"/>
          <w:color w:val="auto"/>
        </w:rPr>
        <w:t>” means the preliminary prospectus contained in the Registration Statement at the time of its effectiveness together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and free writing prospectuses, if any, and pricing information set forth in Schedule II hereto, and “</w:t>
      </w:r>
      <w:r>
        <w:rPr>
          <w:rFonts w:ascii="Arial" w:cs="Arial" w:eastAsia="Arial" w:hAnsi="Arial"/>
          <w:sz w:val="17"/>
          <w:szCs w:val="17"/>
          <w:b w:val="1"/>
          <w:bCs w:val="1"/>
          <w:color w:val="auto"/>
        </w:rPr>
        <w:t>broadly available road show</w:t>
      </w:r>
      <w:r>
        <w:rPr>
          <w:rFonts w:ascii="Arial" w:cs="Arial" w:eastAsia="Arial" w:hAnsi="Arial"/>
          <w:sz w:val="17"/>
          <w:szCs w:val="17"/>
          <w:color w:val="auto"/>
        </w:rPr>
        <w:t>” means a “bona fide electronic road show” as defined in Rule 433(h)(5) under the Securities Act that has been made available without restriction to any person. As used herein, the terms “Registration Statement,” “preliminary prospectus,” “Time of Sale Prospectus” and “Prospectus” shall include the documents, if any, incorporated by reference therein as of the date hereof. For purposes of this Agreement, (a) except where otherwise expressly provided, the term “affiliate” has the meaning set forth in Rule 405 under the Securities Act; and (b) the term “business day” means any day other than a day on which banks are permitted or required to be closed in New York City.</w:t>
      </w:r>
    </w:p>
    <w:p>
      <w:pPr>
        <w:spacing w:after="0" w:line="73" w:lineRule="exact"/>
        <w:rPr>
          <w:sz w:val="20"/>
          <w:szCs w:val="20"/>
          <w:color w:val="auto"/>
        </w:rPr>
      </w:pPr>
    </w:p>
    <w:p>
      <w:pPr>
        <w:ind w:left="620" w:hanging="184"/>
        <w:spacing w:after="0"/>
        <w:tabs>
          <w:tab w:leader="none" w:pos="620" w:val="left"/>
        </w:tabs>
        <w:numPr>
          <w:ilvl w:val="0"/>
          <w:numId w:val="171"/>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The Company represents and warrants to and agrees with each of the Underwriters that:</w:t>
      </w:r>
    </w:p>
    <w:p>
      <w:pPr>
        <w:spacing w:after="0" w:line="117" w:lineRule="exact"/>
        <w:rPr>
          <w:rFonts w:ascii="Arial" w:cs="Arial" w:eastAsia="Arial" w:hAnsi="Arial"/>
          <w:sz w:val="18"/>
          <w:szCs w:val="18"/>
          <w:color w:val="auto"/>
        </w:rPr>
      </w:pPr>
    </w:p>
    <w:p>
      <w:pPr>
        <w:ind w:left="440" w:right="160" w:firstLine="948"/>
        <w:spacing w:after="0" w:line="263" w:lineRule="auto"/>
        <w:tabs>
          <w:tab w:leader="none" w:pos="1636"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The Registration Statement has become effective; no stop order suspending the effectiveness of the Registration Statement is in effect, and no proceedings for such purpose or pursuant to Section 8A under the Securities Act are pending before or, to the Company’s knowledge, threatened by the Commission.</w:t>
      </w:r>
    </w:p>
    <w:p>
      <w:pPr>
        <w:spacing w:after="0" w:line="75" w:lineRule="exact"/>
        <w:rPr>
          <w:rFonts w:ascii="Arial" w:cs="Arial" w:eastAsia="Arial" w:hAnsi="Arial"/>
          <w:sz w:val="18"/>
          <w:szCs w:val="18"/>
          <w:color w:val="auto"/>
        </w:rPr>
      </w:pPr>
    </w:p>
    <w:p>
      <w:pPr>
        <w:ind w:left="440" w:right="20" w:firstLine="948"/>
        <w:spacing w:after="0" w:line="271" w:lineRule="auto"/>
        <w:tabs>
          <w:tab w:leader="none" w:pos="1647" w:val="left"/>
        </w:tabs>
        <w:numPr>
          <w:ilvl w:val="1"/>
          <w:numId w:val="171"/>
        </w:numPr>
        <w:rPr>
          <w:rFonts w:ascii="Arial" w:cs="Arial" w:eastAsia="Arial" w:hAnsi="Arial"/>
          <w:sz w:val="17"/>
          <w:szCs w:val="17"/>
          <w:color w:val="auto"/>
        </w:rPr>
      </w:pPr>
      <w:r>
        <w:rPr>
          <w:rFonts w:ascii="Arial" w:cs="Arial" w:eastAsia="Arial" w:hAnsi="Arial"/>
          <w:sz w:val="17"/>
          <w:szCs w:val="17"/>
          <w:color w:val="auto"/>
        </w:rPr>
        <w:t>(i) The Registration Statement, when it became effective, did not contain and, as amended or supplemented, if applicable, as of the date of such amendment or supplement, will not contain any untrue statement of a material fact or omit to state a material fact required to be stated therein or necessary to make the statements therein not misleading, (ii) the Registration Statement and the Prospectus comply and, as amended or supplemented, if applicable, as of the date of such amendment or supplement, will comply in all material respects with the Securities Act and the applicable rules and regulations of the Commission thereunder, (iii) the Time of Sale Prospectus does not, and at the time of each sale of the Shares in connection with the offering when the Prospectus is not yet available to prospective purchasers and at the Closing Date (as defined in Section 4) and at any Option Closing Date (as defined in Section 2), the Time of Sale Prospectus, as then amended or supplemented by the Company, if applicable,</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0" w:right="499" w:bottom="1440" w:gutter="0" w:footer="0" w:header="0"/>
        </w:sectPr>
      </w:pPr>
    </w:p>
    <w:bookmarkStart w:id="320" w:name="page321"/>
    <w:bookmarkEnd w:id="320"/>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of the date of such amendment or supplement, will not, contain any untrue statement of a material fact or omit to state a material fact necessary to make the statements therein, in the light of the circumstances under which they were made, not misleading, (iv)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 the Prospectus, as of its date, does not contain and, as amended or supplemented, if applicable, as of the date of such amendment or supplement and as of the Closing Date and any Option Closing Date,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Underwriter Information (as defined in Section 8(b) herein).</w:t>
      </w:r>
    </w:p>
    <w:p>
      <w:pPr>
        <w:spacing w:after="0" w:line="58" w:lineRule="exact"/>
        <w:rPr>
          <w:sz w:val="20"/>
          <w:szCs w:val="20"/>
          <w:color w:val="auto"/>
        </w:rPr>
      </w:pPr>
    </w:p>
    <w:p>
      <w:pPr>
        <w:ind w:firstLine="948"/>
        <w:spacing w:after="0" w:line="290" w:lineRule="auto"/>
        <w:tabs>
          <w:tab w:leader="none" w:pos="1196"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of the Commission thereunder. Except for the free writing prospectuses, if any, identified in Schedule II hereto, and electronic road shows, if any, each furnished to the Representatives before first use, the Company has not prepared, used or referred to, and will not, without the Representatives’ prior consent, prepare, use or refer to, any free writing prospectus.</w:t>
      </w:r>
    </w:p>
    <w:p>
      <w:pPr>
        <w:spacing w:after="0" w:line="57" w:lineRule="exact"/>
        <w:rPr>
          <w:rFonts w:ascii="Arial" w:cs="Arial" w:eastAsia="Arial" w:hAnsi="Arial"/>
          <w:sz w:val="16"/>
          <w:szCs w:val="16"/>
          <w:color w:val="auto"/>
        </w:rPr>
      </w:pPr>
    </w:p>
    <w:p>
      <w:pPr>
        <w:ind w:right="60" w:firstLine="948"/>
        <w:spacing w:after="0" w:line="296" w:lineRule="auto"/>
        <w:tabs>
          <w:tab w:leader="none" w:pos="1207"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Company has been duly incorporated, is validly existing as a corporation in good standing under the laws of the State of Delaware, has the corporate power and authority to own or lease its property and to conduct its business as described in each of the Registration Statement, the Time of Sale Prospectus and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singly or in the aggregate, reasonably be expected to have a material adverse effect on the Company.</w:t>
      </w:r>
    </w:p>
    <w:p>
      <w:pPr>
        <w:spacing w:after="0" w:line="53" w:lineRule="exact"/>
        <w:rPr>
          <w:rFonts w:ascii="Arial" w:cs="Arial" w:eastAsia="Arial" w:hAnsi="Arial"/>
          <w:sz w:val="16"/>
          <w:szCs w:val="16"/>
          <w:color w:val="auto"/>
        </w:rPr>
      </w:pPr>
    </w:p>
    <w:p>
      <w:pPr>
        <w:ind w:left="1200" w:hanging="252"/>
        <w:spacing w:after="0"/>
        <w:tabs>
          <w:tab w:leader="none" w:pos="12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Company has no subsidiaries as defined under the Securities Act.</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60"/>
          </w:cols>
          <w:pgMar w:left="880" w:top="274" w:right="459" w:bottom="1440" w:gutter="0" w:footer="0" w:header="0"/>
        </w:sectPr>
      </w:pPr>
    </w:p>
    <w:bookmarkStart w:id="321" w:name="page322"/>
    <w:bookmarkEnd w:id="321"/>
    <w:p>
      <w:pPr>
        <w:ind w:left="1180" w:hanging="232"/>
        <w:spacing w:after="0"/>
        <w:tabs>
          <w:tab w:leader="none" w:pos="11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Agreement has been duly authorized, executed and delivered by the Company.</w:t>
      </w:r>
    </w:p>
    <w:p>
      <w:pPr>
        <w:spacing w:after="0" w:line="117" w:lineRule="exact"/>
        <w:rPr>
          <w:rFonts w:ascii="Arial" w:cs="Arial" w:eastAsia="Arial" w:hAnsi="Arial"/>
          <w:sz w:val="18"/>
          <w:szCs w:val="18"/>
          <w:color w:val="auto"/>
        </w:rPr>
      </w:pPr>
    </w:p>
    <w:p>
      <w:pPr>
        <w:ind w:right="420" w:firstLine="948"/>
        <w:spacing w:after="0" w:line="277" w:lineRule="auto"/>
        <w:tabs>
          <w:tab w:leader="none" w:pos="1207"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authorized capital stock of the Company conforms as to legal matters to the description thereof contained in each of the Registration Statement, the Time of Sale Prospectus and the Prospectus.</w:t>
      </w:r>
    </w:p>
    <w:p>
      <w:pPr>
        <w:spacing w:after="0" w:line="62" w:lineRule="exact"/>
        <w:rPr>
          <w:rFonts w:ascii="Arial" w:cs="Arial" w:eastAsia="Arial" w:hAnsi="Arial"/>
          <w:sz w:val="18"/>
          <w:szCs w:val="18"/>
          <w:color w:val="auto"/>
        </w:rPr>
      </w:pPr>
    </w:p>
    <w:p>
      <w:pPr>
        <w:ind w:right="240" w:firstLine="948"/>
        <w:spacing w:after="0" w:line="277" w:lineRule="auto"/>
        <w:tabs>
          <w:tab w:leader="none" w:pos="1207"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shares of Common Stock outstanding prior to the issuance of the Shares have been duly authorized and are validly issued, fully paid and non-assessable.</w:t>
      </w:r>
    </w:p>
    <w:p>
      <w:pPr>
        <w:spacing w:after="0" w:line="62" w:lineRule="exact"/>
        <w:rPr>
          <w:rFonts w:ascii="Arial" w:cs="Arial" w:eastAsia="Arial" w:hAnsi="Arial"/>
          <w:sz w:val="18"/>
          <w:szCs w:val="18"/>
          <w:color w:val="auto"/>
        </w:rPr>
      </w:pPr>
    </w:p>
    <w:p>
      <w:pPr>
        <w:ind w:right="180" w:firstLine="948"/>
        <w:spacing w:after="0" w:line="263" w:lineRule="auto"/>
        <w:tabs>
          <w:tab w:leader="none" w:pos="1167"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Shares have been duly authorized and, when issued, delivered and paid for in accordance with the terms of this Agreement, will be validly issued, fully paid and non-assessable, and the issuance of the Shares will not be subject to any preemptive or similar rights not otherwise validly waived or satisfied.</w:t>
      </w:r>
    </w:p>
    <w:p>
      <w:pPr>
        <w:spacing w:after="0" w:line="75" w:lineRule="exact"/>
        <w:rPr>
          <w:rFonts w:ascii="Arial" w:cs="Arial" w:eastAsia="Arial" w:hAnsi="Arial"/>
          <w:sz w:val="18"/>
          <w:szCs w:val="18"/>
          <w:color w:val="auto"/>
        </w:rPr>
      </w:pPr>
    </w:p>
    <w:p>
      <w:pPr>
        <w:ind w:firstLine="948"/>
        <w:spacing w:after="0" w:line="271" w:lineRule="auto"/>
        <w:tabs>
          <w:tab w:leader="none" w:pos="1167"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execution and delivery by the Company of, and the performance by the Company of its obligations under, this Agreement will not contravene (i) any provision of applicable law, (ii) the certificate of incorporation or bylaws of the Company, (iii) any agreement or other instrument binding upon the Company that is material to the Company, or (iv) any judgment, order or decree of any governmental body, agency or court having jurisdiction over the Company, except, in the cases of clauses (i), (iii) and (iv), as would not, individually or in the aggregate, reasonably be expected to have a material adverse effect on the Company, and no consent, approval, authorization or order of, or qualification with, any governmental body, agency or court is required for the performance by the Company of its obligations under this Agreement, except such as may be required by the securities or Blue Sky laws of the various states in connection with the offer and sale of the Shares or the rules and regulations of the Financial Industry Regulatory Authority (“</w:t>
      </w:r>
      <w:r>
        <w:rPr>
          <w:rFonts w:ascii="Arial" w:cs="Arial" w:eastAsia="Arial" w:hAnsi="Arial"/>
          <w:sz w:val="17"/>
          <w:szCs w:val="17"/>
          <w:b w:val="1"/>
          <w:bCs w:val="1"/>
          <w:color w:val="auto"/>
        </w:rPr>
        <w:t>FINRA</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right="60" w:firstLine="948"/>
        <w:spacing w:after="0" w:line="342" w:lineRule="auto"/>
        <w:tabs>
          <w:tab w:leader="none" w:pos="1207"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There has not occurred any material adverse change, or any development involving a prospective material adverse change, in the condition, financial or otherwise, or in the earnings, business or operations of the Company, from that set forth in the Time of Sale Prospectus.</w:t>
      </w:r>
    </w:p>
    <w:p>
      <w:pPr>
        <w:spacing w:after="0" w:line="15" w:lineRule="exact"/>
        <w:rPr>
          <w:rFonts w:ascii="Arial" w:cs="Arial" w:eastAsia="Arial" w:hAnsi="Arial"/>
          <w:sz w:val="16"/>
          <w:szCs w:val="16"/>
          <w:color w:val="auto"/>
        </w:rPr>
      </w:pPr>
    </w:p>
    <w:p>
      <w:pPr>
        <w:ind w:right="80" w:firstLine="948"/>
        <w:spacing w:after="0" w:line="290" w:lineRule="auto"/>
        <w:tabs>
          <w:tab w:leader="none" w:pos="1167"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There are no legal or governmental proceedings pending or, to the knowledge of the Company, threatened to which the Company is a party or to which any of the properties of the Company is subject (i) other than proceedings accurately described in all material respects in each of the Registration Statement, the Time of Sale Prospectus and the Prospectus and proceedings that would not singly or in the aggregate, reasonably be expected to have a material adverse effect on the Company or on the performance by the Company of its obligations under this Agreement or to consummate the transactions contemplated by the Time of Sale Prospectus or (ii) that are required to be described in the Registration Statement, the Time of Sale Prospectus or the Prospectus and are not so described in all material respects; and there are no statutes, regulations, contracts or other documents that are required to be described in the Registration Statement, the Time of Sale Prospectus or the Prospectus or to be filed as exhibits to the Registration Statement that are not described in all material respects or filed as required.</w:t>
      </w:r>
    </w:p>
    <w:p>
      <w:pPr>
        <w:spacing w:after="0" w:line="9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40"/>
          </w:cols>
          <w:pgMar w:left="880" w:top="274" w:right="479" w:bottom="1440" w:gutter="0" w:footer="0" w:header="0"/>
        </w:sectPr>
      </w:pPr>
    </w:p>
    <w:bookmarkStart w:id="322" w:name="page323"/>
    <w:bookmarkEnd w:id="322"/>
    <w:p>
      <w:pPr>
        <w:jc w:val="both"/>
        <w:ind w:firstLine="948"/>
        <w:spacing w:after="0" w:line="263" w:lineRule="auto"/>
        <w:tabs>
          <w:tab w:leader="none" w:pos="1257" w:val="left"/>
        </w:tabs>
        <w:numPr>
          <w:ilvl w:val="0"/>
          <w:numId w:val="1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75" w:lineRule="exact"/>
        <w:rPr>
          <w:rFonts w:ascii="Arial" w:cs="Arial" w:eastAsia="Arial" w:hAnsi="Arial"/>
          <w:sz w:val="18"/>
          <w:szCs w:val="18"/>
          <w:color w:val="auto"/>
        </w:rPr>
      </w:pPr>
    </w:p>
    <w:p>
      <w:pPr>
        <w:ind w:right="80" w:firstLine="948"/>
        <w:spacing w:after="0" w:line="263" w:lineRule="auto"/>
        <w:tabs>
          <w:tab w:leader="none" w:pos="120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Shares and the application of the proceeds thereof as described in each of the Registration Statement, the Time of Sale Prospectus and the Prospectus will not be, required to register as an “investment company” as such term is defined in the Investment Company Act of 1940, as amended.</w:t>
      </w:r>
    </w:p>
    <w:p>
      <w:pPr>
        <w:spacing w:after="0" w:line="75" w:lineRule="exact"/>
        <w:rPr>
          <w:rFonts w:ascii="Arial" w:cs="Arial" w:eastAsia="Arial" w:hAnsi="Arial"/>
          <w:sz w:val="18"/>
          <w:szCs w:val="18"/>
          <w:color w:val="auto"/>
        </w:rPr>
      </w:pPr>
    </w:p>
    <w:p>
      <w:pPr>
        <w:ind w:right="60" w:firstLine="948"/>
        <w:spacing w:after="0" w:line="293" w:lineRule="auto"/>
        <w:tabs>
          <w:tab w:leader="none" w:pos="1207"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The Company (i) is in compliance with any and all applicable foreign, federal, state and local laws and regulations relating to the protection of human health and safety, the environment or hazardous or toxic substances or wastes, pollutants or contaminants (“</w:t>
      </w:r>
      <w:r>
        <w:rPr>
          <w:rFonts w:ascii="Arial" w:cs="Arial" w:eastAsia="Arial" w:hAnsi="Arial"/>
          <w:sz w:val="16"/>
          <w:szCs w:val="16"/>
          <w:b w:val="1"/>
          <w:bCs w:val="1"/>
          <w:color w:val="auto"/>
        </w:rPr>
        <w:t>Environmental</w:t>
      </w:r>
      <w:r>
        <w:rPr>
          <w:rFonts w:ascii="Arial" w:cs="Arial" w:eastAsia="Arial" w:hAnsi="Arial"/>
          <w:sz w:val="16"/>
          <w:szCs w:val="16"/>
          <w:color w:val="auto"/>
        </w:rPr>
        <w:t xml:space="preserve"> </w:t>
      </w:r>
      <w:r>
        <w:rPr>
          <w:rFonts w:ascii="Arial" w:cs="Arial" w:eastAsia="Arial" w:hAnsi="Arial"/>
          <w:sz w:val="16"/>
          <w:szCs w:val="16"/>
          <w:b w:val="1"/>
          <w:bCs w:val="1"/>
          <w:color w:val="auto"/>
        </w:rPr>
        <w:t>Laws</w:t>
      </w:r>
      <w:r>
        <w:rPr>
          <w:rFonts w:ascii="Arial" w:cs="Arial" w:eastAsia="Arial" w:hAnsi="Arial"/>
          <w:sz w:val="16"/>
          <w:szCs w:val="16"/>
          <w:color w:val="auto"/>
        </w:rPr>
        <w:t>”), (ii) has received all permits, licenses or other approvals required of them under applicable Environmental Laws to conduct its respective</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businesses and (iii) is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reasonably be expected to have a material adverse effect on the Company.</w:t>
      </w:r>
    </w:p>
    <w:p>
      <w:pPr>
        <w:spacing w:after="0" w:line="56" w:lineRule="exact"/>
        <w:rPr>
          <w:rFonts w:ascii="Arial" w:cs="Arial" w:eastAsia="Arial" w:hAnsi="Arial"/>
          <w:sz w:val="16"/>
          <w:szCs w:val="16"/>
          <w:color w:val="auto"/>
        </w:rPr>
      </w:pPr>
    </w:p>
    <w:p>
      <w:pPr>
        <w:ind w:right="140" w:firstLine="948"/>
        <w:spacing w:after="0" w:line="259" w:lineRule="auto"/>
        <w:tabs>
          <w:tab w:leader="none" w:pos="120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reasonably be expected to have a material adverse effect on the Company.</w:t>
      </w:r>
    </w:p>
    <w:p>
      <w:pPr>
        <w:spacing w:after="0" w:line="78" w:lineRule="exact"/>
        <w:rPr>
          <w:rFonts w:ascii="Arial" w:cs="Arial" w:eastAsia="Arial" w:hAnsi="Arial"/>
          <w:sz w:val="18"/>
          <w:szCs w:val="18"/>
          <w:color w:val="auto"/>
        </w:rPr>
      </w:pPr>
    </w:p>
    <w:p>
      <w:pPr>
        <w:ind w:right="340" w:firstLine="948"/>
        <w:spacing w:after="0" w:line="257" w:lineRule="auto"/>
        <w:tabs>
          <w:tab w:leader="none" w:pos="120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Shares registered pursuant to the Registration Statement, except those contracts, agreements and understandings described in the Time of Sale Prospectus and the Prospectus, all of which have been validly waived in connection with the issuance and sale of the Shares contemplated hereby.</w:t>
      </w:r>
    </w:p>
    <w:p>
      <w:pPr>
        <w:spacing w:after="0" w:line="12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60"/>
          </w:cols>
          <w:pgMar w:left="880" w:top="274" w:right="459" w:bottom="1440" w:gutter="0" w:footer="0" w:header="0"/>
        </w:sectPr>
      </w:pPr>
    </w:p>
    <w:bookmarkStart w:id="323" w:name="page324"/>
    <w:bookmarkEnd w:id="323"/>
    <w:p>
      <w:pPr>
        <w:ind w:firstLine="948"/>
        <w:spacing w:after="0" w:line="268" w:lineRule="auto"/>
        <w:tabs>
          <w:tab w:leader="none" w:pos="1177" w:val="left"/>
        </w:tabs>
        <w:numPr>
          <w:ilvl w:val="1"/>
          <w:numId w:val="17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None of the Company or any of its subsidiaries or any of its controlled affiliates, or any director, officer, or key employee thereof who is named in the Time of Sale Prospectus, or, to the Company’s knowledge, any non-controlled affiliates, or any other employee, agent or representative of the Company or any of its subsidiaries or any of its controlled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in order to influence official action, or to any person in violation of any applicable anti-corruption laws; (ii) the Company and each of its subsidiaries, if any, and each of its controlled affiliates, and to the Company’s knowledge, each of its non-controlled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(iii)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78" w:lineRule="exact"/>
        <w:rPr>
          <w:rFonts w:ascii="Arial" w:cs="Arial" w:eastAsia="Arial" w:hAnsi="Arial"/>
          <w:sz w:val="17"/>
          <w:szCs w:val="17"/>
          <w:color w:val="auto"/>
        </w:rPr>
      </w:pPr>
    </w:p>
    <w:p>
      <w:pPr>
        <w:ind w:right="20" w:firstLine="948"/>
        <w:spacing w:after="0" w:line="271" w:lineRule="auto"/>
        <w:tabs>
          <w:tab w:leader="none" w:pos="1187" w:val="left"/>
        </w:tabs>
        <w:numPr>
          <w:ilvl w:val="1"/>
          <w:numId w:val="175"/>
        </w:numPr>
        <w:rPr>
          <w:rFonts w:ascii="Arial" w:cs="Arial" w:eastAsia="Arial" w:hAnsi="Arial"/>
          <w:sz w:val="17"/>
          <w:szCs w:val="17"/>
          <w:color w:val="auto"/>
        </w:rPr>
      </w:pPr>
      <w:r>
        <w:rPr>
          <w:rFonts w:ascii="Arial" w:cs="Arial" w:eastAsia="Arial" w:hAnsi="Arial"/>
          <w:sz w:val="17"/>
          <w:szCs w:val="17"/>
          <w:color w:val="auto"/>
        </w:rPr>
        <w:t>The operations of the Company and each of its subsidiaries, if any,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each of its subsidiaries, if any, conduct business, the rules and regulations thereunder and any related or similar rules, regulations or guidelines, issued, administered or enforced by any governmental agency (collectively, the “</w:t>
      </w:r>
      <w:r>
        <w:rPr>
          <w:rFonts w:ascii="Arial" w:cs="Arial" w:eastAsia="Arial" w:hAnsi="Arial"/>
          <w:sz w:val="17"/>
          <w:szCs w:val="17"/>
          <w:b w:val="1"/>
          <w:bCs w:val="1"/>
          <w:color w:val="auto"/>
        </w:rPr>
        <w:t>Anti-Money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its subsidiaries with respect to the Anti-Money Laundering Laws is pending or, to the best knowledge of the Company, threatened.</w:t>
      </w:r>
    </w:p>
    <w:p>
      <w:pPr>
        <w:spacing w:after="0" w:line="70" w:lineRule="exact"/>
        <w:rPr>
          <w:rFonts w:ascii="Arial" w:cs="Arial" w:eastAsia="Arial" w:hAnsi="Arial"/>
          <w:sz w:val="17"/>
          <w:szCs w:val="17"/>
          <w:color w:val="auto"/>
        </w:rPr>
      </w:pPr>
    </w:p>
    <w:p>
      <w:pPr>
        <w:ind w:right="20" w:firstLine="948"/>
        <w:spacing w:after="0" w:line="263" w:lineRule="auto"/>
        <w:tabs>
          <w:tab w:leader="none" w:pos="1167" w:val="left"/>
        </w:tabs>
        <w:numPr>
          <w:ilvl w:val="1"/>
          <w:numId w:val="175"/>
        </w:numPr>
        <w:rPr>
          <w:rFonts w:ascii="Arial" w:cs="Arial" w:eastAsia="Arial" w:hAnsi="Arial"/>
          <w:sz w:val="18"/>
          <w:szCs w:val="18"/>
          <w:color w:val="auto"/>
        </w:rPr>
      </w:pPr>
      <w:r>
        <w:rPr>
          <w:rFonts w:ascii="Arial" w:cs="Arial" w:eastAsia="Arial" w:hAnsi="Arial"/>
          <w:sz w:val="18"/>
          <w:szCs w:val="18"/>
          <w:color w:val="auto"/>
        </w:rPr>
        <w:t>(i) None of the Company, any of its subsidiaries, or any director, officer, or key employee thereof who is named in the Time of Sale Prospectus, or, to the Company’s knowledge, any other employee, agent, affiliate or representative of the Company or any of its subsidiaries, is an individual or entity (“</w:t>
      </w:r>
      <w:r>
        <w:rPr>
          <w:rFonts w:ascii="Arial" w:cs="Arial" w:eastAsia="Arial" w:hAnsi="Arial"/>
          <w:sz w:val="18"/>
          <w:szCs w:val="18"/>
          <w:b w:val="1"/>
          <w:bCs w:val="1"/>
          <w:color w:val="auto"/>
        </w:rPr>
        <w:t>Person</w:t>
      </w:r>
      <w:r>
        <w:rPr>
          <w:rFonts w:ascii="Arial" w:cs="Arial" w:eastAsia="Arial" w:hAnsi="Arial"/>
          <w:sz w:val="18"/>
          <w:szCs w:val="18"/>
          <w:color w:val="auto"/>
        </w:rPr>
        <w:t>”) that is, or is owned or controlled by one or more Persons that are:</w:t>
      </w:r>
    </w:p>
    <w:p>
      <w:pPr>
        <w:spacing w:after="0" w:line="75" w:lineRule="exact"/>
        <w:rPr>
          <w:rFonts w:ascii="Arial" w:cs="Arial" w:eastAsia="Arial" w:hAnsi="Arial"/>
          <w:sz w:val="18"/>
          <w:szCs w:val="18"/>
          <w:color w:val="auto"/>
        </w:rPr>
      </w:pPr>
    </w:p>
    <w:p>
      <w:pPr>
        <w:ind w:left="1980" w:firstLine="773"/>
        <w:spacing w:after="0" w:line="263" w:lineRule="auto"/>
        <w:tabs>
          <w:tab w:leader="none" w:pos="3048" w:val="left"/>
        </w:tabs>
        <w:numPr>
          <w:ilvl w:val="2"/>
          <w:numId w:val="175"/>
        </w:numPr>
        <w:rPr>
          <w:rFonts w:ascii="Arial" w:cs="Arial" w:eastAsia="Arial" w:hAnsi="Arial"/>
          <w:sz w:val="18"/>
          <w:szCs w:val="18"/>
          <w:color w:val="auto"/>
        </w:rPr>
      </w:pPr>
      <w:r>
        <w:rPr>
          <w:rFonts w:ascii="Arial" w:cs="Arial" w:eastAsia="Arial" w:hAnsi="Arial"/>
          <w:sz w:val="18"/>
          <w:szCs w:val="18"/>
          <w:color w:val="auto"/>
        </w:rPr>
        <w:t>the subject of any sanctions administered or enforced by the U.S. Department of the Treasury’s Office of Foreign Assets Control, the United Nations Security Council, the European Union, Her Majesty’s Treasury, or other relevant sanctions authority (collectively, “</w:t>
      </w:r>
      <w:r>
        <w:rPr>
          <w:rFonts w:ascii="Arial" w:cs="Arial" w:eastAsia="Arial" w:hAnsi="Arial"/>
          <w:sz w:val="18"/>
          <w:szCs w:val="18"/>
          <w:b w:val="1"/>
          <w:bCs w:val="1"/>
          <w:color w:val="auto"/>
        </w:rPr>
        <w:t>Sanctions</w:t>
      </w:r>
      <w:r>
        <w:rPr>
          <w:rFonts w:ascii="Arial" w:cs="Arial" w:eastAsia="Arial" w:hAnsi="Arial"/>
          <w:sz w:val="18"/>
          <w:szCs w:val="18"/>
          <w:color w:val="auto"/>
        </w:rPr>
        <w:t>”), or</w:t>
      </w:r>
    </w:p>
    <w:p>
      <w:pPr>
        <w:spacing w:after="0" w:line="116"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20"/>
          </w:cols>
          <w:pgMar w:left="880" w:top="274" w:right="499" w:bottom="1440" w:gutter="0" w:footer="0" w:header="0"/>
        </w:sectPr>
      </w:pPr>
    </w:p>
    <w:bookmarkStart w:id="324" w:name="page325"/>
    <w:bookmarkEnd w:id="324"/>
    <w:p>
      <w:pPr>
        <w:ind w:left="1984" w:firstLine="773"/>
        <w:spacing w:after="0" w:line="277" w:lineRule="auto"/>
        <w:tabs>
          <w:tab w:leader="none" w:pos="3042" w:val="left"/>
        </w:tabs>
        <w:numPr>
          <w:ilvl w:val="3"/>
          <w:numId w:val="1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located, organized or resident in a country or territory that is the subject of Sanctions (including, without limitation, Crimea, Cuba, Iran, North Korea and Syria).</w:t>
      </w:r>
    </w:p>
    <w:p>
      <w:pPr>
        <w:spacing w:after="0" w:line="62" w:lineRule="exact"/>
        <w:rPr>
          <w:rFonts w:ascii="Arial" w:cs="Arial" w:eastAsia="Arial" w:hAnsi="Arial"/>
          <w:sz w:val="18"/>
          <w:szCs w:val="18"/>
          <w:color w:val="auto"/>
        </w:rPr>
      </w:pPr>
    </w:p>
    <w:p>
      <w:pPr>
        <w:ind w:left="984" w:right="120" w:firstLine="871"/>
        <w:spacing w:after="0" w:line="277" w:lineRule="auto"/>
        <w:tabs>
          <w:tab w:leader="none" w:pos="2111" w:val="left"/>
        </w:tabs>
        <w:numPr>
          <w:ilvl w:val="2"/>
          <w:numId w:val="177"/>
        </w:numPr>
        <w:rPr>
          <w:rFonts w:ascii="Arial" w:cs="Arial" w:eastAsia="Arial" w:hAnsi="Arial"/>
          <w:sz w:val="18"/>
          <w:szCs w:val="18"/>
          <w:color w:val="auto"/>
        </w:rPr>
      </w:pPr>
      <w:r>
        <w:rPr>
          <w:rFonts w:ascii="Arial" w:cs="Arial" w:eastAsia="Arial" w:hAnsi="Arial"/>
          <w:sz w:val="18"/>
          <w:szCs w:val="18"/>
          <w:color w:val="auto"/>
        </w:rPr>
        <w:t>The Company will not, directly or indirectly, use the proceeds of the offering, or lend, contribute or otherwise make available such proceeds to any subsidiary, joint venture partner or other Person:</w:t>
      </w:r>
    </w:p>
    <w:p>
      <w:pPr>
        <w:spacing w:after="0" w:line="62" w:lineRule="exact"/>
        <w:rPr>
          <w:rFonts w:ascii="Arial" w:cs="Arial" w:eastAsia="Arial" w:hAnsi="Arial"/>
          <w:sz w:val="18"/>
          <w:szCs w:val="18"/>
          <w:color w:val="auto"/>
        </w:rPr>
      </w:pPr>
    </w:p>
    <w:p>
      <w:pPr>
        <w:ind w:left="1984" w:right="40" w:firstLine="773"/>
        <w:spacing w:after="0" w:line="277" w:lineRule="auto"/>
        <w:tabs>
          <w:tab w:leader="none" w:pos="3052" w:val="left"/>
        </w:tabs>
        <w:numPr>
          <w:ilvl w:val="3"/>
          <w:numId w:val="177"/>
        </w:numPr>
        <w:rPr>
          <w:rFonts w:ascii="Arial" w:cs="Arial" w:eastAsia="Arial" w:hAnsi="Arial"/>
          <w:sz w:val="18"/>
          <w:szCs w:val="18"/>
          <w:color w:val="auto"/>
        </w:rPr>
      </w:pPr>
      <w:r>
        <w:rPr>
          <w:rFonts w:ascii="Arial" w:cs="Arial" w:eastAsia="Arial" w:hAnsi="Arial"/>
          <w:sz w:val="18"/>
          <w:szCs w:val="18"/>
          <w:color w:val="auto"/>
        </w:rPr>
        <w:t>to fund or facilitate any activities or business of or with any Person or in any country or territory that, at the time of such funding or facilitation, is the subject of Sanctions; or</w:t>
      </w:r>
    </w:p>
    <w:p>
      <w:pPr>
        <w:spacing w:after="0" w:line="62" w:lineRule="exact"/>
        <w:rPr>
          <w:rFonts w:ascii="Arial" w:cs="Arial" w:eastAsia="Arial" w:hAnsi="Arial"/>
          <w:sz w:val="18"/>
          <w:szCs w:val="18"/>
          <w:color w:val="auto"/>
        </w:rPr>
      </w:pPr>
    </w:p>
    <w:p>
      <w:pPr>
        <w:ind w:left="1984" w:right="380" w:firstLine="773"/>
        <w:spacing w:after="0" w:line="277" w:lineRule="auto"/>
        <w:tabs>
          <w:tab w:leader="none" w:pos="3042" w:val="left"/>
        </w:tabs>
        <w:numPr>
          <w:ilvl w:val="3"/>
          <w:numId w:val="177"/>
        </w:numPr>
        <w:rPr>
          <w:rFonts w:ascii="Arial" w:cs="Arial" w:eastAsia="Arial" w:hAnsi="Arial"/>
          <w:sz w:val="18"/>
          <w:szCs w:val="18"/>
          <w:color w:val="auto"/>
        </w:rPr>
      </w:pPr>
      <w:r>
        <w:rPr>
          <w:rFonts w:ascii="Arial" w:cs="Arial" w:eastAsia="Arial" w:hAnsi="Arial"/>
          <w:sz w:val="18"/>
          <w:szCs w:val="18"/>
          <w:color w:val="auto"/>
        </w:rPr>
        <w:t>in any other manner that will result in a violation of Sanctions by any Person (including any Person participating in the offering, whether as underwriter, advisor, investor or otherwise).</w:t>
      </w:r>
    </w:p>
    <w:p>
      <w:pPr>
        <w:spacing w:after="0" w:line="62" w:lineRule="exact"/>
        <w:rPr>
          <w:rFonts w:ascii="Arial" w:cs="Arial" w:eastAsia="Arial" w:hAnsi="Arial"/>
          <w:sz w:val="18"/>
          <w:szCs w:val="18"/>
          <w:color w:val="auto"/>
        </w:rPr>
      </w:pPr>
    </w:p>
    <w:p>
      <w:pPr>
        <w:ind w:left="984" w:right="120" w:firstLine="871"/>
        <w:spacing w:after="0" w:line="263" w:lineRule="auto"/>
        <w:tabs>
          <w:tab w:leader="none" w:pos="2161" w:val="left"/>
        </w:tabs>
        <w:numPr>
          <w:ilvl w:val="2"/>
          <w:numId w:val="177"/>
        </w:numPr>
        <w:rPr>
          <w:rFonts w:ascii="Arial" w:cs="Arial" w:eastAsia="Arial" w:hAnsi="Arial"/>
          <w:sz w:val="18"/>
          <w:szCs w:val="18"/>
          <w:color w:val="auto"/>
        </w:rPr>
      </w:pPr>
      <w:r>
        <w:rPr>
          <w:rFonts w:ascii="Arial" w:cs="Arial" w:eastAsia="Arial" w:hAnsi="Arial"/>
          <w:sz w:val="18"/>
          <w:szCs w:val="18"/>
          <w:color w:val="auto"/>
        </w:rPr>
        <w:t>For the past five years, the Company and each of its subsidiaries, if any, have not knowingly engaged in, are not now knowingly engaged in, and will not engage in, any dealings or transactions with any Person, or in any country or territory, that at the time of the dealing or transaction is or was the subject of Sanctions.</w:t>
      </w:r>
    </w:p>
    <w:p>
      <w:pPr>
        <w:spacing w:after="0" w:line="75" w:lineRule="exact"/>
        <w:rPr>
          <w:rFonts w:ascii="Arial" w:cs="Arial" w:eastAsia="Arial" w:hAnsi="Arial"/>
          <w:sz w:val="18"/>
          <w:szCs w:val="18"/>
          <w:color w:val="auto"/>
        </w:rPr>
      </w:pPr>
    </w:p>
    <w:p>
      <w:pPr>
        <w:ind w:left="4" w:right="20" w:firstLine="948"/>
        <w:spacing w:after="0" w:line="284" w:lineRule="auto"/>
        <w:tabs>
          <w:tab w:leader="none" w:pos="1210" w:val="left"/>
        </w:tabs>
        <w:numPr>
          <w:ilvl w:val="1"/>
          <w:numId w:val="178"/>
        </w:numPr>
        <w:rPr>
          <w:rFonts w:ascii="Arial" w:cs="Arial" w:eastAsia="Arial" w:hAnsi="Arial"/>
          <w:sz w:val="16"/>
          <w:szCs w:val="16"/>
          <w:color w:val="auto"/>
        </w:rPr>
      </w:pPr>
      <w:r>
        <w:rPr>
          <w:rFonts w:ascii="Arial" w:cs="Arial" w:eastAsia="Arial" w:hAnsi="Arial"/>
          <w:sz w:val="16"/>
          <w:szCs w:val="16"/>
          <w:color w:val="auto"/>
        </w:rPr>
        <w:t>Subsequent to the respective dates as of which information is given in each of the Registration Statement, the Time of Sale Prospectus and the Prospectus, (i) the Company has not incurred any material liability or obligation, direct or contingent, nor entered into any material transaction; (ii) the Company has not purchased any of its outstanding capital stock, other than from employees or other service providers in connection with such person’s termination of service from the Company pursuant to the existing terms of the agreements or equity compensation plans described in the Time of Sale Prospectus or in exercise of the Company’s right of first refusal upon a proposed transfer, nor declared, paid or otherwise made any dividend or distribution of any kind on its capital stock other than ordinary and customary dividends; and</w:t>
      </w:r>
    </w:p>
    <w:p>
      <w:pPr>
        <w:spacing w:after="0" w:line="4" w:lineRule="exact"/>
        <w:rPr>
          <w:rFonts w:ascii="Arial" w:cs="Arial" w:eastAsia="Arial" w:hAnsi="Arial"/>
          <w:sz w:val="16"/>
          <w:szCs w:val="16"/>
          <w:color w:val="auto"/>
        </w:rPr>
      </w:pPr>
    </w:p>
    <w:p>
      <w:pPr>
        <w:ind w:left="4" w:right="40" w:hanging="4"/>
        <w:spacing w:after="0" w:line="271" w:lineRule="auto"/>
        <w:tabs>
          <w:tab w:leader="none" w:pos="318" w:val="left"/>
        </w:tabs>
        <w:numPr>
          <w:ilvl w:val="0"/>
          <w:numId w:val="179"/>
        </w:numPr>
        <w:rPr>
          <w:rFonts w:ascii="Arial" w:cs="Arial" w:eastAsia="Arial" w:hAnsi="Arial"/>
          <w:sz w:val="17"/>
          <w:szCs w:val="17"/>
          <w:color w:val="auto"/>
        </w:rPr>
      </w:pPr>
      <w:r>
        <w:rPr>
          <w:rFonts w:ascii="Arial" w:cs="Arial" w:eastAsia="Arial" w:hAnsi="Arial"/>
          <w:sz w:val="17"/>
          <w:szCs w:val="17"/>
          <w:color w:val="auto"/>
        </w:rPr>
        <w:t>there has not been any material change in the capital stock (other than the exercise or conversion of equity awards, warrants or convertible notes or loans or grants of equity awards or forfeiture of equity awards outstanding as of such respective dates as of which information is given in each of the Registration Statement, the Time of Sale Prospectus and the Prospectus, in each case granted pursuant to the equity compensation plans described in the Time of Sale Prospectus), short-term debt or long-term debt of the Company, except in each case as described in each of the Registration Statement, the Time of Sale Prospectus and the Prospectus.</w:t>
      </w:r>
    </w:p>
    <w:p>
      <w:pPr>
        <w:spacing w:after="0" w:line="111"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64"/>
          </w:cols>
          <w:pgMar w:left="876" w:top="274" w:right="459" w:bottom="1440" w:gutter="0" w:footer="0" w:header="0"/>
        </w:sectPr>
      </w:pPr>
    </w:p>
    <w:bookmarkStart w:id="325" w:name="page326"/>
    <w:bookmarkEnd w:id="325"/>
    <w:p>
      <w:pPr>
        <w:ind w:firstLine="948"/>
        <w:spacing w:after="0" w:line="273" w:lineRule="auto"/>
        <w:tabs>
          <w:tab w:leader="none" w:pos="1207" w:val="left"/>
        </w:tabs>
        <w:numPr>
          <w:ilvl w:val="0"/>
          <w:numId w:val="18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does not own any real property. The Company has good and marketable title to all personal property (excluding intellectual property) owned by it which is material to the business of the Company, in each case free and clear of all liens, encumbrances and defects except such as do not materially affect the value of such property and do not interfere in any material respect with the use made and proposed to be made of such property by the Company; and any real property and buildings held under lease by the Company is held by it under valid, subsisting and, to the knowledge of the Company, enforceable leases with such exceptions as are not material and do not materially interfere with the use made and proposed to be made of such property and buildings by the Company.</w:t>
      </w:r>
    </w:p>
    <w:p>
      <w:pPr>
        <w:spacing w:after="0" w:line="69" w:lineRule="exact"/>
        <w:rPr>
          <w:rFonts w:ascii="Arial" w:cs="Arial" w:eastAsia="Arial" w:hAnsi="Arial"/>
          <w:sz w:val="17"/>
          <w:szCs w:val="17"/>
          <w:color w:val="auto"/>
        </w:rPr>
      </w:pPr>
    </w:p>
    <w:p>
      <w:pPr>
        <w:ind w:firstLine="948"/>
        <w:spacing w:after="0" w:line="284" w:lineRule="auto"/>
        <w:tabs>
          <w:tab w:leader="none" w:pos="1247" w:val="left"/>
        </w:tabs>
        <w:numPr>
          <w:ilvl w:val="0"/>
          <w:numId w:val="180"/>
        </w:numPr>
        <w:rPr>
          <w:rFonts w:ascii="Arial" w:cs="Arial" w:eastAsia="Arial" w:hAnsi="Arial"/>
          <w:sz w:val="16"/>
          <w:szCs w:val="16"/>
          <w:color w:val="auto"/>
        </w:rPr>
      </w:pPr>
      <w:r>
        <w:rPr>
          <w:rFonts w:ascii="Arial" w:cs="Arial" w:eastAsia="Arial" w:hAnsi="Arial"/>
          <w:sz w:val="16"/>
          <w:szCs w:val="16"/>
          <w:color w:val="auto"/>
        </w:rPr>
        <w:t>Except in each case, as set forth in the Registration Statement, the Prospectus or the Time of Sale Prospectus, or as would not, singly or in the aggregate, reasonably be expected to have a material adverse effect on the Company: (i) the Company owns or has a valid and enforceable right or license to use, all patents, inventions, copyrights, know how (including trade secrets and other unpatented and/or unpatentable proprietary or confidential information, systems or procedures), software, domain names, trademarks, service marks, trade names, logos and any and all other worldwide intellectual property and proprietary rights (including all registrations and applications for, and all goodwill associated with, any of the foregoing) (collectively, “</w:t>
      </w:r>
      <w:r>
        <w:rPr>
          <w:rFonts w:ascii="Arial" w:cs="Arial" w:eastAsia="Arial" w:hAnsi="Arial"/>
          <w:sz w:val="16"/>
          <w:szCs w:val="16"/>
          <w:b w:val="1"/>
          <w:bCs w:val="1"/>
          <w:color w:val="auto"/>
        </w:rPr>
        <w:t>Intellectual Property Rights</w:t>
      </w:r>
      <w:r>
        <w:rPr>
          <w:rFonts w:ascii="Arial" w:cs="Arial" w:eastAsia="Arial" w:hAnsi="Arial"/>
          <w:sz w:val="16"/>
          <w:szCs w:val="16"/>
          <w:color w:val="auto"/>
        </w:rPr>
        <w:t>”) used in, or reasonably necessary or expected to be material to the conduct of, its business as currently conducted and as proposed to be conducted, in each case as such business is described in the Registration Statement, the Prospectus, and the Time of Sale Prospectus; (ii) to the Company’s knowledge, the Intellectual Property Rights owned by and exclusively licensed to the Company, are valid, subsisting and enforceable; (iii) no Intellectual Property Rights owned by the Company and, to the Company’s knowledge, no Intellectual Property Rights licensed to the Company, have been held invalid or unenforceable by a final decision of a court or other governmental agency of competent jurisdiction which is unappealable or unappealed within the time allowed for appeal; (iv) all Intellectual Property Rights owned by the Company are owned free and clear of all liens and encumbrances, except such non-exclusive rights and licenses as are granted to third parties (including CROs and other vendors) in the ordinary course of business; (v) to the Company’s knowledge, there are no defects in any of the patents or patent applications within the Intellectual Property Rights owned by and exclusively licensed to the Company; (vi) there is no pending, or to the Company’s knowledge, threatened (in writing) action, suit, proceeding or claim by others, and the Company has not received any written notice, (A) challenging the Company’s rights in or to any Intellectual Property Rights, (B) challenging the validity, scope or enforceability of any Intellectual Property Rights owned by or exclusively licensed to the Company, or (C) alleging any infringement, misappropriation or other violation by the Company of any Intellectual Property Rights of others, and in each case, the Company is unaware of any facts which the Company reasonably believes would form a reasonable basis for any such action, suit, proceeding or claim; (vii) to the Company’s knowledge, there is no infringement, misappropriation or other violation, and</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60"/>
          </w:cols>
          <w:pgMar w:left="880" w:top="274" w:right="459" w:bottom="1440" w:gutter="0" w:footer="0" w:header="0"/>
        </w:sectPr>
      </w:pPr>
    </w:p>
    <w:bookmarkStart w:id="326" w:name="page327"/>
    <w:bookmarkEnd w:id="326"/>
    <w:p>
      <w:pPr>
        <w:ind w:left="4"/>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 has been no infringement, misappropriation or other violation, by third parties of any of the Company’s Intellectual Property Rights, whether owned by, or licensed to, the Company; (viii) to the Company’s knowledge, the Company and the conduct of its business does not infringe, misappropriate or otherwise violate, and has not infringed, misappropriated or otherwise violated, any Intellectual Property Rights of others;</w:t>
      </w:r>
    </w:p>
    <w:p>
      <w:pPr>
        <w:spacing w:after="0" w:line="2" w:lineRule="exact"/>
        <w:rPr>
          <w:sz w:val="20"/>
          <w:szCs w:val="20"/>
          <w:color w:val="auto"/>
        </w:rPr>
      </w:pPr>
    </w:p>
    <w:p>
      <w:pPr>
        <w:ind w:left="4" w:right="80" w:hanging="4"/>
        <w:spacing w:after="0" w:line="252" w:lineRule="auto"/>
        <w:tabs>
          <w:tab w:leader="none" w:pos="308"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Company has taken reasonable steps necessary to secure its interests in the Intellectual Property Rights by requiring the execution of appropriate confidentiality and invention assignment agreements from the Company’s current and former employees or contractors engaged in or formerly engaged in the development of Intellectual Property Rights for or on behalf of the Company, and to the Company’s knowledge no such agreement has been breached or violated; and (x) the Company uses, and have used, commercially reasonable efforts in accordance with customary industry practice to appropriately maintain the confidentiality of all confidential information of the Company and all information intended by the Company to be maintained as a trade secret and no such information has been disclosed other than pursuant to written confidentiality agreements.</w:t>
      </w:r>
    </w:p>
    <w:p>
      <w:pPr>
        <w:spacing w:after="0" w:line="84" w:lineRule="exact"/>
        <w:rPr>
          <w:rFonts w:ascii="Arial" w:cs="Arial" w:eastAsia="Arial" w:hAnsi="Arial"/>
          <w:sz w:val="18"/>
          <w:szCs w:val="18"/>
          <w:color w:val="auto"/>
        </w:rPr>
      </w:pPr>
    </w:p>
    <w:p>
      <w:pPr>
        <w:ind w:left="4" w:firstLine="948"/>
        <w:spacing w:after="0" w:line="287" w:lineRule="auto"/>
        <w:tabs>
          <w:tab w:leader="none" w:pos="1210" w:val="left"/>
        </w:tabs>
        <w:numPr>
          <w:ilvl w:val="1"/>
          <w:numId w:val="181"/>
        </w:numPr>
        <w:rPr>
          <w:rFonts w:ascii="Arial" w:cs="Arial" w:eastAsia="Arial" w:hAnsi="Arial"/>
          <w:sz w:val="16"/>
          <w:szCs w:val="16"/>
          <w:color w:val="auto"/>
        </w:rPr>
      </w:pPr>
      <w:r>
        <w:rPr>
          <w:rFonts w:ascii="Arial" w:cs="Arial" w:eastAsia="Arial" w:hAnsi="Arial"/>
          <w:sz w:val="16"/>
          <w:szCs w:val="16"/>
          <w:color w:val="auto"/>
        </w:rPr>
        <w:t>(i) Except as would not, singly or in the aggregate, reasonably be expected to have a material adverse effect on the Company, and except as disclosed in the Registration Statement, the Time of Sale Prospectus and the Prospectus, the Company has complied and is presently in compliance with all of its internal and external privacy policies, its privacy- and data protection-related contractual obligations, applicable laws, binding industry standards, statutes, binding rules, regulations, judgments and orders of any court or arbitrator or other governmental or regulatory authority, and any other legal obligations, in each case, relating to the collection, use, transfer, import, export, storage, protection, security, disposal, disclosure and other processing by or on behalf of the Company of personal, personally identifiable, household (in the case of household data, to the extent “Personal Information” under the California Consumer Privacy Act), sensitive or regulated information or data (“</w:t>
      </w:r>
      <w:r>
        <w:rPr>
          <w:rFonts w:ascii="Arial" w:cs="Arial" w:eastAsia="Arial" w:hAnsi="Arial"/>
          <w:sz w:val="16"/>
          <w:szCs w:val="16"/>
          <w:b w:val="1"/>
          <w:bCs w:val="1"/>
          <w:color w:val="auto"/>
        </w:rPr>
        <w:t>Data Security</w:t>
      </w:r>
      <w:r>
        <w:rPr>
          <w:rFonts w:ascii="Arial" w:cs="Arial" w:eastAsia="Arial" w:hAnsi="Arial"/>
          <w:sz w:val="16"/>
          <w:szCs w:val="16"/>
          <w:color w:val="auto"/>
        </w:rPr>
        <w:t xml:space="preserve"> </w:t>
      </w:r>
      <w:r>
        <w:rPr>
          <w:rFonts w:ascii="Arial" w:cs="Arial" w:eastAsia="Arial" w:hAnsi="Arial"/>
          <w:sz w:val="16"/>
          <w:szCs w:val="16"/>
          <w:b w:val="1"/>
          <w:bCs w:val="1"/>
          <w:color w:val="auto"/>
        </w:rPr>
        <w:t>Obligations</w:t>
      </w:r>
      <w:r>
        <w:rPr>
          <w:rFonts w:ascii="Arial" w:cs="Arial" w:eastAsia="Arial" w:hAnsi="Arial"/>
          <w:sz w:val="16"/>
          <w:szCs w:val="16"/>
          <w:color w:val="auto"/>
        </w:rPr>
        <w:t>”, and such information and data, “</w:t>
      </w:r>
      <w:r>
        <w:rPr>
          <w:rFonts w:ascii="Arial" w:cs="Arial" w:eastAsia="Arial" w:hAnsi="Arial"/>
          <w:sz w:val="16"/>
          <w:szCs w:val="16"/>
          <w:b w:val="1"/>
          <w:bCs w:val="1"/>
          <w:color w:val="auto"/>
        </w:rPr>
        <w:t>Data</w:t>
      </w:r>
      <w:r>
        <w:rPr>
          <w:rFonts w:ascii="Arial" w:cs="Arial" w:eastAsia="Arial" w:hAnsi="Arial"/>
          <w:sz w:val="16"/>
          <w:szCs w:val="16"/>
          <w:color w:val="auto"/>
        </w:rPr>
        <w:t>”); (ii) the Company has not received any written notification of or written complaint</w:t>
      </w:r>
      <w:r>
        <w:rPr>
          <w:rFonts w:ascii="Arial" w:cs="Arial" w:eastAsia="Arial" w:hAnsi="Arial"/>
          <w:sz w:val="16"/>
          <w:szCs w:val="16"/>
          <w:b w:val="1"/>
          <w:bCs w:val="1"/>
          <w:color w:val="auto"/>
        </w:rPr>
        <w:t xml:space="preserve"> </w:t>
      </w:r>
      <w:r>
        <w:rPr>
          <w:rFonts w:ascii="Arial" w:cs="Arial" w:eastAsia="Arial" w:hAnsi="Arial"/>
          <w:sz w:val="16"/>
          <w:szCs w:val="16"/>
          <w:color w:val="auto"/>
        </w:rPr>
        <w:t>regarding, and is unaware of any other facts that the Company reasonably believes would indicate, its non-compliance with any Data Security Obligation; and (iii) there is no action, suit, proceeding or claim by or before any court or governmental agency, authority or body pending or, to the Company’s knowledge, threatened in writing against the Company alleging non-compliance with any Data Security Obligation.</w:t>
      </w:r>
    </w:p>
    <w:p>
      <w:pPr>
        <w:spacing w:after="0" w:line="63" w:lineRule="exact"/>
        <w:rPr>
          <w:rFonts w:ascii="Arial" w:cs="Arial" w:eastAsia="Arial" w:hAnsi="Arial"/>
          <w:sz w:val="16"/>
          <w:szCs w:val="16"/>
          <w:color w:val="auto"/>
        </w:rPr>
      </w:pPr>
    </w:p>
    <w:p>
      <w:pPr>
        <w:ind w:left="4" w:right="100" w:firstLine="948"/>
        <w:spacing w:after="0" w:line="275" w:lineRule="auto"/>
        <w:tabs>
          <w:tab w:leader="none" w:pos="1210" w:val="left"/>
        </w:tabs>
        <w:numPr>
          <w:ilvl w:val="1"/>
          <w:numId w:val="181"/>
        </w:numPr>
        <w:rPr>
          <w:rFonts w:ascii="Arial" w:cs="Arial" w:eastAsia="Arial" w:hAnsi="Arial"/>
          <w:sz w:val="17"/>
          <w:szCs w:val="17"/>
          <w:color w:val="auto"/>
        </w:rPr>
      </w:pPr>
      <w:r>
        <w:rPr>
          <w:rFonts w:ascii="Arial" w:cs="Arial" w:eastAsia="Arial" w:hAnsi="Arial"/>
          <w:sz w:val="17"/>
          <w:szCs w:val="17"/>
          <w:color w:val="auto"/>
        </w:rPr>
        <w:t>Except as would not, singly or in the aggregate, reasonably be expected to have a material adverse effect on the Company (i) the Company has established, implemented and maintain technical and organizational measures reasonably designed to protect its information technology systems, assets, equipment, computers, systems, websites, networks, hardware, and associated software, applications and databases used in connection with the operation of the Company’s business (collectively, “</w:t>
      </w:r>
      <w:r>
        <w:rPr>
          <w:rFonts w:ascii="Arial" w:cs="Arial" w:eastAsia="Arial" w:hAnsi="Arial"/>
          <w:sz w:val="17"/>
          <w:szCs w:val="17"/>
          <w:b w:val="1"/>
          <w:bCs w:val="1"/>
          <w:color w:val="auto"/>
        </w:rPr>
        <w:t>IT Systems</w:t>
      </w:r>
      <w:r>
        <w:rPr>
          <w:rFonts w:ascii="Arial" w:cs="Arial" w:eastAsia="Arial" w:hAnsi="Arial"/>
          <w:sz w:val="17"/>
          <w:szCs w:val="17"/>
          <w:color w:val="auto"/>
        </w:rPr>
        <w:t>”) and Data; (ii) the Company has used reasonable efforts to implement, establish and maintain, and have</w:t>
      </w:r>
    </w:p>
    <w:p>
      <w:pPr>
        <w:spacing w:after="0" w:line="109"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44"/>
          </w:cols>
          <w:pgMar w:left="876" w:top="274" w:right="479" w:bottom="1440" w:gutter="0" w:footer="0" w:header="0"/>
        </w:sectPr>
      </w:pPr>
    </w:p>
    <w:bookmarkStart w:id="327" w:name="page328"/>
    <w:bookmarkEnd w:id="327"/>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established, implemented and maintained, and complied with, reasonable information technology, information security, cybersecurity and data protection controls, policies and procedures designed to maintain and protect the integrity, redundancy and security of all IT Systems and Data and to protect against and prevent security breaches and incidents resulting in destruction, loss, unauthorized distribution, use, access, disablement, misappropriation or modification, outages, or other compromise or misuse of any IT Systems or Data (“</w:t>
      </w:r>
      <w:r>
        <w:rPr>
          <w:rFonts w:ascii="Arial" w:cs="Arial" w:eastAsia="Arial" w:hAnsi="Arial"/>
          <w:sz w:val="16"/>
          <w:szCs w:val="16"/>
          <w:b w:val="1"/>
          <w:bCs w:val="1"/>
          <w:color w:val="auto"/>
        </w:rPr>
        <w:t>Breach</w:t>
      </w:r>
      <w:r>
        <w:rPr>
          <w:rFonts w:ascii="Arial" w:cs="Arial" w:eastAsia="Arial" w:hAnsi="Arial"/>
          <w:sz w:val="16"/>
          <w:szCs w:val="16"/>
          <w:color w:val="auto"/>
        </w:rPr>
        <w:t>”); (iii) to the knowledge of the Company, there has been no such Breach, and the Company has not been notified in writing of and has no knowledge of any event or condition that would reasonably be expected to result in, any such Breach; and (iv) the IT Systems are adequate in capacity and operation for, and operate and perform in all material respects as required in connection with the operation of the business of the Company and, to the knowledge of the Company, are free and clear of all bugs, errors, defects, Trojan horses, time bombs, malware and other corruptants or malicious code.</w:t>
      </w:r>
    </w:p>
    <w:p>
      <w:pPr>
        <w:spacing w:after="0" w:line="57" w:lineRule="exact"/>
        <w:rPr>
          <w:sz w:val="20"/>
          <w:szCs w:val="20"/>
          <w:color w:val="auto"/>
        </w:rPr>
      </w:pPr>
    </w:p>
    <w:p>
      <w:pPr>
        <w:jc w:val="both"/>
        <w:ind w:right="60" w:firstLine="948"/>
        <w:spacing w:after="0" w:line="311" w:lineRule="auto"/>
        <w:tabs>
          <w:tab w:leader="none" w:pos="1196" w:val="left"/>
        </w:tabs>
        <w:numPr>
          <w:ilvl w:val="0"/>
          <w:numId w:val="182"/>
        </w:numPr>
        <w:rPr>
          <w:rFonts w:ascii="Arial" w:cs="Arial" w:eastAsia="Arial" w:hAnsi="Arial"/>
          <w:sz w:val="16"/>
          <w:szCs w:val="16"/>
          <w:color w:val="auto"/>
        </w:rPr>
      </w:pPr>
      <w:r>
        <w:rPr>
          <w:rFonts w:ascii="Arial" w:cs="Arial" w:eastAsia="Arial" w:hAnsi="Arial"/>
          <w:sz w:val="16"/>
          <w:szCs w:val="16"/>
          <w:color w:val="auto"/>
        </w:rPr>
        <w:t>No material labor dispute with the employees of the Company exists, or, to the knowledge of the Company, is imminent; and the Company is not aware of any existing, threatened or imminent labor disturbance by the employees of any of its principal suppliers, manufacturers or contractors that could, singly or in the aggregate, reasonably be expected to have a material adverse effect on the Company.</w:t>
      </w:r>
    </w:p>
    <w:p>
      <w:pPr>
        <w:spacing w:after="0" w:line="41" w:lineRule="exact"/>
        <w:rPr>
          <w:sz w:val="20"/>
          <w:szCs w:val="20"/>
          <w:color w:val="auto"/>
        </w:rPr>
      </w:pPr>
    </w:p>
    <w:p>
      <w:pPr>
        <w:ind w:right="140" w:firstLine="948"/>
        <w:spacing w:after="0" w:line="296" w:lineRule="auto"/>
        <w:tabs>
          <w:tab w:leader="none" w:pos="1276"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Company is insured by insurers of recognized financial responsibility against such losses and risks and in such amounts as in the Company’s reasonable judgement are prudent and customary in the businesses in which they are engaged; the Company has not been refused any insurance coverage sought or applied for; and the Company has no reason to believe that it will not be able to renew its existing insurance coverage as and when such coverage expires or to obtain similar coverage from similar insurers as may be necessary to continue its business at a cost that would not, singly or in the aggregate, reasonably be expected have a material adverse effect on the Company.</w:t>
      </w:r>
    </w:p>
    <w:p>
      <w:pPr>
        <w:spacing w:after="0" w:line="53" w:lineRule="exact"/>
        <w:rPr>
          <w:rFonts w:ascii="Arial" w:cs="Arial" w:eastAsia="Arial" w:hAnsi="Arial"/>
          <w:sz w:val="16"/>
          <w:szCs w:val="16"/>
          <w:color w:val="auto"/>
        </w:rPr>
      </w:pPr>
    </w:p>
    <w:p>
      <w:pPr>
        <w:ind w:right="40" w:firstLine="948"/>
        <w:spacing w:after="0" w:line="271" w:lineRule="auto"/>
        <w:tabs>
          <w:tab w:leader="none" w:pos="1297" w:val="left"/>
        </w:tabs>
        <w:numPr>
          <w:ilvl w:val="0"/>
          <w:numId w:val="183"/>
        </w:numPr>
        <w:rPr>
          <w:rFonts w:ascii="Arial" w:cs="Arial" w:eastAsia="Arial" w:hAnsi="Arial"/>
          <w:sz w:val="17"/>
          <w:szCs w:val="17"/>
          <w:color w:val="auto"/>
        </w:rPr>
      </w:pPr>
      <w:r>
        <w:rPr>
          <w:rFonts w:ascii="Arial" w:cs="Arial" w:eastAsia="Arial" w:hAnsi="Arial"/>
          <w:sz w:val="17"/>
          <w:szCs w:val="17"/>
          <w:color w:val="auto"/>
        </w:rPr>
        <w:t>The financial statements included in each of the Registration Statement, the Time of Sale Prospectus and the Prospectus, together with the related schedules and notes thereto, comply as to form in all material respects with the applicable requirements of the Securities Act and present fairly in all material respects the financial position of the Company as of the dates shown and its results of operations and cash flows for the periods shown, and such financial statements have been prepared in conformity with generally accepted accounting principles in the United States (“</w:t>
      </w:r>
      <w:r>
        <w:rPr>
          <w:rFonts w:ascii="Arial" w:cs="Arial" w:eastAsia="Arial" w:hAnsi="Arial"/>
          <w:sz w:val="17"/>
          <w:szCs w:val="17"/>
          <w:b w:val="1"/>
          <w:bCs w:val="1"/>
          <w:color w:val="auto"/>
        </w:rPr>
        <w:t>U.S. GAAP</w:t>
      </w:r>
      <w:r>
        <w:rPr>
          <w:rFonts w:ascii="Arial" w:cs="Arial" w:eastAsia="Arial" w:hAnsi="Arial"/>
          <w:sz w:val="17"/>
          <w:szCs w:val="17"/>
          <w:color w:val="auto"/>
        </w:rPr>
        <w:t>”) applied on a consistent basis throughout the periods covered thereby except for any normal year-end adjustments in the Company’s quarterly financial statements. The other financial information included in each of the Registration Statement, the Time of Sale Prospectus and the Prospectus has been derived from the accounting records of the Company and presents fairly in all material respects the information shown thereby.</w:t>
      </w:r>
    </w:p>
    <w:p>
      <w:pPr>
        <w:spacing w:after="0" w:line="11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60"/>
          </w:cols>
          <w:pgMar w:left="880" w:top="274" w:right="459" w:bottom="1440" w:gutter="0" w:footer="0" w:header="0"/>
        </w:sectPr>
      </w:pPr>
    </w:p>
    <w:bookmarkStart w:id="328" w:name="page329"/>
    <w:bookmarkEnd w:id="328"/>
    <w:p>
      <w:pPr>
        <w:ind w:right="60" w:firstLine="948"/>
        <w:spacing w:after="0" w:line="279" w:lineRule="auto"/>
        <w:tabs>
          <w:tab w:leader="none" w:pos="1276" w:val="left"/>
        </w:tabs>
        <w:numPr>
          <w:ilvl w:val="0"/>
          <w:numId w:val="18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statistical, industry-related and market-related data included in each of the Registration Statement, the Time of Sale Prospectus and the Prospectus are based on or derived from sources which the Company reasonably and in good faith believes are reliable and accurate and such data is consistent with the sources from which they are derived, in each case in all material respects, and, to the extent required, the Company has obtained the written consent to the use of such data from such sources.</w:t>
      </w:r>
    </w:p>
    <w:p>
      <w:pPr>
        <w:spacing w:after="0" w:line="63" w:lineRule="exact"/>
        <w:rPr>
          <w:rFonts w:ascii="Arial" w:cs="Arial" w:eastAsia="Arial" w:hAnsi="Arial"/>
          <w:sz w:val="17"/>
          <w:szCs w:val="17"/>
          <w:color w:val="auto"/>
        </w:rPr>
      </w:pPr>
    </w:p>
    <w:p>
      <w:pPr>
        <w:ind w:right="60" w:firstLine="948"/>
        <w:spacing w:after="0" w:line="257" w:lineRule="auto"/>
        <w:tabs>
          <w:tab w:leader="none" w:pos="1297" w:val="left"/>
        </w:tabs>
        <w:numPr>
          <w:ilvl w:val="0"/>
          <w:numId w:val="184"/>
        </w:numPr>
        <w:rPr>
          <w:rFonts w:ascii="Arial" w:cs="Arial" w:eastAsia="Arial" w:hAnsi="Arial"/>
          <w:sz w:val="18"/>
          <w:szCs w:val="18"/>
          <w:color w:val="auto"/>
        </w:rPr>
      </w:pPr>
      <w:r>
        <w:rPr>
          <w:rFonts w:ascii="Arial" w:cs="Arial" w:eastAsia="Arial" w:hAnsi="Arial"/>
          <w:sz w:val="18"/>
          <w:szCs w:val="18"/>
          <w:color w:val="auto"/>
        </w:rPr>
        <w:t>Deloitte &amp; Touche LLP, who has certified certain financial statements of the Company and delivered its report with respect to the audited financial statements and schedules filed with the Commission as part of the Registration Statement and included in each of the Registration Statement, the Time of Sale Prospectus and the Prospectus, is an independent registered public accounting firm with respect to the Company within the meaning of the Securities Act and the applicable rules and regulations thereunder adopted by the Commission and the Public Company Accounting Oversight Board (United States).</w:t>
      </w:r>
    </w:p>
    <w:p>
      <w:pPr>
        <w:spacing w:after="0" w:line="79" w:lineRule="exact"/>
        <w:rPr>
          <w:rFonts w:ascii="Arial" w:cs="Arial" w:eastAsia="Arial" w:hAnsi="Arial"/>
          <w:sz w:val="18"/>
          <w:szCs w:val="18"/>
          <w:color w:val="auto"/>
        </w:rPr>
      </w:pPr>
    </w:p>
    <w:p>
      <w:pPr>
        <w:ind w:right="60" w:firstLine="948"/>
        <w:spacing w:after="0" w:line="290" w:lineRule="auto"/>
        <w:tabs>
          <w:tab w:leader="none" w:pos="1276"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 Company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U.S.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described in the Time of Sale Prospectus,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w:t>
      </w:r>
    </w:p>
    <w:p>
      <w:pPr>
        <w:spacing w:after="0" w:line="57" w:lineRule="exact"/>
        <w:rPr>
          <w:rFonts w:ascii="Arial" w:cs="Arial" w:eastAsia="Arial" w:hAnsi="Arial"/>
          <w:sz w:val="16"/>
          <w:szCs w:val="16"/>
          <w:color w:val="auto"/>
        </w:rPr>
      </w:pPr>
    </w:p>
    <w:p>
      <w:pPr>
        <w:ind w:firstLine="948"/>
        <w:spacing w:after="0" w:line="259" w:lineRule="auto"/>
        <w:tabs>
          <w:tab w:leader="none" w:pos="1233" w:val="left"/>
        </w:tabs>
        <w:numPr>
          <w:ilvl w:val="0"/>
          <w:numId w:val="184"/>
        </w:numPr>
        <w:rPr>
          <w:rFonts w:ascii="Arial" w:cs="Arial" w:eastAsia="Arial" w:hAnsi="Arial"/>
          <w:sz w:val="18"/>
          <w:szCs w:val="18"/>
          <w:color w:val="auto"/>
        </w:rPr>
      </w:pPr>
      <w:r>
        <w:rPr>
          <w:rFonts w:ascii="Arial" w:cs="Arial" w:eastAsia="Arial" w:hAnsi="Arial"/>
          <w:sz w:val="18"/>
          <w:szCs w:val="18"/>
          <w:color w:val="auto"/>
        </w:rPr>
        <w:t>Except as described in the Registration Statement or the Time of Sale Prospectus, the Company has not sold, issued or distributed any shares of Common Stock during the six-month period preceding the date hereof, including any sales pursuant to Rule 144A under, or Regulation D or S of, the Securities Act, other than shares issued pursuant to employee benefit plans, qualified stock option plans or other employee compensation plans or pursuant to outstanding options, rights or warrants.</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60"/>
          </w:cols>
          <w:pgMar w:left="880" w:top="274" w:right="459" w:bottom="1440" w:gutter="0" w:footer="0" w:header="0"/>
        </w:sectPr>
      </w:pPr>
    </w:p>
    <w:bookmarkStart w:id="329" w:name="page330"/>
    <w:bookmarkEnd w:id="329"/>
    <w:p>
      <w:pPr>
        <w:ind w:right="40" w:firstLine="948"/>
        <w:spacing w:after="0" w:line="290" w:lineRule="auto"/>
        <w:tabs>
          <w:tab w:leader="none" w:pos="1297" w:val="left"/>
        </w:tabs>
        <w:numPr>
          <w:ilvl w:val="0"/>
          <w:numId w:val="18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has filed all United States federal, state, local and foreign tax returns required to be filed through the date of this Agreement or have requested extensions thereof (except where the failure to file would not, singly or in the aggregate, reasonably be expected to have a material adverse effect on the Company) and has paid all taxes required to be paid thereon (except for cases in which the failure to file or pay would not, singly or in the aggregate, reasonably be expected to have a material adverse effect on the Company, or, except as currently being contested in good faith and by appropriate proceedings and for which reserves required by U.S. GAAP have been created and maintained in the financial statements of the Company), and no tax deficiency has been determined adversely to the Company which, singly or in the aggregate, has had (nor does the Company have any notice or knowledge of any tax deficiency which could reasonably be expected to be determined adversely to the Company and which could reasonably be expected to have) a material adverse effect on the Company.</w:t>
      </w:r>
    </w:p>
    <w:p>
      <w:pPr>
        <w:spacing w:after="0" w:line="57" w:lineRule="exact"/>
        <w:rPr>
          <w:rFonts w:ascii="Arial" w:cs="Arial" w:eastAsia="Arial" w:hAnsi="Arial"/>
          <w:sz w:val="16"/>
          <w:szCs w:val="16"/>
          <w:color w:val="auto"/>
        </w:rPr>
      </w:pPr>
    </w:p>
    <w:p>
      <w:pPr>
        <w:ind w:right="160" w:firstLine="948"/>
        <w:spacing w:after="0" w:line="342" w:lineRule="auto"/>
        <w:tabs>
          <w:tab w:leader="none" w:pos="1297" w:val="left"/>
        </w:tabs>
        <w:numPr>
          <w:ilvl w:val="0"/>
          <w:numId w:val="185"/>
        </w:numPr>
        <w:rPr>
          <w:rFonts w:ascii="Arial" w:cs="Arial" w:eastAsia="Arial" w:hAnsi="Arial"/>
          <w:sz w:val="16"/>
          <w:szCs w:val="16"/>
          <w:color w:val="auto"/>
        </w:rPr>
      </w:pPr>
      <w:r>
        <w:rPr>
          <w:rFonts w:ascii="Arial" w:cs="Arial" w:eastAsia="Arial" w:hAnsi="Arial"/>
          <w:sz w:val="16"/>
          <w:szCs w:val="16"/>
          <w:color w:val="auto"/>
        </w:rPr>
        <w:t>From the time of initial confidential submission of the Registration Statement to the Commission through the date hereof, the Company has been and is an “emerging growth company,” as defined in Section 2(a) of the Securities Act (an “</w:t>
      </w:r>
      <w:r>
        <w:rPr>
          <w:rFonts w:ascii="Arial" w:cs="Arial" w:eastAsia="Arial" w:hAnsi="Arial"/>
          <w:sz w:val="16"/>
          <w:szCs w:val="16"/>
          <w:b w:val="1"/>
          <w:bCs w:val="1"/>
          <w:color w:val="auto"/>
        </w:rPr>
        <w:t>Emerging Growth Company</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firstLine="948"/>
        <w:spacing w:after="0" w:line="290" w:lineRule="auto"/>
        <w:tabs>
          <w:tab w:leader="none" w:pos="1217"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The Company (i) has not alone engaged in any Testing-the-Waters Communication with any person other than Testing-the-Waters Communications with the consent of the Representatives with entities that are reasonably believed to be qualified institutional buyers within the meaning of Rule 144A under the Securities Act or institutions that are reasonably believed to be accredited investors within the meaning of Rule 501 under the Securities Act and (ii) has not authorized anyone other than the Representatives to engage in Testing-the-Waters Communications. The Company reconfirms that the Representatives have been authorized to act on its behalf in undertaking Testing-the-Waters Communications. The Company has not distributed any Testing-the-Waters Communication that is a written communication within the meaning of Rule 405 under the Securities Act other than those listed on Schedule III hereto. “</w:t>
      </w:r>
      <w:r>
        <w:rPr>
          <w:rFonts w:ascii="Arial" w:cs="Arial" w:eastAsia="Arial" w:hAnsi="Arial"/>
          <w:sz w:val="16"/>
          <w:szCs w:val="16"/>
          <w:b w:val="1"/>
          <w:bCs w:val="1"/>
          <w:color w:val="auto"/>
        </w:rPr>
        <w:t>Testing-the-Waters Communication</w:t>
      </w:r>
      <w:r>
        <w:rPr>
          <w:rFonts w:ascii="Arial" w:cs="Arial" w:eastAsia="Arial" w:hAnsi="Arial"/>
          <w:sz w:val="16"/>
          <w:szCs w:val="16"/>
          <w:color w:val="auto"/>
        </w:rPr>
        <w:t>” means any oral or written communication with potential investors undertaken in reliance on Section 5(d) or Rule 163B of the Securities Act.</w:t>
      </w:r>
    </w:p>
    <w:p>
      <w:pPr>
        <w:spacing w:after="0" w:line="57" w:lineRule="exact"/>
        <w:rPr>
          <w:rFonts w:ascii="Arial" w:cs="Arial" w:eastAsia="Arial" w:hAnsi="Arial"/>
          <w:sz w:val="16"/>
          <w:szCs w:val="16"/>
          <w:color w:val="auto"/>
        </w:rPr>
      </w:pPr>
    </w:p>
    <w:p>
      <w:pPr>
        <w:ind w:right="20" w:firstLine="948"/>
        <w:spacing w:after="0" w:line="290" w:lineRule="auto"/>
        <w:tabs>
          <w:tab w:leader="none" w:pos="1217" w:val="left"/>
        </w:tabs>
        <w:numPr>
          <w:ilvl w:val="0"/>
          <w:numId w:val="185"/>
        </w:numPr>
        <w:rPr>
          <w:rFonts w:ascii="Arial" w:cs="Arial" w:eastAsia="Arial" w:hAnsi="Arial"/>
          <w:sz w:val="16"/>
          <w:szCs w:val="16"/>
          <w:color w:val="auto"/>
        </w:rPr>
      </w:pPr>
      <w:r>
        <w:rPr>
          <w:rFonts w:ascii="Arial" w:cs="Arial" w:eastAsia="Arial" w:hAnsi="Arial"/>
          <w:sz w:val="16"/>
          <w:szCs w:val="16"/>
          <w:color w:val="auto"/>
        </w:rPr>
        <w:t>As of the time of each sale of the Shares in connection with the offering when the Prospectus is not yet available to prospective purchasers, none of (A) the Time of Sale Prospectus, (B) any free writing prospectus, when considered together with the Time of Sale Prospectus, and (C) any individual Testing-the-Waters 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 provided, however, that this representation and warranty shall not apply to any statements or omissions made in reliance upon and in conformity with information furnished in writing to the Company by an Underwriter through or on behalf of the Representatives for use therein it being understood and agreed that the only such information furnished by the Underwriters through the Representatives consists of the information described as such in Section 8(b) below.</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60"/>
          </w:cols>
          <w:pgMar w:left="880" w:top="274" w:right="459" w:bottom="1440" w:gutter="0" w:footer="0" w:header="0"/>
        </w:sectPr>
      </w:pPr>
    </w:p>
    <w:bookmarkStart w:id="330" w:name="page331"/>
    <w:bookmarkEnd w:id="330"/>
    <w:p>
      <w:pPr>
        <w:ind w:right="400" w:firstLine="948"/>
        <w:spacing w:after="0" w:line="277" w:lineRule="auto"/>
        <w:tabs>
          <w:tab w:leader="none" w:pos="1297" w:val="left"/>
        </w:tabs>
        <w:numPr>
          <w:ilvl w:val="0"/>
          <w:numId w:val="1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has not had any securities rated by any “nationally recognized statistical rating organization,” as such term is defined in Section 3(a)(62) of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140" w:firstLine="948"/>
        <w:spacing w:after="0" w:line="311" w:lineRule="auto"/>
        <w:tabs>
          <w:tab w:leader="none" w:pos="1217"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The Company has operated at all times and is currently in compliance in all material respects with all applicable statutes, rules, regulations and policies of the U.S. Food and Drug Administration (the “</w:t>
      </w:r>
      <w:r>
        <w:rPr>
          <w:rFonts w:ascii="Arial" w:cs="Arial" w:eastAsia="Arial" w:hAnsi="Arial"/>
          <w:sz w:val="16"/>
          <w:szCs w:val="16"/>
          <w:b w:val="1"/>
          <w:bCs w:val="1"/>
          <w:color w:val="auto"/>
        </w:rPr>
        <w:t>FDA</w:t>
      </w:r>
      <w:r>
        <w:rPr>
          <w:rFonts w:ascii="Arial" w:cs="Arial" w:eastAsia="Arial" w:hAnsi="Arial"/>
          <w:sz w:val="16"/>
          <w:szCs w:val="16"/>
          <w:color w:val="auto"/>
        </w:rPr>
        <w:t>”) and comparable U.S. and foreign regulatory authorities to which they are subject, including the European Medicines Agency (collectively, the “</w:t>
      </w:r>
      <w:r>
        <w:rPr>
          <w:rFonts w:ascii="Arial" w:cs="Arial" w:eastAsia="Arial" w:hAnsi="Arial"/>
          <w:sz w:val="16"/>
          <w:szCs w:val="16"/>
          <w:b w:val="1"/>
          <w:bCs w:val="1"/>
          <w:color w:val="auto"/>
        </w:rPr>
        <w:t>Regulatory Authorities</w:t>
      </w:r>
      <w:r>
        <w:rPr>
          <w:rFonts w:ascii="Arial" w:cs="Arial" w:eastAsia="Arial" w:hAnsi="Arial"/>
          <w:sz w:val="16"/>
          <w:szCs w:val="16"/>
          <w:color w:val="auto"/>
        </w:rPr>
        <w:t>”), including, without limitation:</w:t>
      </w:r>
    </w:p>
    <w:p>
      <w:pPr>
        <w:spacing w:after="0" w:line="40" w:lineRule="exact"/>
        <w:rPr>
          <w:rFonts w:ascii="Arial" w:cs="Arial" w:eastAsia="Arial" w:hAnsi="Arial"/>
          <w:sz w:val="16"/>
          <w:szCs w:val="16"/>
          <w:color w:val="auto"/>
        </w:rPr>
      </w:pPr>
    </w:p>
    <w:p>
      <w:pPr>
        <w:ind w:left="2060" w:hanging="209"/>
        <w:spacing w:after="0"/>
        <w:tabs>
          <w:tab w:leader="none" w:pos="206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the Federal Food, Drug, and Cosmetic Act and the regulations promulgated thereunder;</w:t>
      </w:r>
    </w:p>
    <w:p>
      <w:pPr>
        <w:spacing w:after="0" w:line="117" w:lineRule="exact"/>
        <w:rPr>
          <w:rFonts w:ascii="Arial" w:cs="Arial" w:eastAsia="Arial" w:hAnsi="Arial"/>
          <w:sz w:val="18"/>
          <w:szCs w:val="18"/>
          <w:color w:val="auto"/>
        </w:rPr>
      </w:pPr>
    </w:p>
    <w:p>
      <w:pPr>
        <w:ind w:left="980" w:firstLine="871"/>
        <w:spacing w:after="0" w:line="290" w:lineRule="auto"/>
        <w:tabs>
          <w:tab w:leader="none" w:pos="2107" w:val="left"/>
        </w:tabs>
        <w:numPr>
          <w:ilvl w:val="1"/>
          <w:numId w:val="186"/>
        </w:numPr>
        <w:rPr>
          <w:rFonts w:ascii="Arial" w:cs="Arial" w:eastAsia="Arial" w:hAnsi="Arial"/>
          <w:sz w:val="16"/>
          <w:szCs w:val="16"/>
          <w:color w:val="auto"/>
        </w:rPr>
      </w:pPr>
      <w:r>
        <w:rPr>
          <w:rFonts w:ascii="Arial" w:cs="Arial" w:eastAsia="Arial" w:hAnsi="Arial"/>
          <w:sz w:val="16"/>
          <w:szCs w:val="16"/>
          <w:color w:val="auto"/>
        </w:rPr>
        <w:t>all applicable federal, state, local and foreign health care laws, including, without limitation, the U.S. Anti-Kickback Statute (42 U.S.C. Section 1320a-7b(b)), the Civil Monetary Penalties Law (42 U.S.C. § 1320a-7a), the U.S. Civil False Claims Act (31 U.S.C. Section 3729 et seq.), all applicable federal, state, local and all foreign criminal laws relating to health care fraud and abuse, including but not limited to the U.S. False Statements Law (42 U.S.C. Section 1320a-7b(a)), 18 U.S.C. Sections 286 and 287, and the health care fraud criminal provisions under the U.S. Health Insurance Portability and Accountability Act of 1996 (42 U.S.C. Section 1320d et seq.), the Health Information Technology for Economic and Clinical Health Act (42 U.S.C. Section 17921 et seq.), the exclusion law (42 U.S.C. Section 1320a-7), the statutes, regulations and directives of applicable government funded or sponsored healthcare programs, and the regulations promulgated pursuant to such statutes;</w:t>
      </w:r>
    </w:p>
    <w:p>
      <w:pPr>
        <w:spacing w:after="0" w:line="57" w:lineRule="exact"/>
        <w:rPr>
          <w:rFonts w:ascii="Arial" w:cs="Arial" w:eastAsia="Arial" w:hAnsi="Arial"/>
          <w:sz w:val="16"/>
          <w:szCs w:val="16"/>
          <w:color w:val="auto"/>
        </w:rPr>
      </w:pPr>
    </w:p>
    <w:p>
      <w:pPr>
        <w:ind w:left="980" w:right="1020" w:firstLine="871"/>
        <w:spacing w:after="0" w:line="277" w:lineRule="auto"/>
        <w:tabs>
          <w:tab w:leader="none" w:pos="2157" w:val="left"/>
        </w:tabs>
        <w:numPr>
          <w:ilvl w:val="1"/>
          <w:numId w:val="186"/>
        </w:numPr>
        <w:rPr>
          <w:rFonts w:ascii="Arial" w:cs="Arial" w:eastAsia="Arial" w:hAnsi="Arial"/>
          <w:sz w:val="18"/>
          <w:szCs w:val="18"/>
          <w:color w:val="auto"/>
        </w:rPr>
      </w:pPr>
      <w:r>
        <w:rPr>
          <w:rFonts w:ascii="Arial" w:cs="Arial" w:eastAsia="Arial" w:hAnsi="Arial"/>
          <w:sz w:val="18"/>
          <w:szCs w:val="18"/>
          <w:color w:val="auto"/>
        </w:rPr>
        <w:t>the Patient Protection and Affordable Care Act of 2010, as amended by the Health Care and Education Reconciliation Act of 2010, the regulations promulgated thereunder;</w:t>
      </w:r>
    </w:p>
    <w:p>
      <w:pPr>
        <w:spacing w:after="0" w:line="62" w:lineRule="exact"/>
        <w:rPr>
          <w:rFonts w:ascii="Arial" w:cs="Arial" w:eastAsia="Arial" w:hAnsi="Arial"/>
          <w:sz w:val="18"/>
          <w:szCs w:val="18"/>
          <w:color w:val="auto"/>
        </w:rPr>
      </w:pPr>
    </w:p>
    <w:p>
      <w:pPr>
        <w:ind w:left="2160" w:hanging="309"/>
        <w:spacing w:after="0"/>
        <w:tabs>
          <w:tab w:leader="none" w:pos="216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the U.S. Controlled Substances Act (21 U.S.C. Section 801 et seq.);</w:t>
      </w:r>
    </w:p>
    <w:p>
      <w:pPr>
        <w:spacing w:after="0" w:line="117" w:lineRule="exact"/>
        <w:rPr>
          <w:rFonts w:ascii="Arial" w:cs="Arial" w:eastAsia="Arial" w:hAnsi="Arial"/>
          <w:sz w:val="18"/>
          <w:szCs w:val="18"/>
          <w:color w:val="auto"/>
        </w:rPr>
      </w:pPr>
    </w:p>
    <w:p>
      <w:pPr>
        <w:ind w:left="2100" w:hanging="249"/>
        <w:spacing w:after="0"/>
        <w:tabs>
          <w:tab w:leader="none" w:pos="210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current Good Manufacturing Practices and Good Laboratory Practices;</w:t>
      </w:r>
    </w:p>
    <w:p>
      <w:pPr>
        <w:spacing w:after="0" w:line="117" w:lineRule="exact"/>
        <w:rPr>
          <w:rFonts w:ascii="Arial" w:cs="Arial" w:eastAsia="Arial" w:hAnsi="Arial"/>
          <w:sz w:val="18"/>
          <w:szCs w:val="18"/>
          <w:color w:val="auto"/>
        </w:rPr>
      </w:pPr>
    </w:p>
    <w:p>
      <w:pPr>
        <w:ind w:left="980" w:right="440" w:firstLine="871"/>
        <w:spacing w:after="0" w:line="277" w:lineRule="auto"/>
        <w:tabs>
          <w:tab w:leader="none" w:pos="2147" w:val="left"/>
        </w:tabs>
        <w:numPr>
          <w:ilvl w:val="1"/>
          <w:numId w:val="186"/>
        </w:numPr>
        <w:rPr>
          <w:rFonts w:ascii="Arial" w:cs="Arial" w:eastAsia="Arial" w:hAnsi="Arial"/>
          <w:sz w:val="18"/>
          <w:szCs w:val="18"/>
          <w:color w:val="auto"/>
        </w:rPr>
      </w:pPr>
      <w:r>
        <w:rPr>
          <w:rFonts w:ascii="Arial" w:cs="Arial" w:eastAsia="Arial" w:hAnsi="Arial"/>
          <w:sz w:val="18"/>
          <w:szCs w:val="18"/>
          <w:color w:val="auto"/>
        </w:rPr>
        <w:t>licensure, quality, safety and accreditation requirements under applicable federal, state, local or foreign laws or regulatory bodies; and</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80"/>
          </w:cols>
          <w:pgMar w:left="880" w:top="274" w:right="439" w:bottom="1440" w:gutter="0" w:footer="0" w:header="0"/>
        </w:sectPr>
      </w:pPr>
    </w:p>
    <w:bookmarkStart w:id="331" w:name="page332"/>
    <w:bookmarkEnd w:id="331"/>
    <w:p>
      <w:pPr>
        <w:ind w:left="980" w:right="20" w:firstLine="871"/>
        <w:spacing w:after="0" w:line="259" w:lineRule="auto"/>
        <w:tabs>
          <w:tab w:leader="none" w:pos="2197" w:val="left"/>
        </w:tabs>
        <w:numPr>
          <w:ilvl w:val="1"/>
          <w:numId w:val="1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other local, state, federal, national, supranational and foreign laws, relating to the regulation of the Company and the ownership, testing, development, manufacture, packaging, processing, use, distribution, marketing, labeling, promotion, sale, offer for sale, storage, import, export or disposal of any product under development, manufactured or distributed by the Company; (clauses (i) through (vii), collectively, “</w:t>
      </w:r>
      <w:r>
        <w:rPr>
          <w:rFonts w:ascii="Arial" w:cs="Arial" w:eastAsia="Arial" w:hAnsi="Arial"/>
          <w:sz w:val="18"/>
          <w:szCs w:val="18"/>
          <w:b w:val="1"/>
          <w:bCs w:val="1"/>
          <w:color w:val="auto"/>
        </w:rPr>
        <w:t>Health Care Laws</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firstLine="948"/>
        <w:spacing w:after="0" w:line="286" w:lineRule="auto"/>
        <w:tabs>
          <w:tab w:leader="none" w:pos="1397" w:val="left"/>
        </w:tabs>
        <w:numPr>
          <w:ilvl w:val="0"/>
          <w:numId w:val="188"/>
        </w:numPr>
        <w:rPr>
          <w:rFonts w:ascii="Arial" w:cs="Arial" w:eastAsia="Arial" w:hAnsi="Arial"/>
          <w:sz w:val="16"/>
          <w:szCs w:val="16"/>
          <w:color w:val="auto"/>
        </w:rPr>
      </w:pPr>
      <w:r>
        <w:rPr>
          <w:rFonts w:ascii="Arial" w:cs="Arial" w:eastAsia="Arial" w:hAnsi="Arial"/>
          <w:sz w:val="16"/>
          <w:szCs w:val="16"/>
          <w:color w:val="auto"/>
        </w:rPr>
        <w:t>(i) the studies, tests and preclinical and clinical trials conducted by or on behalf of or sponsored by the Company or in which the Company has participated, were, and if still pending are, being conducted in all material respects in accordance with legally required standard medical and experimental protocols, procedures and controls pursuant to accepted professional scientific research standards and procedures and all applicable Health Care Laws; (ii) the descriptions of the results of such studies, tests and trials contained in the Registration Statement, the Time of Sale Prospectus or the Prospectus are accurate and complete in all material respects and fairly present the data derived from such trials; (iii) the Company has no knowledge of any other studies not described in the Registration Statement, the Time of Sale Prospectus and the Prospectus, the results of which the Company reasonably believes call into question the results described or referred to in the Registration Statement, the Time of Sale Prospectus and the Prospectus, except where such question would not, singly or in the aggregate, reasonably be expected to have a material adverse effect on the Company; (iv) the Company has provided the Representatives with all substantive written notices, correspondence and communications provided to the Company from the Regulatory Authorities; and (v) the Company has not received any written notices, correspondence or other communications from any Regulatory Authority or any other governmental entity requiring or threatening the termination, material modification or suspension of any studies or trials that are described in the Registration Statement, the Time of Sale Prospectus and the Prospectus or the results of which are referred to in the Registration Statement, the Time of Sale Prospectus and the Prospectus, and, to the Company’s knowledge, there are no reasonable grounds for the same.</w:t>
      </w:r>
    </w:p>
    <w:p>
      <w:pPr>
        <w:spacing w:after="0" w:line="62" w:lineRule="exact"/>
        <w:rPr>
          <w:rFonts w:ascii="Arial" w:cs="Arial" w:eastAsia="Arial" w:hAnsi="Arial"/>
          <w:sz w:val="16"/>
          <w:szCs w:val="16"/>
          <w:color w:val="auto"/>
        </w:rPr>
      </w:pPr>
    </w:p>
    <w:p>
      <w:pPr>
        <w:ind w:right="40" w:firstLine="948"/>
        <w:spacing w:after="0" w:line="254" w:lineRule="auto"/>
        <w:tabs>
          <w:tab w:leader="none" w:pos="1297"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 Except as would not, individually or in the aggregate, reasonably be expected to have a material adverse effect on the Company, the Company has filed, obtained, maintained or submitted all reports, documents, forms, notices, applications, records, claims, submissions and supplements or amendments as required by any Health Care Laws, and, all such reports, documents, forms, notices, applications, records, claims, submissions and supplements or amendments were timely, complete, accurate and not misleading on the date filed (or were corrected or supplemented by a subsequent submission); (ii) the Company has not received written notice of any claim, action, suit, proceeding, hearing, enforcement, investigation, arbitration or other action from any court or arbitrator or Regulatory Authority, other governmental entity or third party alleging that any Company or product operation or activity is in violation of any Health Care Laws, including, without limitation, any FDA Form 483, notice</w:t>
      </w:r>
    </w:p>
    <w:p>
      <w:pPr>
        <w:spacing w:after="0" w:line="12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60"/>
          </w:cols>
          <w:pgMar w:left="880" w:top="274" w:right="459" w:bottom="1440" w:gutter="0" w:footer="0" w:header="0"/>
        </w:sectPr>
      </w:pPr>
    </w:p>
    <w:bookmarkStart w:id="332" w:name="page333"/>
    <w:bookmarkEnd w:id="332"/>
    <w:p>
      <w:pPr>
        <w:ind w:left="4"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adverse finding, warning letter, untitled letter or other correspondence or notice from the FDA or any other Regulatory Authority or governmental entity, nor, to the Company’s knowledge, is any such claim, action, suit, proceeding, hearing, enforcement, investigation, arbitration or other action threatened; (iii) the Company is not a party to any corporate integrity agreements, monitoring agreements, consent decrees, settlement orders, or similar agreements with or imposed by any Regulatory Authority or other governmental entity; and (iv) neither the Company nor any of its employees, officers or directors has been excluded, suspended or debarred from participation in any U.S. federal health care program or human clinical research or, to the knowledge of the Company, is subject to an inquiry, investigation, proceeding or other similar action by a Regulatory Authority or other governmental entity that could reasonably be expected to result in debarment, suspension, or exclusion.</w:t>
      </w:r>
    </w:p>
    <w:p>
      <w:pPr>
        <w:spacing w:after="0" w:line="58" w:lineRule="exact"/>
        <w:rPr>
          <w:sz w:val="20"/>
          <w:szCs w:val="20"/>
          <w:color w:val="auto"/>
        </w:rPr>
      </w:pPr>
    </w:p>
    <w:p>
      <w:pPr>
        <w:ind w:left="4" w:firstLine="948"/>
        <w:spacing w:after="0" w:line="255" w:lineRule="auto"/>
        <w:tabs>
          <w:tab w:leader="none" w:pos="130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The Company has not failed to file with the Regulatory Authorities any required filing, declaration, listing, registration, report or submission with respect to the Company’s product candidates that are described or referred to in the Time of Sale Prospectus; all such filings, declarations, listings, registrations, reports or submissions were in material compliance with applicable laws when filed, or amended or supplemented in material compliance with applicable laws; and no material deficiencies regarding compliance with applicable law have been asserted by any applicable regulatory authority with respect to any such filings, declarations, listings, registrations, reports or submissions, or amendments or supplements thereof.</w:t>
      </w:r>
    </w:p>
    <w:p>
      <w:pPr>
        <w:spacing w:after="0" w:line="84" w:lineRule="exact"/>
        <w:rPr>
          <w:rFonts w:ascii="Arial" w:cs="Arial" w:eastAsia="Arial" w:hAnsi="Arial"/>
          <w:sz w:val="18"/>
          <w:szCs w:val="18"/>
          <w:color w:val="auto"/>
        </w:rPr>
      </w:pPr>
    </w:p>
    <w:p>
      <w:pPr>
        <w:ind w:left="4" w:right="20" w:firstLine="948"/>
        <w:spacing w:after="0" w:line="275" w:lineRule="auto"/>
        <w:tabs>
          <w:tab w:leader="none" w:pos="1300" w:val="left"/>
        </w:tabs>
        <w:numPr>
          <w:ilvl w:val="1"/>
          <w:numId w:val="189"/>
        </w:numPr>
        <w:rPr>
          <w:rFonts w:ascii="Arial" w:cs="Arial" w:eastAsia="Arial" w:hAnsi="Arial"/>
          <w:sz w:val="17"/>
          <w:szCs w:val="17"/>
          <w:color w:val="auto"/>
        </w:rPr>
      </w:pPr>
      <w:r>
        <w:rPr>
          <w:rFonts w:ascii="Arial" w:cs="Arial" w:eastAsia="Arial" w:hAnsi="Arial"/>
          <w:sz w:val="17"/>
          <w:szCs w:val="17"/>
          <w:color w:val="auto"/>
        </w:rPr>
        <w:t>The Company possesses all certificates, authorizations and permits issued by the appropriate federal, state or foreign regulatory authorities necessary to conduct its business as currently conducted, including, without limitation, from the Regulatory Authorities, and the Company has not received any notice of proceedings relating to the revocation or material modification of any such certificate, authorization or permit which, singly or in the aggregate, if the subject of an unfavorable decision, ruling or finding, would reasonably be expected have a material adverse effect on the Company, except as described in the Time of Sale Prospectus.</w:t>
      </w:r>
    </w:p>
    <w:p>
      <w:pPr>
        <w:spacing w:after="0" w:line="68" w:lineRule="exact"/>
        <w:rPr>
          <w:rFonts w:ascii="Arial" w:cs="Arial" w:eastAsia="Arial" w:hAnsi="Arial"/>
          <w:sz w:val="17"/>
          <w:szCs w:val="17"/>
          <w:color w:val="auto"/>
        </w:rPr>
      </w:pPr>
    </w:p>
    <w:p>
      <w:pPr>
        <w:ind w:left="1304" w:hanging="352"/>
        <w:spacing w:after="0"/>
        <w:tabs>
          <w:tab w:leader="none" w:pos="1304" w:val="left"/>
        </w:tabs>
        <w:numPr>
          <w:ilvl w:val="1"/>
          <w:numId w:val="189"/>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have a material adverse effect on the Company,</w:t>
      </w:r>
    </w:p>
    <w:p>
      <w:pPr>
        <w:spacing w:after="0" w:line="46" w:lineRule="exact"/>
        <w:rPr>
          <w:rFonts w:ascii="Arial" w:cs="Arial" w:eastAsia="Arial" w:hAnsi="Arial"/>
          <w:sz w:val="16"/>
          <w:szCs w:val="16"/>
          <w:color w:val="auto"/>
        </w:rPr>
      </w:pPr>
    </w:p>
    <w:p>
      <w:pPr>
        <w:ind w:left="4" w:right="60" w:hanging="4"/>
        <w:spacing w:after="0" w:line="281" w:lineRule="auto"/>
        <w:tabs>
          <w:tab w:leader="none" w:pos="218" w:val="left"/>
        </w:tabs>
        <w:numPr>
          <w:ilvl w:val="0"/>
          <w:numId w:val="190"/>
        </w:numPr>
        <w:rPr>
          <w:rFonts w:ascii="Arial" w:cs="Arial" w:eastAsia="Arial" w:hAnsi="Arial"/>
          <w:sz w:val="16"/>
          <w:szCs w:val="16"/>
          <w:color w:val="auto"/>
        </w:rPr>
      </w:pPr>
      <w:r>
        <w:rPr>
          <w:rFonts w:ascii="Arial" w:cs="Arial" w:eastAsia="Arial" w:hAnsi="Arial"/>
          <w:sz w:val="16"/>
          <w:szCs w:val="16"/>
          <w:color w:val="auto"/>
        </w:rPr>
        <w:t>each employee benefit plan, within the meaning of Section 3(3) of the Employee Retirement Income Security Act of 1974, as amended (“ERISA”), that is sponsored, maintained, administered or contributed to by the Company has been maintained in compliance with its terms and the requirements of any applicable statutes, orders, rules and regulations, including but not limited to ERISA and the Internal Revenue Code of 1986, as amended (the “Code”), and (ii) neither the Company nor any member of its “Controlled Group” (defined as any trade or business, whether or not incorporated, that would be regarded as a single employer with the Company under Section 414 of the Code) (x) has ever sponsored, maintained, contributed to or has had any obligation to contribute to, any employee benefit plan that is subject to Title IV of ERISA or any “multiemployer plan” as defined in Section 3(37) of ERISA or (y) has incurred, or reasonably expects to incur, any liability under Title IV of</w:t>
      </w:r>
    </w:p>
    <w:p>
      <w:pPr>
        <w:spacing w:after="0" w:line="4"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ERISA.</w:t>
      </w:r>
    </w:p>
    <w:p>
      <w:pPr>
        <w:spacing w:after="0" w:line="143"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64"/>
          </w:cols>
          <w:pgMar w:left="876" w:top="274" w:right="459" w:bottom="1440" w:gutter="0" w:footer="0" w:header="0"/>
        </w:sectPr>
      </w:pPr>
    </w:p>
    <w:bookmarkStart w:id="333" w:name="page334"/>
    <w:bookmarkEnd w:id="333"/>
    <w:p>
      <w:pPr>
        <w:jc w:val="both"/>
        <w:ind w:right="120" w:firstLine="436"/>
        <w:spacing w:after="0" w:line="311" w:lineRule="auto"/>
        <w:tabs>
          <w:tab w:leader="none" w:pos="620" w:val="left"/>
        </w:tabs>
        <w:numPr>
          <w:ilvl w:val="0"/>
          <w:numId w:val="191"/>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Agreements to Sell and Purchase. </w:t>
      </w:r>
      <w:r>
        <w:rPr>
          <w:rFonts w:ascii="Arial" w:cs="Arial" w:eastAsia="Arial" w:hAnsi="Arial"/>
          <w:sz w:val="16"/>
          <w:szCs w:val="16"/>
          <w:color w:val="auto"/>
        </w:rPr>
        <w:t>The Company hereby agrees to sell to the several Underwriters, and each Underwriter, upon the basis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representations and warranties herein contained, but subject to the terms and conditions hereinafter stated, agrees, severally and not jointly, to purchase from the Company the respective numbers of Firm Shares set forth in Schedule I hereto opposite its name at $[•] a share (the “</w:t>
      </w:r>
      <w:r>
        <w:rPr>
          <w:rFonts w:ascii="Arial" w:cs="Arial" w:eastAsia="Arial" w:hAnsi="Arial"/>
          <w:sz w:val="16"/>
          <w:szCs w:val="16"/>
          <w:b w:val="1"/>
          <w:bCs w:val="1"/>
          <w:color w:val="auto"/>
        </w:rPr>
        <w:t>Purchase Price</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On the basis of the representations and warranties contained in this Agreement, and subject to its terms and conditions, the Company agrees to sell to the Underwriters the Additional Shares, and the Underwriters shall have the right to purchase, severally and not jointly, up to [•] Additional Shares at the Purchase Price, provided, however, that the amount paid by the Underwriters for any Additional Shares shall be reduced by an amount per share equal to any dividends declared by the Company and payable on the Firm Shares but not payable on such Additional Shares. The Representatives may exercise this right on behalf of the Underwriters in whole or from time to time in part by giving written notice not later than 30 days after the date of this Agreement. Any exercise notice shall specify the number of Additional Shares to be purchased by the Underwriters and the date on which such shares are to be purchased. Each purchase date must be at least one business day after the written notice is given and may not be earlier than the closing date for the Firm Shares or later than ten business days after the date of such notice. Additional Shares may be purchased as provided in Section 4 hereof solely for the purpose of covering over-allotments made in connection with the offering of the Firm Shares. On each day, if any, that Additional Shares are to be purchased (an “</w:t>
      </w:r>
      <w:r>
        <w:rPr>
          <w:rFonts w:ascii="Arial" w:cs="Arial" w:eastAsia="Arial" w:hAnsi="Arial"/>
          <w:sz w:val="16"/>
          <w:szCs w:val="16"/>
          <w:b w:val="1"/>
          <w:bCs w:val="1"/>
          <w:color w:val="auto"/>
        </w:rPr>
        <w:t>Option Closing Date</w:t>
      </w:r>
      <w:r>
        <w:rPr>
          <w:rFonts w:ascii="Arial" w:cs="Arial" w:eastAsia="Arial" w:hAnsi="Arial"/>
          <w:sz w:val="16"/>
          <w:szCs w:val="16"/>
          <w:color w:val="auto"/>
        </w:rPr>
        <w:t>”), each Underwriter agrees, severally and not jointly, to purchase the number of Additional Shares (subject to such adjustments to eliminate fractional shares as the Representatives may determine) that bears the same proportion to the total number of Additional Shares to be purchased on such Option Closing Date as the number of Firm Shares set forth in Schedule I hereto opposite the name of such Underwriter bears to the total number of Firm Shares.</w:t>
      </w:r>
    </w:p>
    <w:p>
      <w:pPr>
        <w:spacing w:after="0" w:line="66" w:lineRule="exact"/>
        <w:rPr>
          <w:sz w:val="20"/>
          <w:szCs w:val="20"/>
          <w:color w:val="auto"/>
        </w:rPr>
      </w:pPr>
    </w:p>
    <w:p>
      <w:pPr>
        <w:ind w:firstLine="436"/>
        <w:spacing w:after="0" w:line="255" w:lineRule="auto"/>
        <w:tabs>
          <w:tab w:leader="none" w:pos="620" w:val="left"/>
        </w:tabs>
        <w:numPr>
          <w:ilvl w:val="0"/>
          <w:numId w:val="192"/>
        </w:numPr>
        <w:rPr>
          <w:rFonts w:ascii="Arial" w:cs="Arial" w:eastAsia="Arial" w:hAnsi="Arial"/>
          <w:sz w:val="18"/>
          <w:szCs w:val="18"/>
          <w:color w:val="auto"/>
        </w:rPr>
      </w:pPr>
      <w:r>
        <w:rPr>
          <w:rFonts w:ascii="Arial" w:cs="Arial" w:eastAsia="Arial" w:hAnsi="Arial"/>
          <w:sz w:val="18"/>
          <w:szCs w:val="18"/>
          <w:i w:val="1"/>
          <w:iCs w:val="1"/>
          <w:color w:val="auto"/>
        </w:rPr>
        <w:t>Terms of Public Offering</w:t>
      </w:r>
      <w:r>
        <w:rPr>
          <w:rFonts w:ascii="Arial" w:cs="Arial" w:eastAsia="Arial" w:hAnsi="Arial"/>
          <w:sz w:val="18"/>
          <w:szCs w:val="18"/>
          <w:color w:val="auto"/>
        </w:rPr>
        <w:t>. The Company is advised by the Representatives that the Underwriters propose to make a public offering of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portions of the Shares as soon after the Registration Statement and this Agreement have become effective as in the Representatives’ judgment is advisable. The Company is further advised by the Representatives that the Shares are to be offered to the public initially at $[•] a share (the “</w:t>
      </w:r>
      <w:r>
        <w:rPr>
          <w:rFonts w:ascii="Arial" w:cs="Arial" w:eastAsia="Arial" w:hAnsi="Arial"/>
          <w:sz w:val="18"/>
          <w:szCs w:val="18"/>
          <w:b w:val="1"/>
          <w:bCs w:val="1"/>
          <w:color w:val="auto"/>
        </w:rPr>
        <w:t>Public</w:t>
      </w:r>
      <w:r>
        <w:rPr>
          <w:rFonts w:ascii="Arial" w:cs="Arial" w:eastAsia="Arial" w:hAnsi="Arial"/>
          <w:sz w:val="18"/>
          <w:szCs w:val="18"/>
          <w:color w:val="auto"/>
        </w:rPr>
        <w:t xml:space="preserve"> </w:t>
      </w:r>
      <w:r>
        <w:rPr>
          <w:rFonts w:ascii="Arial" w:cs="Arial" w:eastAsia="Arial" w:hAnsi="Arial"/>
          <w:sz w:val="18"/>
          <w:szCs w:val="18"/>
          <w:b w:val="1"/>
          <w:bCs w:val="1"/>
          <w:color w:val="auto"/>
        </w:rPr>
        <w:t>Offering Price</w:t>
      </w:r>
      <w:r>
        <w:rPr>
          <w:rFonts w:ascii="Arial" w:cs="Arial" w:eastAsia="Arial" w:hAnsi="Arial"/>
          <w:sz w:val="18"/>
          <w:szCs w:val="18"/>
          <w:color w:val="auto"/>
        </w:rPr>
        <w:t>”) and to certain dealers selected by the Representatives at a price that represents a concession not in excess of $[•] a share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Public Offering Price, and that any Underwriter may allow, and such dealers may reallow, a concession, not in excess of $[•] a share, to any Underwriter or to certain other dealers.</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4" w:right="479" w:bottom="1440" w:gutter="0" w:footer="0" w:header="0"/>
        </w:sectPr>
      </w:pPr>
    </w:p>
    <w:bookmarkStart w:id="334" w:name="page335"/>
    <w:bookmarkEnd w:id="334"/>
    <w:p>
      <w:pPr>
        <w:ind w:right="120" w:firstLine="436"/>
        <w:spacing w:after="0" w:line="259" w:lineRule="auto"/>
        <w:tabs>
          <w:tab w:leader="none" w:pos="620" w:val="left"/>
        </w:tabs>
        <w:numPr>
          <w:ilvl w:val="0"/>
          <w:numId w:val="19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Payment and Delivery. </w:t>
      </w:r>
      <w:r>
        <w:rPr>
          <w:rFonts w:ascii="Arial" w:cs="Arial" w:eastAsia="Arial" w:hAnsi="Arial"/>
          <w:sz w:val="18"/>
          <w:szCs w:val="18"/>
          <w:color w:val="auto"/>
        </w:rPr>
        <w:t>Payment for the Firm Shares shall be made to the Company in Federal or other funds immediately available in New</w:t>
      </w:r>
      <w:r>
        <w:rPr>
          <w:rFonts w:ascii="Arial" w:cs="Arial" w:eastAsia="Arial" w:hAnsi="Arial"/>
          <w:sz w:val="18"/>
          <w:szCs w:val="18"/>
          <w:i w:val="1"/>
          <w:iCs w:val="1"/>
          <w:color w:val="auto"/>
        </w:rPr>
        <w:t xml:space="preserve"> </w:t>
      </w:r>
      <w:r>
        <w:rPr>
          <w:rFonts w:ascii="Arial" w:cs="Arial" w:eastAsia="Arial" w:hAnsi="Arial"/>
          <w:sz w:val="18"/>
          <w:szCs w:val="18"/>
          <w:color w:val="auto"/>
        </w:rPr>
        <w:t>York City against delivery of such Firm Shares for the respective accounts of the several Underwriters at 10:00 a.m., New York City time, on [•], 2021, or at such other time on the same or such other date, not later than [•], 2021, as shall be designated in writing by the Representatives. The time and date of such payment are hereinafter referred to as the “</w:t>
      </w:r>
      <w:r>
        <w:rPr>
          <w:rFonts w:ascii="Arial" w:cs="Arial" w:eastAsia="Arial" w:hAnsi="Arial"/>
          <w:sz w:val="18"/>
          <w:szCs w:val="18"/>
          <w:b w:val="1"/>
          <w:bCs w:val="1"/>
          <w:color w:val="auto"/>
        </w:rPr>
        <w:t>Closing Date</w:t>
      </w:r>
      <w:r>
        <w:rPr>
          <w:rFonts w:ascii="Arial" w:cs="Arial" w:eastAsia="Arial" w:hAnsi="Arial"/>
          <w:sz w:val="18"/>
          <w:szCs w:val="18"/>
          <w:color w:val="auto"/>
        </w:rPr>
        <w:t>.”</w:t>
      </w:r>
    </w:p>
    <w:p>
      <w:pPr>
        <w:spacing w:after="0" w:line="187"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Payment for any Additional Shares shall be made to the Company in Federal or other funds immediately available in New York City against delivery of such Additional Shares for the respective accounts of the several Underwriters at 10:00 a.m., New York City time, on the date specified in the corresponding notice described in Section 2 or at such other time on the same or on such other date, in any event not later than [•], 2021, as shall be designated in writing by the Representatives.</w:t>
      </w:r>
    </w:p>
    <w:p>
      <w:pPr>
        <w:spacing w:after="0" w:line="18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The Firm Shares and Additional Shares shall be registered in such names and in such denominations as the Representatives shall request in writing not later than one full business day prior to the Closing Date or the applicable Option Closing Date, as the case may be. The Firm Shares and Additional Shares shall be delivered to the Representatives on the Closing Date or an Option Closing Date, as the case may be, for the respective accounts of the several Underwriters, with any transfer taxes payable in connection with the transfer of the Shares to the Underwriters duly paid, against payment of the Purchase Price therefor.</w:t>
      </w:r>
    </w:p>
    <w:p>
      <w:pPr>
        <w:spacing w:after="0" w:line="80" w:lineRule="exact"/>
        <w:rPr>
          <w:sz w:val="20"/>
          <w:szCs w:val="20"/>
          <w:color w:val="auto"/>
        </w:rPr>
      </w:pPr>
    </w:p>
    <w:p>
      <w:pPr>
        <w:ind w:right="80" w:firstLine="436"/>
        <w:spacing w:after="0" w:line="263" w:lineRule="auto"/>
        <w:tabs>
          <w:tab w:leader="none" w:pos="620" w:val="left"/>
        </w:tabs>
        <w:numPr>
          <w:ilvl w:val="0"/>
          <w:numId w:val="194"/>
        </w:numPr>
        <w:rPr>
          <w:rFonts w:ascii="Arial" w:cs="Arial" w:eastAsia="Arial" w:hAnsi="Arial"/>
          <w:sz w:val="18"/>
          <w:szCs w:val="18"/>
          <w:color w:val="auto"/>
        </w:rPr>
      </w:pPr>
      <w:r>
        <w:rPr>
          <w:rFonts w:ascii="Arial" w:cs="Arial" w:eastAsia="Arial" w:hAnsi="Arial"/>
          <w:sz w:val="18"/>
          <w:szCs w:val="18"/>
          <w:i w:val="1"/>
          <w:iCs w:val="1"/>
          <w:color w:val="auto"/>
        </w:rPr>
        <w:t>Conditions to the Underwriters’ Obligations</w:t>
      </w:r>
      <w:r>
        <w:rPr>
          <w:rFonts w:ascii="Arial" w:cs="Arial" w:eastAsia="Arial" w:hAnsi="Arial"/>
          <w:sz w:val="18"/>
          <w:szCs w:val="18"/>
          <w:color w:val="auto"/>
        </w:rPr>
        <w:t>. The obligations of the Company to sell the Shares to the Underwriters and the several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Underwriters to purchase and pay for the Shares on the Closing Date are subject to the condition that the Registration Statement shall have become effective not later than [•] (New York City time) on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several obligations of the Underwriters are subject to the following further conditions:</w:t>
      </w:r>
    </w:p>
    <w:p>
      <w:pPr>
        <w:spacing w:after="0" w:line="117" w:lineRule="exact"/>
        <w:rPr>
          <w:sz w:val="20"/>
          <w:szCs w:val="20"/>
          <w:color w:val="auto"/>
        </w:rPr>
      </w:pPr>
    </w:p>
    <w:p>
      <w:pPr>
        <w:ind w:left="1640" w:hanging="252"/>
        <w:spacing w:after="0"/>
        <w:tabs>
          <w:tab w:leader="none" w:pos="16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Subsequent to the execution and delivery of this Agreement and prior to the Closing Date:</w:t>
      </w:r>
    </w:p>
    <w:p>
      <w:pPr>
        <w:spacing w:after="0" w:line="117" w:lineRule="exact"/>
        <w:rPr>
          <w:rFonts w:ascii="Arial" w:cs="Arial" w:eastAsia="Arial" w:hAnsi="Arial"/>
          <w:sz w:val="18"/>
          <w:szCs w:val="18"/>
          <w:color w:val="auto"/>
        </w:rPr>
      </w:pPr>
    </w:p>
    <w:p>
      <w:pPr>
        <w:ind w:left="1420" w:right="40" w:firstLine="871"/>
        <w:spacing w:after="0" w:line="263" w:lineRule="auto"/>
        <w:tabs>
          <w:tab w:leader="none" w:pos="2497" w:val="left"/>
        </w:tabs>
        <w:numPr>
          <w:ilvl w:val="1"/>
          <w:numId w:val="195"/>
        </w:numPr>
        <w:rPr>
          <w:rFonts w:ascii="Arial" w:cs="Arial" w:eastAsia="Arial" w:hAnsi="Arial"/>
          <w:sz w:val="18"/>
          <w:szCs w:val="18"/>
          <w:color w:val="auto"/>
        </w:rPr>
      </w:pPr>
      <w:r>
        <w:rPr>
          <w:rFonts w:ascii="Arial" w:cs="Arial" w:eastAsia="Arial" w:hAnsi="Arial"/>
          <w:sz w:val="18"/>
          <w:szCs w:val="18"/>
          <w:color w:val="auto"/>
        </w:rPr>
        <w:t>no order suspending the effectiveness of the Registration Statement shall be in effect, and, to the Company’s knowledge, no proceeding for such purpose or pursuant to Section 8A under the Securities Act shall be pending before or threatened by the Commission; and</w:t>
      </w:r>
    </w:p>
    <w:p>
      <w:pPr>
        <w:spacing w:after="0" w:line="75" w:lineRule="exact"/>
        <w:rPr>
          <w:rFonts w:ascii="Arial" w:cs="Arial" w:eastAsia="Arial" w:hAnsi="Arial"/>
          <w:sz w:val="18"/>
          <w:szCs w:val="18"/>
          <w:color w:val="auto"/>
        </w:rPr>
      </w:pPr>
    </w:p>
    <w:p>
      <w:pPr>
        <w:ind w:left="1420" w:right="120" w:firstLine="871"/>
        <w:spacing w:after="0" w:line="279" w:lineRule="auto"/>
        <w:tabs>
          <w:tab w:leader="none" w:pos="2547" w:val="left"/>
        </w:tabs>
        <w:numPr>
          <w:ilvl w:val="1"/>
          <w:numId w:val="195"/>
        </w:numPr>
        <w:rPr>
          <w:rFonts w:ascii="Arial" w:cs="Arial" w:eastAsia="Arial" w:hAnsi="Arial"/>
          <w:sz w:val="17"/>
          <w:szCs w:val="17"/>
          <w:color w:val="auto"/>
        </w:rPr>
      </w:pPr>
      <w:r>
        <w:rPr>
          <w:rFonts w:ascii="Arial" w:cs="Arial" w:eastAsia="Arial" w:hAnsi="Arial"/>
          <w:sz w:val="17"/>
          <w:szCs w:val="17"/>
          <w:color w:val="auto"/>
        </w:rPr>
        <w:t>there shall not have occurred any change, or any development involving a prospective change, in the condition, financial or otherwise, or in the earnings, business or operations of the Company, from that set forth in the Time of Sale Prospectus that, in the Representatives’ judgment, is material and adverse and that makes it, in the Representatives’ judgment, impracticable to market the Shares on the terms and in the manner contemplated in the Time of Sale Prospectus.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335" w:name="page336"/>
    <w:bookmarkEnd w:id="335"/>
    <w:p>
      <w:pPr>
        <w:ind w:left="440" w:right="100" w:firstLine="948"/>
        <w:spacing w:after="0" w:line="257" w:lineRule="auto"/>
        <w:tabs>
          <w:tab w:leader="none" w:pos="1647" w:val="left"/>
        </w:tabs>
        <w:numPr>
          <w:ilvl w:val="0"/>
          <w:numId w:val="1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Underwriters shall have received on the Closing Date a certificate, dated the Closing Date and signed on behalf of the Company by an executive officer of the Company, to the effect set forth in Sections 5(a)(i) and 5(a)(ii)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officer signing and delivering such certificate may rely upon his or her knowledge as to proceedings threatened.</w:t>
      </w:r>
    </w:p>
    <w:p>
      <w:pPr>
        <w:spacing w:after="0" w:line="117" w:lineRule="exact"/>
        <w:rPr>
          <w:sz w:val="20"/>
          <w:szCs w:val="20"/>
          <w:color w:val="auto"/>
        </w:rPr>
      </w:pPr>
    </w:p>
    <w:p>
      <w:pPr>
        <w:ind w:left="440" w:right="20" w:firstLine="948"/>
        <w:spacing w:after="0" w:line="279" w:lineRule="auto"/>
        <w:tabs>
          <w:tab w:leader="none" w:pos="1636"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The Underwriters shall have received on the Closing Date an opinion and negative assurance letter of Wilson Sonsini Goodrich &amp; Rosati Professional Corporation (“</w:t>
      </w:r>
      <w:r>
        <w:rPr>
          <w:rFonts w:ascii="Arial" w:cs="Arial" w:eastAsia="Arial" w:hAnsi="Arial"/>
          <w:sz w:val="17"/>
          <w:szCs w:val="17"/>
          <w:b w:val="1"/>
          <w:bCs w:val="1"/>
          <w:color w:val="auto"/>
        </w:rPr>
        <w:t>WSGR</w:t>
      </w:r>
      <w:r>
        <w:rPr>
          <w:rFonts w:ascii="Arial" w:cs="Arial" w:eastAsia="Arial" w:hAnsi="Arial"/>
          <w:sz w:val="17"/>
          <w:szCs w:val="17"/>
          <w:color w:val="auto"/>
        </w:rPr>
        <w:t>”), outside counsel for the Company, dated the Closing Date, in form and substance reasonably satisfactory to the Representatives. The Underwriters shall have received on the Closing Date an opinion of WSGR, outside intellectual property counsel for the Company dated the Closing Date, in form and substance reasonably satisfactory to the Representatives.</w:t>
      </w:r>
    </w:p>
    <w:p>
      <w:pPr>
        <w:spacing w:after="0" w:line="63" w:lineRule="exact"/>
        <w:rPr>
          <w:rFonts w:ascii="Arial" w:cs="Arial" w:eastAsia="Arial" w:hAnsi="Arial"/>
          <w:sz w:val="17"/>
          <w:szCs w:val="17"/>
          <w:color w:val="auto"/>
        </w:rPr>
      </w:pPr>
    </w:p>
    <w:p>
      <w:pPr>
        <w:ind w:left="440" w:right="40" w:firstLine="948"/>
        <w:spacing w:after="0" w:line="277" w:lineRule="auto"/>
        <w:tabs>
          <w:tab w:leader="none" w:pos="164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an opinion of Cooley LLP, outside intellectual property counsel for the Company, dated the Closing Date, in form and substance reasonably satisfactory to the Representatives.</w:t>
      </w:r>
    </w:p>
    <w:p>
      <w:pPr>
        <w:spacing w:after="0" w:line="62" w:lineRule="exact"/>
        <w:rPr>
          <w:rFonts w:ascii="Arial" w:cs="Arial" w:eastAsia="Arial" w:hAnsi="Arial"/>
          <w:sz w:val="18"/>
          <w:szCs w:val="18"/>
          <w:color w:val="auto"/>
        </w:rPr>
      </w:pPr>
    </w:p>
    <w:p>
      <w:pPr>
        <w:ind w:left="440" w:right="160" w:firstLine="948"/>
        <w:spacing w:after="0" w:line="342" w:lineRule="auto"/>
        <w:tabs>
          <w:tab w:leader="none" w:pos="1636" w:val="left"/>
        </w:tabs>
        <w:numPr>
          <w:ilvl w:val="0"/>
          <w:numId w:val="197"/>
        </w:numPr>
        <w:rPr>
          <w:rFonts w:ascii="Arial" w:cs="Arial" w:eastAsia="Arial" w:hAnsi="Arial"/>
          <w:sz w:val="16"/>
          <w:szCs w:val="16"/>
          <w:color w:val="auto"/>
        </w:rPr>
      </w:pPr>
      <w:r>
        <w:rPr>
          <w:rFonts w:ascii="Arial" w:cs="Arial" w:eastAsia="Arial" w:hAnsi="Arial"/>
          <w:sz w:val="16"/>
          <w:szCs w:val="16"/>
          <w:color w:val="auto"/>
        </w:rPr>
        <w:t>The Underwriters shall have received on the Closing Date an opinion and negative assurance letter of Davis Polk &amp; Wardwell LLP (“</w:t>
      </w:r>
      <w:r>
        <w:rPr>
          <w:rFonts w:ascii="Arial" w:cs="Arial" w:eastAsia="Arial" w:hAnsi="Arial"/>
          <w:sz w:val="16"/>
          <w:szCs w:val="16"/>
          <w:b w:val="1"/>
          <w:bCs w:val="1"/>
          <w:color w:val="auto"/>
        </w:rPr>
        <w:t>Davis Polk</w:t>
      </w:r>
      <w:r>
        <w:rPr>
          <w:rFonts w:ascii="Arial" w:cs="Arial" w:eastAsia="Arial" w:hAnsi="Arial"/>
          <w:sz w:val="16"/>
          <w:szCs w:val="16"/>
          <w:color w:val="auto"/>
        </w:rPr>
        <w:t>”), counsel for the Underwriters, dated the Closing Date, in form and substance reasonably satisfactory to the Representatives.</w:t>
      </w:r>
    </w:p>
    <w:p>
      <w:pPr>
        <w:spacing w:after="0" w:line="12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With respect to the negative assurance letters to be delivered pursuant to Sections 5(c) and 5(e) above, WSGR and Davis Polk may state that their opinions and beliefs are based upon their participation in the preparation of the Registration Statement, the Time of Sale Prospectus and the Prospectus and any amendments or supplements thereto and review and discussion of the contents thereof, but are without independent check or verification, except as specified.</w:t>
      </w:r>
    </w:p>
    <w:p>
      <w:pPr>
        <w:spacing w:after="0" w:line="187"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The opinions of WSGR and Cooley LLP described in Section 5(c) and 5(d), respectively, above shall be rendered to the Underwriters at the request of the Company and shall so state therein.</w:t>
      </w:r>
    </w:p>
    <w:p>
      <w:pPr>
        <w:spacing w:after="0" w:line="62" w:lineRule="exact"/>
        <w:rPr>
          <w:sz w:val="20"/>
          <w:szCs w:val="20"/>
          <w:color w:val="auto"/>
        </w:rPr>
      </w:pPr>
    </w:p>
    <w:p>
      <w:pPr>
        <w:ind w:left="440" w:right="160" w:firstLine="948"/>
        <w:spacing w:after="0" w:line="296" w:lineRule="auto"/>
        <w:tabs>
          <w:tab w:leader="none" w:pos="1617" w:val="left"/>
        </w:tabs>
        <w:numPr>
          <w:ilvl w:val="0"/>
          <w:numId w:val="198"/>
        </w:numPr>
        <w:rPr>
          <w:rFonts w:ascii="Arial" w:cs="Arial" w:eastAsia="Arial" w:hAnsi="Arial"/>
          <w:sz w:val="16"/>
          <w:szCs w:val="16"/>
          <w:color w:val="auto"/>
        </w:rPr>
      </w:pPr>
      <w:r>
        <w:rPr>
          <w:rFonts w:ascii="Arial" w:cs="Arial" w:eastAsia="Arial" w:hAnsi="Arial"/>
          <w:sz w:val="16"/>
          <w:szCs w:val="16"/>
          <w:color w:val="auto"/>
        </w:rPr>
        <w:t xml:space="preserve">The Underwriters shall have received, on each of the date hereof and the Closing Date, a letter dated the date hereof or the Closing Date, as the case may be, in form and substance reasonably satisfactory to the Underwriters, from Deloitte &amp; Touche LLP, independent public accountants,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letter delivered on the Closing Date shall use a “cut-off date” not earlier than the date hereof.</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336" w:name="page337"/>
    <w:bookmarkEnd w:id="336"/>
    <w:p>
      <w:pPr>
        <w:ind w:firstLine="948"/>
        <w:spacing w:after="0" w:line="259" w:lineRule="auto"/>
        <w:tabs>
          <w:tab w:leader="none" w:pos="1207" w:val="left"/>
        </w:tabs>
        <w:numPr>
          <w:ilvl w:val="0"/>
          <w:numId w:val="1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“lock-up” agreements, each substantially in the form of Exhibit A hereto, between the Representatives and certain shareholders, officers and directors of the Company relating to restrictions on sales and certain other dispositions of shares of Common Stock or certain other securities, delivered to the Representatives on or before the date hereof (the “</w:t>
      </w:r>
      <w:r>
        <w:rPr>
          <w:rFonts w:ascii="Arial" w:cs="Arial" w:eastAsia="Arial" w:hAnsi="Arial"/>
          <w:sz w:val="18"/>
          <w:szCs w:val="18"/>
          <w:b w:val="1"/>
          <w:bCs w:val="1"/>
          <w:color w:val="auto"/>
        </w:rPr>
        <w:t>Lock-up Agreements</w:t>
      </w:r>
      <w:r>
        <w:rPr>
          <w:rFonts w:ascii="Arial" w:cs="Arial" w:eastAsia="Arial" w:hAnsi="Arial"/>
          <w:sz w:val="18"/>
          <w:szCs w:val="18"/>
          <w:color w:val="auto"/>
        </w:rPr>
        <w:t>”), shall be in full force and effect on the Closing Date.</w:t>
      </w:r>
    </w:p>
    <w:p>
      <w:pPr>
        <w:spacing w:after="0" w:line="78" w:lineRule="exact"/>
        <w:rPr>
          <w:rFonts w:ascii="Arial" w:cs="Arial" w:eastAsia="Arial" w:hAnsi="Arial"/>
          <w:sz w:val="18"/>
          <w:szCs w:val="18"/>
          <w:color w:val="auto"/>
        </w:rPr>
      </w:pPr>
    </w:p>
    <w:p>
      <w:pPr>
        <w:ind w:right="900" w:firstLine="948"/>
        <w:spacing w:after="0" w:line="277" w:lineRule="auto"/>
        <w:tabs>
          <w:tab w:leader="none" w:pos="1207"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several obligations of the Underwriters to purchase Additional Shares hereunder are subject to the delivery to the Representatives on the applicable Option Closing Date of the following:</w:t>
      </w:r>
    </w:p>
    <w:p>
      <w:pPr>
        <w:spacing w:after="0" w:line="62" w:lineRule="exact"/>
        <w:rPr>
          <w:rFonts w:ascii="Arial" w:cs="Arial" w:eastAsia="Arial" w:hAnsi="Arial"/>
          <w:sz w:val="18"/>
          <w:szCs w:val="18"/>
          <w:color w:val="auto"/>
        </w:rPr>
      </w:pPr>
    </w:p>
    <w:p>
      <w:pPr>
        <w:ind w:left="980" w:firstLine="871"/>
        <w:spacing w:after="0" w:line="263" w:lineRule="auto"/>
        <w:tabs>
          <w:tab w:leader="none" w:pos="2057" w:val="left"/>
        </w:tabs>
        <w:numPr>
          <w:ilvl w:val="1"/>
          <w:numId w:val="199"/>
        </w:numPr>
        <w:rPr>
          <w:rFonts w:ascii="Arial" w:cs="Arial" w:eastAsia="Arial" w:hAnsi="Arial"/>
          <w:sz w:val="18"/>
          <w:szCs w:val="18"/>
          <w:color w:val="auto"/>
        </w:rPr>
      </w:pPr>
      <w:r>
        <w:rPr>
          <w:rFonts w:ascii="Arial" w:cs="Arial" w:eastAsia="Arial" w:hAnsi="Arial"/>
          <w:sz w:val="18"/>
          <w:szCs w:val="18"/>
          <w:color w:val="auto"/>
        </w:rPr>
        <w:t>a certificate, dated the Option Closing Date and signed on behalf of the Company by an executive officer of the Company, confirming that the certificate delivered on the Closing Date pursuant to Section 5(b) hereof remains true and correct as of such Option Closing Date;</w:t>
      </w:r>
    </w:p>
    <w:p>
      <w:pPr>
        <w:spacing w:after="0" w:line="75" w:lineRule="exact"/>
        <w:rPr>
          <w:rFonts w:ascii="Arial" w:cs="Arial" w:eastAsia="Arial" w:hAnsi="Arial"/>
          <w:sz w:val="18"/>
          <w:szCs w:val="18"/>
          <w:color w:val="auto"/>
        </w:rPr>
      </w:pPr>
    </w:p>
    <w:p>
      <w:pPr>
        <w:ind w:left="980" w:right="20" w:firstLine="871"/>
        <w:spacing w:after="0" w:line="275" w:lineRule="auto"/>
        <w:tabs>
          <w:tab w:leader="none" w:pos="2107" w:val="left"/>
        </w:tabs>
        <w:numPr>
          <w:ilvl w:val="1"/>
          <w:numId w:val="199"/>
        </w:numPr>
        <w:rPr>
          <w:rFonts w:ascii="Arial" w:cs="Arial" w:eastAsia="Arial" w:hAnsi="Arial"/>
          <w:sz w:val="17"/>
          <w:szCs w:val="17"/>
          <w:color w:val="auto"/>
        </w:rPr>
      </w:pPr>
      <w:r>
        <w:rPr>
          <w:rFonts w:ascii="Arial" w:cs="Arial" w:eastAsia="Arial" w:hAnsi="Arial"/>
          <w:sz w:val="17"/>
          <w:szCs w:val="17"/>
          <w:color w:val="auto"/>
        </w:rPr>
        <w:t>an opinion and negative assurance letter of WSGR, outside counsel for the Company, dated the Option Closing Date, relating to the Additional Shares to be purchased on such Option Closing Date and otherwise to the same effect as the opinion and negative assurance letter required by Section 5(c) hereof; and an opinion of WSGR, outside intellectual property counsel for the Company, dated the Option Closing Date, relating to the Additional Shares to be purchased on such Option Closing Date and otherwise to the same effect as the opinion required by Section 5(c) hereof;</w:t>
      </w:r>
    </w:p>
    <w:p>
      <w:pPr>
        <w:spacing w:after="0" w:line="68" w:lineRule="exact"/>
        <w:rPr>
          <w:rFonts w:ascii="Arial" w:cs="Arial" w:eastAsia="Arial" w:hAnsi="Arial"/>
          <w:sz w:val="17"/>
          <w:szCs w:val="17"/>
          <w:color w:val="auto"/>
        </w:rPr>
      </w:pPr>
    </w:p>
    <w:p>
      <w:pPr>
        <w:ind w:left="980" w:right="240" w:firstLine="871"/>
        <w:spacing w:after="0" w:line="263" w:lineRule="auto"/>
        <w:tabs>
          <w:tab w:leader="none" w:pos="2157" w:val="left"/>
        </w:tabs>
        <w:numPr>
          <w:ilvl w:val="1"/>
          <w:numId w:val="199"/>
        </w:numPr>
        <w:rPr>
          <w:rFonts w:ascii="Arial" w:cs="Arial" w:eastAsia="Arial" w:hAnsi="Arial"/>
          <w:sz w:val="18"/>
          <w:szCs w:val="18"/>
          <w:color w:val="auto"/>
        </w:rPr>
      </w:pPr>
      <w:r>
        <w:rPr>
          <w:rFonts w:ascii="Arial" w:cs="Arial" w:eastAsia="Arial" w:hAnsi="Arial"/>
          <w:sz w:val="18"/>
          <w:szCs w:val="18"/>
          <w:color w:val="auto"/>
        </w:rPr>
        <w:t>an opinion of Cooley LLP, outside intellectual property counsel for the Company, dated the Option Closing Date, relating to the Additional Shares to be purchased on such Option Closing Date and otherwise to the same effect as the opinion required by Section 5(d) hereof;</w:t>
      </w:r>
    </w:p>
    <w:p>
      <w:pPr>
        <w:spacing w:after="0" w:line="75" w:lineRule="exact"/>
        <w:rPr>
          <w:rFonts w:ascii="Arial" w:cs="Arial" w:eastAsia="Arial" w:hAnsi="Arial"/>
          <w:sz w:val="18"/>
          <w:szCs w:val="18"/>
          <w:color w:val="auto"/>
        </w:rPr>
      </w:pPr>
    </w:p>
    <w:p>
      <w:pPr>
        <w:ind w:left="980" w:right="20" w:firstLine="871"/>
        <w:spacing w:after="0" w:line="263" w:lineRule="auto"/>
        <w:tabs>
          <w:tab w:leader="none" w:pos="2147" w:val="left"/>
        </w:tabs>
        <w:numPr>
          <w:ilvl w:val="1"/>
          <w:numId w:val="199"/>
        </w:numPr>
        <w:rPr>
          <w:rFonts w:ascii="Arial" w:cs="Arial" w:eastAsia="Arial" w:hAnsi="Arial"/>
          <w:sz w:val="18"/>
          <w:szCs w:val="18"/>
          <w:color w:val="auto"/>
        </w:rPr>
      </w:pPr>
      <w:r>
        <w:rPr>
          <w:rFonts w:ascii="Arial" w:cs="Arial" w:eastAsia="Arial" w:hAnsi="Arial"/>
          <w:sz w:val="18"/>
          <w:szCs w:val="18"/>
          <w:color w:val="auto"/>
        </w:rPr>
        <w:t>an opinion and negative assurance letter of Davis Polk, counsel for the Underwriters, dated the Option Closing Date, relating to the Additional Shares to be purchased on such Option Closing Date and otherwise to the same effect as the opinion and negative assurance letter required by Section 5(e) hereof;</w:t>
      </w:r>
    </w:p>
    <w:p>
      <w:pPr>
        <w:spacing w:after="0" w:line="23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60"/>
          </w:cols>
          <w:pgMar w:left="880" w:top="274" w:right="459" w:bottom="1440" w:gutter="0" w:footer="0" w:header="0"/>
        </w:sectPr>
      </w:pPr>
    </w:p>
    <w:bookmarkStart w:id="337" w:name="page338"/>
    <w:bookmarkEnd w:id="337"/>
    <w:p>
      <w:pPr>
        <w:ind w:left="984" w:firstLine="871"/>
        <w:spacing w:after="0" w:line="259" w:lineRule="auto"/>
        <w:tabs>
          <w:tab w:leader="none" w:pos="2101" w:val="left"/>
        </w:tabs>
        <w:numPr>
          <w:ilvl w:val="2"/>
          <w:numId w:val="2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 letter dated the Option Closing Date, in form and substance satisfactory to the Representatives, from Deloitte &amp; Touche LLP, independent public accountants, substantially in the same form and substance as the letter furnished to the Underwriters pursuant to Section 5(f)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letter delivered on the Option Closing Date shall use a “cut-off date” not earlier than two business days prior to such Option Closing Date; and</w:t>
      </w:r>
    </w:p>
    <w:p>
      <w:pPr>
        <w:spacing w:after="0" w:line="78" w:lineRule="exact"/>
        <w:rPr>
          <w:rFonts w:ascii="Arial" w:cs="Arial" w:eastAsia="Arial" w:hAnsi="Arial"/>
          <w:sz w:val="18"/>
          <w:szCs w:val="18"/>
          <w:color w:val="auto"/>
        </w:rPr>
      </w:pPr>
    </w:p>
    <w:p>
      <w:pPr>
        <w:ind w:left="984" w:right="340" w:firstLine="871"/>
        <w:spacing w:after="0" w:line="263" w:lineRule="auto"/>
        <w:tabs>
          <w:tab w:leader="none" w:pos="2151" w:val="left"/>
        </w:tabs>
        <w:numPr>
          <w:ilvl w:val="2"/>
          <w:numId w:val="200"/>
        </w:numPr>
        <w:rPr>
          <w:rFonts w:ascii="Arial" w:cs="Arial" w:eastAsia="Arial" w:hAnsi="Arial"/>
          <w:sz w:val="18"/>
          <w:szCs w:val="18"/>
          <w:color w:val="auto"/>
        </w:rPr>
      </w:pPr>
      <w:r>
        <w:rPr>
          <w:rFonts w:ascii="Arial" w:cs="Arial" w:eastAsia="Arial" w:hAnsi="Arial"/>
          <w:sz w:val="18"/>
          <w:szCs w:val="18"/>
          <w:color w:val="auto"/>
        </w:rPr>
        <w:t>such other documents as the Representatives may reasonably request with respect to the good standing of the Company, the due authorization and issuance of the Additional Shares to be sold on such Option Closing Date and other matters related to the issuance of such Additional Shares.</w:t>
      </w:r>
    </w:p>
    <w:p>
      <w:pPr>
        <w:spacing w:after="0" w:line="75" w:lineRule="exact"/>
        <w:rPr>
          <w:rFonts w:ascii="Arial" w:cs="Arial" w:eastAsia="Arial" w:hAnsi="Arial"/>
          <w:sz w:val="18"/>
          <w:szCs w:val="18"/>
          <w:color w:val="auto"/>
        </w:rPr>
      </w:pPr>
    </w:p>
    <w:p>
      <w:pPr>
        <w:ind w:left="184" w:hanging="184"/>
        <w:spacing w:after="0"/>
        <w:tabs>
          <w:tab w:leader="none" w:pos="184" w:val="left"/>
        </w:tabs>
        <w:numPr>
          <w:ilvl w:val="0"/>
          <w:numId w:val="201"/>
        </w:numPr>
        <w:rPr>
          <w:rFonts w:ascii="Arial" w:cs="Arial" w:eastAsia="Arial" w:hAnsi="Arial"/>
          <w:sz w:val="18"/>
          <w:szCs w:val="18"/>
          <w:color w:val="auto"/>
        </w:rPr>
      </w:pPr>
      <w:r>
        <w:rPr>
          <w:rFonts w:ascii="Arial" w:cs="Arial" w:eastAsia="Arial" w:hAnsi="Arial"/>
          <w:sz w:val="18"/>
          <w:szCs w:val="18"/>
          <w:i w:val="1"/>
          <w:iCs w:val="1"/>
          <w:color w:val="auto"/>
        </w:rPr>
        <w:t>Covenants of the Company</w:t>
      </w:r>
      <w:r>
        <w:rPr>
          <w:rFonts w:ascii="Arial" w:cs="Arial" w:eastAsia="Arial" w:hAnsi="Arial"/>
          <w:sz w:val="18"/>
          <w:szCs w:val="18"/>
          <w:color w:val="auto"/>
        </w:rPr>
        <w:t>. The Company covenants with each Underwriter as follows:</w:t>
      </w:r>
    </w:p>
    <w:p>
      <w:pPr>
        <w:spacing w:after="0" w:line="117" w:lineRule="exact"/>
        <w:rPr>
          <w:rFonts w:ascii="Arial" w:cs="Arial" w:eastAsia="Arial" w:hAnsi="Arial"/>
          <w:sz w:val="18"/>
          <w:szCs w:val="18"/>
          <w:color w:val="auto"/>
        </w:rPr>
      </w:pPr>
    </w:p>
    <w:p>
      <w:pPr>
        <w:ind w:left="4" w:right="100" w:firstLine="948"/>
        <w:spacing w:after="0" w:line="296" w:lineRule="auto"/>
        <w:tabs>
          <w:tab w:leader="none" w:pos="1200" w:val="left"/>
        </w:tabs>
        <w:numPr>
          <w:ilvl w:val="1"/>
          <w:numId w:val="201"/>
        </w:numPr>
        <w:rPr>
          <w:rFonts w:ascii="Arial" w:cs="Arial" w:eastAsia="Arial" w:hAnsi="Arial"/>
          <w:sz w:val="16"/>
          <w:szCs w:val="16"/>
          <w:color w:val="auto"/>
        </w:rPr>
      </w:pPr>
      <w:r>
        <w:rPr>
          <w:rFonts w:ascii="Arial" w:cs="Arial" w:eastAsia="Arial" w:hAnsi="Arial"/>
          <w:sz w:val="16"/>
          <w:szCs w:val="16"/>
          <w:color w:val="auto"/>
        </w:rPr>
        <w:t>To furnish to the Representatives, without charge, five signed copies of the Registration Statement (including exhibits thereto) and for delivery to each other Underwriter a conformed copy of the Registration Statement (without exhibits thereto) and to furnish to the Representatives in New York City, without charge, prior to 10:00 a.m. New York City time on the business day next succeeding the date of this Agreement and during the period mentioned in Section 6(e) or 6(f) below, as many copies of the Time of Sale Prospectus, the Prospectus and any supplements and amendments thereto or to the Registration Statement as the Representatives may reasonably request.</w:t>
      </w:r>
    </w:p>
    <w:p>
      <w:pPr>
        <w:spacing w:after="0" w:line="53" w:lineRule="exact"/>
        <w:rPr>
          <w:rFonts w:ascii="Arial" w:cs="Arial" w:eastAsia="Arial" w:hAnsi="Arial"/>
          <w:sz w:val="16"/>
          <w:szCs w:val="16"/>
          <w:color w:val="auto"/>
        </w:rPr>
      </w:pPr>
    </w:p>
    <w:p>
      <w:pPr>
        <w:jc w:val="both"/>
        <w:ind w:left="4" w:right="120" w:firstLine="948"/>
        <w:spacing w:after="0" w:line="259" w:lineRule="auto"/>
        <w:tabs>
          <w:tab w:leader="none" w:pos="121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Before amending or supplementing the Registration Statement, the Time of Sale Prospectus or the Prospectus, to furnish to the Representatives a copy of each such proposed amendment or supplement and not to file any such proposed amendment or supplement to which the Representatives reasonably object, and to file with the Commission within the applicable period specified in Rule 424(b) under the Securities Act any prospectus required to be filed pursuant to such Rule.</w:t>
      </w:r>
    </w:p>
    <w:p>
      <w:pPr>
        <w:spacing w:after="0" w:line="78" w:lineRule="exact"/>
        <w:rPr>
          <w:rFonts w:ascii="Arial" w:cs="Arial" w:eastAsia="Arial" w:hAnsi="Arial"/>
          <w:sz w:val="18"/>
          <w:szCs w:val="18"/>
          <w:color w:val="auto"/>
        </w:rPr>
      </w:pPr>
    </w:p>
    <w:p>
      <w:pPr>
        <w:ind w:left="4" w:right="220" w:firstLine="948"/>
        <w:spacing w:after="0" w:line="342" w:lineRule="auto"/>
        <w:tabs>
          <w:tab w:leader="none" w:pos="1200" w:val="left"/>
        </w:tabs>
        <w:numPr>
          <w:ilvl w:val="1"/>
          <w:numId w:val="201"/>
        </w:numPr>
        <w:rPr>
          <w:rFonts w:ascii="Arial" w:cs="Arial" w:eastAsia="Arial" w:hAnsi="Arial"/>
          <w:sz w:val="16"/>
          <w:szCs w:val="16"/>
          <w:color w:val="auto"/>
        </w:rPr>
      </w:pPr>
      <w:r>
        <w:rPr>
          <w:rFonts w:ascii="Arial" w:cs="Arial" w:eastAsia="Arial" w:hAnsi="Arial"/>
          <w:sz w:val="16"/>
          <w:szCs w:val="16"/>
          <w:color w:val="auto"/>
        </w:rPr>
        <w:t>To furnish to the Representatives a copy of each proposed free writing prospectus to be prepared by or on behalf of, used by, or referred to by the Company and not to use or refer to any proposed free writing prospectus to which the Representatives reasonably object.</w:t>
      </w:r>
    </w:p>
    <w:p>
      <w:pPr>
        <w:spacing w:after="0" w:line="15" w:lineRule="exact"/>
        <w:rPr>
          <w:rFonts w:ascii="Arial" w:cs="Arial" w:eastAsia="Arial" w:hAnsi="Arial"/>
          <w:sz w:val="16"/>
          <w:szCs w:val="16"/>
          <w:color w:val="auto"/>
        </w:rPr>
      </w:pPr>
    </w:p>
    <w:p>
      <w:pPr>
        <w:ind w:left="4" w:firstLine="948"/>
        <w:spacing w:after="0" w:line="263" w:lineRule="auto"/>
        <w:tabs>
          <w:tab w:leader="none" w:pos="121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116"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564"/>
          </w:cols>
          <w:pgMar w:left="876" w:top="274" w:right="459" w:bottom="1440" w:gutter="0" w:footer="0" w:header="0"/>
        </w:sectPr>
      </w:pPr>
    </w:p>
    <w:bookmarkStart w:id="338" w:name="page339"/>
    <w:bookmarkEnd w:id="338"/>
    <w:p>
      <w:pPr>
        <w:ind w:right="20" w:firstLine="948"/>
        <w:spacing w:after="0" w:line="269" w:lineRule="auto"/>
        <w:tabs>
          <w:tab w:leader="none" w:pos="1196" w:val="left"/>
        </w:tabs>
        <w:numPr>
          <w:ilvl w:val="0"/>
          <w:numId w:val="20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77" w:lineRule="exact"/>
        <w:rPr>
          <w:rFonts w:ascii="Arial" w:cs="Arial" w:eastAsia="Arial" w:hAnsi="Arial"/>
          <w:sz w:val="17"/>
          <w:szCs w:val="17"/>
          <w:color w:val="auto"/>
        </w:rPr>
      </w:pPr>
    </w:p>
    <w:p>
      <w:pPr>
        <w:ind w:right="20" w:firstLine="948"/>
        <w:spacing w:after="0" w:line="287" w:lineRule="auto"/>
        <w:tabs>
          <w:tab w:leader="none" w:pos="1177" w:val="left"/>
        </w:tabs>
        <w:numPr>
          <w:ilvl w:val="0"/>
          <w:numId w:val="202"/>
        </w:numPr>
        <w:rPr>
          <w:rFonts w:ascii="Arial" w:cs="Arial" w:eastAsia="Arial" w:hAnsi="Arial"/>
          <w:sz w:val="16"/>
          <w:szCs w:val="16"/>
          <w:color w:val="auto"/>
        </w:rPr>
      </w:pPr>
      <w:r>
        <w:rPr>
          <w:rFonts w:ascii="Arial" w:cs="Arial" w:eastAsia="Arial" w:hAnsi="Arial"/>
          <w:sz w:val="16"/>
          <w:szCs w:val="16"/>
          <w:color w:val="auto"/>
        </w:rPr>
        <w:t>If, during such period after the first date of the public offering of the Shares as in the opinion of counsel for the Underwriters the 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Representatives will furnish to the Company) to which Shares may have been sold by the Representatives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pacing w:after="0" w:line="63" w:lineRule="exact"/>
        <w:rPr>
          <w:rFonts w:ascii="Arial" w:cs="Arial" w:eastAsia="Arial" w:hAnsi="Arial"/>
          <w:sz w:val="16"/>
          <w:szCs w:val="16"/>
          <w:color w:val="auto"/>
        </w:rPr>
      </w:pPr>
    </w:p>
    <w:p>
      <w:pPr>
        <w:ind w:right="80" w:firstLine="948"/>
        <w:spacing w:after="0" w:line="259" w:lineRule="auto"/>
        <w:tabs>
          <w:tab w:leader="none" w:pos="1207"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To endeavor to qualify the Shares for offer and sale under the securities or Blue Sky laws of such jurisdictions as the Representatives shall reasonably request; provided, however, that nothing contained herein shall require the Company to qualify to do business in any jurisdiction, to execute a general consent to service of process in any jurisdiction or to subject itself to taxation in any jurisdiction in which it is not otherwise subject.</w:t>
      </w:r>
    </w:p>
    <w:p>
      <w:pPr>
        <w:spacing w:after="0" w:line="78" w:lineRule="exact"/>
        <w:rPr>
          <w:rFonts w:ascii="Arial" w:cs="Arial" w:eastAsia="Arial" w:hAnsi="Arial"/>
          <w:sz w:val="18"/>
          <w:szCs w:val="18"/>
          <w:color w:val="auto"/>
        </w:rPr>
      </w:pPr>
    </w:p>
    <w:p>
      <w:pPr>
        <w:ind w:firstLine="948"/>
        <w:spacing w:after="0" w:line="279" w:lineRule="auto"/>
        <w:tabs>
          <w:tab w:leader="none" w:pos="1207" w:val="left"/>
        </w:tabs>
        <w:numPr>
          <w:ilvl w:val="0"/>
          <w:numId w:val="202"/>
        </w:numPr>
        <w:rPr>
          <w:rFonts w:ascii="Arial" w:cs="Arial" w:eastAsia="Arial" w:hAnsi="Arial"/>
          <w:sz w:val="17"/>
          <w:szCs w:val="17"/>
          <w:color w:val="auto"/>
        </w:rPr>
      </w:pPr>
      <w:r>
        <w:rPr>
          <w:rFonts w:ascii="Arial" w:cs="Arial" w:eastAsia="Arial" w:hAnsi="Arial"/>
          <w:sz w:val="17"/>
          <w:szCs w:val="17"/>
          <w:color w:val="auto"/>
        </w:rPr>
        <w:t>To make generally available (which may be satisfied by filing with the Commission on its Electronic Data Gathering, Analysis and Retrieval System) to the Company’s security holders and to the Representatives as soon as practicable an earnings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w:t>
      </w:r>
    </w:p>
    <w:p>
      <w:pPr>
        <w:spacing w:after="0" w:line="10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60"/>
          </w:cols>
          <w:pgMar w:left="880" w:top="274" w:right="459" w:bottom="1440" w:gutter="0" w:footer="0" w:header="0"/>
        </w:sectPr>
      </w:pPr>
    </w:p>
    <w:bookmarkStart w:id="339" w:name="page340"/>
    <w:bookmarkEnd w:id="339"/>
    <w:p>
      <w:pPr>
        <w:ind w:firstLine="948"/>
        <w:spacing w:after="0" w:line="284" w:lineRule="auto"/>
        <w:tabs>
          <w:tab w:leader="none" w:pos="1167" w:val="left"/>
        </w:tabs>
        <w:numPr>
          <w:ilvl w:val="0"/>
          <w:numId w:val="20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counsel and the Company’s accountants in connection with the registration and delivery of the Shares under the Securities Act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Shares to the Underwriters, including any transfer or other taxes payable thereon, (iii) the cost of printing or producing any Blue Sky or Legal Investment memorandum in connection with the offer and sale of the Shares under state securities laws and all expenses in connection with the qualification of the Shares for offer and sale under state securities laws as provided in Section 6(g) hereof, including filing fees and the reasonable fees and disbursements of counsel for the Underwriters in connection with such qualification and in connection with the Blue Sky or Legal Investment memorandum, (iv) all filing fees and the reasonable fees and disbursements of counsel to the Underwriters incurred in connection with the review and qualification of the offering of the Shares by the Financial Industry Regulatory Authority (provided, that the amount payable by the Company with respect to fees and disbursements of counsel for the Underwriters pursuant to subsections (iii) and (iv) shall not exceed $40,000), (v) all fees and expenses in connection with the preparation and filing of the registration statement on Form 8-A relating to the Common Stock and all costs and expenses incident to listing the Shares on the NASDAQ Global [Select] Market, (vi) the cost of printing certificates representing the Shares, (vii) the costs and charges of any transfer agent, registrar or depositary, (viii)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any pre-approved travel and lodging expenses of the representatives and officers of the Company and any such consultants, and the cost of any aircraft chartered with the Company’s prior written consent in connection with the road show, (ix) the document production charges and expenses associated with printing this Agreement, and (x) all other costs and expenses incident to the performance of the obligations of the Company hereunder for which provision is not otherwise made in this Section. It is</w:t>
      </w:r>
    </w:p>
    <w:p>
      <w:pPr>
        <w:spacing w:after="0" w:line="10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540"/>
          </w:cols>
          <w:pgMar w:left="880" w:top="274" w:right="479" w:bottom="1440" w:gutter="0" w:footer="0" w:header="0"/>
        </w:sectPr>
      </w:pPr>
    </w:p>
    <w:bookmarkStart w:id="340" w:name="page341"/>
    <w:bookmarkEnd w:id="340"/>
    <w:p>
      <w:pPr>
        <w:jc w:val="both"/>
        <w:ind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understood, however, that except as provided in this Section, Section 8 entitled “Indemnity and Contribution” and the last paragraph of Section 10 below, the Underwriters will pay all of their costs and expenses, including fees and disbursements of their counsel, stock transfer taxes payable on resale of any of the Shares by them and any advertising expenses connected with any offers they may make.</w:t>
      </w:r>
    </w:p>
    <w:p>
      <w:pPr>
        <w:spacing w:after="0" w:line="57" w:lineRule="exact"/>
        <w:rPr>
          <w:sz w:val="20"/>
          <w:szCs w:val="20"/>
          <w:color w:val="auto"/>
        </w:rPr>
      </w:pPr>
    </w:p>
    <w:p>
      <w:pPr>
        <w:jc w:val="both"/>
        <w:ind w:right="200" w:firstLine="948"/>
        <w:spacing w:after="0" w:line="263" w:lineRule="auto"/>
        <w:tabs>
          <w:tab w:leader="none" w:pos="1167"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Company will promptly notify the Representatives if the Company ceases to be an Emerging Growth Company at any time prior to the later of (i) completion of the distribution of the Shares within the meaning of the Securities Act and (ii) completion of the Restricted Period (as defined in this Section 6).</w:t>
      </w:r>
    </w:p>
    <w:p>
      <w:pPr>
        <w:spacing w:after="0" w:line="75" w:lineRule="exact"/>
        <w:rPr>
          <w:rFonts w:ascii="Arial" w:cs="Arial" w:eastAsia="Arial" w:hAnsi="Arial"/>
          <w:sz w:val="18"/>
          <w:szCs w:val="18"/>
          <w:color w:val="auto"/>
        </w:rPr>
      </w:pPr>
    </w:p>
    <w:p>
      <w:pPr>
        <w:ind w:firstLine="948"/>
        <w:spacing w:after="0" w:line="255" w:lineRule="auto"/>
        <w:tabs>
          <w:tab w:leader="none" w:pos="1207"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If at any time following the distribution of any Testing-the-Waters Communication that is a written communication within the meaning of Rule 405 under the Securities Act there occurred or occurs an event or development as a result of which such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Testing-the-Waters Communication to eliminate or correct such untrue statement or omission.</w:t>
      </w:r>
    </w:p>
    <w:p>
      <w:pPr>
        <w:spacing w:after="0" w:line="84" w:lineRule="exact"/>
        <w:rPr>
          <w:rFonts w:ascii="Arial" w:cs="Arial" w:eastAsia="Arial" w:hAnsi="Arial"/>
          <w:sz w:val="18"/>
          <w:szCs w:val="18"/>
          <w:color w:val="auto"/>
        </w:rPr>
      </w:pPr>
    </w:p>
    <w:p>
      <w:pPr>
        <w:jc w:val="both"/>
        <w:ind w:right="220" w:firstLine="948"/>
        <w:spacing w:after="0" w:line="259" w:lineRule="auto"/>
        <w:tabs>
          <w:tab w:leader="none" w:pos="1167"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Company will deliver to each Underwriter (or its agent), on the date of execution of this Agreement, a properly completed and executed Certification Regarding Beneficial Owners of Legal Entity Customers, together with copies of identifying documentation, and the Company undertakes to provide such additional supporting documentation as each Underwriter may reasonably request in connection with the verification of the foregoing Certification.</w:t>
      </w:r>
    </w:p>
    <w:p>
      <w:pPr>
        <w:spacing w:after="0" w:line="78" w:lineRule="exact"/>
        <w:rPr>
          <w:rFonts w:ascii="Arial" w:cs="Arial" w:eastAsia="Arial" w:hAnsi="Arial"/>
          <w:sz w:val="18"/>
          <w:szCs w:val="18"/>
          <w:color w:val="auto"/>
        </w:rPr>
      </w:pPr>
    </w:p>
    <w:p>
      <w:pPr>
        <w:ind w:right="80" w:firstLine="948"/>
        <w:spacing w:after="0" w:line="270" w:lineRule="auto"/>
        <w:tabs>
          <w:tab w:leader="none" w:pos="1257" w:val="left"/>
        </w:tabs>
        <w:numPr>
          <w:ilvl w:val="0"/>
          <w:numId w:val="204"/>
        </w:numPr>
        <w:rPr>
          <w:rFonts w:ascii="Arial" w:cs="Arial" w:eastAsia="Arial" w:hAnsi="Arial"/>
          <w:sz w:val="17"/>
          <w:szCs w:val="17"/>
          <w:color w:val="auto"/>
        </w:rPr>
      </w:pPr>
      <w:r>
        <w:rPr>
          <w:rFonts w:ascii="Arial" w:cs="Arial" w:eastAsia="Arial" w:hAnsi="Arial"/>
          <w:sz w:val="17"/>
          <w:szCs w:val="17"/>
          <w:color w:val="auto"/>
        </w:rPr>
        <w:t>(i) The Company also covenants with each Underwriter that, without the prior written consent of the Representatives on behalf of the Underwriters, it will not, and will not publicly disclose an intention to, during the period ending 180 days after the date of the Prospectus (the “</w:t>
      </w:r>
      <w:r>
        <w:rPr>
          <w:rFonts w:ascii="Arial" w:cs="Arial" w:eastAsia="Arial" w:hAnsi="Arial"/>
          <w:sz w:val="17"/>
          <w:szCs w:val="17"/>
          <w:b w:val="1"/>
          <w:bCs w:val="1"/>
          <w:color w:val="auto"/>
        </w:rPr>
        <w:t>Restricted Period</w:t>
      </w:r>
      <w:r>
        <w:rPr>
          <w:rFonts w:ascii="Arial" w:cs="Arial" w:eastAsia="Arial" w:hAnsi="Arial"/>
          <w:sz w:val="17"/>
          <w:szCs w:val="17"/>
          <w:color w:val="auto"/>
        </w:rPr>
        <w:t>”),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or (3) file any registration statement with the Commission relating to the offering of any shares of Common Stock or any securities convertible into or exercisable or exchangeable for Common Stock.</w:t>
      </w:r>
    </w:p>
    <w:p>
      <w:pPr>
        <w:spacing w:after="0" w:line="11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560"/>
          </w:cols>
          <w:pgMar w:left="880" w:top="274" w:right="459" w:bottom="1440" w:gutter="0" w:footer="0" w:header="0"/>
        </w:sectPr>
      </w:pPr>
    </w:p>
    <w:bookmarkStart w:id="341" w:name="page342"/>
    <w:bookmarkEnd w:id="341"/>
    <w:p>
      <w:pPr>
        <w:ind w:left="420" w:right="20" w:firstLine="871"/>
        <w:spacing w:after="0" w:line="284" w:lineRule="auto"/>
        <w:tabs>
          <w:tab w:leader="none" w:pos="1547" w:val="left"/>
        </w:tabs>
        <w:numPr>
          <w:ilvl w:val="0"/>
          <w:numId w:val="20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restrictions contained in Section 6(m)(i) shall not apply to (A) the Shares to be sold hereunder, (B) the issuance by the Company of shares of Common Stock upon the exercise of an option or warrant, vesting or settlement of restricted stock or restricted stock units or the conversion of a security outstanding on the date hereof as described in each of the Time of Sale Prospectus and Prospectus, (C) the establishment of a trading plan on behalf of a shareholder, officer or director of the Company pursuant to Rule 10b5-1 under the Exchange Act for the transfer of shares of Common Stock, provided that (1) such plan does not provide for the transfer of Common Stock during the Restricted Period and (2) to the extent a public announcement or filing under the Exchange Act, if any, is required of or voluntarily made by the Company regarding the establishment of such plan, such announcement or filing shall include a statement to the effect that no transfer of Common Stock may be made under such plan during the Restricted Period, (D) the issuance of shares of, or options to purchase shares of, Common Stock or securities convertible into or exercisable for Common Stock (whether upon the exercise of stock options or otherwise) to employees, officers, directors, advisors, or consultants of the Company pursuant to the terms of an equity compensation plan in effect on the date hereof and described in the Time of Sale Prospectus and Prospectus, provided that, prior to the issuance of any such shares or the grant of any such options, the Company shall cause each recipient of such grant or issuance to execute and deliver a Lock-Up Agreement, substantially in the form of Exhibit A hereto, (E) the filing of any registration statement on Form S-8 with respect to the employee benefit plans described in the Time of Sale Prospectus and Prospectus, (F) the sale or issuance of or entry into an agreement to sell or issue shares of Common Stock in connection with the Company’s acquisition of one or more businesses, products or technologies (whether by means of merger, stock purchase, asset purchase or otherwise) or in connection with joint ventures, commercial relationships or other strategic transactions, provided, that, the aggregate number of shares of Common Stock that the Company may sell or issue or agree to sell or issue, or that may be issuable upon conversion or exercise of all other securities that the Company may sell or issue or agree to sell or issue, pursuant to this clause (F) shall not exceed 5% of the total number of shares of Common Stock issued and outstanding immediately following the completion of the transactions contemplated by this Agreement, and provided further, that the Company shall cause each recipient of such shares to execute and deliver to you, on or prior to such issuance, a Lock-up Agreement, substantially in the form of Exhibit A hereto.</w:t>
      </w:r>
    </w:p>
    <w:p>
      <w:pPr>
        <w:spacing w:after="0" w:line="68" w:lineRule="exact"/>
        <w:rPr>
          <w:rFonts w:ascii="Arial" w:cs="Arial" w:eastAsia="Arial" w:hAnsi="Arial"/>
          <w:sz w:val="16"/>
          <w:szCs w:val="16"/>
          <w:color w:val="auto"/>
        </w:rPr>
      </w:pPr>
    </w:p>
    <w:p>
      <w:pPr>
        <w:ind w:left="420" w:firstLine="871"/>
        <w:spacing w:after="0" w:line="257" w:lineRule="auto"/>
        <w:tabs>
          <w:tab w:leader="none" w:pos="1597"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If the Representatives, in their sole discretion, agree to release or waive the restrictions set forth in a Lock-up Agreement for an officer or director of the Company and provide the Company with notice of the impending release or waiver at least three business days before the effective date of the release or waiver, the Company agrees to announce the impending release or waiver by a press release substantially in the form of Exhibit B hereto through a major news service at least two business days before the effective date of the release or waiver.</w:t>
      </w:r>
    </w:p>
    <w:p>
      <w:pPr>
        <w:spacing w:after="0" w:line="12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000"/>
          </w:cols>
          <w:pgMar w:left="1440" w:top="274" w:right="459" w:bottom="1440" w:gutter="0" w:footer="0" w:header="0"/>
        </w:sectPr>
      </w:pPr>
    </w:p>
    <w:bookmarkStart w:id="342" w:name="page343"/>
    <w:bookmarkEnd w:id="342"/>
    <w:p>
      <w:pPr>
        <w:ind w:left="380" w:firstLine="948"/>
        <w:spacing w:after="0" w:line="288" w:lineRule="auto"/>
        <w:tabs>
          <w:tab w:leader="none" w:pos="1587" w:val="left"/>
        </w:tabs>
        <w:numPr>
          <w:ilvl w:val="1"/>
          <w:numId w:val="20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enforce the terms of all existing agreements, plans and arrangements restricting the transfer by any holder of such holder’s Common Stock or other securities convertible into or exercisable or exchangeable for Common Stock (the “</w:t>
      </w:r>
      <w:r>
        <w:rPr>
          <w:rFonts w:ascii="Arial" w:cs="Arial" w:eastAsia="Arial" w:hAnsi="Arial"/>
          <w:sz w:val="16"/>
          <w:szCs w:val="16"/>
          <w:b w:val="1"/>
          <w:bCs w:val="1"/>
          <w:color w:val="auto"/>
        </w:rPr>
        <w:t>Securities</w:t>
      </w:r>
      <w:r>
        <w:rPr>
          <w:rFonts w:ascii="Arial" w:cs="Arial" w:eastAsia="Arial" w:hAnsi="Arial"/>
          <w:sz w:val="16"/>
          <w:szCs w:val="16"/>
          <w:color w:val="auto"/>
        </w:rPr>
        <w:t>”) following the public offering and sale of the Shares contemplated hereby, including, without limitation, Section 2.10 of that certain Amended and Restated Investors’ Rights Agreement, dated as of December 17, 2020 and the relevant provisions of the Company’s stock option agreement and stock purchase agreements, and all other “market standoff,” “holdback” or similar agreements or provisions, applicable to the Common Stock or other Securities (the “Company Transfer Restrictions”), the Company shall issue stop-transfer instructions to the transfer agent with respect to any transaction that would constitute a breach of, or default under, the Company Transfer Restrictions. During the Restricted Period, the Company shall enforce and not waive or amend, such Company Transfer Restrictions and stop transfer instructions unless the Company shall have obtained the prior written consent of the Representatives; provided that this Section 6(n) shall not prohibit the Company from effecting a waiver or amendment to permit a transfer of Securities which is permissible under the terms of the Lock-up Agreement described in Section 5(g) hereof.</w:t>
      </w:r>
    </w:p>
    <w:p>
      <w:pPr>
        <w:spacing w:after="0" w:line="60" w:lineRule="exact"/>
        <w:rPr>
          <w:rFonts w:ascii="Arial" w:cs="Arial" w:eastAsia="Arial" w:hAnsi="Arial"/>
          <w:sz w:val="16"/>
          <w:szCs w:val="16"/>
          <w:color w:val="auto"/>
        </w:rPr>
      </w:pPr>
    </w:p>
    <w:p>
      <w:pPr>
        <w:ind w:left="-60" w:right="340" w:firstLine="436"/>
        <w:spacing w:after="0" w:line="286" w:lineRule="auto"/>
        <w:tabs>
          <w:tab w:leader="none" w:pos="560" w:val="left"/>
        </w:tabs>
        <w:numPr>
          <w:ilvl w:val="0"/>
          <w:numId w:val="207"/>
        </w:numPr>
        <w:rPr>
          <w:rFonts w:ascii="Arial" w:cs="Arial" w:eastAsia="Arial" w:hAnsi="Arial"/>
          <w:sz w:val="17"/>
          <w:szCs w:val="17"/>
          <w:color w:val="auto"/>
        </w:rPr>
      </w:pPr>
      <w:r>
        <w:rPr>
          <w:rFonts w:ascii="Arial" w:cs="Arial" w:eastAsia="Arial" w:hAnsi="Arial"/>
          <w:sz w:val="17"/>
          <w:szCs w:val="17"/>
          <w:i w:val="1"/>
          <w:iCs w:val="1"/>
          <w:color w:val="auto"/>
        </w:rPr>
        <w:t>Covenants of the Underwriters</w:t>
      </w:r>
      <w:r>
        <w:rPr>
          <w:rFonts w:ascii="Arial" w:cs="Arial" w:eastAsia="Arial" w:hAnsi="Arial"/>
          <w:sz w:val="17"/>
          <w:szCs w:val="17"/>
          <w:color w:val="auto"/>
        </w:rPr>
        <w:t>. Each Underwriter, severally and not jointly, covenants with the Company not to take any action that would</w:t>
      </w:r>
      <w:r>
        <w:rPr>
          <w:rFonts w:ascii="Arial" w:cs="Arial" w:eastAsia="Arial" w:hAnsi="Arial"/>
          <w:sz w:val="17"/>
          <w:szCs w:val="17"/>
          <w:i w:val="1"/>
          <w:iCs w:val="1"/>
          <w:color w:val="auto"/>
        </w:rPr>
        <w:t xml:space="preserve"> </w:t>
      </w:r>
      <w:r>
        <w:rPr>
          <w:rFonts w:ascii="Arial" w:cs="Arial" w:eastAsia="Arial" w:hAnsi="Arial"/>
          <w:sz w:val="17"/>
          <w:szCs w:val="17"/>
          <w:color w:val="auto"/>
        </w:rPr>
        <w:t>result in the 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57" w:lineRule="exact"/>
        <w:rPr>
          <w:rFonts w:ascii="Arial" w:cs="Arial" w:eastAsia="Arial" w:hAnsi="Arial"/>
          <w:sz w:val="17"/>
          <w:szCs w:val="17"/>
          <w:color w:val="auto"/>
        </w:rPr>
      </w:pPr>
    </w:p>
    <w:p>
      <w:pPr>
        <w:ind w:left="-60" w:right="40" w:firstLine="436"/>
        <w:spacing w:after="0" w:line="269" w:lineRule="auto"/>
        <w:tabs>
          <w:tab w:leader="none" w:pos="560" w:val="left"/>
        </w:tabs>
        <w:numPr>
          <w:ilvl w:val="0"/>
          <w:numId w:val="207"/>
        </w:numPr>
        <w:rPr>
          <w:rFonts w:ascii="Arial" w:cs="Arial" w:eastAsia="Arial" w:hAnsi="Arial"/>
          <w:sz w:val="17"/>
          <w:szCs w:val="17"/>
          <w:color w:val="auto"/>
        </w:rPr>
      </w:pPr>
      <w:r>
        <w:rPr>
          <w:rFonts w:ascii="Arial" w:cs="Arial" w:eastAsia="Arial" w:hAnsi="Arial"/>
          <w:sz w:val="17"/>
          <w:szCs w:val="17"/>
          <w:i w:val="1"/>
          <w:iCs w:val="1"/>
          <w:color w:val="auto"/>
        </w:rPr>
        <w:t xml:space="preserve">Indemnity and Contribution. </w:t>
      </w:r>
      <w:r>
        <w:rPr>
          <w:rFonts w:ascii="Arial" w:cs="Arial" w:eastAsia="Arial" w:hAnsi="Arial"/>
          <w:sz w:val="17"/>
          <w:szCs w:val="17"/>
          <w:color w:val="auto"/>
        </w:rPr>
        <w:t>(a) The Company agrees to indemnify and hold harmless each Underwriter, each person, if any, who controls any</w:t>
      </w:r>
      <w:r>
        <w:rPr>
          <w:rFonts w:ascii="Arial" w:cs="Arial" w:eastAsia="Arial" w:hAnsi="Arial"/>
          <w:sz w:val="17"/>
          <w:szCs w:val="17"/>
          <w:i w:val="1"/>
          <w:iCs w:val="1"/>
          <w:color w:val="auto"/>
        </w:rPr>
        <w:t xml:space="preserve"> </w:t>
      </w:r>
      <w:r>
        <w:rPr>
          <w:rFonts w:ascii="Arial" w:cs="Arial" w:eastAsia="Arial" w:hAnsi="Arial"/>
          <w:sz w:val="17"/>
          <w:szCs w:val="17"/>
          <w:color w:val="auto"/>
        </w:rPr>
        <w:t>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that arise out of, or are based upon,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“road show”), the Prospectus or any amendment or supplement thereto, or any Testing-the-Waters Communication, or arise out of, or are based upon, any omission or alleged omission to state therein a material fact required to be stated therein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00"/>
          </w:cols>
          <w:pgMar w:left="500" w:top="274" w:right="499" w:bottom="1440" w:gutter="0" w:footer="0" w:header="0"/>
        </w:sectPr>
      </w:pPr>
    </w:p>
    <w:bookmarkStart w:id="343" w:name="page344"/>
    <w:bookmarkEnd w:id="343"/>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necessary to make the statements therein not misleading, except insofar as such losses, claims, damages or liabilities arise out of, or are based upon, any such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the Underwriters through the Representatives consists of the Underwriter Information as defined in paragraph (b) below.</w:t>
      </w:r>
    </w:p>
    <w:p>
      <w:pPr>
        <w:spacing w:after="0" w:line="80" w:lineRule="exact"/>
        <w:rPr>
          <w:sz w:val="20"/>
          <w:szCs w:val="20"/>
          <w:color w:val="auto"/>
        </w:rPr>
      </w:pPr>
    </w:p>
    <w:p>
      <w:pPr>
        <w:ind w:left="440" w:right="100" w:firstLine="948"/>
        <w:spacing w:after="0" w:line="288" w:lineRule="auto"/>
        <w:tabs>
          <w:tab w:leader="none" w:pos="1647" w:val="left"/>
        </w:tabs>
        <w:numPr>
          <w:ilvl w:val="0"/>
          <w:numId w:val="208"/>
        </w:numPr>
        <w:rPr>
          <w:rFonts w:ascii="Arial" w:cs="Arial" w:eastAsia="Arial" w:hAnsi="Arial"/>
          <w:sz w:val="16"/>
          <w:szCs w:val="16"/>
          <w:color w:val="auto"/>
        </w:rPr>
      </w:pPr>
      <w:r>
        <w:rPr>
          <w:rFonts w:ascii="Arial" w:cs="Arial" w:eastAsia="Arial" w:hAnsi="Arial"/>
          <w:sz w:val="16"/>
          <w:szCs w:val="16"/>
          <w:color w:val="auto"/>
        </w:rPr>
        <w:t>Each Underwriter agrees, severally and not jointly,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such Underwriter, but only with reference to information relating to such Underwriter furnished to the Company in writing by such Underwriter through the Representatives expressly for use in the Registration Statement, any preliminary prospectus, the Time of Sale Prospectus, any issuer free writing prospectus, road show or the Prospectus or any amendment or supplement thereto (“</w:t>
      </w:r>
      <w:r>
        <w:rPr>
          <w:rFonts w:ascii="Arial" w:cs="Arial" w:eastAsia="Arial" w:hAnsi="Arial"/>
          <w:sz w:val="16"/>
          <w:szCs w:val="16"/>
          <w:b w:val="1"/>
          <w:bCs w:val="1"/>
          <w:color w:val="auto"/>
        </w:rPr>
        <w:t>Underwriter Information</w:t>
      </w:r>
      <w:r>
        <w:rPr>
          <w:rFonts w:ascii="Arial" w:cs="Arial" w:eastAsia="Arial" w:hAnsi="Arial"/>
          <w:sz w:val="16"/>
          <w:szCs w:val="16"/>
          <w:color w:val="auto"/>
        </w:rPr>
        <w:t>”), it being understood and agreed that the only such information furnished by any Underwriter through the Representatives consists of the following information in the Prospectus: (i) the names and corresponding share amounts set forth in the table of Underwriters under the first paragraph of text under the caption “Underwriters”; and (ii) the concession and reallowance figures appearing in the third paragraph under the caption “Underwriting” and the information contained in the [fourteenth] paragraph relating to stabilizing transactions under the caption “Underwriting”.</w:t>
      </w:r>
    </w:p>
    <w:p>
      <w:pPr>
        <w:spacing w:after="0" w:line="60" w:lineRule="exact"/>
        <w:rPr>
          <w:rFonts w:ascii="Arial" w:cs="Arial" w:eastAsia="Arial" w:hAnsi="Arial"/>
          <w:sz w:val="16"/>
          <w:szCs w:val="16"/>
          <w:color w:val="auto"/>
        </w:rPr>
      </w:pPr>
    </w:p>
    <w:p>
      <w:pPr>
        <w:ind w:left="440" w:firstLine="948"/>
        <w:spacing w:after="0" w:line="269" w:lineRule="auto"/>
        <w:tabs>
          <w:tab w:leader="none" w:pos="1636" w:val="left"/>
        </w:tabs>
        <w:numPr>
          <w:ilvl w:val="0"/>
          <w:numId w:val="208"/>
        </w:numPr>
        <w:rPr>
          <w:rFonts w:ascii="Arial" w:cs="Arial" w:eastAsia="Arial" w:hAnsi="Arial"/>
          <w:sz w:val="17"/>
          <w:szCs w:val="17"/>
          <w:color w:val="auto"/>
        </w:rPr>
      </w:pPr>
      <w:r>
        <w:rPr>
          <w:rFonts w:ascii="Arial" w:cs="Arial" w:eastAsia="Arial" w:hAnsi="Arial"/>
          <w:sz w:val="17"/>
          <w:szCs w:val="17"/>
          <w:color w:val="auto"/>
        </w:rPr>
        <w:t>In case any proceeding (including any governmental investigation) shall be instituted involving any person in respect of which indemnity may be sought pursuant to Section 8(a) or 8(b), such person (the “</w:t>
      </w:r>
      <w:r>
        <w:rPr>
          <w:rFonts w:ascii="Arial" w:cs="Arial" w:eastAsia="Arial" w:hAnsi="Arial"/>
          <w:sz w:val="17"/>
          <w:szCs w:val="17"/>
          <w:b w:val="1"/>
          <w:bCs w:val="1"/>
          <w:color w:val="auto"/>
        </w:rPr>
        <w:t>indemnified party</w:t>
      </w:r>
      <w:r>
        <w:rPr>
          <w:rFonts w:ascii="Arial" w:cs="Arial" w:eastAsia="Arial" w:hAnsi="Arial"/>
          <w:sz w:val="17"/>
          <w:szCs w:val="17"/>
          <w:color w:val="auto"/>
        </w:rPr>
        <w:t>”) shall promptly notify the person against whom such indemnity may be sought (the “</w:t>
      </w:r>
      <w:r>
        <w:rPr>
          <w:rFonts w:ascii="Arial" w:cs="Arial" w:eastAsia="Arial" w:hAnsi="Arial"/>
          <w:sz w:val="17"/>
          <w:szCs w:val="17"/>
          <w:b w:val="1"/>
          <w:bCs w:val="1"/>
          <w:color w:val="auto"/>
        </w:rPr>
        <w:t>indemnifying party</w:t>
      </w:r>
      <w:r>
        <w:rPr>
          <w:rFonts w:ascii="Arial" w:cs="Arial" w:eastAsia="Arial" w:hAnsi="Arial"/>
          <w:sz w:val="17"/>
          <w:szCs w:val="17"/>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reasonably incurred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40" w:top="274" w:right="479" w:bottom="1440" w:gutter="0" w:footer="0" w:header="0"/>
        </w:sectPr>
      </w:pPr>
    </w:p>
    <w:bookmarkStart w:id="344" w:name="page345"/>
    <w:bookmarkEnd w:id="344"/>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expenses of more than one separate firm (in addition to any local counsel) for all such indemnified parties and that all such fees and expenses shall be reimbursed as they are incurred. Such firm shall be designated in writing by the Representatives, in the case of parties indemnified pursuant to Section 8(a), and by the Company, in the case of parties indemnified pursuant to Section 8(b).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 includes an unconditional release of such indemnified party from all liability on claims that are the subject matter of such proceeding, and (ii) does not include any statement as to or an admission of fault, culpability or failure to act by or on behalf of any indemnified party.</w:t>
      </w:r>
    </w:p>
    <w:p>
      <w:pPr>
        <w:spacing w:after="0" w:line="63" w:lineRule="exact"/>
        <w:rPr>
          <w:sz w:val="20"/>
          <w:szCs w:val="20"/>
          <w:color w:val="auto"/>
        </w:rPr>
      </w:pPr>
    </w:p>
    <w:p>
      <w:pPr>
        <w:ind w:firstLine="948"/>
        <w:spacing w:after="0" w:line="287" w:lineRule="auto"/>
        <w:tabs>
          <w:tab w:leader="none" w:pos="1207" w:val="left"/>
        </w:tabs>
        <w:numPr>
          <w:ilvl w:val="0"/>
          <w:numId w:val="209"/>
        </w:numPr>
        <w:rPr>
          <w:rFonts w:ascii="Arial" w:cs="Arial" w:eastAsia="Arial" w:hAnsi="Arial"/>
          <w:sz w:val="16"/>
          <w:szCs w:val="16"/>
          <w:color w:val="auto"/>
        </w:rPr>
      </w:pPr>
      <w:r>
        <w:rPr>
          <w:rFonts w:ascii="Arial" w:cs="Arial" w:eastAsia="Arial" w:hAnsi="Arial"/>
          <w:sz w:val="16"/>
          <w:szCs w:val="16"/>
          <w:color w:val="auto"/>
        </w:rPr>
        <w:t>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Underwriters on the other hand from the offering of the Shares or (ii) if the allocation provided by clause 8(d)(i) above is not permitted by applicable law, in such proportion as is appropriate to reflect not only the relative benefits referred to in clause 8(d)(i) above but also the relative fault of the Company on the one hand and of the Underwriters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Shares shall be deemed to be in the same respective proportions as the net proceeds from the offering of the Shares (after deducting underwriting discounts and commissions but before deducting expenses) received by the Company and the total underwriting discounts and commissions received by the Underwriters, in each case as set forth</w:t>
      </w:r>
    </w:p>
    <w:p>
      <w:pPr>
        <w:spacing w:after="0" w:line="10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560"/>
          </w:cols>
          <w:pgMar w:left="880" w:top="274" w:right="459" w:bottom="1440" w:gutter="0" w:footer="0" w:header="0"/>
        </w:sectPr>
      </w:pPr>
    </w:p>
    <w:bookmarkStart w:id="345" w:name="page346"/>
    <w:bookmarkEnd w:id="345"/>
    <w:p>
      <w:pPr>
        <w:ind w:left="440"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table on the cover of the Prospectus, bear to the aggregate Public Offering Price of the Shares.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8 are several in proportion to the respective number of Shares they have purchased hereunder, and not joint.</w:t>
      </w:r>
    </w:p>
    <w:p>
      <w:pPr>
        <w:spacing w:after="0" w:line="84" w:lineRule="exact"/>
        <w:rPr>
          <w:sz w:val="20"/>
          <w:szCs w:val="20"/>
          <w:color w:val="auto"/>
        </w:rPr>
      </w:pPr>
    </w:p>
    <w:p>
      <w:pPr>
        <w:ind w:left="440" w:right="20" w:firstLine="948"/>
        <w:spacing w:after="0" w:line="287" w:lineRule="auto"/>
        <w:tabs>
          <w:tab w:leader="none" w:pos="1636" w:val="left"/>
        </w:tabs>
        <w:numPr>
          <w:ilvl w:val="1"/>
          <w:numId w:val="210"/>
        </w:numPr>
        <w:rPr>
          <w:rFonts w:ascii="Arial" w:cs="Arial" w:eastAsia="Arial" w:hAnsi="Arial"/>
          <w:sz w:val="16"/>
          <w:szCs w:val="16"/>
          <w:color w:val="auto"/>
        </w:rPr>
      </w:pPr>
      <w:r>
        <w:rPr>
          <w:rFonts w:ascii="Arial" w:cs="Arial" w:eastAsia="Arial" w:hAnsi="Arial"/>
          <w:sz w:val="16"/>
          <w:szCs w:val="16"/>
          <w:color w:val="auto"/>
        </w:rPr>
        <w:t xml:space="preserve">The Company and the Underwriters agree that it would not be just or equitable if contribution pursuant to this Section 8 were determined by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allocation (even if the Underwriters were treated as one entity for such purpose) or by any other method of allocation that does not take account of the equitable considerations referred to in Section 8(d). The amount paid or payable by an indemnified party as a result of the losses, claims, damages and liabilities referred to in Section 8(d) shall be deemed to include, subject to the limitations set forth above, any legal or other expenses reasonably incurred by such indemnified party in connection with investigating or defending any such action or claim. Notwithstanding the provisions of this Section 8, no Underwriter shall be required to contribute any amount in excess of the amount by which the total price at which the Shares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w:t>
      </w:r>
    </w:p>
    <w:p>
      <w:pPr>
        <w:spacing w:after="0" w:line="63" w:lineRule="exact"/>
        <w:rPr>
          <w:rFonts w:ascii="Arial" w:cs="Arial" w:eastAsia="Arial" w:hAnsi="Arial"/>
          <w:sz w:val="16"/>
          <w:szCs w:val="16"/>
          <w:color w:val="auto"/>
        </w:rPr>
      </w:pPr>
    </w:p>
    <w:p>
      <w:pPr>
        <w:ind w:left="440" w:right="100" w:firstLine="948"/>
        <w:spacing w:after="0" w:line="291" w:lineRule="auto"/>
        <w:tabs>
          <w:tab w:leader="none" w:pos="1617" w:val="left"/>
        </w:tabs>
        <w:numPr>
          <w:ilvl w:val="1"/>
          <w:numId w:val="210"/>
        </w:numPr>
        <w:rPr>
          <w:rFonts w:ascii="Arial" w:cs="Arial" w:eastAsia="Arial" w:hAnsi="Arial"/>
          <w:sz w:val="16"/>
          <w:szCs w:val="16"/>
          <w:color w:val="auto"/>
        </w:rPr>
      </w:pPr>
      <w:r>
        <w:rPr>
          <w:rFonts w:ascii="Arial" w:cs="Arial" w:eastAsia="Arial" w:hAnsi="Arial"/>
          <w:sz w:val="16"/>
          <w:szCs w:val="16"/>
          <w:color w:val="auto"/>
        </w:rPr>
        <w:t>The indemnity and contribution provisions contained in this Section 8 and the representations, warranties and other statements of the Company contained in this Agreement shall remain operative and in full force and effect regardless of (i) any termination of this Agreement,</w:t>
      </w:r>
    </w:p>
    <w:p>
      <w:pPr>
        <w:ind w:left="440" w:hanging="4"/>
        <w:spacing w:after="0" w:line="255" w:lineRule="auto"/>
        <w:tabs>
          <w:tab w:leader="none" w:pos="70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any investigation made by or on behalf of any Underwriter, any person controlling any Underwriter or any affiliate of any Underwriter or by or on behalf of the Company, its officers or directors or any person controlling the Company and (iii) acceptance of and payment for any of the Shares.</w:t>
      </w:r>
    </w:p>
    <w:p>
      <w:pPr>
        <w:spacing w:after="0" w:line="82" w:lineRule="exact"/>
        <w:rPr>
          <w:sz w:val="20"/>
          <w:szCs w:val="20"/>
          <w:color w:val="auto"/>
        </w:rPr>
      </w:pPr>
    </w:p>
    <w:p>
      <w:pPr>
        <w:ind w:right="20" w:firstLine="436"/>
        <w:spacing w:after="0" w:line="286" w:lineRule="auto"/>
        <w:tabs>
          <w:tab w:leader="none" w:pos="620" w:val="left"/>
        </w:tabs>
        <w:numPr>
          <w:ilvl w:val="0"/>
          <w:numId w:val="212"/>
        </w:numPr>
        <w:rPr>
          <w:rFonts w:ascii="Arial" w:cs="Arial" w:eastAsia="Arial" w:hAnsi="Arial"/>
          <w:sz w:val="17"/>
          <w:szCs w:val="17"/>
          <w:color w:val="auto"/>
        </w:rPr>
      </w:pPr>
      <w:r>
        <w:rPr>
          <w:rFonts w:ascii="Arial" w:cs="Arial" w:eastAsia="Arial" w:hAnsi="Arial"/>
          <w:sz w:val="17"/>
          <w:szCs w:val="17"/>
          <w:i w:val="1"/>
          <w:iCs w:val="1"/>
          <w:color w:val="auto"/>
        </w:rPr>
        <w:t>Termination</w:t>
      </w:r>
      <w:r>
        <w:rPr>
          <w:rFonts w:ascii="Arial" w:cs="Arial" w:eastAsia="Arial" w:hAnsi="Arial"/>
          <w:sz w:val="17"/>
          <w:szCs w:val="17"/>
          <w:color w:val="auto"/>
        </w:rPr>
        <w:t>. The Underwriters may terminate this Agreement by notice given by the Representatives to the Company, if after the execution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delivery of this Agreement and prior to or on the Closing Date or any Option Closing Date, as the case may be, (i) trading generally shall have been suspended or materially limited on, or by, as the case may be, any of the New York Stock Exchange, the NYSE American, the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346" w:name="page347"/>
    <w:bookmarkEnd w:id="346"/>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NASDAQ Global [Select] Market, the Chicago Board of Options Exchange, the Chicago Mercantile Exchange or the Chicago Board of Trade,</w:t>
      </w:r>
    </w:p>
    <w:p>
      <w:pPr>
        <w:spacing w:after="0" w:line="35" w:lineRule="exact"/>
        <w:rPr>
          <w:sz w:val="20"/>
          <w:szCs w:val="20"/>
          <w:color w:val="auto"/>
        </w:rPr>
      </w:pPr>
    </w:p>
    <w:p>
      <w:pPr>
        <w:jc w:val="both"/>
        <w:ind w:left="4" w:hanging="4"/>
        <w:spacing w:after="0" w:line="290" w:lineRule="auto"/>
        <w:tabs>
          <w:tab w:leader="none" w:pos="269"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trading of any securities of the Company shall have been suspended on any exchange or in any over-the-counter market, (iii) a material disruption in securities settlement, payment or clearance services in the United States shall have occurred, (iv) any moratorium on commercial banking activities shall have been declared by Federal or New York State authorities or (v) there shall have occurred any outbreak or escalation of hostilities, or any change in financial markets or any calamity or crisis that, in the Representatives’ judgment, is material and adverse and which, singly or together with any other event specified in this clause (v), makes it, in the Representatives’ judgment, impracticable or inadvisable to proceed with the offer, sale or delivery of the Shares on the terms and in the manner contemplated in the Time of Sale Prospectus or the Prospectus.</w:t>
      </w:r>
    </w:p>
    <w:p>
      <w:pPr>
        <w:spacing w:after="0" w:line="55" w:lineRule="exact"/>
        <w:rPr>
          <w:rFonts w:ascii="Arial" w:cs="Arial" w:eastAsia="Arial" w:hAnsi="Arial"/>
          <w:sz w:val="16"/>
          <w:szCs w:val="16"/>
          <w:color w:val="auto"/>
        </w:rPr>
      </w:pPr>
    </w:p>
    <w:p>
      <w:pPr>
        <w:ind w:left="704" w:hanging="264"/>
        <w:spacing w:after="0"/>
        <w:tabs>
          <w:tab w:leader="none" w:pos="704" w:val="left"/>
        </w:tabs>
        <w:numPr>
          <w:ilvl w:val="1"/>
          <w:numId w:val="213"/>
        </w:numPr>
        <w:rPr>
          <w:rFonts w:ascii="Arial" w:cs="Arial" w:eastAsia="Arial" w:hAnsi="Arial"/>
          <w:sz w:val="16"/>
          <w:szCs w:val="16"/>
          <w:color w:val="auto"/>
        </w:rPr>
      </w:pPr>
      <w:r>
        <w:rPr>
          <w:rFonts w:ascii="Arial" w:cs="Arial" w:eastAsia="Arial" w:hAnsi="Arial"/>
          <w:sz w:val="16"/>
          <w:szCs w:val="16"/>
          <w:i w:val="1"/>
          <w:iCs w:val="1"/>
          <w:color w:val="auto"/>
        </w:rPr>
        <w:t>Effectiveness; Defaulting Underwriters</w:t>
      </w:r>
      <w:r>
        <w:rPr>
          <w:rFonts w:ascii="Arial" w:cs="Arial" w:eastAsia="Arial" w:hAnsi="Arial"/>
          <w:sz w:val="16"/>
          <w:szCs w:val="16"/>
          <w:color w:val="auto"/>
        </w:rPr>
        <w:t>. This Agreement shall become effective upon the execution and delivery hereof by the parties hereto.</w:t>
      </w:r>
    </w:p>
    <w:p>
      <w:pPr>
        <w:spacing w:after="0" w:line="248"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color w:val="auto"/>
        </w:rPr>
        <w:t xml:space="preserve">If, on the Closing Date or an Option Closing Date, as the case may be, any one or more of the Underwriters shall fail or refuse to purchase Shares that it has or they have agreed to purchase hereunder on such date, and the aggregate number of Shares which such defaulting Underwriter or Underwriters agreed but failed or refused to purchase is not more than one-tenth of the aggregate number of the Shares to be purchased on such date, the other Underwriters shall be obligated severally in the proportions that the number of Firm Shares set forth opposite their respective names in Schedule I bears to the aggregate number of Firm Shares set forth opposite the names of all such non-defaulting Underwriters, or in such other proportions as the Representatives may specify, to purchase the Shares which such defaulting Underwriter or Underwriters agreed but failed or refused to purchase on such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the number of Shares that any Underwriter has agreed to purchase pursuant to this Agreement be increased pursuant to this Section 10 by an amount in excess of one-ninth of such number of Shares without the written consent of such Underwriter. If, on the Closing Date, any Underwriter or Underwriters shall fail or refuse to purchase Firm Shares and the aggregate number of Firm Shares with respect to which such default occurs is more than one-tenth of the aggregate number of Firm Shares to be purchased on such date, and arrangements satisfactory to the Representatives and the Company for the purchase of such Firm Shares are not made within 36 hours after such default, this Agreement shall terminate without liability on the part of any non-defaulting Underwriter or the Company. In any such case either the Representatives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If, on an Option Closing Date, any Underwriter or Underwriters shall fail or refuse to purchase Additional Shares and the aggregate number of Additional Shares with respect to which such default occurs is more than one-tenth of the aggregate number of Additional Shares to be purchased on such Option Closing Date, the non-defaulting Underwriters shall have the option to (i) terminate their obligation hereunder to purchase the Additional Shares to be sold on such Option Closing Date or (ii) purchase not less than the number of Additional Shares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spacing w:after="0" w:line="11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4"/>
          </w:cols>
          <w:pgMar w:left="436" w:top="274" w:right="479" w:bottom="1440" w:gutter="0" w:footer="0" w:header="0"/>
        </w:sectPr>
      </w:pPr>
    </w:p>
    <w:bookmarkStart w:id="347" w:name="page348"/>
    <w:bookmarkEnd w:id="347"/>
    <w:p>
      <w:pPr>
        <w:ind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reasonably incurred fees and disbursements of their counsel) reasonably incurred by such Underwriters in connection with this Agreement or the offering contemplated hereunder.</w:t>
      </w:r>
    </w:p>
    <w:p>
      <w:pPr>
        <w:spacing w:after="0" w:line="68" w:lineRule="exact"/>
        <w:rPr>
          <w:sz w:val="20"/>
          <w:szCs w:val="20"/>
          <w:color w:val="auto"/>
        </w:rPr>
      </w:pPr>
    </w:p>
    <w:p>
      <w:pPr>
        <w:ind w:right="40" w:firstLine="436"/>
        <w:spacing w:after="0" w:line="259" w:lineRule="auto"/>
        <w:tabs>
          <w:tab w:leader="none" w:pos="703" w:val="left"/>
        </w:tabs>
        <w:numPr>
          <w:ilvl w:val="0"/>
          <w:numId w:val="214"/>
        </w:numPr>
        <w:rPr>
          <w:rFonts w:ascii="Arial" w:cs="Arial" w:eastAsia="Arial" w:hAnsi="Arial"/>
          <w:sz w:val="18"/>
          <w:szCs w:val="18"/>
          <w:color w:val="auto"/>
        </w:rPr>
      </w:pPr>
      <w:r>
        <w:rPr>
          <w:rFonts w:ascii="Arial" w:cs="Arial" w:eastAsia="Arial" w:hAnsi="Arial"/>
          <w:sz w:val="18"/>
          <w:szCs w:val="18"/>
          <w:i w:val="1"/>
          <w:iCs w:val="1"/>
          <w:color w:val="auto"/>
        </w:rPr>
        <w:t>Entire Agreement</w:t>
      </w:r>
      <w:r>
        <w:rPr>
          <w:rFonts w:ascii="Arial" w:cs="Arial" w:eastAsia="Arial" w:hAnsi="Arial"/>
          <w:sz w:val="18"/>
          <w:szCs w:val="18"/>
          <w:color w:val="auto"/>
        </w:rPr>
        <w:t>. (a) This Agreement, together with any contemporaneous written agreements and any prior written agreements (to the extent</w:t>
      </w:r>
      <w:r>
        <w:rPr>
          <w:rFonts w:ascii="Arial" w:cs="Arial" w:eastAsia="Arial" w:hAnsi="Arial"/>
          <w:sz w:val="18"/>
          <w:szCs w:val="18"/>
          <w:i w:val="1"/>
          <w:iCs w:val="1"/>
          <w:color w:val="auto"/>
        </w:rPr>
        <w:t xml:space="preserve"> </w:t>
      </w:r>
      <w:r>
        <w:rPr>
          <w:rFonts w:ascii="Arial" w:cs="Arial" w:eastAsia="Arial" w:hAnsi="Arial"/>
          <w:sz w:val="18"/>
          <w:szCs w:val="18"/>
          <w:color w:val="auto"/>
        </w:rPr>
        <w:t>not superseded by this Agreement) that relate to the offering of the Shares, represents the entire agreement between the Company and the Underwriters with respect to the preparation of any preliminary prospectus, the Time of Sale Prospectus, the Prospectus, the conduct of the offering, and the purchase and sale of the Shares.</w:t>
      </w:r>
    </w:p>
    <w:p>
      <w:pPr>
        <w:spacing w:after="0" w:line="78" w:lineRule="exact"/>
        <w:rPr>
          <w:rFonts w:ascii="Arial" w:cs="Arial" w:eastAsia="Arial" w:hAnsi="Arial"/>
          <w:sz w:val="18"/>
          <w:szCs w:val="18"/>
          <w:color w:val="auto"/>
        </w:rPr>
      </w:pPr>
    </w:p>
    <w:p>
      <w:pPr>
        <w:ind w:left="440" w:right="120" w:firstLine="948"/>
        <w:spacing w:after="0" w:line="291" w:lineRule="auto"/>
        <w:tabs>
          <w:tab w:leader="none" w:pos="1647" w:val="left"/>
        </w:tabs>
        <w:numPr>
          <w:ilvl w:val="1"/>
          <w:numId w:val="214"/>
        </w:numPr>
        <w:rPr>
          <w:rFonts w:ascii="Arial" w:cs="Arial" w:eastAsia="Arial" w:hAnsi="Arial"/>
          <w:sz w:val="16"/>
          <w:szCs w:val="16"/>
          <w:color w:val="auto"/>
        </w:rPr>
      </w:pPr>
      <w:r>
        <w:rPr>
          <w:rFonts w:ascii="Arial" w:cs="Arial" w:eastAsia="Arial" w:hAnsi="Arial"/>
          <w:sz w:val="16"/>
          <w:szCs w:val="16"/>
          <w:color w:val="auto"/>
        </w:rPr>
        <w:t>The Company acknowledges that in connection with the offering of the Shares: (i) the Underwriters have acted at arm’s length, are not agents of, and owe no fiduciary duties to, the Company or any other person, (ii) the Underwriters owe the Company only those duties and obligations set forth in this Agreement, any contemporaneous written agreements and prior written agreements (to the extent not superseded by this Agreement), if any, (iii) the Underwriters may have interests that differ from those of the Company, and (iv) none of the activities of the Underwriters in connection with the transactions contemplated herein constitutes a recommendation, investment advice, or solicitation of any action by the Underwriters with respect to any entity or natural person. The Company waives to the full extent permitted by applicable law any claims it may have against the Underwriters arising from an alleged breach of fiduciary duty in connection with the offering of the Shares.</w:t>
      </w:r>
    </w:p>
    <w:p>
      <w:pPr>
        <w:spacing w:after="0" w:line="58" w:lineRule="exact"/>
        <w:rPr>
          <w:rFonts w:ascii="Arial" w:cs="Arial" w:eastAsia="Arial" w:hAnsi="Arial"/>
          <w:sz w:val="16"/>
          <w:szCs w:val="16"/>
          <w:color w:val="auto"/>
        </w:rPr>
      </w:pPr>
    </w:p>
    <w:p>
      <w:pPr>
        <w:ind w:right="120" w:firstLine="436"/>
        <w:spacing w:after="0" w:line="279" w:lineRule="auto"/>
        <w:tabs>
          <w:tab w:leader="none" w:pos="710" w:val="left"/>
        </w:tabs>
        <w:numPr>
          <w:ilvl w:val="0"/>
          <w:numId w:val="214"/>
        </w:numPr>
        <w:rPr>
          <w:rFonts w:ascii="Arial" w:cs="Arial" w:eastAsia="Arial" w:hAnsi="Arial"/>
          <w:sz w:val="17"/>
          <w:szCs w:val="17"/>
          <w:color w:val="auto"/>
        </w:rPr>
      </w:pPr>
      <w:r>
        <w:rPr>
          <w:rFonts w:ascii="Arial" w:cs="Arial" w:eastAsia="Arial" w:hAnsi="Arial"/>
          <w:sz w:val="17"/>
          <w:szCs w:val="17"/>
          <w:i w:val="1"/>
          <w:iCs w:val="1"/>
          <w:color w:val="auto"/>
        </w:rPr>
        <w:t>Recognition of the U.S. Special Resolution Regimes</w:t>
      </w:r>
      <w:r>
        <w:rPr>
          <w:rFonts w:ascii="Arial" w:cs="Arial" w:eastAsia="Arial" w:hAnsi="Arial"/>
          <w:sz w:val="17"/>
          <w:szCs w:val="17"/>
          <w:color w:val="auto"/>
        </w:rPr>
        <w:t>. (a) In the event that any Underwriter that is a Covered Entity becomes subject to a</w:t>
      </w:r>
      <w:r>
        <w:rPr>
          <w:rFonts w:ascii="Arial" w:cs="Arial" w:eastAsia="Arial" w:hAnsi="Arial"/>
          <w:sz w:val="17"/>
          <w:szCs w:val="17"/>
          <w:i w:val="1"/>
          <w:iCs w:val="1"/>
          <w:color w:val="auto"/>
        </w:rPr>
        <w:t xml:space="preserve"> </w:t>
      </w:r>
      <w:r>
        <w:rPr>
          <w:rFonts w:ascii="Arial" w:cs="Arial" w:eastAsia="Arial" w:hAnsi="Arial"/>
          <w:sz w:val="17"/>
          <w:szCs w:val="17"/>
          <w:color w:val="auto"/>
        </w:rPr>
        <w:t>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63" w:lineRule="exact"/>
        <w:rPr>
          <w:rFonts w:ascii="Arial" w:cs="Arial" w:eastAsia="Arial" w:hAnsi="Arial"/>
          <w:sz w:val="17"/>
          <w:szCs w:val="17"/>
          <w:color w:val="auto"/>
        </w:rPr>
      </w:pPr>
    </w:p>
    <w:p>
      <w:pPr>
        <w:ind w:left="440" w:right="340" w:firstLine="948"/>
        <w:spacing w:after="0" w:line="279" w:lineRule="auto"/>
        <w:tabs>
          <w:tab w:leader="none" w:pos="1647" w:val="left"/>
        </w:tabs>
        <w:numPr>
          <w:ilvl w:val="1"/>
          <w:numId w:val="214"/>
        </w:numPr>
        <w:rPr>
          <w:rFonts w:ascii="Arial" w:cs="Arial" w:eastAsia="Arial" w:hAnsi="Arial"/>
          <w:sz w:val="17"/>
          <w:szCs w:val="17"/>
          <w:color w:val="auto"/>
        </w:rPr>
      </w:pPr>
      <w:r>
        <w:rPr>
          <w:rFonts w:ascii="Arial" w:cs="Arial" w:eastAsia="Arial" w:hAnsi="Arial"/>
          <w:sz w:val="17"/>
          <w:szCs w:val="17"/>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348" w:name="page349"/>
    <w:bookmarkEnd w:id="348"/>
    <w:p>
      <w:pPr>
        <w:ind w:right="40"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this Section a “</w:t>
      </w:r>
      <w:r>
        <w:rPr>
          <w:rFonts w:ascii="Arial" w:cs="Arial" w:eastAsia="Arial" w:hAnsi="Arial"/>
          <w:sz w:val="17"/>
          <w:szCs w:val="17"/>
          <w:b w:val="1"/>
          <w:bCs w:val="1"/>
          <w:color w:val="auto"/>
        </w:rPr>
        <w:t>BHC Act Affiliate</w:t>
      </w:r>
      <w:r>
        <w:rPr>
          <w:rFonts w:ascii="Arial" w:cs="Arial" w:eastAsia="Arial" w:hAnsi="Arial"/>
          <w:sz w:val="17"/>
          <w:szCs w:val="17"/>
          <w:color w:val="auto"/>
        </w:rPr>
        <w:t>” has the meaning assigned to the term “affiliate” in, and shall be interpreted in accordance with, 12 U.S.C. § 1841(k). “</w:t>
      </w:r>
      <w:r>
        <w:rPr>
          <w:rFonts w:ascii="Arial" w:cs="Arial" w:eastAsia="Arial" w:hAnsi="Arial"/>
          <w:sz w:val="17"/>
          <w:szCs w:val="17"/>
          <w:b w:val="1"/>
          <w:bCs w:val="1"/>
          <w:color w:val="auto"/>
        </w:rPr>
        <w:t>Covered Entity</w:t>
      </w:r>
      <w:r>
        <w:rPr>
          <w:rFonts w:ascii="Arial" w:cs="Arial" w:eastAsia="Arial" w:hAnsi="Arial"/>
          <w:sz w:val="17"/>
          <w:szCs w:val="17"/>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Arial" w:cs="Arial" w:eastAsia="Arial" w:hAnsi="Arial"/>
          <w:sz w:val="17"/>
          <w:szCs w:val="17"/>
          <w:b w:val="1"/>
          <w:bCs w:val="1"/>
          <w:color w:val="auto"/>
        </w:rPr>
        <w:t>Default Right</w:t>
      </w:r>
      <w:r>
        <w:rPr>
          <w:rFonts w:ascii="Arial" w:cs="Arial" w:eastAsia="Arial" w:hAnsi="Arial"/>
          <w:sz w:val="17"/>
          <w:szCs w:val="17"/>
          <w:color w:val="auto"/>
        </w:rPr>
        <w:t>” has the meaning assigned to that term in, and shall be interpreted in accordance with, 12 C.F.R. §§ 252.81, 47.2 or 382.1, as applicable. “</w:t>
      </w:r>
      <w:r>
        <w:rPr>
          <w:rFonts w:ascii="Arial" w:cs="Arial" w:eastAsia="Arial" w:hAnsi="Arial"/>
          <w:sz w:val="17"/>
          <w:szCs w:val="17"/>
          <w:b w:val="1"/>
          <w:bCs w:val="1"/>
          <w:color w:val="auto"/>
        </w:rPr>
        <w:t>U.S. Special Resolution Regime</w:t>
      </w:r>
      <w:r>
        <w:rPr>
          <w:rFonts w:ascii="Arial" w:cs="Arial" w:eastAsia="Arial" w:hAnsi="Arial"/>
          <w:sz w:val="17"/>
          <w:szCs w:val="17"/>
          <w:color w:val="auto"/>
        </w:rPr>
        <w:t>” means each of (i) the Federal Deposit Insurance Act and the regulations promulgated thereunder and (ii) Title II of the Dodd-Frank Wall Street Reform and Consumer Protection Act and the regulations promulgated thereunder.</w:t>
      </w:r>
    </w:p>
    <w:p>
      <w:pPr>
        <w:spacing w:after="0" w:line="68" w:lineRule="exact"/>
        <w:rPr>
          <w:sz w:val="20"/>
          <w:szCs w:val="20"/>
          <w:color w:val="auto"/>
        </w:rPr>
      </w:pPr>
    </w:p>
    <w:p>
      <w:pPr>
        <w:ind w:right="40" w:firstLine="436"/>
        <w:spacing w:after="0" w:line="257" w:lineRule="auto"/>
        <w:tabs>
          <w:tab w:leader="none" w:pos="710" w:val="left"/>
        </w:tabs>
        <w:numPr>
          <w:ilvl w:val="0"/>
          <w:numId w:val="215"/>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signed in two or more counterparts, each of which shall be an original, with the same effect as if the</w:t>
      </w:r>
      <w:r>
        <w:rPr>
          <w:rFonts w:ascii="Arial" w:cs="Arial" w:eastAsia="Arial" w:hAnsi="Arial"/>
          <w:sz w:val="18"/>
          <w:szCs w:val="18"/>
          <w:i w:val="1"/>
          <w:iCs w:val="1"/>
          <w:color w:val="auto"/>
        </w:rPr>
        <w:t xml:space="preserve"> </w:t>
      </w:r>
      <w:r>
        <w:rPr>
          <w:rFonts w:ascii="Arial" w:cs="Arial" w:eastAsia="Arial" w:hAnsi="Arial"/>
          <w:sz w:val="18"/>
          <w:szCs w:val="18"/>
          <w:color w:val="auto"/>
        </w:rPr>
        <w:t>signatures thereto and hereto were upon the same instrument. Counterparts may be delivered via facsimile, electronic mail (including any electronic signature complying with the U.S. federal ESIGN Act of 2000, Uniform Electronic Transactions Act or other applicable law, e.g., www.docusign.com) or other transmission method and any counterpart so delivered shall be deemed to have been duly and validly delivered and be valid and effective for all purposes.</w:t>
      </w:r>
    </w:p>
    <w:p>
      <w:pPr>
        <w:spacing w:after="0" w:line="79" w:lineRule="exact"/>
        <w:rPr>
          <w:rFonts w:ascii="Arial" w:cs="Arial" w:eastAsia="Arial" w:hAnsi="Arial"/>
          <w:sz w:val="18"/>
          <w:szCs w:val="18"/>
          <w:color w:val="auto"/>
        </w:rPr>
      </w:pPr>
    </w:p>
    <w:p>
      <w:pPr>
        <w:ind w:left="700" w:hanging="264"/>
        <w:spacing w:after="0"/>
        <w:tabs>
          <w:tab w:leader="none" w:pos="700" w:val="left"/>
        </w:tabs>
        <w:numPr>
          <w:ilvl w:val="0"/>
          <w:numId w:val="215"/>
        </w:numPr>
        <w:rPr>
          <w:rFonts w:ascii="Arial" w:cs="Arial" w:eastAsia="Arial" w:hAnsi="Arial"/>
          <w:sz w:val="17"/>
          <w:szCs w:val="17"/>
          <w:color w:val="auto"/>
        </w:rPr>
      </w:pPr>
      <w:r>
        <w:rPr>
          <w:rFonts w:ascii="Arial" w:cs="Arial" w:eastAsia="Arial" w:hAnsi="Arial"/>
          <w:sz w:val="17"/>
          <w:szCs w:val="17"/>
          <w:i w:val="1"/>
          <w:iCs w:val="1"/>
          <w:color w:val="auto"/>
        </w:rPr>
        <w:t>Applicable Law</w:t>
      </w:r>
      <w:r>
        <w:rPr>
          <w:rFonts w:ascii="Arial" w:cs="Arial" w:eastAsia="Arial" w:hAnsi="Arial"/>
          <w:sz w:val="17"/>
          <w:szCs w:val="17"/>
          <w:color w:val="auto"/>
        </w:rPr>
        <w:t>. This Agreement shall be governed by and construed in accordance with the internal laws of the State of New York.</w:t>
      </w:r>
    </w:p>
    <w:p>
      <w:pPr>
        <w:spacing w:after="0" w:line="128" w:lineRule="exact"/>
        <w:rPr>
          <w:rFonts w:ascii="Arial" w:cs="Arial" w:eastAsia="Arial" w:hAnsi="Arial"/>
          <w:sz w:val="17"/>
          <w:szCs w:val="17"/>
          <w:color w:val="auto"/>
        </w:rPr>
      </w:pPr>
    </w:p>
    <w:p>
      <w:pPr>
        <w:ind w:right="40" w:firstLine="436"/>
        <w:spacing w:after="0" w:line="277" w:lineRule="auto"/>
        <w:tabs>
          <w:tab w:leader="none" w:pos="710" w:val="left"/>
        </w:tabs>
        <w:numPr>
          <w:ilvl w:val="0"/>
          <w:numId w:val="215"/>
        </w:numPr>
        <w:rPr>
          <w:rFonts w:ascii="Arial" w:cs="Arial" w:eastAsia="Arial" w:hAnsi="Arial"/>
          <w:sz w:val="18"/>
          <w:szCs w:val="18"/>
          <w:color w:val="auto"/>
        </w:rPr>
      </w:pPr>
      <w:r>
        <w:rPr>
          <w:rFonts w:ascii="Arial" w:cs="Arial" w:eastAsia="Arial" w:hAnsi="Arial"/>
          <w:sz w:val="18"/>
          <w:szCs w:val="18"/>
          <w:i w:val="1"/>
          <w:iCs w:val="1"/>
          <w:color w:val="auto"/>
        </w:rPr>
        <w:t>Headings</w:t>
      </w:r>
      <w:r>
        <w:rPr>
          <w:rFonts w:ascii="Arial" w:cs="Arial" w:eastAsia="Arial" w:hAnsi="Arial"/>
          <w:sz w:val="18"/>
          <w:szCs w:val="18"/>
          <w:color w:val="auto"/>
        </w:rPr>
        <w:t>. The headings of the sections of this Agreement have been inserted for convenience of reference only and shall not be deemed a part</w:t>
      </w:r>
      <w:r>
        <w:rPr>
          <w:rFonts w:ascii="Arial" w:cs="Arial" w:eastAsia="Arial" w:hAnsi="Arial"/>
          <w:sz w:val="18"/>
          <w:szCs w:val="18"/>
          <w:i w:val="1"/>
          <w:iCs w:val="1"/>
          <w:color w:val="auto"/>
        </w:rPr>
        <w:t xml:space="preserve"> </w:t>
      </w:r>
      <w:r>
        <w:rPr>
          <w:rFonts w:ascii="Arial" w:cs="Arial" w:eastAsia="Arial" w:hAnsi="Arial"/>
          <w:sz w:val="18"/>
          <w:szCs w:val="18"/>
          <w:color w:val="auto"/>
        </w:rPr>
        <w:t>of this Agreement.</w:t>
      </w:r>
    </w:p>
    <w:p>
      <w:pPr>
        <w:spacing w:after="0" w:line="62" w:lineRule="exact"/>
        <w:rPr>
          <w:rFonts w:ascii="Arial" w:cs="Arial" w:eastAsia="Arial" w:hAnsi="Arial"/>
          <w:sz w:val="18"/>
          <w:szCs w:val="18"/>
          <w:color w:val="auto"/>
        </w:rPr>
      </w:pPr>
    </w:p>
    <w:p>
      <w:pPr>
        <w:ind w:firstLine="436"/>
        <w:spacing w:after="0" w:line="293" w:lineRule="auto"/>
        <w:tabs>
          <w:tab w:leader="none" w:pos="710" w:val="left"/>
        </w:tabs>
        <w:numPr>
          <w:ilvl w:val="0"/>
          <w:numId w:val="215"/>
        </w:numPr>
        <w:rPr>
          <w:rFonts w:ascii="Arial" w:cs="Arial" w:eastAsia="Arial" w:hAnsi="Arial"/>
          <w:sz w:val="16"/>
          <w:szCs w:val="16"/>
          <w:color w:val="auto"/>
        </w:rPr>
      </w:pPr>
      <w:r>
        <w:rPr>
          <w:rFonts w:ascii="Arial" w:cs="Arial" w:eastAsia="Arial" w:hAnsi="Arial"/>
          <w:sz w:val="16"/>
          <w:szCs w:val="16"/>
          <w:i w:val="1"/>
          <w:iCs w:val="1"/>
          <w:color w:val="auto"/>
        </w:rPr>
        <w:t>Notices</w:t>
      </w:r>
      <w:r>
        <w:rPr>
          <w:rFonts w:ascii="Arial" w:cs="Arial" w:eastAsia="Arial" w:hAnsi="Arial"/>
          <w:sz w:val="16"/>
          <w:szCs w:val="16"/>
          <w:color w:val="auto"/>
        </w:rPr>
        <w:t>. All communications hereunder shall be in writing and effective only upon receipt and if to the Underwriters shall be delivered, mailed</w:t>
      </w:r>
      <w:r>
        <w:rPr>
          <w:rFonts w:ascii="Arial" w:cs="Arial" w:eastAsia="Arial" w:hAnsi="Arial"/>
          <w:sz w:val="16"/>
          <w:szCs w:val="16"/>
          <w:i w:val="1"/>
          <w:iCs w:val="1"/>
          <w:color w:val="auto"/>
        </w:rPr>
        <w:t xml:space="preserve"> </w:t>
      </w:r>
      <w:r>
        <w:rPr>
          <w:rFonts w:ascii="Arial" w:cs="Arial" w:eastAsia="Arial" w:hAnsi="Arial"/>
          <w:sz w:val="16"/>
          <w:szCs w:val="16"/>
          <w:color w:val="auto"/>
        </w:rPr>
        <w:t>or sent to the Representatives in care of Morgan Stanley &amp; Co. LLC, 1585 Broadway, New York, New York 10036, Attention: Equity Syndicate Desk, with a copy to the Legal Department; in care of Cowen and Company, LLC, 599 Lexington Avenue, New York, New York 10022, Attention: Head of Equity Capital Markets (fax: (646) 562-1249), with a copy to the General Counsel (fax: (646) 562-1124); and in care of Piper Sandler &amp; Co., 800 Nicollet Mall, Suite 800, Minneapolis, MN 55402, Attention: Head of Equity Capital Markets, with a copy to the General Counsel, and if to the Company shall be delivered, mailed or sent to Tenaya Therapeutics, Inc., 171 Oyster Point Boulevard, 5th Floor, South San Francisco, CA, 94080.</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0" w:right="459" w:bottom="1440" w:gutter="0" w:footer="0" w:header="0"/>
        </w:sectPr>
      </w:pPr>
    </w:p>
    <w:bookmarkStart w:id="349" w:name="page350"/>
    <w:bookmarkEnd w:id="349"/>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Very truly yours,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Tenaya Therapeutics, Inc.</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Faraz Ali</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Title:  Chief Executive Officer</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9019"/>
          </w:cols>
          <w:pgMar w:left="1440" w:top="274" w:right="1440" w:bottom="1440" w:gutter="0" w:footer="0" w:header="0"/>
        </w:sectPr>
      </w:pPr>
    </w:p>
    <w:bookmarkStart w:id="350" w:name="page351"/>
    <w:bookmarkEnd w:id="3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Accepted as of the date hereof</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Piper Sandler &amp; Co.</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Acting severally on behalf of themselves and the several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Underwriters named in Schedule I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Morgan Stanley &amp; Co. 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Cowen and Company,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Piper Sandler &amp; 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019"/>
          </w:cols>
          <w:pgMar w:left="440" w:top="274" w:right="1440" w:bottom="1440" w:gutter="0" w:footer="0" w:header="0"/>
        </w:sectPr>
      </w:pPr>
    </w:p>
    <w:bookmarkStart w:id="351" w:name="page352"/>
    <w:bookmarkEnd w:id="35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w:t>
      </w:r>
    </w:p>
    <w:p>
      <w:pPr>
        <w:spacing w:after="0" w:line="248" w:lineRule="exact"/>
        <w:rPr>
          <w:sz w:val="20"/>
          <w:szCs w:val="20"/>
          <w:color w:val="auto"/>
        </w:rPr>
      </w:pPr>
    </w:p>
    <w:p>
      <w:pPr>
        <w:spacing w:after="0"/>
        <w:tabs>
          <w:tab w:leader="none" w:pos="8420" w:val="left"/>
        </w:tabs>
        <w:rPr>
          <w:sz w:val="20"/>
          <w:szCs w:val="20"/>
          <w:color w:val="auto"/>
        </w:rPr>
      </w:pPr>
      <w:r>
        <w:rPr>
          <w:rFonts w:ascii="Arial" w:cs="Arial" w:eastAsia="Arial" w:hAnsi="Arial"/>
          <w:sz w:val="13"/>
          <w:szCs w:val="13"/>
          <w:b w:val="1"/>
          <w:bCs w:val="1"/>
          <w:u w:val="single" w:color="auto"/>
          <w:color w:val="auto"/>
        </w:rPr>
        <w:t>Underwriter</w:t>
      </w:r>
      <w:r>
        <w:rPr>
          <w:sz w:val="20"/>
          <w:szCs w:val="20"/>
          <w:color w:val="auto"/>
        </w:rPr>
        <w:tab/>
      </w:r>
      <w:r>
        <w:rPr>
          <w:rFonts w:ascii="Arial" w:cs="Arial" w:eastAsia="Arial" w:hAnsi="Arial"/>
          <w:sz w:val="13"/>
          <w:szCs w:val="13"/>
          <w:b w:val="1"/>
          <w:bCs w:val="1"/>
          <w:u w:val="single" w:color="auto"/>
          <w:color w:val="auto"/>
        </w:rPr>
        <w:t>Number of Firm Shares To Be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6995160" cy="13716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Piper Sandler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[NAMES OF OTHER 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5354955</wp:posOffset>
            </wp:positionH>
            <wp:positionV relativeFrom="paragraph">
              <wp:posOffset>5715</wp:posOffset>
            </wp:positionV>
            <wp:extent cx="161163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8">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6995160" cy="16319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9">
                      <a:extLst>
                        <a:ext uri="{28A0092B-C50C-407E-A947-70E740481C1C}"/>
                      </a:extLst>
                    </a:blip>
                    <a:srcRect/>
                    <a:stretch>
                      <a:fillRect/>
                    </a:stretch>
                  </pic:blipFill>
                  <pic:spPr bwMode="auto">
                    <a:xfrm>
                      <a:off x="0" y="0"/>
                      <a:ext cx="6995160" cy="163195"/>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w:t>
      </w:r>
    </w:p>
    <w:p>
      <w:pPr>
        <w:sectPr>
          <w:pgSz w:w="11900" w:h="16838" w:orient="portrait"/>
          <w:cols w:equalWidth="0" w:num="1">
            <w:col w:w="11020"/>
          </w:cols>
          <w:pgMar w:left="440" w:top="270" w:right="439" w:bottom="1440" w:gutter="0" w:footer="0" w:header="0"/>
        </w:sectPr>
      </w:pPr>
    </w:p>
    <w:bookmarkStart w:id="352" w:name="page353"/>
    <w:bookmarkEnd w:id="35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Time of Sale Prospectus</w:t>
      </w:r>
    </w:p>
    <w:p>
      <w:pPr>
        <w:spacing w:after="0" w:line="256" w:lineRule="exact"/>
        <w:rPr>
          <w:sz w:val="20"/>
          <w:szCs w:val="20"/>
          <w:color w:val="auto"/>
        </w:rPr>
      </w:pPr>
    </w:p>
    <w:p>
      <w:pPr>
        <w:ind w:left="424" w:hanging="424"/>
        <w:spacing w:after="0"/>
        <w:tabs>
          <w:tab w:leader="none" w:pos="424" w:val="left"/>
        </w:tabs>
        <w:numPr>
          <w:ilvl w:val="0"/>
          <w:numId w:val="216"/>
        </w:numPr>
        <w:rPr>
          <w:rFonts w:ascii="Arial" w:cs="Arial" w:eastAsia="Arial" w:hAnsi="Arial"/>
          <w:sz w:val="18"/>
          <w:szCs w:val="18"/>
          <w:color w:val="auto"/>
        </w:rPr>
      </w:pPr>
      <w:r>
        <w:rPr>
          <w:rFonts w:ascii="Arial" w:cs="Arial" w:eastAsia="Arial" w:hAnsi="Arial"/>
          <w:sz w:val="18"/>
          <w:szCs w:val="18"/>
          <w:color w:val="auto"/>
        </w:rPr>
        <w:t>Preliminary Prospectus issued [•]</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[Identify all free writing prospectuses filed by the Company under Rule 433(d) of the Securities Act]</w:t>
      </w:r>
    </w:p>
    <w:p>
      <w:pPr>
        <w:spacing w:after="0" w:line="130" w:lineRule="exact"/>
        <w:rPr>
          <w:rFonts w:ascii="Arial" w:cs="Arial" w:eastAsia="Arial" w:hAnsi="Arial"/>
          <w:sz w:val="18"/>
          <w:szCs w:val="18"/>
          <w:color w:val="auto"/>
        </w:rPr>
      </w:pPr>
    </w:p>
    <w:p>
      <w:pPr>
        <w:ind w:left="424" w:right="160" w:hanging="424"/>
        <w:spacing w:after="0" w:line="277" w:lineRule="auto"/>
        <w:tabs>
          <w:tab w:leader="none" w:pos="424" w:val="left"/>
        </w:tabs>
        <w:numPr>
          <w:ilvl w:val="0"/>
          <w:numId w:val="216"/>
        </w:numPr>
        <w:rPr>
          <w:rFonts w:ascii="Arial" w:cs="Arial" w:eastAsia="Arial" w:hAnsi="Arial"/>
          <w:sz w:val="18"/>
          <w:szCs w:val="18"/>
          <w:color w:val="auto"/>
        </w:rPr>
      </w:pPr>
      <w:r>
        <w:rPr>
          <w:rFonts w:ascii="Arial" w:cs="Arial" w:eastAsia="Arial" w:hAnsi="Arial"/>
          <w:sz w:val="18"/>
          <w:szCs w:val="18"/>
          <w:color w:val="auto"/>
        </w:rPr>
        <w:t>[Free writing prospectus containing a description of terms that does not reflect final terms, if the Time of Sale Prospectus does not include a final term sheet]</w:t>
      </w:r>
    </w:p>
    <w:p>
      <w:pPr>
        <w:spacing w:after="0" w:line="75" w:lineRule="exact"/>
        <w:rPr>
          <w:rFonts w:ascii="Arial" w:cs="Arial" w:eastAsia="Arial" w:hAnsi="Arial"/>
          <w:sz w:val="18"/>
          <w:szCs w:val="18"/>
          <w:color w:val="auto"/>
        </w:rPr>
      </w:pPr>
    </w:p>
    <w:p>
      <w:pPr>
        <w:ind w:left="424" w:right="220" w:hanging="424"/>
        <w:spacing w:after="0" w:line="277" w:lineRule="auto"/>
        <w:tabs>
          <w:tab w:leader="none" w:pos="424" w:val="left"/>
        </w:tabs>
        <w:numPr>
          <w:ilvl w:val="0"/>
          <w:numId w:val="216"/>
        </w:numPr>
        <w:rPr>
          <w:rFonts w:ascii="Arial" w:cs="Arial" w:eastAsia="Arial" w:hAnsi="Arial"/>
          <w:sz w:val="18"/>
          <w:szCs w:val="18"/>
          <w:color w:val="auto"/>
        </w:rPr>
      </w:pPr>
      <w:r>
        <w:rPr>
          <w:rFonts w:ascii="Arial" w:cs="Arial" w:eastAsia="Arial" w:hAnsi="Arial"/>
          <w:sz w:val="18"/>
          <w:szCs w:val="18"/>
          <w:color w:val="auto"/>
        </w:rPr>
        <w:t>[Orally communicated pricing information such as price per share and size of offering if a Rule 134 pricing term sheet is used at the time of sale instead of a pricing term sheet filed by the Company under Rule 433(d) as a free writing prospectus]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024"/>
          </w:cols>
          <w:pgMar w:left="436" w:top="270" w:right="439" w:bottom="1440" w:gutter="0" w:footer="0" w:header="0"/>
        </w:sectPr>
      </w:pPr>
    </w:p>
    <w:bookmarkStart w:id="353" w:name="page354"/>
    <w:bookmarkEnd w:id="35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III</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Testing-the-Water Communications</w:t>
      </w:r>
    </w:p>
    <w:p>
      <w:pPr>
        <w:spacing w:after="0" w:line="18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III-1</w:t>
      </w:r>
    </w:p>
    <w:p>
      <w:pPr>
        <w:sectPr>
          <w:pgSz w:w="11900" w:h="16838" w:orient="portrait"/>
          <w:cols w:equalWidth="0" w:num="1">
            <w:col w:w="10020"/>
          </w:cols>
          <w:pgMar w:left="1440" w:top="270" w:right="439" w:bottom="1440" w:gutter="0" w:footer="0" w:header="0"/>
        </w:sectPr>
      </w:pPr>
    </w:p>
    <w:bookmarkStart w:id="354" w:name="page355"/>
    <w:bookmarkEnd w:id="35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AGREEMENT</w:t>
      </w:r>
    </w:p>
    <w:p>
      <w:pPr>
        <w:spacing w:after="0" w:line="22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_____________,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Piper Sandler &amp; Co.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Morgan Stanley &amp; Co. LLC</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New York, NY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Cowen and Company, LLC</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New York, NY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Piper Sandler &amp; Co.</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800 Nicollet Mall, Suite 800</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Minneapolis, MN 55402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100" w:firstLine="440"/>
        <w:spacing w:after="0" w:line="258" w:lineRule="auto"/>
        <w:rPr>
          <w:sz w:val="20"/>
          <w:szCs w:val="20"/>
          <w:color w:val="auto"/>
        </w:rPr>
      </w:pPr>
      <w:r>
        <w:rPr>
          <w:rFonts w:ascii="Arial" w:cs="Arial" w:eastAsia="Arial" w:hAnsi="Arial"/>
          <w:sz w:val="18"/>
          <w:szCs w:val="18"/>
          <w:color w:val="auto"/>
        </w:rPr>
        <w:t>The undersigned understands that Morgan Stanley &amp; Co. LLC (“</w:t>
      </w:r>
      <w:r>
        <w:rPr>
          <w:rFonts w:ascii="Arial" w:cs="Arial" w:eastAsia="Arial" w:hAnsi="Arial"/>
          <w:sz w:val="18"/>
          <w:szCs w:val="18"/>
          <w:b w:val="1"/>
          <w:bCs w:val="1"/>
          <w:color w:val="auto"/>
        </w:rPr>
        <w:t>Morgan Stanley</w:t>
      </w:r>
      <w:r>
        <w:rPr>
          <w:rFonts w:ascii="Arial" w:cs="Arial" w:eastAsia="Arial" w:hAnsi="Arial"/>
          <w:sz w:val="18"/>
          <w:szCs w:val="18"/>
          <w:color w:val="auto"/>
        </w:rPr>
        <w:t>”), Cowen and Company LLC (“</w:t>
      </w:r>
      <w:r>
        <w:rPr>
          <w:rFonts w:ascii="Arial" w:cs="Arial" w:eastAsia="Arial" w:hAnsi="Arial"/>
          <w:sz w:val="18"/>
          <w:szCs w:val="18"/>
          <w:b w:val="1"/>
          <w:bCs w:val="1"/>
          <w:color w:val="auto"/>
        </w:rPr>
        <w:t>Cowen</w:t>
      </w:r>
      <w:r>
        <w:rPr>
          <w:rFonts w:ascii="Arial" w:cs="Arial" w:eastAsia="Arial" w:hAnsi="Arial"/>
          <w:sz w:val="18"/>
          <w:szCs w:val="18"/>
          <w:color w:val="auto"/>
        </w:rPr>
        <w:t>”), and Piper Sandler &amp; Co. (“</w:t>
      </w:r>
      <w:r>
        <w:rPr>
          <w:rFonts w:ascii="Arial" w:cs="Arial" w:eastAsia="Arial" w:hAnsi="Arial"/>
          <w:sz w:val="18"/>
          <w:szCs w:val="18"/>
          <w:b w:val="1"/>
          <w:bCs w:val="1"/>
          <w:color w:val="auto"/>
        </w:rPr>
        <w:t>Piper Sandler</w:t>
      </w:r>
      <w:r>
        <w:rPr>
          <w:rFonts w:ascii="Arial" w:cs="Arial" w:eastAsia="Arial" w:hAnsi="Arial"/>
          <w:sz w:val="18"/>
          <w:szCs w:val="18"/>
          <w:color w:val="auto"/>
        </w:rPr>
        <w:t>” and, together with Morgan Stanley and Cowen, the “</w:t>
      </w:r>
      <w:r>
        <w:rPr>
          <w:rFonts w:ascii="Arial" w:cs="Arial" w:eastAsia="Arial" w:hAnsi="Arial"/>
          <w:sz w:val="18"/>
          <w:szCs w:val="18"/>
          <w:b w:val="1"/>
          <w:bCs w:val="1"/>
          <w:color w:val="auto"/>
        </w:rPr>
        <w:t>Representatives</w:t>
      </w:r>
      <w:r>
        <w:rPr>
          <w:rFonts w:ascii="Arial" w:cs="Arial" w:eastAsia="Arial" w:hAnsi="Arial"/>
          <w:sz w:val="18"/>
          <w:szCs w:val="18"/>
          <w:color w:val="auto"/>
        </w:rPr>
        <w:t>”) proposes to enter into an Underwriting Agreement (the “</w:t>
      </w:r>
      <w:r>
        <w:rPr>
          <w:rFonts w:ascii="Arial" w:cs="Arial" w:eastAsia="Arial" w:hAnsi="Arial"/>
          <w:sz w:val="18"/>
          <w:szCs w:val="18"/>
          <w:b w:val="1"/>
          <w:bCs w:val="1"/>
          <w:color w:val="auto"/>
        </w:rPr>
        <w:t>Underwriting Agreement</w:t>
      </w:r>
      <w:r>
        <w:rPr>
          <w:rFonts w:ascii="Arial" w:cs="Arial" w:eastAsia="Arial" w:hAnsi="Arial"/>
          <w:sz w:val="18"/>
          <w:szCs w:val="18"/>
          <w:color w:val="auto"/>
        </w:rPr>
        <w:t>”) with Tenaya Therapeutics,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providing for the public offering (the “</w:t>
      </w:r>
      <w:r>
        <w:rPr>
          <w:rFonts w:ascii="Arial" w:cs="Arial" w:eastAsia="Arial" w:hAnsi="Arial"/>
          <w:sz w:val="18"/>
          <w:szCs w:val="18"/>
          <w:b w:val="1"/>
          <w:bCs w:val="1"/>
          <w:color w:val="auto"/>
        </w:rPr>
        <w:t>Public</w:t>
      </w:r>
      <w:r>
        <w:rPr>
          <w:rFonts w:ascii="Arial" w:cs="Arial" w:eastAsia="Arial" w:hAnsi="Arial"/>
          <w:sz w:val="18"/>
          <w:szCs w:val="18"/>
          <w:color w:val="auto"/>
        </w:rPr>
        <w:t xml:space="preserve"> </w:t>
      </w:r>
      <w:r>
        <w:rPr>
          <w:rFonts w:ascii="Arial" w:cs="Arial" w:eastAsia="Arial" w:hAnsi="Arial"/>
          <w:sz w:val="18"/>
          <w:szCs w:val="18"/>
          <w:b w:val="1"/>
          <w:bCs w:val="1"/>
          <w:color w:val="auto"/>
        </w:rPr>
        <w:t>Offering</w:t>
      </w:r>
      <w:r>
        <w:rPr>
          <w:rFonts w:ascii="Arial" w:cs="Arial" w:eastAsia="Arial" w:hAnsi="Arial"/>
          <w:sz w:val="18"/>
          <w:szCs w:val="18"/>
          <w:color w:val="auto"/>
        </w:rPr>
        <w:t>”) by the several Underwriters, including the Representatives (the “</w:t>
      </w:r>
      <w:r>
        <w:rPr>
          <w:rFonts w:ascii="Arial" w:cs="Arial" w:eastAsia="Arial" w:hAnsi="Arial"/>
          <w:sz w:val="18"/>
          <w:szCs w:val="18"/>
          <w:b w:val="1"/>
          <w:bCs w:val="1"/>
          <w:color w:val="auto"/>
        </w:rPr>
        <w:t>Underwriters</w:t>
      </w:r>
      <w:r>
        <w:rPr>
          <w:rFonts w:ascii="Arial" w:cs="Arial" w:eastAsia="Arial" w:hAnsi="Arial"/>
          <w:sz w:val="18"/>
          <w:szCs w:val="18"/>
          <w:color w:val="auto"/>
        </w:rPr>
        <w:t>”), of shares of common stock (the “</w:t>
      </w:r>
      <w:r>
        <w:rPr>
          <w:rFonts w:ascii="Arial" w:cs="Arial" w:eastAsia="Arial" w:hAnsi="Arial"/>
          <w:sz w:val="18"/>
          <w:szCs w:val="18"/>
          <w:b w:val="1"/>
          <w:bCs w:val="1"/>
          <w:color w:val="auto"/>
        </w:rPr>
        <w:t>Shares</w:t>
      </w:r>
      <w:r>
        <w:rPr>
          <w:rFonts w:ascii="Arial" w:cs="Arial" w:eastAsia="Arial" w:hAnsi="Arial"/>
          <w:sz w:val="18"/>
          <w:szCs w:val="18"/>
          <w:color w:val="auto"/>
        </w:rPr>
        <w:t>”), par value</w:t>
      </w:r>
      <w:r>
        <w:rPr>
          <w:rFonts w:ascii="Arial" w:cs="Arial" w:eastAsia="Arial" w:hAnsi="Arial"/>
          <w:sz w:val="18"/>
          <w:szCs w:val="18"/>
          <w:b w:val="1"/>
          <w:bCs w:val="1"/>
          <w:color w:val="auto"/>
        </w:rPr>
        <w:t xml:space="preserve"> </w:t>
      </w:r>
      <w:r>
        <w:rPr>
          <w:rFonts w:ascii="Arial" w:cs="Arial" w:eastAsia="Arial" w:hAnsi="Arial"/>
          <w:sz w:val="18"/>
          <w:szCs w:val="18"/>
          <w:color w:val="auto"/>
        </w:rPr>
        <w:t>$0.0001 per share, of the Company (the “</w:t>
      </w:r>
      <w:r>
        <w:rPr>
          <w:rFonts w:ascii="Arial" w:cs="Arial" w:eastAsia="Arial" w:hAnsi="Arial"/>
          <w:sz w:val="18"/>
          <w:szCs w:val="18"/>
          <w:b w:val="1"/>
          <w:bCs w:val="1"/>
          <w:color w:val="auto"/>
        </w:rPr>
        <w:t>Common Stock</w:t>
      </w:r>
      <w:r>
        <w:rPr>
          <w:rFonts w:ascii="Arial" w:cs="Arial" w:eastAsia="Arial" w:hAnsi="Arial"/>
          <w:sz w:val="18"/>
          <w:szCs w:val="18"/>
          <w:color w:val="auto"/>
        </w:rPr>
        <w:t>”).</w:t>
      </w:r>
    </w:p>
    <w:p>
      <w:pPr>
        <w:spacing w:after="0" w:line="187"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To induce the Underwriters that may participate in the Public Offering to continue their efforts in connection with the Public Offering,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undersigned hereby agrees that, without the prior written consent of each of the Representatives on behalf of the Underwriters, it will not, and will not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publicly disclose an intention to, during the period commencing on the date hereof and ending 180 days after the date of the final prospectus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Period</w:t>
      </w:r>
      <w:r>
        <w:rPr>
          <w:rFonts w:ascii="Arial" w:cs="Arial" w:eastAsia="Arial" w:hAnsi="Arial"/>
          <w:sz w:val="16"/>
          <w:szCs w:val="16"/>
          <w:color w:val="auto"/>
        </w:rPr>
        <w:t>”) relating to the Public Offering (the “</w:t>
      </w:r>
      <w:r>
        <w:rPr>
          <w:rFonts w:ascii="Arial" w:cs="Arial" w:eastAsia="Arial" w:hAnsi="Arial"/>
          <w:sz w:val="16"/>
          <w:szCs w:val="16"/>
          <w:b w:val="1"/>
          <w:bCs w:val="1"/>
          <w:color w:val="auto"/>
        </w:rPr>
        <w:t>Prospectus</w:t>
      </w:r>
      <w:r>
        <w:rPr>
          <w:rFonts w:ascii="Arial" w:cs="Arial" w:eastAsia="Arial" w:hAnsi="Arial"/>
          <w:sz w:val="16"/>
          <w:szCs w:val="16"/>
          <w:color w:val="auto"/>
        </w:rPr>
        <w:t>”), (1) offer, pledge, sell, contract to sell, sell any option or contract to purchase,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purchase any option or contract to sell, grant any option, right or warrant to purchase, lend, or otherwise transfer or dispose of, directly or indirectly,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 Stock beneficially owned (as such term is used in Rule 13d-3 of the Securities Exchange Act of 1934, as amended (the “</w:t>
      </w:r>
      <w:r>
        <w:rPr>
          <w:rFonts w:ascii="Arial" w:cs="Arial" w:eastAsia="Arial" w:hAnsi="Arial"/>
          <w:sz w:val="16"/>
          <w:szCs w:val="16"/>
          <w:b w:val="1"/>
          <w:bCs w:val="1"/>
          <w:color w:val="auto"/>
        </w:rPr>
        <w:t>Exchange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Act</w:t>
      </w:r>
      <w:r>
        <w:rPr>
          <w:rFonts w:ascii="Arial" w:cs="Arial" w:eastAsia="Arial" w:hAnsi="Arial"/>
          <w:sz w:val="17"/>
          <w:szCs w:val="17"/>
          <w:color w:val="auto"/>
        </w:rPr>
        <w:t>”)), by the undersigned or any other securities so owned convertible into or exercisable or exchangeable for Common Stock (collectively, the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0"/>
          </w:cols>
          <w:pgMar w:left="440" w:top="270" w:right="439" w:bottom="1440" w:gutter="0" w:footer="0" w:header="0"/>
        </w:sectPr>
      </w:pPr>
    </w:p>
    <w:bookmarkStart w:id="355" w:name="page356"/>
    <w:bookmarkEnd w:id="355"/>
    <w:p>
      <w:pPr>
        <w:ind w:right="80"/>
        <w:spacing w:after="0" w:line="27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b w:val="1"/>
          <w:bCs w:val="1"/>
          <w:color w:val="auto"/>
        </w:rPr>
        <w:t>Securities</w:t>
      </w:r>
      <w:r>
        <w:rPr>
          <w:rFonts w:ascii="Arial" w:cs="Arial" w:eastAsia="Arial" w:hAnsi="Arial"/>
          <w:sz w:val="17"/>
          <w:szCs w:val="17"/>
          <w:color w:val="auto"/>
        </w:rPr>
        <w:t>”)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The undersigned acknowledges and agrees that the foregoing precludes the undersigned from engaging in any hedging or other transaction designed or intended, or which could reasonably be expected to lead to or result in, a sale or disposition of any shares of Common Stock, or any securities convertible into or exercisable or exchangeable for Common Stock, even if any such sale or disposition transaction or transactions would be made or executed by or on behalf of someone other than the undersigned.</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foregoing sentence shall not apply to:</w:t>
      </w:r>
    </w:p>
    <w:p>
      <w:pPr>
        <w:spacing w:after="0" w:line="117" w:lineRule="exact"/>
        <w:rPr>
          <w:sz w:val="20"/>
          <w:szCs w:val="20"/>
          <w:color w:val="auto"/>
        </w:rPr>
      </w:pPr>
    </w:p>
    <w:p>
      <w:pPr>
        <w:ind w:firstLine="436"/>
        <w:spacing w:after="0" w:line="301" w:lineRule="auto"/>
        <w:tabs>
          <w:tab w:leader="none" w:pos="685" w:val="left"/>
        </w:tabs>
        <w:numPr>
          <w:ilvl w:val="0"/>
          <w:numId w:val="217"/>
        </w:numPr>
        <w:rPr>
          <w:rFonts w:ascii="Arial" w:cs="Arial" w:eastAsia="Arial" w:hAnsi="Arial"/>
          <w:sz w:val="16"/>
          <w:szCs w:val="16"/>
          <w:color w:val="auto"/>
        </w:rPr>
      </w:pPr>
      <w:r>
        <w:rPr>
          <w:rFonts w:ascii="Arial" w:cs="Arial" w:eastAsia="Arial" w:hAnsi="Arial"/>
          <w:sz w:val="16"/>
          <w:szCs w:val="16"/>
          <w:color w:val="auto"/>
        </w:rPr>
        <w:t xml:space="preserve">transactions relating to shares of Common Stock or other Securities acquired in the Public Offering or in open market transactions after the completion of the Public Offering,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public announcement or filing under Section 16(a) of the Exchange Act, or any other public filing or disclosure, reporting a reduction in beneficial ownership of shares, shall be required or shall be voluntarily made during the Restricted Period in connection with subsequent sales of Common Stock or other Securities acquired in the Public Offering or in such open market transactions;</w:t>
      </w:r>
    </w:p>
    <w:p>
      <w:pPr>
        <w:spacing w:after="0" w:line="49" w:lineRule="exact"/>
        <w:rPr>
          <w:rFonts w:ascii="Arial" w:cs="Arial" w:eastAsia="Arial" w:hAnsi="Arial"/>
          <w:sz w:val="16"/>
          <w:szCs w:val="16"/>
          <w:color w:val="auto"/>
        </w:rPr>
      </w:pPr>
    </w:p>
    <w:p>
      <w:pPr>
        <w:ind w:left="700" w:hanging="264"/>
        <w:spacing w:after="0"/>
        <w:tabs>
          <w:tab w:leader="none" w:pos="70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transfers of shares of Common Stock or any Security (i) as a bona fide gift or charitable contribution in a transaction exempt under</w:t>
      </w:r>
    </w:p>
    <w:p>
      <w:pPr>
        <w:spacing w:after="0" w:line="35" w:lineRule="exact"/>
        <w:rPr>
          <w:sz w:val="20"/>
          <w:szCs w:val="20"/>
          <w:color w:val="auto"/>
        </w:rPr>
      </w:pPr>
    </w:p>
    <w:p>
      <w:pPr>
        <w:jc w:val="both"/>
        <w:ind w:right="520"/>
        <w:spacing w:after="0" w:line="253" w:lineRule="auto"/>
        <w:rPr>
          <w:sz w:val="20"/>
          <w:szCs w:val="20"/>
          <w:color w:val="auto"/>
        </w:rPr>
      </w:pPr>
      <w:r>
        <w:rPr>
          <w:rFonts w:ascii="Arial" w:cs="Arial" w:eastAsia="Arial" w:hAnsi="Arial"/>
          <w:sz w:val="18"/>
          <w:szCs w:val="18"/>
          <w:color w:val="auto"/>
        </w:rPr>
        <w:t>Section 16(b) of the Exchange Act; (ii) by will or intestate succession upon the death of the undersigned, including to the transferee’s nominee or custodian; or (iii) to an immediate family member or any trust for the direct or indirect benefit of the undersigned or the immediate family of the undersigned (for purposes of this Lock-Up Agreement, “immediate family” shall mean any relationship by blood, marriage or adoption, not more remote than first cousin);</w:t>
      </w:r>
    </w:p>
    <w:p>
      <w:pPr>
        <w:spacing w:after="0" w:line="85" w:lineRule="exact"/>
        <w:rPr>
          <w:sz w:val="20"/>
          <w:szCs w:val="20"/>
          <w:color w:val="auto"/>
        </w:rPr>
      </w:pPr>
    </w:p>
    <w:p>
      <w:pPr>
        <w:ind w:right="280" w:firstLine="436"/>
        <w:spacing w:after="0" w:line="277" w:lineRule="auto"/>
        <w:tabs>
          <w:tab w:leader="none" w:pos="685"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transfers or distributions of shares of Common Stock or any other Securities by a stockholder that is a trust to a trustor or beneficiary of the trust or to the estate of a beneficiary of such trust;</w:t>
      </w:r>
    </w:p>
    <w:p>
      <w:pPr>
        <w:spacing w:after="0" w:line="62" w:lineRule="exact"/>
        <w:rPr>
          <w:rFonts w:ascii="Arial" w:cs="Arial" w:eastAsia="Arial" w:hAnsi="Arial"/>
          <w:sz w:val="18"/>
          <w:szCs w:val="18"/>
          <w:color w:val="auto"/>
        </w:rPr>
      </w:pPr>
    </w:p>
    <w:p>
      <w:pPr>
        <w:ind w:right="20" w:firstLine="436"/>
        <w:spacing w:after="0" w:line="296" w:lineRule="auto"/>
        <w:tabs>
          <w:tab w:leader="none" w:pos="695" w:val="left"/>
        </w:tabs>
        <w:numPr>
          <w:ilvl w:val="0"/>
          <w:numId w:val="218"/>
        </w:numPr>
        <w:rPr>
          <w:rFonts w:ascii="Arial" w:cs="Arial" w:eastAsia="Arial" w:hAnsi="Arial"/>
          <w:sz w:val="16"/>
          <w:szCs w:val="16"/>
          <w:color w:val="auto"/>
        </w:rPr>
      </w:pPr>
      <w:r>
        <w:rPr>
          <w:rFonts w:ascii="Arial" w:cs="Arial" w:eastAsia="Arial" w:hAnsi="Arial"/>
          <w:sz w:val="16"/>
          <w:szCs w:val="16"/>
          <w:color w:val="auto"/>
        </w:rPr>
        <w:t>if the undersigned is a corporation, partnership, limited liability company, trust or other business entity, (1) distributions of shares of Common Stock or other Securities to limited partners, members, stockholders or holders of similar equity interests in the undersigned (or in each case its nominee or custodian) or (2) transfers of shares of Common Stock or other Securities to another corporation, partnership, limited liability company, trust or other business entity (or in each case its nominee or custodian) that is an affiliate (as defined in Rule 405 promulgated under the Securities Act of 1933, as amended) of the undersigned, or to any investment fund or other entity controlled or managed by the undersigned or affiliates of the undersigned;</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980"/>
          </w:cols>
          <w:pgMar w:left="440" w:top="270" w:right="479" w:bottom="1440" w:gutter="0" w:footer="0" w:header="0"/>
        </w:sectPr>
      </w:pPr>
    </w:p>
    <w:bookmarkStart w:id="356" w:name="page357"/>
    <w:bookmarkEnd w:id="356"/>
    <w:p>
      <w:pPr>
        <w:ind w:right="120" w:firstLine="436"/>
        <w:spacing w:after="0" w:line="258" w:lineRule="auto"/>
        <w:tabs>
          <w:tab w:leader="none" w:pos="685" w:val="left"/>
        </w:tabs>
        <w:numPr>
          <w:ilvl w:val="0"/>
          <w:numId w:val="2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transfers of shares of Common Stock or other Securities by operation of law pursuant to a qualified domestic order or in connection with a divorce settlement;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filing required by Section 16 of the Exchange Act shall clearly indicate</w:t>
      </w:r>
    </w:p>
    <w:p>
      <w:pPr>
        <w:spacing w:after="0" w:line="1" w:lineRule="exact"/>
        <w:rPr>
          <w:rFonts w:ascii="Arial" w:cs="Arial" w:eastAsia="Arial" w:hAnsi="Arial"/>
          <w:sz w:val="18"/>
          <w:szCs w:val="18"/>
          <w:color w:val="auto"/>
        </w:rPr>
      </w:pPr>
    </w:p>
    <w:p>
      <w:pPr>
        <w:ind w:right="6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in the footnotes thereto that such transfer is being made pursuant to the circumstances described in this clause (e) and such shares remain subject to this Lock-Up Agreement;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no other public announcement or filing shall be required or shall be voluntarily made during the Restricted Period;</w:t>
      </w:r>
    </w:p>
    <w:p>
      <w:pPr>
        <w:spacing w:after="0" w:line="81" w:lineRule="exact"/>
        <w:rPr>
          <w:rFonts w:ascii="Arial" w:cs="Arial" w:eastAsia="Arial" w:hAnsi="Arial"/>
          <w:sz w:val="18"/>
          <w:szCs w:val="18"/>
          <w:color w:val="auto"/>
        </w:rPr>
      </w:pPr>
    </w:p>
    <w:p>
      <w:pPr>
        <w:ind w:firstLine="436"/>
        <w:spacing w:after="0" w:line="285" w:lineRule="auto"/>
        <w:tabs>
          <w:tab w:leader="none" w:pos="665" w:val="left"/>
        </w:tabs>
        <w:numPr>
          <w:ilvl w:val="0"/>
          <w:numId w:val="219"/>
        </w:numPr>
        <w:rPr>
          <w:rFonts w:ascii="Arial" w:cs="Arial" w:eastAsia="Arial" w:hAnsi="Arial"/>
          <w:sz w:val="16"/>
          <w:szCs w:val="16"/>
          <w:color w:val="auto"/>
        </w:rPr>
      </w:pPr>
      <w:r>
        <w:rPr>
          <w:rFonts w:ascii="Arial" w:cs="Arial" w:eastAsia="Arial" w:hAnsi="Arial"/>
          <w:sz w:val="16"/>
          <w:szCs w:val="16"/>
          <w:color w:val="auto"/>
        </w:rPr>
        <w:t>(1) the receipt by the undersigned from the Company of shares of Common Stock upon the exercise, vesting or settlement of options, restricted stock units or other equity awards granted under a stock incentive plan or other equity award plan, which plan is described in the registration statement related to the Public Offering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xml:space="preserve">”), the Time of Sale Prospectus (as defined in the Underwriting Agreement) and the Prospectus, or (2) the transfer or disposition of shares of Common Stock or any Securities upon a vesting or settlement event of the Company’s restricted stock units or other securities or upon the exercise of any warrant or options to purchase the Company’s securities on a “cashless” or “net exercise” basis to the extent permitted by the instruments (and any transfer to the Company necessary in respect of such amount needed for the payment of taxes, including estimated taxes and withholding tax and remittance obligations, due as a result of such vesting, settlement or exercise whether by means of a “net settlement” or otherwise) so long as such vesting, settlement, “cashless” exercise or “net exercise” is effected solely by the surrender of outstanding options (or the Common Stock issuable upon the exercise thereof) or shares of Common Stock to the Company and the Company’s cancellation of all or a portion thereof to pay the exercise price and/or withholding tax and remittance obligations in connection with the vesting, settlement or exercise of the restricted stock unit, option or other equity award;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(yy) that the shares received upon vesting, settlement or exercise of the restricted stock unit, option or other equity award are subject to this Lock-Up Agreement, and (zz) that in the case of clauses (1) or (2), no public announcement or filing under Section 16 of the Exchange Act, or any other public filing or disclosure of such receipt or transfer, shall be required or shall be voluntarily made by or on behalf of the undersigned within 90 days after the date of the Prospectus, and after such 90th day and during the Restricted Period, any filing under Section 16 of the Exchange Act shall include a statement to the effect that (A) such transaction reflects the circumstances described in (1) or (2), as the case may be, (B) such transaction was only with the Company, and (C) in the case of (1) the shares of Common Stock received upon exercise or settlement of the option, restricted stock units or other equity awards are subject to this Lock-Up Agreement;</w:t>
      </w:r>
    </w:p>
    <w:p>
      <w:pPr>
        <w:spacing w:after="0" w:line="65" w:lineRule="exact"/>
        <w:rPr>
          <w:rFonts w:ascii="Arial" w:cs="Arial" w:eastAsia="Arial" w:hAnsi="Arial"/>
          <w:sz w:val="16"/>
          <w:szCs w:val="16"/>
          <w:color w:val="auto"/>
        </w:rPr>
      </w:pPr>
    </w:p>
    <w:p>
      <w:pPr>
        <w:ind w:right="60" w:firstLine="436"/>
        <w:spacing w:after="0" w:line="293" w:lineRule="auto"/>
        <w:tabs>
          <w:tab w:leader="none" w:pos="695" w:val="left"/>
        </w:tabs>
        <w:numPr>
          <w:ilvl w:val="0"/>
          <w:numId w:val="219"/>
        </w:numPr>
        <w:rPr>
          <w:rFonts w:ascii="Arial" w:cs="Arial" w:eastAsia="Arial" w:hAnsi="Arial"/>
          <w:sz w:val="16"/>
          <w:szCs w:val="16"/>
          <w:color w:val="auto"/>
        </w:rPr>
      </w:pPr>
      <w:r>
        <w:rPr>
          <w:rFonts w:ascii="Arial" w:cs="Arial" w:eastAsia="Arial" w:hAnsi="Arial"/>
          <w:sz w:val="16"/>
          <w:szCs w:val="16"/>
          <w:color w:val="auto"/>
        </w:rPr>
        <w:t xml:space="preserve">transfers or dispositions of shares of Common Stock or any Security to the Company pursuant to any contractual arrangement in effect on the date of this agreement and disclosed to the Underwriters in writing that provides for the repurchase by the Company of the undersigned’s Common Stock or other Securities pursuant to a repurchase right arising in connection with the termination of the undersigned’s employment with or service to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filing under Section 16 of the Exchange Act reporting a reduction in beneficial ownership of Common Stock shall indicate by footnote disclosure or otherwise the nature of the transfer or disposition pursuant to circumstances described in this clause;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no other public announcement or filing shall be required or shall be voluntarily made during the Restricted Period;</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960"/>
          </w:cols>
          <w:pgMar w:left="440" w:top="274" w:right="499" w:bottom="1440" w:gutter="0" w:footer="0" w:header="0"/>
        </w:sectPr>
      </w:pPr>
    </w:p>
    <w:bookmarkStart w:id="357" w:name="page358"/>
    <w:bookmarkEnd w:id="357"/>
    <w:p>
      <w:pPr>
        <w:ind w:right="140" w:firstLine="436"/>
        <w:spacing w:after="0" w:line="271" w:lineRule="auto"/>
        <w:tabs>
          <w:tab w:leader="none" w:pos="695" w:val="left"/>
        </w:tabs>
        <w:numPr>
          <w:ilvl w:val="0"/>
          <w:numId w:val="22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transfers of shares of Common Stock or other Securities pursuant to a bona fide third-party tender offer, merger, consolidation or other similar transaction involving a Change of Control (as defined below) of the Company which occurs after the consummation of the Public Offering, is open to all holders of the Company’s Common Stock and that is approved by the Board of Directors of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event that such tender offer, merger, consolidation or other such transaction is not completed, the Securities held by the undersigned shall remain subject to the provisions of this Lock-Up agreement (for purposes of this clause (h), “</w:t>
      </w:r>
      <w:r>
        <w:rPr>
          <w:rFonts w:ascii="Arial" w:cs="Arial" w:eastAsia="Arial" w:hAnsi="Arial"/>
          <w:sz w:val="17"/>
          <w:szCs w:val="17"/>
          <w:b w:val="1"/>
          <w:bCs w:val="1"/>
          <w:color w:val="auto"/>
        </w:rPr>
        <w:t>Change of Control</w:t>
      </w:r>
      <w:r>
        <w:rPr>
          <w:rFonts w:ascii="Arial" w:cs="Arial" w:eastAsia="Arial" w:hAnsi="Arial"/>
          <w:sz w:val="17"/>
          <w:szCs w:val="17"/>
          <w:color w:val="auto"/>
        </w:rPr>
        <w:t>” shall mean the consummation of any bona fide third party tender offer, merger, consolidation or other similar transaction, the result of which is that any “person” (as defined in Section 13(d)(3) of the Exchange Act), or group of persons, other than the Company, becomes the beneficial owner (as defined in Rules 13d-3 and 13d-5 of the Exchange Act) of more than 50% of the total voting power of the voting stock of the Company (or the surviving entity));</w:t>
      </w:r>
    </w:p>
    <w:p>
      <w:pPr>
        <w:spacing w:after="0" w:line="70" w:lineRule="exact"/>
        <w:rPr>
          <w:rFonts w:ascii="Arial" w:cs="Arial" w:eastAsia="Arial" w:hAnsi="Arial"/>
          <w:sz w:val="17"/>
          <w:szCs w:val="17"/>
          <w:color w:val="auto"/>
        </w:rPr>
      </w:pPr>
    </w:p>
    <w:p>
      <w:pPr>
        <w:ind w:right="100" w:firstLine="436"/>
        <w:spacing w:after="0" w:line="257" w:lineRule="auto"/>
        <w:tabs>
          <w:tab w:leader="none" w:pos="655" w:val="left"/>
        </w:tabs>
        <w:numPr>
          <w:ilvl w:val="0"/>
          <w:numId w:val="220"/>
        </w:numPr>
        <w:rPr>
          <w:rFonts w:ascii="Arial" w:cs="Arial" w:eastAsia="Arial" w:hAnsi="Arial"/>
          <w:sz w:val="18"/>
          <w:szCs w:val="18"/>
          <w:color w:val="auto"/>
        </w:rPr>
      </w:pPr>
      <w:r>
        <w:rPr>
          <w:rFonts w:ascii="Arial" w:cs="Arial" w:eastAsia="Arial" w:hAnsi="Arial"/>
          <w:sz w:val="18"/>
          <w:szCs w:val="18"/>
          <w:color w:val="auto"/>
        </w:rPr>
        <w:t>facilitating the establishment of a trading plan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or on behalf of the undersigned or the Company regarding the establishment of such plan during the Restricted Period, such announcement or filing shall include a statement to the effect that no transfer of Common Stock may be made under such plan during the Restricted Period; or</w:t>
      </w:r>
    </w:p>
    <w:p>
      <w:pPr>
        <w:spacing w:after="0" w:line="79" w:lineRule="exact"/>
        <w:rPr>
          <w:rFonts w:ascii="Arial" w:cs="Arial" w:eastAsia="Arial" w:hAnsi="Arial"/>
          <w:sz w:val="18"/>
          <w:szCs w:val="18"/>
          <w:color w:val="auto"/>
        </w:rPr>
      </w:pPr>
    </w:p>
    <w:p>
      <w:pPr>
        <w:ind w:right="40" w:firstLine="436"/>
        <w:spacing w:after="0" w:line="301" w:lineRule="auto"/>
        <w:tabs>
          <w:tab w:leader="none" w:pos="655" w:val="left"/>
        </w:tabs>
        <w:numPr>
          <w:ilvl w:val="0"/>
          <w:numId w:val="220"/>
        </w:numPr>
        <w:rPr>
          <w:rFonts w:ascii="Arial" w:cs="Arial" w:eastAsia="Arial" w:hAnsi="Arial"/>
          <w:sz w:val="16"/>
          <w:szCs w:val="16"/>
          <w:color w:val="auto"/>
        </w:rPr>
      </w:pPr>
      <w:r>
        <w:rPr>
          <w:rFonts w:ascii="Arial" w:cs="Arial" w:eastAsia="Arial" w:hAnsi="Arial"/>
          <w:sz w:val="16"/>
          <w:szCs w:val="16"/>
          <w:color w:val="auto"/>
        </w:rPr>
        <w:t xml:space="preserve">(1) to the conversion of outstanding preferred stock into shares of Common Stock of the Company in connection with the consummation of the Public Offering or (2) any conversion or reclassification of Common Stock as described in the Prospectus,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shares of Common Stock received upon conversion remain subject to the terms of this Lock-Up Agreement;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in the case of clause (2) any filing required by Section 16 of the Exchange Act shall clearly indicate in the footnotes thereto the nature and conditions of such conversion or reclassification;</w:t>
      </w:r>
    </w:p>
    <w:p>
      <w:pPr>
        <w:spacing w:after="0" w:line="157" w:lineRule="exact"/>
        <w:rPr>
          <w:sz w:val="20"/>
          <w:szCs w:val="20"/>
          <w:color w:val="auto"/>
        </w:rPr>
      </w:pPr>
    </w:p>
    <w:p>
      <w:pPr>
        <w:ind w:right="120" w:firstLine="440"/>
        <w:spacing w:after="0" w:line="308"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in the case of any transfer or distribution pursuant to clauses (b), (c), (d) and (f) above, each donee, trustee, transferee or distributee</w:t>
      </w:r>
      <w:r>
        <w:rPr>
          <w:rFonts w:ascii="Arial" w:cs="Arial" w:eastAsia="Arial" w:hAnsi="Arial"/>
          <w:sz w:val="17"/>
          <w:szCs w:val="17"/>
          <w:i w:val="1"/>
          <w:iCs w:val="1"/>
          <w:color w:val="auto"/>
        </w:rPr>
        <w:t xml:space="preserve"> </w:t>
      </w:r>
      <w:r>
        <w:rPr>
          <w:rFonts w:ascii="Arial" w:cs="Arial" w:eastAsia="Arial" w:hAnsi="Arial"/>
          <w:sz w:val="17"/>
          <w:szCs w:val="17"/>
          <w:color w:val="auto"/>
        </w:rPr>
        <w:t>shall sign and deliver a lock-up agreement to the Representatives substantially in the form of this Lock-Up Agreement;</w:t>
      </w:r>
    </w:p>
    <w:p>
      <w:pPr>
        <w:spacing w:after="0" w:line="146"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i w:val="1"/>
          <w:iCs w:val="1"/>
          <w:color w:val="auto"/>
        </w:rPr>
        <w:t xml:space="preserve">provided further </w:t>
      </w:r>
      <w:r>
        <w:rPr>
          <w:rFonts w:ascii="Arial" w:cs="Arial" w:eastAsia="Arial" w:hAnsi="Arial"/>
          <w:sz w:val="18"/>
          <w:szCs w:val="18"/>
          <w:color w:val="auto"/>
        </w:rPr>
        <w:t>that in the case of any transfer or distribution pursuant to clauses (b), (c), (d) and (h) above, no filing under Section 16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reporting a reduction in beneficial ownership of shares of Common Stock and no other public announcement or filing shall be required or shall be voluntarily made during the Restricted Period;</w:t>
      </w:r>
    </w:p>
    <w:p>
      <w:pPr>
        <w:spacing w:after="0" w:line="184"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i w:val="1"/>
          <w:iCs w:val="1"/>
          <w:color w:val="auto"/>
        </w:rPr>
        <w:t xml:space="preserve">provided further </w:t>
      </w:r>
      <w:r>
        <w:rPr>
          <w:rFonts w:ascii="Arial" w:cs="Arial" w:eastAsia="Arial" w:hAnsi="Arial"/>
          <w:sz w:val="18"/>
          <w:szCs w:val="18"/>
          <w:color w:val="auto"/>
        </w:rPr>
        <w:t>that in the case of any transfer or distribution pursuant to clauses (b), (c), (d) and (e) above, such transfer or distribution shall not</w:t>
      </w:r>
      <w:r>
        <w:rPr>
          <w:rFonts w:ascii="Arial" w:cs="Arial" w:eastAsia="Arial" w:hAnsi="Arial"/>
          <w:sz w:val="18"/>
          <w:szCs w:val="18"/>
          <w:i w:val="1"/>
          <w:iCs w:val="1"/>
          <w:color w:val="auto"/>
        </w:rPr>
        <w:t xml:space="preserve"> </w:t>
      </w:r>
      <w:r>
        <w:rPr>
          <w:rFonts w:ascii="Arial" w:cs="Arial" w:eastAsia="Arial" w:hAnsi="Arial"/>
          <w:sz w:val="18"/>
          <w:szCs w:val="18"/>
          <w:color w:val="auto"/>
        </w:rPr>
        <w:t>involve a disposition for value;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000"/>
          </w:cols>
          <w:pgMar w:left="440" w:top="274" w:right="459" w:bottom="1440" w:gutter="0" w:footer="0" w:header="0"/>
        </w:sectPr>
      </w:pPr>
    </w:p>
    <w:bookmarkStart w:id="358" w:name="page359"/>
    <w:bookmarkEnd w:id="358"/>
    <w:p>
      <w:pPr>
        <w:ind w:right="20" w:firstLine="440"/>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provided further </w:t>
      </w:r>
      <w:r>
        <w:rPr>
          <w:rFonts w:ascii="Arial" w:cs="Arial" w:eastAsia="Arial" w:hAnsi="Arial"/>
          <w:sz w:val="18"/>
          <w:szCs w:val="18"/>
          <w:color w:val="auto"/>
        </w:rPr>
        <w:t>that in the event of any transfer or distribution for which a public filing under Section 16 of the Exchange Act or any other public</w:t>
      </w:r>
      <w:r>
        <w:rPr>
          <w:rFonts w:ascii="Arial" w:cs="Arial" w:eastAsia="Arial" w:hAnsi="Arial"/>
          <w:sz w:val="18"/>
          <w:szCs w:val="18"/>
          <w:i w:val="1"/>
          <w:iCs w:val="1"/>
          <w:color w:val="auto"/>
        </w:rPr>
        <w:t xml:space="preserve"> </w:t>
      </w:r>
      <w:r>
        <w:rPr>
          <w:rFonts w:ascii="Arial" w:cs="Arial" w:eastAsia="Arial" w:hAnsi="Arial"/>
          <w:sz w:val="18"/>
          <w:szCs w:val="18"/>
          <w:color w:val="auto"/>
        </w:rPr>
        <w:t>filing or announcement is permitted hereunder, the undersigned covenants and agrees to use commercially reasonable efforts to give the Representatives written notice at least one business day (which, for the avoidance of doubt, shall be at least a twenty-four (24) hour period) before such filing or announcement.</w:t>
      </w:r>
    </w:p>
    <w:p>
      <w:pPr>
        <w:spacing w:after="0" w:line="187"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In addition, the undersigned agrees that, without the prior written consent of the Representatives on behalf of the Underwriters, it will not, during the Restricted Period, make any demand for or exercise any right with respect to, the registration of any shares of Common Stock or other Securities. The undersigned also agrees and consents to the entry of stop transfer instructions with the Company’s transfer agent and registrar against the transfer of the undersigned’s shares of Common Stock except in compliance with the foregoing restrictions.</w:t>
      </w:r>
    </w:p>
    <w:p>
      <w:pPr>
        <w:spacing w:after="0" w:line="171" w:lineRule="exact"/>
        <w:rPr>
          <w:sz w:val="20"/>
          <w:szCs w:val="20"/>
          <w:color w:val="auto"/>
        </w:rPr>
      </w:pPr>
    </w:p>
    <w:p>
      <w:pPr>
        <w:jc w:val="both"/>
        <w:ind w:right="180" w:firstLine="440"/>
        <w:spacing w:after="0" w:line="286" w:lineRule="auto"/>
        <w:rPr>
          <w:sz w:val="20"/>
          <w:szCs w:val="20"/>
          <w:color w:val="auto"/>
        </w:rPr>
      </w:pPr>
      <w:r>
        <w:rPr>
          <w:rFonts w:ascii="Arial" w:cs="Arial" w:eastAsia="Arial" w:hAnsi="Arial"/>
          <w:sz w:val="17"/>
          <w:szCs w:val="17"/>
          <w:color w:val="auto"/>
        </w:rPr>
        <w:t>The undersigned agrees that, to the extent that the terms of this Lock-Up Agreement conflict with or are in any way inconsistent with any prior investor rights agreement, prior registration rights agreement, prior market standoff agreement or any other prior lock-up or similar prior agreement to which the undersigned and the Company may be a party, this Lock-Up Agreement supersedes such prior agreement.</w:t>
      </w:r>
    </w:p>
    <w:p>
      <w:pPr>
        <w:spacing w:after="0" w:line="16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If the undersigned is an officer or director of the Company, the undersigned further agrees that the foregoing provisions shall be equally applicable to any issuer-directed Shares the undersigned may purchase in the Public Offering.</w:t>
      </w:r>
    </w:p>
    <w:p>
      <w:pPr>
        <w:spacing w:after="0" w:line="170"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color w:val="auto"/>
        </w:rPr>
        <w:t>If the undersigned is an officer or director of the Company, (i) the Representatives agree that, at least three business days before the effective date of any release or waiver of the foregoing restrictions in connection with a transfer of shares of Common Stock, the Representatives will notify the Company of the impending release or waiver, and (ii) the Company has agreed or will agree in the Underwriting Agreement to announce the impending release or waiver by press release through a major news service at least two business days before the effective date of the release or waiver. Any release or waiver granted by the Representatives hereunder to any such officer or director shall only be effective two business days after the publication date of such press release. The provisions of this paragraph will not apply if (a) the release or waiver is effected solely to permit a transfer not for consideration or to an immediate family member as defined in FINRA Rule 5130(i)(5) and (b) the transferee has agreed in writing to be bound by the same terms described in this agreement to the extent and for the duration that such terms remain in effect at the time of the transfer.</w:t>
      </w:r>
    </w:p>
    <w:p>
      <w:pPr>
        <w:spacing w:after="0" w:line="165"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The undersigned understands that the Company and the Underwriters are relying upon this agreement in proceeding toward consummation of the Public Offering. The undersigned further understands that this agreement is irrevocable and shall be binding upon the undersigned’s heirs, legal representatives, successors and assigns.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980"/>
          </w:cols>
          <w:pgMar w:left="440" w:top="274" w:right="479" w:bottom="1440" w:gutter="0" w:footer="0" w:header="0"/>
        </w:sectPr>
      </w:pPr>
    </w:p>
    <w:bookmarkStart w:id="359" w:name="page360"/>
    <w:bookmarkEnd w:id="359"/>
    <w:p>
      <w:pPr>
        <w:ind w:left="4" w:right="20"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undersigned acknowledges and agrees that the Underwriters have not provided any recommendation or investment advice nor have the Underwriters solicited any action from the undersigned with respect to the Public Offering of the Shares and the undersigned has consulted their own legal, accounting, financial, regulatory and tax advisors to the extent deemed appropriate. The undersigned further acknowledges and agrees that, although the Underwriters may provide certain Regulation Best Interest and Form CRS disclosures or other related documentation to you in connection with the Public Offering, the Underwriters are not making a recommendation to you to participate in the Public Offering or sell any Shares at the price determined in the Public Offering, and nothing set forth in such disclosures or documentation is intended to suggest that any Underwriter is making such a recommendation.</w:t>
      </w:r>
    </w:p>
    <w:p>
      <w:pPr>
        <w:spacing w:after="0" w:line="195" w:lineRule="exact"/>
        <w:rPr>
          <w:sz w:val="20"/>
          <w:szCs w:val="20"/>
          <w:color w:val="auto"/>
        </w:rPr>
      </w:pPr>
    </w:p>
    <w:p>
      <w:pPr>
        <w:jc w:val="both"/>
        <w:ind w:left="4" w:right="80" w:firstLine="440"/>
        <w:spacing w:after="0" w:line="287" w:lineRule="auto"/>
        <w:rPr>
          <w:sz w:val="20"/>
          <w:szCs w:val="20"/>
          <w:color w:val="auto"/>
        </w:rPr>
      </w:pPr>
      <w:r>
        <w:rPr>
          <w:rFonts w:ascii="Arial" w:cs="Arial" w:eastAsia="Arial" w:hAnsi="Arial"/>
          <w:sz w:val="16"/>
          <w:szCs w:val="16"/>
          <w:color w:val="auto"/>
        </w:rPr>
        <w:t>Notwithstanding anything to the contrary contained herein, this agreement will automatically terminate and the undersigned will be released from all of his, her or its obligations hereunder upon the earliest to occur, if any, of (i) the date that the Company, on the one hand, or the Representatives, on the other hand, advises in writing prior to the execution of the Underwriting Agreement, that it has determined not to proceed with the Public Offering,</w:t>
      </w:r>
    </w:p>
    <w:p>
      <w:pPr>
        <w:spacing w:after="0" w:line="2" w:lineRule="exact"/>
        <w:rPr>
          <w:sz w:val="20"/>
          <w:szCs w:val="20"/>
          <w:color w:val="auto"/>
        </w:rPr>
      </w:pPr>
    </w:p>
    <w:p>
      <w:pPr>
        <w:ind w:left="264" w:hanging="264"/>
        <w:spacing w:after="0"/>
        <w:tabs>
          <w:tab w:leader="none" w:pos="264" w:val="left"/>
        </w:tabs>
        <w:numPr>
          <w:ilvl w:val="0"/>
          <w:numId w:val="221"/>
        </w:numPr>
        <w:rPr>
          <w:rFonts w:ascii="Arial" w:cs="Arial" w:eastAsia="Arial" w:hAnsi="Arial"/>
          <w:sz w:val="16"/>
          <w:szCs w:val="16"/>
          <w:color w:val="auto"/>
        </w:rPr>
      </w:pPr>
      <w:r>
        <w:rPr>
          <w:rFonts w:ascii="Arial" w:cs="Arial" w:eastAsia="Arial" w:hAnsi="Arial"/>
          <w:sz w:val="16"/>
          <w:szCs w:val="16"/>
          <w:color w:val="auto"/>
        </w:rPr>
        <w:t>the date that the Company withdraws the Registration Statement related to the Public Offering before the execution of the Underwriting Agreement,</w:t>
      </w:r>
    </w:p>
    <w:p>
      <w:pPr>
        <w:spacing w:after="0" w:line="32" w:lineRule="exact"/>
        <w:rPr>
          <w:rFonts w:ascii="Arial" w:cs="Arial" w:eastAsia="Arial" w:hAnsi="Arial"/>
          <w:sz w:val="16"/>
          <w:szCs w:val="16"/>
          <w:color w:val="auto"/>
        </w:rPr>
      </w:pPr>
    </w:p>
    <w:p>
      <w:pPr>
        <w:ind w:left="4" w:right="160" w:hanging="4"/>
        <w:spacing w:after="0" w:line="253" w:lineRule="auto"/>
        <w:tabs>
          <w:tab w:leader="none" w:pos="319"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date that the Underwriting Agreement is executed but is terminated (other than the provisions thereof which survive termination) prior to payment for and delivery of the Shares to be sold thereunder or (iv) December 31, 2021, in the event that the Underwriting Agreement has not been executed by such date, provided that the Company may by written notice to the undersigned prior to December 31, 2021, extend such date for a period of up to an additional three months.</w:t>
      </w:r>
    </w:p>
    <w:p>
      <w:pPr>
        <w:spacing w:after="0" w:line="193" w:lineRule="exact"/>
        <w:rPr>
          <w:sz w:val="20"/>
          <w:szCs w:val="20"/>
          <w:color w:val="auto"/>
        </w:rPr>
      </w:pPr>
    </w:p>
    <w:p>
      <w:pPr>
        <w:ind w:left="4" w:right="80" w:firstLine="440"/>
        <w:spacing w:after="0" w:line="279" w:lineRule="auto"/>
        <w:rPr>
          <w:sz w:val="20"/>
          <w:szCs w:val="20"/>
          <w:color w:val="auto"/>
        </w:rPr>
      </w:pPr>
      <w:r>
        <w:rPr>
          <w:rFonts w:ascii="Arial" w:cs="Arial" w:eastAsia="Arial" w:hAnsi="Arial"/>
          <w:sz w:val="17"/>
          <w:szCs w:val="17"/>
          <w:color w:val="auto"/>
        </w:rPr>
        <w:t>The undersigned hereby waives any and all notice requirements and rights with respect to the registration of securities pursuant to any agreement, understanding or anything otherwise setting forth the terms of any security of the Company held by the undersigned, including any registration rights agreement to which the undersigned and the Company may be a party; provided, however, that such waiver shall apply only to the proposed Public Offering, any other action taken by the Company in connection with the proposed Public Offering.</w:t>
      </w:r>
    </w:p>
    <w:p>
      <w:pPr>
        <w:spacing w:after="0" w:line="171" w:lineRule="exact"/>
        <w:rPr>
          <w:sz w:val="20"/>
          <w:szCs w:val="20"/>
          <w:color w:val="auto"/>
        </w:rPr>
      </w:pPr>
    </w:p>
    <w:p>
      <w:pPr>
        <w:ind w:left="4" w:firstLine="440"/>
        <w:spacing w:after="0" w:line="273" w:lineRule="auto"/>
        <w:rPr>
          <w:sz w:val="20"/>
          <w:szCs w:val="20"/>
          <w:color w:val="auto"/>
        </w:rPr>
      </w:pPr>
      <w:r>
        <w:rPr>
          <w:rFonts w:ascii="Arial" w:cs="Arial" w:eastAsia="Arial" w:hAnsi="Arial"/>
          <w:sz w:val="17"/>
          <w:szCs w:val="17"/>
          <w:color w:val="auto"/>
        </w:rPr>
        <w:t>The undersigned and the Representatives hereby consent to receipt of this agreement in electronic form and understand and agree that this agreement may be signed electronically. In the event that any signature is delivered by facsimile transmission, electronic mail, or otherwise by electronic transmission evidencing an intent to sign this agreement (including any electronic signature complying with the U.S. federal ESIGN Act of 2000, e.g., www.docusign.com), such facsimile transmission, electronic mail or other electronic transmission shall create a valid and binding obligation of the undersigned with the same force and effect as if such signature were an original. Execution and delivery of this agreement by facsimile transmission, electronic mail or other electronic transmission is legal, valid and binding for all purposes.</w:t>
      </w:r>
    </w:p>
    <w:p>
      <w:pPr>
        <w:spacing w:after="0" w:line="178" w:lineRule="exact"/>
        <w:rPr>
          <w:sz w:val="20"/>
          <w:szCs w:val="20"/>
          <w:color w:val="auto"/>
        </w:rPr>
      </w:pPr>
    </w:p>
    <w:p>
      <w:pPr>
        <w:ind w:left="4" w:right="20" w:firstLine="440"/>
        <w:spacing w:after="0" w:line="308" w:lineRule="auto"/>
        <w:rPr>
          <w:sz w:val="20"/>
          <w:szCs w:val="20"/>
          <w:color w:val="auto"/>
        </w:rPr>
      </w:pPr>
      <w:r>
        <w:rPr>
          <w:rFonts w:ascii="Arial" w:cs="Arial" w:eastAsia="Arial" w:hAnsi="Arial"/>
          <w:sz w:val="17"/>
          <w:szCs w:val="17"/>
          <w:color w:val="auto"/>
        </w:rPr>
        <w:t>Whether or not the Public Offering actually occurs depends on a number of factors, including market conditions. Any Public Offering will only be made pursuant to an Underwriting Agreement, the terms of which are subject to negotiation between the Company and the Underwriters.</w:t>
      </w:r>
    </w:p>
    <w:p>
      <w:pPr>
        <w:spacing w:after="0" w:line="7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004"/>
          </w:cols>
          <w:pgMar w:left="436" w:top="274" w:right="459" w:bottom="1440" w:gutter="0" w:footer="0" w:header="0"/>
        </w:sectPr>
      </w:pPr>
    </w:p>
    <w:bookmarkStart w:id="360" w:name="page361"/>
    <w:bookmarkEnd w:id="36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agreement shall be governed by and construed in accordance with the laws of the State of New York.</w:t>
      </w:r>
    </w:p>
    <w:p>
      <w:pPr>
        <w:sectPr>
          <w:pgSz w:w="11900" w:h="16838" w:orient="portrait"/>
          <w:cols w:equalWidth="0" w:num="1">
            <w:col w:w="9579"/>
          </w:cols>
          <w:pgMar w:left="880" w:top="274" w:right="1440" w:bottom="1440" w:gutter="0" w:footer="0" w:header="0"/>
        </w:sectPr>
      </w:pPr>
    </w:p>
    <w:p>
      <w:pPr>
        <w:spacing w:after="0" w:line="248" w:lineRule="exact"/>
        <w:rPr>
          <w:sz w:val="20"/>
          <w:szCs w:val="20"/>
          <w:color w:val="auto"/>
        </w:rPr>
      </w:pPr>
    </w:p>
    <w:p>
      <w:pPr>
        <w:jc w:val="center"/>
        <w:ind w:right="-540"/>
        <w:spacing w:after="0"/>
        <w:rPr>
          <w:sz w:val="20"/>
          <w:szCs w:val="20"/>
          <w:color w:val="auto"/>
        </w:rPr>
      </w:pPr>
      <w:r>
        <w:rPr>
          <w:rFonts w:ascii="Arial" w:cs="Arial" w:eastAsia="Arial" w:hAnsi="Arial"/>
          <w:sz w:val="16"/>
          <w:szCs w:val="16"/>
          <w:i w:val="1"/>
          <w:iCs w:val="1"/>
          <w:color w:val="auto"/>
        </w:rPr>
        <w:t>[Signature Page Follows]</w:t>
      </w:r>
    </w:p>
    <w:p>
      <w:pPr>
        <w:spacing w:after="0" w:line="18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9579"/>
          </w:cols>
          <w:pgMar w:left="880" w:top="274" w:right="1440" w:bottom="1440" w:gutter="0" w:footer="0" w:header="0"/>
          <w:type w:val="continuous"/>
        </w:sectPr>
      </w:pPr>
    </w:p>
    <w:bookmarkStart w:id="361" w:name="page362"/>
    <w:bookmarkEnd w:id="361"/>
    <w:tbl>
      <w:tblPr>
        <w:tblLayout w:type="fixed"/>
        <w:tblInd w:w="0" w:type="dxa"/>
        <w:tblCellMar>
          <w:top w:w="0" w:type="dxa"/>
          <w:left w:w="0" w:type="dxa"/>
          <w:bottom w:w="0" w:type="dxa"/>
          <w:right w:w="0" w:type="dxa"/>
        </w:tblCellMar>
      </w:tblPr>
      <w:tr>
        <w:trPr>
          <w:trHeight w:val="230"/>
        </w:trPr>
        <w:tc>
          <w:tcPr>
            <w:tcW w:w="5200" w:type="dxa"/>
            <w:vAlign w:val="bottom"/>
            <w:gridSpan w:val="2"/>
          </w:tcPr>
          <w:p>
            <w:pPr>
              <w:ind w:left="360"/>
              <w:spacing w:after="0"/>
              <w:rPr>
                <w:sz w:val="20"/>
                <w:szCs w:val="20"/>
                <w:color w:val="auto"/>
              </w:rPr>
            </w:pPr>
            <w:r>
              <w:rPr>
                <w:rFonts w:ascii="Arial" w:cs="Arial" w:eastAsia="Arial" w:hAnsi="Arial"/>
                <w:sz w:val="18"/>
                <w:szCs w:val="18"/>
                <w:color w:val="auto"/>
              </w:rPr>
              <w:t>Very truly yours,</w:t>
            </w: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432"/>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IF AN INDIVIDUAL:</w:t>
            </w:r>
          </w:p>
        </w:tc>
        <w:tc>
          <w:tcPr>
            <w:tcW w:w="66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IF AN ENTITY:</w:t>
            </w:r>
          </w:p>
        </w:tc>
      </w:tr>
      <w:tr>
        <w:trPr>
          <w:trHeight w:val="432"/>
        </w:trPr>
        <w:tc>
          <w:tcPr>
            <w:tcW w:w="5200" w:type="dxa"/>
            <w:vAlign w:val="bottom"/>
            <w:gridSpan w:val="2"/>
          </w:tcPr>
          <w:p>
            <w:pPr>
              <w:spacing w:after="0"/>
              <w:rPr>
                <w:sz w:val="20"/>
                <w:szCs w:val="20"/>
                <w:color w:val="auto"/>
              </w:rPr>
            </w:pPr>
            <w:r>
              <w:rPr>
                <w:rFonts w:ascii="Arial" w:cs="Arial" w:eastAsia="Arial" w:hAnsi="Arial"/>
                <w:sz w:val="18"/>
                <w:szCs w:val="18"/>
                <w:color w:val="auto"/>
              </w:rPr>
              <w:t>By:</w:t>
            </w: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224"/>
        </w:trPr>
        <w:tc>
          <w:tcPr>
            <w:tcW w:w="780" w:type="dxa"/>
            <w:vAlign w:val="bottom"/>
          </w:tcPr>
          <w:p>
            <w:pPr>
              <w:spacing w:after="0"/>
              <w:rPr>
                <w:sz w:val="19"/>
                <w:szCs w:val="19"/>
                <w:color w:val="auto"/>
              </w:rPr>
            </w:pPr>
          </w:p>
        </w:tc>
        <w:tc>
          <w:tcPr>
            <w:tcW w:w="4420" w:type="dxa"/>
            <w:vAlign w:val="bottom"/>
            <w:tcBorders>
              <w:top w:val="single" w:sz="8" w:color="auto"/>
            </w:tcBorders>
          </w:tcPr>
          <w:p>
            <w:pPr>
              <w:ind w:left="260"/>
              <w:spacing w:after="0"/>
              <w:rPr>
                <w:sz w:val="20"/>
                <w:szCs w:val="20"/>
                <w:color w:val="auto"/>
              </w:rPr>
            </w:pPr>
            <w:r>
              <w:rPr>
                <w:rFonts w:ascii="Arial" w:cs="Arial" w:eastAsia="Arial" w:hAnsi="Arial"/>
                <w:sz w:val="18"/>
                <w:szCs w:val="18"/>
                <w:i w:val="1"/>
                <w:iCs w:val="1"/>
                <w:color w:val="auto"/>
              </w:rPr>
              <w:t>(duly authorized signature)</w:t>
            </w:r>
          </w:p>
        </w:tc>
        <w:tc>
          <w:tcPr>
            <w:tcW w:w="660" w:type="dxa"/>
            <w:vAlign w:val="bottom"/>
          </w:tcPr>
          <w:p>
            <w:pPr>
              <w:spacing w:after="0"/>
              <w:rPr>
                <w:sz w:val="19"/>
                <w:szCs w:val="19"/>
                <w:color w:val="auto"/>
              </w:rPr>
            </w:pPr>
          </w:p>
        </w:tc>
        <w:tc>
          <w:tcPr>
            <w:tcW w:w="5160" w:type="dxa"/>
            <w:vAlign w:val="bottom"/>
            <w:tcBorders>
              <w:top w:val="single" w:sz="8" w:color="auto"/>
            </w:tcBorders>
            <w:gridSpan w:val="2"/>
          </w:tcPr>
          <w:p>
            <w:pPr>
              <w:spacing w:after="0"/>
              <w:rPr>
                <w:sz w:val="20"/>
                <w:szCs w:val="20"/>
                <w:color w:val="auto"/>
              </w:rPr>
            </w:pPr>
            <w:r>
              <w:rPr>
                <w:rFonts w:ascii="Arial" w:cs="Arial" w:eastAsia="Arial" w:hAnsi="Arial"/>
                <w:sz w:val="18"/>
                <w:szCs w:val="18"/>
                <w:i w:val="1"/>
                <w:iCs w:val="1"/>
                <w:color w:val="auto"/>
              </w:rPr>
              <w:t>(please print complete name of entity)</w:t>
            </w:r>
          </w:p>
        </w:tc>
      </w:tr>
      <w:tr>
        <w:trPr>
          <w:trHeight w:val="431"/>
        </w:trPr>
        <w:tc>
          <w:tcPr>
            <w:tcW w:w="5200" w:type="dxa"/>
            <w:vAlign w:val="bottom"/>
            <w:gridSpan w:val="2"/>
          </w:tcPr>
          <w:p>
            <w:pPr>
              <w:spacing w:after="0"/>
              <w:rPr>
                <w:sz w:val="20"/>
                <w:szCs w:val="20"/>
                <w:color w:val="auto"/>
              </w:rPr>
            </w:pPr>
            <w:r>
              <w:rPr>
                <w:rFonts w:ascii="Arial" w:cs="Arial" w:eastAsia="Arial" w:hAnsi="Arial"/>
                <w:sz w:val="18"/>
                <w:szCs w:val="18"/>
                <w:color w:val="auto"/>
              </w:rPr>
              <w:t>Name:</w:t>
            </w:r>
          </w:p>
        </w:tc>
        <w:tc>
          <w:tcPr>
            <w:tcW w:w="66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By:</w:t>
            </w:r>
          </w:p>
        </w:tc>
      </w:tr>
      <w:tr>
        <w:trPr>
          <w:trHeight w:val="224"/>
        </w:trPr>
        <w:tc>
          <w:tcPr>
            <w:tcW w:w="780" w:type="dxa"/>
            <w:vAlign w:val="bottom"/>
          </w:tcPr>
          <w:p>
            <w:pPr>
              <w:spacing w:after="0"/>
              <w:rPr>
                <w:sz w:val="19"/>
                <w:szCs w:val="19"/>
                <w:color w:val="auto"/>
              </w:rPr>
            </w:pPr>
          </w:p>
        </w:tc>
        <w:tc>
          <w:tcPr>
            <w:tcW w:w="4420" w:type="dxa"/>
            <w:vAlign w:val="bottom"/>
            <w:tcBorders>
              <w:top w:val="single" w:sz="8" w:color="auto"/>
            </w:tcBorders>
          </w:tcPr>
          <w:p>
            <w:pPr>
              <w:ind w:left="260"/>
              <w:spacing w:after="0"/>
              <w:rPr>
                <w:sz w:val="20"/>
                <w:szCs w:val="20"/>
                <w:color w:val="auto"/>
              </w:rPr>
            </w:pPr>
            <w:r>
              <w:rPr>
                <w:rFonts w:ascii="Arial" w:cs="Arial" w:eastAsia="Arial" w:hAnsi="Arial"/>
                <w:sz w:val="18"/>
                <w:szCs w:val="18"/>
                <w:i w:val="1"/>
                <w:iCs w:val="1"/>
                <w:color w:val="auto"/>
              </w:rPr>
              <w:t>(please print full name)</w:t>
            </w: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0" w:type="dxa"/>
            <w:vAlign w:val="bottom"/>
            <w:tcBorders>
              <w:top w:val="single" w:sz="8" w:color="auto"/>
            </w:tcBorders>
          </w:tcPr>
          <w:p>
            <w:pPr>
              <w:ind w:left="260"/>
              <w:spacing w:after="0"/>
              <w:rPr>
                <w:sz w:val="20"/>
                <w:szCs w:val="20"/>
                <w:color w:val="auto"/>
              </w:rPr>
            </w:pPr>
            <w:r>
              <w:rPr>
                <w:rFonts w:ascii="Arial" w:cs="Arial" w:eastAsia="Arial" w:hAnsi="Arial"/>
                <w:sz w:val="18"/>
                <w:szCs w:val="18"/>
                <w:i w:val="1"/>
                <w:iCs w:val="1"/>
                <w:color w:val="auto"/>
              </w:rPr>
              <w:t>(duly authorized signature)</w:t>
            </w:r>
          </w:p>
        </w:tc>
      </w:tr>
      <w:tr>
        <w:trPr>
          <w:trHeight w:val="431"/>
        </w:trPr>
        <w:tc>
          <w:tcPr>
            <w:tcW w:w="7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Name:</w:t>
            </w:r>
          </w:p>
        </w:tc>
      </w:tr>
      <w:tr>
        <w:trPr>
          <w:trHeight w:val="224"/>
        </w:trPr>
        <w:tc>
          <w:tcPr>
            <w:tcW w:w="78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0" w:type="dxa"/>
            <w:vAlign w:val="bottom"/>
            <w:tcBorders>
              <w:top w:val="single" w:sz="8" w:color="auto"/>
            </w:tcBorders>
          </w:tcPr>
          <w:p>
            <w:pPr>
              <w:ind w:left="260"/>
              <w:spacing w:after="0"/>
              <w:rPr>
                <w:sz w:val="20"/>
                <w:szCs w:val="20"/>
                <w:color w:val="auto"/>
              </w:rPr>
            </w:pPr>
            <w:r>
              <w:rPr>
                <w:rFonts w:ascii="Arial" w:cs="Arial" w:eastAsia="Arial" w:hAnsi="Arial"/>
                <w:sz w:val="18"/>
                <w:szCs w:val="18"/>
                <w:i w:val="1"/>
                <w:iCs w:val="1"/>
                <w:color w:val="auto"/>
              </w:rPr>
              <w:t>(please print full name)</w:t>
            </w:r>
          </w:p>
        </w:tc>
      </w:tr>
      <w:tr>
        <w:trPr>
          <w:trHeight w:val="431"/>
        </w:trPr>
        <w:tc>
          <w:tcPr>
            <w:tcW w:w="7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Title:</w:t>
            </w:r>
          </w:p>
        </w:tc>
      </w:tr>
      <w:tr>
        <w:trPr>
          <w:trHeight w:val="209"/>
        </w:trPr>
        <w:tc>
          <w:tcPr>
            <w:tcW w:w="7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0" w:type="dxa"/>
            <w:vAlign w:val="bottom"/>
            <w:tcBorders>
              <w:top w:val="single" w:sz="8" w:color="auto"/>
            </w:tcBorders>
          </w:tcPr>
          <w:p>
            <w:pPr>
              <w:ind w:left="260"/>
              <w:spacing w:after="0"/>
              <w:rPr>
                <w:sz w:val="20"/>
                <w:szCs w:val="20"/>
                <w:color w:val="auto"/>
              </w:rPr>
            </w:pPr>
            <w:r>
              <w:rPr>
                <w:rFonts w:ascii="Arial" w:cs="Arial" w:eastAsia="Arial" w:hAnsi="Arial"/>
                <w:sz w:val="18"/>
                <w:szCs w:val="18"/>
                <w:i w:val="1"/>
                <w:iCs w:val="1"/>
                <w:color w:val="auto"/>
              </w:rPr>
              <w:t>(please print full title)</w:t>
            </w: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66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Address:</w:t>
            </w:r>
          </w:p>
        </w:tc>
      </w:tr>
      <w:tr>
        <w:trPr>
          <w:trHeight w:val="216"/>
        </w:trPr>
        <w:tc>
          <w:tcPr>
            <w:tcW w:w="780" w:type="dxa"/>
            <w:vAlign w:val="bottom"/>
            <w:tcBorders>
              <w:bottom w:val="single" w:sz="8" w:color="auto"/>
            </w:tcBorders>
          </w:tcPr>
          <w:p>
            <w:pPr>
              <w:spacing w:after="0"/>
              <w:rPr>
                <w:sz w:val="18"/>
                <w:szCs w:val="18"/>
                <w:color w:val="auto"/>
              </w:rPr>
            </w:pPr>
          </w:p>
        </w:tc>
        <w:tc>
          <w:tcPr>
            <w:tcW w:w="442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400" w:type="dxa"/>
            <w:vAlign w:val="bottom"/>
            <w:tcBorders>
              <w:bottom w:val="single" w:sz="8" w:color="auto"/>
            </w:tcBorders>
          </w:tcPr>
          <w:p>
            <w:pPr>
              <w:spacing w:after="0"/>
              <w:rPr>
                <w:sz w:val="18"/>
                <w:szCs w:val="18"/>
                <w:color w:val="auto"/>
              </w:rPr>
            </w:pPr>
          </w:p>
        </w:tc>
      </w:tr>
      <w:tr>
        <w:trPr>
          <w:trHeight w:val="439"/>
        </w:trPr>
        <w:tc>
          <w:tcPr>
            <w:tcW w:w="78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tabs>
          <w:tab w:leader="none" w:pos="58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14605</wp:posOffset>
            </wp:positionV>
            <wp:extent cx="6497955"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0">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362" w:name="page363"/>
    <w:bookmarkEnd w:id="36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00" w:lineRule="exact"/>
        <w:rPr>
          <w:sz w:val="20"/>
          <w:szCs w:val="20"/>
          <w:color w:val="auto"/>
        </w:rPr>
      </w:pPr>
    </w:p>
    <w:p>
      <w:pPr>
        <w:spacing w:after="0" w:line="24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FORM OF WAIVER OF LOCK-UP</w:t>
      </w:r>
    </w:p>
    <w:p>
      <w:pPr>
        <w:spacing w:after="0" w:line="22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_____________, 20__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and Address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Officer or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Requesting Waiver]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Mr./Ms. [Name]:</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letter is being delivered to you in connection with the offering by Tenaya Therapeutics,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of</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_____ shares of common stock, $0.0001 par value (the “</w:t>
      </w:r>
      <w:r>
        <w:rPr>
          <w:rFonts w:ascii="Arial" w:cs="Arial" w:eastAsia="Arial" w:hAnsi="Arial"/>
          <w:sz w:val="16"/>
          <w:szCs w:val="16"/>
          <w:b w:val="1"/>
          <w:bCs w:val="1"/>
          <w:color w:val="auto"/>
        </w:rPr>
        <w:t>Common Stock</w:t>
      </w:r>
      <w:r>
        <w:rPr>
          <w:rFonts w:ascii="Arial" w:cs="Arial" w:eastAsia="Arial" w:hAnsi="Arial"/>
          <w:sz w:val="16"/>
          <w:szCs w:val="16"/>
          <w:color w:val="auto"/>
        </w:rPr>
        <w:t>”), of the Company and the lock-up agreement dated ____, 2021 (the “Lock-up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executed by you in connection with such offering, and your request for a [waiver] [release] dated ____, 20__, with respect to ____ shares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Common Stock (the “</w:t>
      </w:r>
      <w:r>
        <w:rPr>
          <w:rFonts w:ascii="Arial" w:cs="Arial" w:eastAsia="Arial" w:hAnsi="Arial"/>
          <w:sz w:val="18"/>
          <w:szCs w:val="18"/>
          <w:b w:val="1"/>
          <w:bCs w:val="1"/>
          <w:color w:val="auto"/>
        </w:rPr>
        <w:t>Shares</w:t>
      </w:r>
      <w:r>
        <w:rPr>
          <w:rFonts w:ascii="Arial" w:cs="Arial" w:eastAsia="Arial" w:hAnsi="Arial"/>
          <w:sz w:val="18"/>
          <w:szCs w:val="18"/>
          <w:color w:val="auto"/>
        </w:rPr>
        <w:t>”).</w:t>
      </w:r>
    </w:p>
    <w:p>
      <w:pPr>
        <w:spacing w:after="0" w:line="21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Morgan Stanley &amp; Co. LLC, Cowen and Company, LLC and Piper Sandler &amp; Co. hereby agree to [waive] [release] the transfer restrictions set forth in the Lock-up Agreement, but only with respect to the Shares, effective _____, 20__; provided, however, that such [waiver] [release] is conditioned on the</w:t>
      </w:r>
    </w:p>
    <w:p>
      <w:pPr>
        <w:ind w:right="120"/>
        <w:spacing w:after="0" w:line="260" w:lineRule="auto"/>
        <w:rPr>
          <w:sz w:val="20"/>
          <w:szCs w:val="20"/>
          <w:color w:val="auto"/>
        </w:rPr>
      </w:pPr>
      <w:r>
        <w:rPr>
          <w:rFonts w:ascii="Arial" w:cs="Arial" w:eastAsia="Arial" w:hAnsi="Arial"/>
          <w:sz w:val="18"/>
          <w:szCs w:val="18"/>
          <w:color w:val="auto"/>
        </w:rPr>
        <w:t>Company announcing the impending [waiver] [release] by press release through a major news service at least two business days before effectiveness of such [waiver] [release]. This letter will serve as notice to the Company of the impending [waiver] [release].</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Except as expressly [waived] [released] hereby, the Lock-up Agreement shall remain in full force and effect.</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Cowen and Company, LLC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Piper Sandler &amp; Co.</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Acting severally on behalf of themselves and the several</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Underwriters named in Schedule I hereto</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MORGAN STANLEY &amp; CO. LLC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020"/>
          </w:cols>
          <w:pgMar w:left="440" w:top="270" w:right="439" w:bottom="1440" w:gutter="0" w:footer="0" w:header="0"/>
        </w:sectPr>
      </w:pPr>
    </w:p>
    <w:bookmarkStart w:id="363" w:name="page364"/>
    <w:bookmarkEnd w:id="363"/>
    <w:p>
      <w:pPr>
        <w:ind w:left="662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6286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right"/>
        <w:ind w:right="619"/>
        <w:spacing w:after="0"/>
        <w:rPr>
          <w:sz w:val="20"/>
          <w:szCs w:val="20"/>
          <w:color w:val="auto"/>
        </w:rPr>
      </w:pPr>
      <w:r>
        <w:rPr>
          <w:rFonts w:ascii="Arial" w:cs="Arial" w:eastAsia="Arial" w:hAnsi="Arial"/>
          <w:sz w:val="18"/>
          <w:szCs w:val="18"/>
          <w:color w:val="auto"/>
        </w:rPr>
        <w:t>COWEN AND COMPANY, LLC</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6286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PIPER SANDLER &amp; CO.</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6286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424" w:hanging="424"/>
        <w:spacing w:after="0"/>
        <w:tabs>
          <w:tab w:leader="none" w:pos="424"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Tenaya Therapeutics, Inc.</w:t>
      </w:r>
    </w:p>
    <w:p>
      <w:pPr>
        <w:spacing w:after="0" w:line="158" w:lineRule="exact"/>
        <w:rPr>
          <w:sz w:val="20"/>
          <w:szCs w:val="20"/>
          <w:color w:val="auto"/>
        </w:rPr>
      </w:pPr>
    </w:p>
    <w:p>
      <w:pPr>
        <w:ind w:left="5364"/>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0023"/>
          </w:cols>
          <w:pgMar w:left="436" w:top="274" w:right="1440" w:bottom="1440" w:gutter="0" w:footer="0" w:header="0"/>
        </w:sectPr>
      </w:pPr>
    </w:p>
    <w:bookmarkStart w:id="364" w:name="page365"/>
    <w:bookmarkEnd w:id="36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OF PRESS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Tenaya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Tenaya Therapeutics, Inc. (the “</w:t>
      </w:r>
      <w:r>
        <w:rPr>
          <w:rFonts w:ascii="Arial" w:cs="Arial" w:eastAsia="Arial" w:hAnsi="Arial"/>
          <w:sz w:val="16"/>
          <w:szCs w:val="16"/>
          <w:b w:val="1"/>
          <w:bCs w:val="1"/>
          <w:color w:val="auto"/>
        </w:rPr>
        <w:t>Company</w:t>
      </w:r>
      <w:r>
        <w:rPr>
          <w:rFonts w:ascii="Arial" w:cs="Arial" w:eastAsia="Arial" w:hAnsi="Arial"/>
          <w:sz w:val="16"/>
          <w:szCs w:val="16"/>
          <w:color w:val="auto"/>
        </w:rPr>
        <w:t>”) announced today that Morgan Stanley &amp; Co. LLC, Cowen and Company, LLC and Piper Sandler &amp; Co. the lead book-running managers in the Company’s recent public sale of _____ shares of its common stock are [waiving][releasing] a lock-up restriction with</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respect to ____ shares of the Company’s common stock held by [certain officers or directors] [an officer or director] of the Company. The [waiver]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[release] will take effect on ____, 20__ , and the shares may be sold on or after such date.</w:t>
      </w:r>
    </w:p>
    <w:p>
      <w:pPr>
        <w:spacing w:after="0" w:line="207" w:lineRule="exact"/>
        <w:rPr>
          <w:sz w:val="20"/>
          <w:szCs w:val="20"/>
          <w:color w:val="auto"/>
        </w:rPr>
      </w:pPr>
    </w:p>
    <w:p>
      <w:pPr>
        <w:jc w:val="both"/>
        <w:ind w:right="280"/>
        <w:spacing w:after="0" w:line="266" w:lineRule="auto"/>
        <w:rPr>
          <w:sz w:val="20"/>
          <w:szCs w:val="20"/>
          <w:color w:val="auto"/>
        </w:rPr>
      </w:pPr>
      <w:r>
        <w:rPr>
          <w:rFonts w:ascii="Arial" w:cs="Arial" w:eastAsia="Arial" w:hAnsi="Arial"/>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000"/>
          </w:cols>
          <w:pgMar w:left="440" w:top="270" w:right="459" w:bottom="1440" w:gutter="0" w:footer="0" w:header="0"/>
        </w:sectPr>
      </w:pPr>
    </w:p>
    <w:bookmarkStart w:id="365" w:name="page366"/>
    <w:bookmarkEnd w:id="365"/>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TENAYA THERAPEUTICS, INC.</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Tenaya Therapeutics, Inc., a corporation organized and existing under the laws of the State of Delaware (the “</w:t>
      </w:r>
      <w:r>
        <w:rPr>
          <w:rFonts w:ascii="Arial" w:cs="Arial" w:eastAsia="Arial" w:hAnsi="Arial"/>
          <w:sz w:val="17"/>
          <w:szCs w:val="17"/>
          <w:b w:val="1"/>
          <w:bCs w:val="1"/>
          <w:i w:val="1"/>
          <w:iCs w:val="1"/>
          <w:color w:val="auto"/>
        </w:rPr>
        <w:t>Corporation</w:t>
      </w:r>
      <w:r>
        <w:rPr>
          <w:rFonts w:ascii="Arial" w:cs="Arial" w:eastAsia="Arial" w:hAnsi="Arial"/>
          <w:sz w:val="17"/>
          <w:szCs w:val="17"/>
          <w:color w:val="auto"/>
        </w:rPr>
        <w:t>”), certifies that:</w:t>
      </w:r>
    </w:p>
    <w:p>
      <w:pPr>
        <w:spacing w:after="0" w:line="237" w:lineRule="exact"/>
        <w:rPr>
          <w:sz w:val="20"/>
          <w:szCs w:val="20"/>
          <w:color w:val="auto"/>
        </w:rPr>
      </w:pPr>
    </w:p>
    <w:p>
      <w:pPr>
        <w:ind w:right="620" w:firstLine="436"/>
        <w:spacing w:after="0" w:line="277" w:lineRule="auto"/>
        <w:tabs>
          <w:tab w:leader="none" w:pos="932"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name of the Corporation is Tenaya Therapeutics, Inc. The Corporation’s original Certificate of Incorporation was filed with the Secretary of State of the State of Delaware on August 18, 2016.</w:t>
      </w:r>
    </w:p>
    <w:p>
      <w:pPr>
        <w:spacing w:after="0" w:line="170" w:lineRule="exact"/>
        <w:rPr>
          <w:rFonts w:ascii="Arial" w:cs="Arial" w:eastAsia="Arial" w:hAnsi="Arial"/>
          <w:sz w:val="18"/>
          <w:szCs w:val="18"/>
          <w:color w:val="auto"/>
        </w:rPr>
      </w:pPr>
    </w:p>
    <w:p>
      <w:pPr>
        <w:ind w:right="100" w:firstLine="436"/>
        <w:spacing w:after="0" w:line="277" w:lineRule="auto"/>
        <w:tabs>
          <w:tab w:leader="none" w:pos="925"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An Amended and Restated Certificate of Incorporation of this corporation was filed with the Secretary of State of the State of Delaware on August 29, 2019.</w:t>
      </w:r>
    </w:p>
    <w:p>
      <w:pPr>
        <w:spacing w:after="0" w:line="170" w:lineRule="exact"/>
        <w:rPr>
          <w:rFonts w:ascii="Arial" w:cs="Arial" w:eastAsia="Arial" w:hAnsi="Arial"/>
          <w:sz w:val="18"/>
          <w:szCs w:val="18"/>
          <w:color w:val="auto"/>
        </w:rPr>
      </w:pPr>
    </w:p>
    <w:p>
      <w:pPr>
        <w:ind w:right="60" w:firstLine="436"/>
        <w:spacing w:after="0" w:line="263" w:lineRule="auto"/>
        <w:tabs>
          <w:tab w:leader="none" w:pos="932"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This Amended and Restated Certificate of Incorporation was duly adopted in accordance with Sections 242 and 245 of the General Corporation Law of the State of Delaware, and has been duly approved by the written consent of the stockholders of the Corporation in accordance with Section 228 of the General Corporation Law of the State of Delaware.</w:t>
      </w:r>
    </w:p>
    <w:p>
      <w:pPr>
        <w:spacing w:after="0" w:line="183" w:lineRule="exact"/>
        <w:rPr>
          <w:rFonts w:ascii="Arial" w:cs="Arial" w:eastAsia="Arial" w:hAnsi="Arial"/>
          <w:sz w:val="18"/>
          <w:szCs w:val="18"/>
          <w:color w:val="auto"/>
        </w:rPr>
      </w:pPr>
    </w:p>
    <w:p>
      <w:pPr>
        <w:ind w:left="920" w:hanging="484"/>
        <w:spacing w:after="0"/>
        <w:tabs>
          <w:tab w:leader="none" w:pos="92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The text of the Amended and Restated Certificate of Incorporation is amended and restated to read as set forth in EXHIBIT A attached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hereto.</w:t>
      </w:r>
    </w:p>
    <w:p>
      <w:pPr>
        <w:spacing w:after="0" w:line="211"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IN WITNESS WHEREOF, Tenaya Therapeutics, Inc. has caused this Amended and Restated Certificate of Incorporation to be signed by Faraz Ali, a duly authorized officer of the Corporation, on December 16, 2020.</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Faraz Ali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Faraz Ali</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020"/>
          </w:cols>
          <w:pgMar w:left="440" w:top="121" w:right="439" w:bottom="1440" w:gutter="0" w:footer="0" w:header="0"/>
        </w:sectPr>
      </w:pPr>
    </w:p>
    <w:bookmarkStart w:id="366" w:name="page367"/>
    <w:bookmarkEnd w:id="36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 of the Corporation is Tenaya Therapeutics, Inc.</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General Corporation Law of Delaware.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9" w:lineRule="exact"/>
        <w:rPr>
          <w:sz w:val="20"/>
          <w:szCs w:val="20"/>
          <w:color w:val="auto"/>
        </w:rPr>
      </w:pPr>
    </w:p>
    <w:p>
      <w:pPr>
        <w:ind w:right="580" w:firstLine="440"/>
        <w:spacing w:after="0" w:line="342" w:lineRule="auto"/>
        <w:rPr>
          <w:sz w:val="20"/>
          <w:szCs w:val="20"/>
          <w:color w:val="auto"/>
        </w:rPr>
      </w:pPr>
      <w:r>
        <w:rPr>
          <w:rFonts w:ascii="Arial" w:cs="Arial" w:eastAsia="Arial" w:hAnsi="Arial"/>
          <w:sz w:val="16"/>
          <w:szCs w:val="16"/>
          <w:color w:val="auto"/>
        </w:rPr>
        <w:t>The address of the Corporation’s registered office in the State of Delaware is The Corporation Trust Company, 1209 Orange Street, City of Wilmington, County of New Castle, DE 19801. The name of the registered agent at such address is The Corporation Trust Company.</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9"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The total number of shares of stock that the Corporation shall have authority to issue is three hundred thirty eight million five hundred ninety three thousand eight hundred eighteen (338,593,818) consisting of one hundred eighty-one million nine hundred eighty thousand (181,980,000) shares of Common Stock, $0.0001 par value per share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and one hundred fifty six million six hundred thirteen thousand eight hundred eighteen (156,613,818) shares of Preferred Stock, $0.0001 par value per share. The first series of Preferred Stock shall be designated “</w:t>
      </w:r>
      <w:r>
        <w:rPr>
          <w:rFonts w:ascii="Arial" w:cs="Arial" w:eastAsia="Arial" w:hAnsi="Arial"/>
          <w:sz w:val="17"/>
          <w:szCs w:val="17"/>
          <w:b w:val="1"/>
          <w:bCs w:val="1"/>
          <w:i w:val="1"/>
          <w:iCs w:val="1"/>
          <w:color w:val="auto"/>
        </w:rPr>
        <w:t>Series A Preferred Stock</w:t>
      </w:r>
      <w:r>
        <w:rPr>
          <w:rFonts w:ascii="Arial" w:cs="Arial" w:eastAsia="Arial" w:hAnsi="Arial"/>
          <w:sz w:val="17"/>
          <w:szCs w:val="17"/>
          <w:color w:val="auto"/>
        </w:rPr>
        <w:t>” and shall consist of forty-nine million nine hundred thousand (49,900,000) shares and the second series of Preferred Stock shall be designated “</w:t>
      </w:r>
      <w:r>
        <w:rPr>
          <w:rFonts w:ascii="Arial" w:cs="Arial" w:eastAsia="Arial" w:hAnsi="Arial"/>
          <w:sz w:val="17"/>
          <w:szCs w:val="17"/>
          <w:b w:val="1"/>
          <w:bCs w:val="1"/>
          <w:i w:val="1"/>
          <w:iCs w:val="1"/>
          <w:color w:val="auto"/>
        </w:rPr>
        <w:t>Series B</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Preferred Stock</w:t>
      </w:r>
      <w:r>
        <w:rPr>
          <w:rFonts w:ascii="Arial" w:cs="Arial" w:eastAsia="Arial" w:hAnsi="Arial"/>
          <w:sz w:val="17"/>
          <w:szCs w:val="17"/>
          <w:color w:val="auto"/>
        </w:rPr>
        <w:t>” and shall consist of fifty-five million five hundred fifty-five thousand five hundred twenty-seven (55,555,527) shares. The third series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Preferred Stock shall be designated “</w:t>
      </w:r>
      <w:r>
        <w:rPr>
          <w:rFonts w:ascii="Arial" w:cs="Arial" w:eastAsia="Arial" w:hAnsi="Arial"/>
          <w:sz w:val="17"/>
          <w:szCs w:val="17"/>
          <w:b w:val="1"/>
          <w:bCs w:val="1"/>
          <w:i w:val="1"/>
          <w:iCs w:val="1"/>
          <w:color w:val="auto"/>
        </w:rPr>
        <w:t>Series C Preferred Stock</w:t>
      </w:r>
      <w:r>
        <w:rPr>
          <w:rFonts w:ascii="Arial" w:cs="Arial" w:eastAsia="Arial" w:hAnsi="Arial"/>
          <w:sz w:val="17"/>
          <w:szCs w:val="17"/>
          <w:color w:val="auto"/>
        </w:rPr>
        <w:t>” and shall consist of fifty-one million one hundred fifty-eight thousand two hundred ninety one (51,158,291) shares.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terms and provisions of the Common Stock and Preferred Stock are as follows:</w:t>
      </w:r>
    </w:p>
    <w:p>
      <w:pPr>
        <w:spacing w:after="0" w:line="221" w:lineRule="exact"/>
        <w:rPr>
          <w:sz w:val="20"/>
          <w:szCs w:val="20"/>
          <w:color w:val="auto"/>
        </w:rPr>
      </w:pPr>
    </w:p>
    <w:p>
      <w:pPr>
        <w:ind w:left="980" w:hanging="544"/>
        <w:spacing w:after="0"/>
        <w:tabs>
          <w:tab w:leader="none" w:pos="980"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For purposes of this ARTICLE V, the following definitions shall apply:</w:t>
      </w:r>
    </w:p>
    <w:p>
      <w:pPr>
        <w:spacing w:after="0" w:line="229" w:lineRule="exact"/>
        <w:rPr>
          <w:rFonts w:ascii="Arial" w:cs="Arial" w:eastAsia="Arial" w:hAnsi="Arial"/>
          <w:sz w:val="18"/>
          <w:szCs w:val="18"/>
          <w:b w:val="1"/>
          <w:bCs w:val="1"/>
          <w:color w:val="auto"/>
        </w:rPr>
      </w:pPr>
    </w:p>
    <w:p>
      <w:pPr>
        <w:jc w:val="both"/>
        <w:ind w:right="260" w:firstLine="987"/>
        <w:spacing w:after="0" w:line="263" w:lineRule="auto"/>
        <w:tabs>
          <w:tab w:leader="none" w:pos="1371" w:val="left"/>
        </w:tabs>
        <w:numPr>
          <w:ilvl w:val="1"/>
          <w:numId w:val="2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Conversion Price</w:t>
      </w:r>
      <w:r>
        <w:rPr>
          <w:rFonts w:ascii="Arial" w:cs="Arial" w:eastAsia="Arial" w:hAnsi="Arial"/>
          <w:sz w:val="18"/>
          <w:szCs w:val="18"/>
          <w:color w:val="auto"/>
        </w:rPr>
        <w:t>” shall mean $1.00 per share for the Series A Preferred Stock, $1.656 per share for the Series B Preferred Stock and $2.072 per share for the Series C Preferred Stock (in each case, subject to adjustment from time to time for Recapitalizations and as otherwise set forth elsewhere herein).</w:t>
      </w:r>
    </w:p>
    <w:p>
      <w:pPr>
        <w:spacing w:after="0" w:line="183" w:lineRule="exact"/>
        <w:rPr>
          <w:rFonts w:ascii="Arial" w:cs="Arial" w:eastAsia="Arial" w:hAnsi="Arial"/>
          <w:sz w:val="18"/>
          <w:szCs w:val="18"/>
          <w:color w:val="auto"/>
        </w:rPr>
      </w:pPr>
    </w:p>
    <w:p>
      <w:pPr>
        <w:ind w:right="40" w:firstLine="987"/>
        <w:spacing w:after="0" w:line="277" w:lineRule="auto"/>
        <w:tabs>
          <w:tab w:leader="none" w:pos="1381" w:val="left"/>
        </w:tabs>
        <w:numPr>
          <w:ilvl w:val="1"/>
          <w:numId w:val="2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Convertible Securities</w:t>
      </w:r>
      <w:r>
        <w:rPr>
          <w:rFonts w:ascii="Arial" w:cs="Arial" w:eastAsia="Arial" w:hAnsi="Arial"/>
          <w:sz w:val="18"/>
          <w:szCs w:val="18"/>
          <w:color w:val="auto"/>
        </w:rPr>
        <w:t>” shall mean any evidences of indebtedness, shares, including, Preferred Stock, or other securities convertible into or exchangeable for Common Stock.</w:t>
      </w:r>
    </w:p>
    <w:p>
      <w:pPr>
        <w:spacing w:after="0" w:line="170" w:lineRule="exact"/>
        <w:rPr>
          <w:rFonts w:ascii="Arial" w:cs="Arial" w:eastAsia="Arial" w:hAnsi="Arial"/>
          <w:sz w:val="18"/>
          <w:szCs w:val="18"/>
          <w:color w:val="auto"/>
        </w:rPr>
      </w:pPr>
    </w:p>
    <w:p>
      <w:pPr>
        <w:ind w:left="1360" w:hanging="373"/>
        <w:spacing w:after="0"/>
        <w:tabs>
          <w:tab w:leader="none" w:pos="136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shall mean Tenaya Therapeutics, Inc.</w:t>
      </w:r>
    </w:p>
    <w:p>
      <w:pPr>
        <w:spacing w:after="0" w:line="225" w:lineRule="exact"/>
        <w:rPr>
          <w:rFonts w:ascii="Arial" w:cs="Arial" w:eastAsia="Arial" w:hAnsi="Arial"/>
          <w:sz w:val="18"/>
          <w:szCs w:val="18"/>
          <w:color w:val="auto"/>
        </w:rPr>
      </w:pPr>
    </w:p>
    <w:p>
      <w:pPr>
        <w:ind w:firstLine="987"/>
        <w:spacing w:after="0" w:line="263" w:lineRule="auto"/>
        <w:tabs>
          <w:tab w:leader="none" w:pos="1381" w:val="left"/>
        </w:tabs>
        <w:numPr>
          <w:ilvl w:val="1"/>
          <w:numId w:val="2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Distribution</w:t>
      </w:r>
      <w:r>
        <w:rPr>
          <w:rFonts w:ascii="Arial" w:cs="Arial" w:eastAsia="Arial" w:hAnsi="Arial"/>
          <w:sz w:val="18"/>
          <w:szCs w:val="18"/>
          <w:color w:val="auto"/>
        </w:rPr>
        <w:t>” shall mean the transfer of cash or other property without consideration whether by way of dividend or otherwise, other than dividends on Common Stock payable in Common Stock, or the purchase or redemption of shares of the Corporation by the Corporation for cash or property other than: (i) repurchases of Common Stock issued to or held by employees, officers, directors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367" w:name="page368"/>
    <w:bookmarkEnd w:id="367"/>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consultants of the Corporation or its subsidiaries upon termination of their employment or services pursuant to agreements providing for the right of said repurchase, (ii) repurchases of Common Stock issued to or held by employees, officers, directors or consultants of the Corporation or its subsidiaries pursuant to rights of first refusal contained in agreements providing for such right, (iii) repurchases of capital stock of the Corporation in connection with the settlement of disputes with any stockholder approved by the Corporation’s Board of Directors (the “</w:t>
      </w:r>
      <w:r>
        <w:rPr>
          <w:rFonts w:ascii="Arial" w:cs="Arial" w:eastAsia="Arial" w:hAnsi="Arial"/>
          <w:sz w:val="17"/>
          <w:szCs w:val="17"/>
          <w:b w:val="1"/>
          <w:bCs w:val="1"/>
          <w:i w:val="1"/>
          <w:iCs w:val="1"/>
          <w:color w:val="auto"/>
        </w:rPr>
        <w:t>Board of Directors</w:t>
      </w:r>
      <w:r>
        <w:rPr>
          <w:rFonts w:ascii="Arial" w:cs="Arial" w:eastAsia="Arial" w:hAnsi="Arial"/>
          <w:sz w:val="17"/>
          <w:szCs w:val="17"/>
          <w:color w:val="auto"/>
        </w:rPr>
        <w:t>”), which approval must include a majority of the then-serving Preferred Directors, and (iv) any other repurchase or redemption of capital stock of the Corporation approved by the holders of the Common Stock and Preferred Stock of the Corporation voting as separate classes.</w:t>
      </w:r>
    </w:p>
    <w:p>
      <w:pPr>
        <w:spacing w:after="0" w:line="178" w:lineRule="exact"/>
        <w:rPr>
          <w:sz w:val="20"/>
          <w:szCs w:val="20"/>
          <w:color w:val="auto"/>
        </w:rPr>
      </w:pPr>
    </w:p>
    <w:p>
      <w:pPr>
        <w:ind w:right="100" w:firstLine="987"/>
        <w:spacing w:after="0" w:line="263" w:lineRule="auto"/>
        <w:tabs>
          <w:tab w:leader="none" w:pos="1371" w:val="left"/>
        </w:tabs>
        <w:numPr>
          <w:ilvl w:val="1"/>
          <w:numId w:val="2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Dividend Rate</w:t>
      </w:r>
      <w:r>
        <w:rPr>
          <w:rFonts w:ascii="Arial" w:cs="Arial" w:eastAsia="Arial" w:hAnsi="Arial"/>
          <w:sz w:val="18"/>
          <w:szCs w:val="18"/>
          <w:color w:val="auto"/>
        </w:rPr>
        <w:t>” shall mean an annual rate of $0.08 per share for the Series A Preferred Stock, $0.132 per share for the Series B Preferred Stock and $0.166 per share for the Series C Preferred Stock (in each case, subject to adjustment from time to time for Recapitalizations as set forth elsewhere herein).</w:t>
      </w:r>
    </w:p>
    <w:p>
      <w:pPr>
        <w:spacing w:after="0" w:line="183" w:lineRule="exact"/>
        <w:rPr>
          <w:rFonts w:ascii="Arial" w:cs="Arial" w:eastAsia="Arial" w:hAnsi="Arial"/>
          <w:sz w:val="18"/>
          <w:szCs w:val="18"/>
          <w:color w:val="auto"/>
        </w:rPr>
      </w:pPr>
    </w:p>
    <w:p>
      <w:pPr>
        <w:ind w:right="260" w:firstLine="987"/>
        <w:spacing w:after="0" w:line="263" w:lineRule="auto"/>
        <w:tabs>
          <w:tab w:leader="none" w:pos="1351" w:val="left"/>
        </w:tabs>
        <w:numPr>
          <w:ilvl w:val="1"/>
          <w:numId w:val="2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Liquidation Preference</w:t>
      </w:r>
      <w:r>
        <w:rPr>
          <w:rFonts w:ascii="Arial" w:cs="Arial" w:eastAsia="Arial" w:hAnsi="Arial"/>
          <w:sz w:val="18"/>
          <w:szCs w:val="18"/>
          <w:color w:val="auto"/>
        </w:rPr>
        <w:t>” shall mean $1.00 per share for the Series A Preferred Stock, $1.656 per share for the Series B Preferred Stock and $2.072 per share for the Series C Preferred Stock (in each case, subject to adjustment from time to time for Recapitalizations as set forth elsewhere herein).</w:t>
      </w:r>
    </w:p>
    <w:p>
      <w:pPr>
        <w:spacing w:after="0" w:line="183" w:lineRule="exact"/>
        <w:rPr>
          <w:rFonts w:ascii="Arial" w:cs="Arial" w:eastAsia="Arial" w:hAnsi="Arial"/>
          <w:sz w:val="18"/>
          <w:szCs w:val="18"/>
          <w:color w:val="auto"/>
        </w:rPr>
      </w:pPr>
    </w:p>
    <w:p>
      <w:pPr>
        <w:ind w:left="1380" w:hanging="393"/>
        <w:spacing w:after="0"/>
        <w:tabs>
          <w:tab w:leader="none" w:pos="1380" w:val="left"/>
        </w:tabs>
        <w:numPr>
          <w:ilvl w:val="1"/>
          <w:numId w:val="2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Options</w:t>
      </w:r>
      <w:r>
        <w:rPr>
          <w:rFonts w:ascii="Arial" w:cs="Arial" w:eastAsia="Arial" w:hAnsi="Arial"/>
          <w:sz w:val="17"/>
          <w:szCs w:val="17"/>
          <w:color w:val="auto"/>
        </w:rPr>
        <w:t>” shall mean rights, options or warrants to subscribe for, purchase or otherwise acquire Common Stock or Convertible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Securities.</w:t>
      </w:r>
    </w:p>
    <w:p>
      <w:pPr>
        <w:spacing w:after="0" w:line="210" w:lineRule="exact"/>
        <w:rPr>
          <w:rFonts w:ascii="Arial" w:cs="Arial" w:eastAsia="Arial" w:hAnsi="Arial"/>
          <w:sz w:val="17"/>
          <w:szCs w:val="17"/>
          <w:color w:val="auto"/>
        </w:rPr>
      </w:pPr>
    </w:p>
    <w:p>
      <w:pPr>
        <w:ind w:firstLine="987"/>
        <w:spacing w:after="0" w:line="263" w:lineRule="auto"/>
        <w:tabs>
          <w:tab w:leader="none" w:pos="1381" w:val="left"/>
        </w:tabs>
        <w:numPr>
          <w:ilvl w:val="1"/>
          <w:numId w:val="2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Original Issue Price</w:t>
      </w:r>
      <w:r>
        <w:rPr>
          <w:rFonts w:ascii="Arial" w:cs="Arial" w:eastAsia="Arial" w:hAnsi="Arial"/>
          <w:sz w:val="18"/>
          <w:szCs w:val="18"/>
          <w:color w:val="auto"/>
        </w:rPr>
        <w:t>” shall mean $1.00 per share for the Series A Preferred Stock, $1.656 per share for the Series B Preferred Stock and $2.072 per share for the Series C Preferred Stock (in each case, subject to adjustment from time to time for Recapitalizations as set forth elsewhere herein).</w:t>
      </w:r>
    </w:p>
    <w:p>
      <w:pPr>
        <w:spacing w:after="0" w:line="183" w:lineRule="exact"/>
        <w:rPr>
          <w:rFonts w:ascii="Arial" w:cs="Arial" w:eastAsia="Arial" w:hAnsi="Arial"/>
          <w:sz w:val="18"/>
          <w:szCs w:val="18"/>
          <w:color w:val="auto"/>
        </w:rPr>
      </w:pPr>
    </w:p>
    <w:p>
      <w:pPr>
        <w:ind w:left="1340" w:hanging="353"/>
        <w:spacing w:after="0"/>
        <w:tabs>
          <w:tab w:leader="none" w:pos="1340" w:val="left"/>
        </w:tabs>
        <w:numPr>
          <w:ilvl w:val="1"/>
          <w:numId w:val="2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Preferred Stock</w:t>
      </w:r>
      <w:r>
        <w:rPr>
          <w:rFonts w:ascii="Arial" w:cs="Arial" w:eastAsia="Arial" w:hAnsi="Arial"/>
          <w:sz w:val="17"/>
          <w:szCs w:val="17"/>
          <w:color w:val="auto"/>
        </w:rPr>
        <w:t>” shall mean the Series A Preferred Stock, the Series B Preferred Stock and the Series C Preferred Stock.</w:t>
      </w:r>
    </w:p>
    <w:p>
      <w:pPr>
        <w:spacing w:after="0" w:line="236" w:lineRule="exact"/>
        <w:rPr>
          <w:rFonts w:ascii="Arial" w:cs="Arial" w:eastAsia="Arial" w:hAnsi="Arial"/>
          <w:sz w:val="17"/>
          <w:szCs w:val="17"/>
          <w:color w:val="auto"/>
        </w:rPr>
      </w:pPr>
    </w:p>
    <w:p>
      <w:pPr>
        <w:ind w:right="60" w:firstLine="987"/>
        <w:spacing w:after="0" w:line="277" w:lineRule="auto"/>
        <w:tabs>
          <w:tab w:leader="none" w:pos="1341" w:val="left"/>
        </w:tabs>
        <w:numPr>
          <w:ilvl w:val="1"/>
          <w:numId w:val="2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Recapitalization</w:t>
      </w:r>
      <w:r>
        <w:rPr>
          <w:rFonts w:ascii="Arial" w:cs="Arial" w:eastAsia="Arial" w:hAnsi="Arial"/>
          <w:sz w:val="18"/>
          <w:szCs w:val="18"/>
          <w:color w:val="auto"/>
        </w:rPr>
        <w:t>” shall mean any stock dividend, stock split, combination of shares, reorganization, recapitalization, reclassification or other similar event.</w:t>
      </w:r>
    </w:p>
    <w:p>
      <w:pPr>
        <w:spacing w:after="0" w:line="274" w:lineRule="exact"/>
        <w:rPr>
          <w:rFonts w:ascii="Arial" w:cs="Arial" w:eastAsia="Arial" w:hAnsi="Arial"/>
          <w:sz w:val="18"/>
          <w:szCs w:val="18"/>
          <w:color w:val="auto"/>
        </w:rPr>
      </w:pPr>
    </w:p>
    <w:p>
      <w:pPr>
        <w:ind w:left="980" w:hanging="544"/>
        <w:spacing w:after="0"/>
        <w:tabs>
          <w:tab w:leader="none" w:pos="980"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Dividends.</w:t>
      </w:r>
    </w:p>
    <w:p>
      <w:pPr>
        <w:spacing w:after="0" w:line="121" w:lineRule="exact"/>
        <w:rPr>
          <w:rFonts w:ascii="Arial" w:cs="Arial" w:eastAsia="Arial" w:hAnsi="Arial"/>
          <w:sz w:val="18"/>
          <w:szCs w:val="18"/>
          <w:b w:val="1"/>
          <w:bCs w:val="1"/>
          <w:color w:val="auto"/>
        </w:rPr>
      </w:pPr>
    </w:p>
    <w:p>
      <w:pPr>
        <w:ind w:right="60" w:firstLine="987"/>
        <w:spacing w:after="0" w:line="290" w:lineRule="auto"/>
        <w:tabs>
          <w:tab w:leader="none" w:pos="1371" w:val="left"/>
        </w:tabs>
        <w:numPr>
          <w:ilvl w:val="1"/>
          <w:numId w:val="22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Preferred Stock. </w:t>
      </w:r>
      <w:r>
        <w:rPr>
          <w:rFonts w:ascii="Arial" w:cs="Arial" w:eastAsia="Arial" w:hAnsi="Arial"/>
          <w:sz w:val="16"/>
          <w:szCs w:val="16"/>
          <w:color w:val="auto"/>
        </w:rPr>
        <w:t>In any calendar year, the holders of outstanding shares of Preferred Stock shall be entitled to receive dividends,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when, as and if declared by the Board of Directors, out of any assets at the time legally available therefor, at the Dividend Rate specified for such series of Preferred Stock payable in preference and priority to any declaration or payment of any Distribution on Common Stock of the Corporation in such calendar year. No Distributions shall be made with respect to the Common Stock unless dividends on the Preferred Stock have been declared in accordance with the preferences stated herein and all declared dividends on the Preferred Stock have been paid or set aside for payment to the Preferred Stockholders. The right to receive dividends on shares of Preferred Stock shall not be cumulative, and no right to dividends shall accrue to holders of Preferred Stock by reason of the fact that dividends on said shares are not declared or paid. Payment of any dividends to the holders of Preferred Stock shall be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in proportion to the Dividend Rates for each series of Preferred Stock.</w:t>
      </w:r>
    </w:p>
    <w:p>
      <w:pPr>
        <w:spacing w:after="0" w:line="165" w:lineRule="exact"/>
        <w:rPr>
          <w:rFonts w:ascii="Arial" w:cs="Arial" w:eastAsia="Arial" w:hAnsi="Arial"/>
          <w:sz w:val="16"/>
          <w:szCs w:val="16"/>
          <w:color w:val="auto"/>
        </w:rPr>
      </w:pPr>
    </w:p>
    <w:p>
      <w:pPr>
        <w:ind w:right="180" w:firstLine="987"/>
        <w:spacing w:after="0" w:line="263" w:lineRule="auto"/>
        <w:tabs>
          <w:tab w:leader="none" w:pos="1381" w:val="left"/>
        </w:tabs>
        <w:numPr>
          <w:ilvl w:val="1"/>
          <w:numId w:val="2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Additional Dividends. </w:t>
      </w:r>
      <w:r>
        <w:rPr>
          <w:rFonts w:ascii="Arial" w:cs="Arial" w:eastAsia="Arial" w:hAnsi="Arial"/>
          <w:sz w:val="18"/>
          <w:szCs w:val="18"/>
          <w:color w:val="auto"/>
        </w:rPr>
        <w:t>After the payment or setting aside for payment of the dividends described in Section 2(a), any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dividends (including, dividends on Common Stock payable solely in Common Stock (unless the applicable conversion rate of the applicable Preferred Stock</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368" w:name="page369"/>
    <w:bookmarkEnd w:id="368"/>
    <w:p>
      <w:pPr>
        <w:ind w:left="4" w:right="1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 fully adjusted pursuant to Section 4(e), (f), or (g))) set aside or paid in any fiscal year shall be set aside or paid among the holders of the Preferred Stock and Common Stock then outstanding in proportion to the greatest whole number of shares of Common Stock which would be held by each such holder if all shares of Preferred Stock were converted at the then-effective Conversion Rate (as defined in Section 4).</w:t>
      </w:r>
    </w:p>
    <w:p>
      <w:pPr>
        <w:spacing w:after="0" w:line="165" w:lineRule="exact"/>
        <w:rPr>
          <w:sz w:val="20"/>
          <w:szCs w:val="20"/>
          <w:color w:val="auto"/>
        </w:rPr>
      </w:pPr>
    </w:p>
    <w:p>
      <w:pPr>
        <w:ind w:left="4" w:right="360" w:firstLine="987"/>
        <w:spacing w:after="0" w:line="342" w:lineRule="auto"/>
        <w:tabs>
          <w:tab w:leader="none" w:pos="1375" w:val="left"/>
        </w:tabs>
        <w:numPr>
          <w:ilvl w:val="2"/>
          <w:numId w:val="22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Non-Cash Distributions. </w:t>
      </w:r>
      <w:r>
        <w:rPr>
          <w:rFonts w:ascii="Arial" w:cs="Arial" w:eastAsia="Arial" w:hAnsi="Arial"/>
          <w:sz w:val="16"/>
          <w:szCs w:val="16"/>
          <w:color w:val="auto"/>
        </w:rPr>
        <w:t>Whenever a Distribution provided for in this Section 2 shall be payable in property other than cash,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value of such Distribution shall be deemed to be the fair market value of such property as determined in good faith by the Board of Directors.</w:t>
      </w:r>
    </w:p>
    <w:p>
      <w:pPr>
        <w:spacing w:after="0" w:line="123" w:lineRule="exact"/>
        <w:rPr>
          <w:rFonts w:ascii="Arial" w:cs="Arial" w:eastAsia="Arial" w:hAnsi="Arial"/>
          <w:sz w:val="16"/>
          <w:szCs w:val="16"/>
          <w:color w:val="auto"/>
        </w:rPr>
      </w:pPr>
    </w:p>
    <w:p>
      <w:pPr>
        <w:ind w:left="4" w:right="260" w:firstLine="987"/>
        <w:spacing w:after="0" w:line="286" w:lineRule="auto"/>
        <w:tabs>
          <w:tab w:leader="none" w:pos="1385" w:val="left"/>
        </w:tabs>
        <w:numPr>
          <w:ilvl w:val="2"/>
          <w:numId w:val="22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Consent to Certain Distributions. </w:t>
      </w:r>
      <w:r>
        <w:rPr>
          <w:rFonts w:ascii="Arial" w:cs="Arial" w:eastAsia="Arial" w:hAnsi="Arial"/>
          <w:sz w:val="16"/>
          <w:szCs w:val="16"/>
          <w:color w:val="auto"/>
        </w:rPr>
        <w:t>In accordance with Section 500 of the California Corporations Code a distribution can be made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without regard to any preferential dividends arrears amount or any preferential rights amount (each as defined in Section 500 of the California Corporations Code) in connection with (i) repurchases of Common Stock issued to or held by employees, officers, directors or consultants of the Corporation or its subsidiaries upon termination of their employment or services pursuant to agreements providing for the right of said repurchase,</w:t>
      </w:r>
    </w:p>
    <w:p>
      <w:pPr>
        <w:spacing w:after="0" w:line="1" w:lineRule="exact"/>
        <w:rPr>
          <w:rFonts w:ascii="Arial" w:cs="Arial" w:eastAsia="Arial" w:hAnsi="Arial"/>
          <w:sz w:val="16"/>
          <w:szCs w:val="16"/>
          <w:color w:val="auto"/>
        </w:rPr>
      </w:pPr>
    </w:p>
    <w:p>
      <w:pPr>
        <w:jc w:val="both"/>
        <w:ind w:left="4" w:right="320" w:hanging="4"/>
        <w:spacing w:after="0" w:line="281" w:lineRule="auto"/>
        <w:tabs>
          <w:tab w:leader="none" w:pos="269" w:val="left"/>
        </w:tabs>
        <w:numPr>
          <w:ilvl w:val="0"/>
          <w:numId w:val="228"/>
        </w:numPr>
        <w:rPr>
          <w:rFonts w:ascii="Arial" w:cs="Arial" w:eastAsia="Arial" w:hAnsi="Arial"/>
          <w:sz w:val="16"/>
          <w:szCs w:val="16"/>
          <w:color w:val="auto"/>
        </w:rPr>
      </w:pPr>
      <w:r>
        <w:rPr>
          <w:rFonts w:ascii="Arial" w:cs="Arial" w:eastAsia="Arial" w:hAnsi="Arial"/>
          <w:sz w:val="16"/>
          <w:szCs w:val="16"/>
          <w:color w:val="auto"/>
        </w:rPr>
        <w:t>repurchases of Common Stock issued to or held by employees, officers, directors or consultants of the Corporation or its subsidiaries pursuant to rights of first refusal contained in agreements providing for such right, (iii) repurchases of Common Stock or Preferred Stock in connection with the settlement of disputes with any stockholder approved by the Board of Directors (including a majority of the then-serving Preferred Directors), or</w:t>
      </w:r>
    </w:p>
    <w:p>
      <w:pPr>
        <w:spacing w:after="0" w:line="1" w:lineRule="exact"/>
        <w:rPr>
          <w:rFonts w:ascii="Arial" w:cs="Arial" w:eastAsia="Arial" w:hAnsi="Arial"/>
          <w:sz w:val="16"/>
          <w:szCs w:val="16"/>
          <w:color w:val="auto"/>
        </w:rPr>
      </w:pPr>
    </w:p>
    <w:p>
      <w:pPr>
        <w:ind w:left="304" w:hanging="304"/>
        <w:spacing w:after="0"/>
        <w:tabs>
          <w:tab w:leader="none" w:pos="304" w:val="left"/>
        </w:tabs>
        <w:numPr>
          <w:ilvl w:val="0"/>
          <w:numId w:val="229"/>
        </w:numPr>
        <w:rPr>
          <w:rFonts w:ascii="Arial" w:cs="Arial" w:eastAsia="Arial" w:hAnsi="Arial"/>
          <w:sz w:val="17"/>
          <w:szCs w:val="17"/>
          <w:color w:val="auto"/>
        </w:rPr>
      </w:pPr>
      <w:r>
        <w:rPr>
          <w:rFonts w:ascii="Arial" w:cs="Arial" w:eastAsia="Arial" w:hAnsi="Arial"/>
          <w:sz w:val="17"/>
          <w:szCs w:val="17"/>
          <w:color w:val="auto"/>
        </w:rPr>
        <w:t>any other repurchase or redemption of Common Stock or Preferred Stock approved by the holders of Preferred Stock of the Corporation.</w:t>
      </w:r>
    </w:p>
    <w:p>
      <w:pPr>
        <w:spacing w:after="0" w:line="326" w:lineRule="exact"/>
        <w:rPr>
          <w:rFonts w:ascii="Arial" w:cs="Arial" w:eastAsia="Arial" w:hAnsi="Arial"/>
          <w:sz w:val="17"/>
          <w:szCs w:val="17"/>
          <w:color w:val="auto"/>
        </w:rPr>
      </w:pPr>
    </w:p>
    <w:p>
      <w:pPr>
        <w:ind w:left="984" w:hanging="544"/>
        <w:spacing w:after="0"/>
        <w:tabs>
          <w:tab w:leader="none" w:pos="984" w:val="left"/>
        </w:tabs>
        <w:numPr>
          <w:ilvl w:val="1"/>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Liquidation Rights.</w:t>
      </w:r>
    </w:p>
    <w:p>
      <w:pPr>
        <w:spacing w:after="0" w:line="121" w:lineRule="exact"/>
        <w:rPr>
          <w:rFonts w:ascii="Arial" w:cs="Arial" w:eastAsia="Arial" w:hAnsi="Arial"/>
          <w:sz w:val="18"/>
          <w:szCs w:val="18"/>
          <w:b w:val="1"/>
          <w:bCs w:val="1"/>
          <w:color w:val="auto"/>
        </w:rPr>
      </w:pPr>
    </w:p>
    <w:p>
      <w:pPr>
        <w:ind w:left="4" w:firstLine="987"/>
        <w:spacing w:after="0" w:line="287" w:lineRule="auto"/>
        <w:tabs>
          <w:tab w:leader="none" w:pos="1375" w:val="left"/>
        </w:tabs>
        <w:numPr>
          <w:ilvl w:val="2"/>
          <w:numId w:val="22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In the event of any liquidation, dissolution or winding up of the Corporation, either voluntary or involuntary,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holders of the Preferred Stock shall be entitled to receive, prior and in preference to any Distribution of any of the assets of the Corporation to the holders of the Common Stock by reason of their ownership of such stock, an amount per each share of Preferred Stock held by them equal to the sum of</w:t>
      </w:r>
    </w:p>
    <w:p>
      <w:pPr>
        <w:spacing w:after="0" w:line="2" w:lineRule="exact"/>
        <w:rPr>
          <w:rFonts w:ascii="Arial" w:cs="Arial" w:eastAsia="Arial" w:hAnsi="Arial"/>
          <w:sz w:val="16"/>
          <w:szCs w:val="16"/>
          <w:color w:val="auto"/>
        </w:rPr>
      </w:pPr>
    </w:p>
    <w:p>
      <w:pPr>
        <w:ind w:left="4" w:right="40" w:hanging="4"/>
        <w:spacing w:after="0" w:line="271" w:lineRule="auto"/>
        <w:tabs>
          <w:tab w:leader="none" w:pos="219" w:val="left"/>
        </w:tabs>
        <w:numPr>
          <w:ilvl w:val="0"/>
          <w:numId w:val="230"/>
        </w:numPr>
        <w:rPr>
          <w:rFonts w:ascii="Arial" w:cs="Arial" w:eastAsia="Arial" w:hAnsi="Arial"/>
          <w:sz w:val="17"/>
          <w:szCs w:val="17"/>
          <w:color w:val="auto"/>
        </w:rPr>
      </w:pPr>
      <w:r>
        <w:rPr>
          <w:rFonts w:ascii="Arial" w:cs="Arial" w:eastAsia="Arial" w:hAnsi="Arial"/>
          <w:sz w:val="17"/>
          <w:szCs w:val="17"/>
          <w:color w:val="auto"/>
        </w:rPr>
        <w:t xml:space="preserve">the Liquidation Preference specified for such series of Preferred Stock and (ii) all declared but unpaid dividends (if any) on such series of Preferred Stock. If upon the liquidation, dissolution or winding up of the Corporation, the assets of the Corporation legally available for distribution to the holders of the Preferred Stock are insufficient to permit the payment to such holders of the full amounts specified in this Section 3(a), then the entire assets of the Corporation legally available for distribution shall be distributed with equal priority and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among the holders of the Preferred Stock in proportion to the full amounts they would otherwise be entitled to receive pursuant to this Section 3(a).</w:t>
      </w:r>
    </w:p>
    <w:p>
      <w:pPr>
        <w:spacing w:after="0" w:line="178" w:lineRule="exact"/>
        <w:rPr>
          <w:rFonts w:ascii="Arial" w:cs="Arial" w:eastAsia="Arial" w:hAnsi="Arial"/>
          <w:sz w:val="17"/>
          <w:szCs w:val="17"/>
          <w:color w:val="auto"/>
        </w:rPr>
      </w:pPr>
    </w:p>
    <w:p>
      <w:pPr>
        <w:ind w:left="4" w:firstLine="987"/>
        <w:spacing w:after="0" w:line="263" w:lineRule="auto"/>
        <w:tabs>
          <w:tab w:leader="none" w:pos="1385" w:val="left"/>
        </w:tabs>
        <w:numPr>
          <w:ilvl w:val="2"/>
          <w:numId w:val="2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Remaining Assets. </w:t>
      </w:r>
      <w:r>
        <w:rPr>
          <w:rFonts w:ascii="Arial" w:cs="Arial" w:eastAsia="Arial" w:hAnsi="Arial"/>
          <w:sz w:val="18"/>
          <w:szCs w:val="18"/>
          <w:color w:val="auto"/>
        </w:rPr>
        <w:t>After the payment or setting aside for payment to the holders of the Preferred Stock of the full amounts specified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Section 3(a), the remaining assets of the Corporation legally available for distribution shall be distributed with equal priority and ratably to the holders of the Common Stock in proportion to the number of shares of Common Stock held by them.</w:t>
      </w:r>
    </w:p>
    <w:p>
      <w:pPr>
        <w:spacing w:after="0" w:line="183" w:lineRule="exact"/>
        <w:rPr>
          <w:rFonts w:ascii="Arial" w:cs="Arial" w:eastAsia="Arial" w:hAnsi="Arial"/>
          <w:sz w:val="18"/>
          <w:szCs w:val="18"/>
          <w:color w:val="auto"/>
        </w:rPr>
      </w:pPr>
    </w:p>
    <w:p>
      <w:pPr>
        <w:ind w:left="4" w:right="340" w:firstLine="987"/>
        <w:spacing w:after="0" w:line="254" w:lineRule="auto"/>
        <w:tabs>
          <w:tab w:leader="none" w:pos="1375" w:val="left"/>
        </w:tabs>
        <w:numPr>
          <w:ilvl w:val="2"/>
          <w:numId w:val="2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Reorganization. </w:t>
      </w:r>
      <w:r>
        <w:rPr>
          <w:rFonts w:ascii="Arial" w:cs="Arial" w:eastAsia="Arial" w:hAnsi="Arial"/>
          <w:sz w:val="18"/>
          <w:szCs w:val="18"/>
          <w:color w:val="auto"/>
        </w:rPr>
        <w:t>For purposes of this Section 3, a liquidation, dissolution or winding up of the Corporation shall be deemed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occasioned by, or to include, (i) the acquisition of the Corporation by another entity, or the acquisition by the Corporation or a subsidiary of the Corporation of another entity, by means of any transaction or series of related transactions to which the Corporation is party (including, without limitation, any stock acquisition, reorganization, merger or consolidation but excluding any sale of stock for capital raising purposes) other than a transaction or series of related transactions in which the holders of the voting securities of the Corporation outstanding immediately prior to such transaction or series of transactions retain (either by such voting securities remaining outstanding or by such voting securities being converted into voting securities of the surviving entity), immediately after such transaction or series of transactions, as a result of shares in the Corporation held by such holders</w:t>
      </w:r>
    </w:p>
    <w:p>
      <w:pPr>
        <w:spacing w:after="0" w:line="1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369" w:name="page370"/>
    <w:bookmarkEnd w:id="369"/>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prior to such transaction or series of transactions, a majority of the total voting power represented by the outstanding voting securities of the Corporation or such other surviving or resulting entity (or if the Corporation or such other surviving or resulting entity is a wholly-owned subsidiary immediately following such acquisition, its parent); (ii) a sale, lease, exclusive license or other disposition or conveyance of all or substantially all of the assets (including intellectual property) of the Corporation and its subsidiaries taken as a whole by means of any transaction or series of related transactions, except where such sale, lease or other disposition is to a wholly-owned subsidiary of the Corporation (clauses (i) and (ii), a “</w:t>
      </w:r>
      <w:r>
        <w:rPr>
          <w:rFonts w:ascii="Arial" w:cs="Arial" w:eastAsia="Arial" w:hAnsi="Arial"/>
          <w:sz w:val="18"/>
          <w:szCs w:val="18"/>
          <w:b w:val="1"/>
          <w:bCs w:val="1"/>
          <w:i w:val="1"/>
          <w:iCs w:val="1"/>
          <w:color w:val="auto"/>
        </w:rPr>
        <w:t>Deemed Liquidation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Event</w:t>
      </w:r>
      <w:r>
        <w:rPr>
          <w:rFonts w:ascii="Arial" w:cs="Arial" w:eastAsia="Arial" w:hAnsi="Arial"/>
          <w:sz w:val="18"/>
          <w:szCs w:val="18"/>
          <w:color w:val="auto"/>
        </w:rPr>
        <w:t>” and clause (i), an “</w:t>
      </w:r>
      <w:r>
        <w:rPr>
          <w:rFonts w:ascii="Arial" w:cs="Arial" w:eastAsia="Arial" w:hAnsi="Arial"/>
          <w:sz w:val="18"/>
          <w:szCs w:val="18"/>
          <w:b w:val="1"/>
          <w:bCs w:val="1"/>
          <w:i w:val="1"/>
          <w:iCs w:val="1"/>
          <w:color w:val="auto"/>
        </w:rPr>
        <w:t>Acquisition</w:t>
      </w:r>
      <w:r>
        <w:rPr>
          <w:rFonts w:ascii="Arial" w:cs="Arial" w:eastAsia="Arial" w:hAnsi="Arial"/>
          <w:sz w:val="18"/>
          <w:szCs w:val="18"/>
          <w:color w:val="auto"/>
        </w:rPr>
        <w:t>”); or (iii) any liquidation, dissolution or winding up of the Corporation, whether voluntary or involuntary.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treatment of any transaction or series of related transactions as a liquidation, dissolution or winding up pursuant to clause (i) or (ii) of the preceding sentence may be waived by the consent or vote of the holders of a majority of the outstanding Preferred Stock, voting together as a single class and on an as-converted basis.</w:t>
      </w:r>
    </w:p>
    <w:p>
      <w:pPr>
        <w:spacing w:after="0" w:line="196" w:lineRule="exact"/>
        <w:rPr>
          <w:sz w:val="20"/>
          <w:szCs w:val="20"/>
          <w:color w:val="auto"/>
        </w:rPr>
      </w:pPr>
    </w:p>
    <w:p>
      <w:pPr>
        <w:ind w:right="20" w:firstLine="987"/>
        <w:spacing w:after="0" w:line="259" w:lineRule="auto"/>
        <w:tabs>
          <w:tab w:leader="none" w:pos="1426" w:val="left"/>
        </w:tabs>
        <w:numPr>
          <w:ilvl w:val="0"/>
          <w:numId w:val="2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Valuation of Non-Cash Consideration. </w:t>
      </w:r>
      <w:r>
        <w:rPr>
          <w:rFonts w:ascii="Arial" w:cs="Arial" w:eastAsia="Arial" w:hAnsi="Arial"/>
          <w:sz w:val="18"/>
          <w:szCs w:val="18"/>
          <w:color w:val="auto"/>
        </w:rPr>
        <w:t>If any assets of the Corporation distributed to stockholders in connection with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liquidation, dissolution, or winding up of the Corporation are other than cash, then the value of such assets shall be their fair market value as determined in good faith by the Board of Directors, </w:t>
      </w:r>
      <w:r>
        <w:rPr>
          <w:rFonts w:ascii="Arial" w:cs="Arial" w:eastAsia="Arial" w:hAnsi="Arial"/>
          <w:sz w:val="18"/>
          <w:szCs w:val="18"/>
          <w:i w:val="1"/>
          <w:iCs w:val="1"/>
          <w:color w:val="auto"/>
        </w:rPr>
        <w:t>except that</w:t>
      </w:r>
      <w:r>
        <w:rPr>
          <w:rFonts w:ascii="Arial" w:cs="Arial" w:eastAsia="Arial" w:hAnsi="Arial"/>
          <w:sz w:val="18"/>
          <w:szCs w:val="18"/>
          <w:color w:val="auto"/>
        </w:rPr>
        <w:t xml:space="preserve"> any publicly-traded securities to be distributed to stockholders in a liquidation, dissolution, or winding up of the Corporation shall be valued as follows:</w:t>
      </w:r>
    </w:p>
    <w:p>
      <w:pPr>
        <w:spacing w:after="0" w:line="186" w:lineRule="exact"/>
        <w:rPr>
          <w:rFonts w:ascii="Arial" w:cs="Arial" w:eastAsia="Arial" w:hAnsi="Arial"/>
          <w:sz w:val="18"/>
          <w:szCs w:val="18"/>
          <w:color w:val="auto"/>
        </w:rPr>
      </w:pPr>
    </w:p>
    <w:p>
      <w:pPr>
        <w:ind w:right="360" w:firstLine="1428"/>
        <w:spacing w:after="0" w:line="263" w:lineRule="auto"/>
        <w:tabs>
          <w:tab w:leader="none" w:pos="1827" w:val="left"/>
        </w:tabs>
        <w:numPr>
          <w:ilvl w:val="1"/>
          <w:numId w:val="231"/>
        </w:numPr>
        <w:rPr>
          <w:rFonts w:ascii="Arial" w:cs="Arial" w:eastAsia="Arial" w:hAnsi="Arial"/>
          <w:sz w:val="18"/>
          <w:szCs w:val="18"/>
          <w:color w:val="auto"/>
        </w:rPr>
      </w:pPr>
      <w:r>
        <w:rPr>
          <w:rFonts w:ascii="Arial" w:cs="Arial" w:eastAsia="Arial" w:hAnsi="Arial"/>
          <w:sz w:val="18"/>
          <w:szCs w:val="18"/>
          <w:color w:val="auto"/>
        </w:rPr>
        <w:t>if the securities are then traded on a national securities exchange, then the value of the securities shall be deemed to be the average of the closing prices of the securities on such exchange over the ten (10) trading day period ending five (5) trading days prior to the Distribution; and</w:t>
      </w:r>
    </w:p>
    <w:p>
      <w:pPr>
        <w:spacing w:after="0" w:line="183" w:lineRule="exact"/>
        <w:rPr>
          <w:rFonts w:ascii="Arial" w:cs="Arial" w:eastAsia="Arial" w:hAnsi="Arial"/>
          <w:sz w:val="18"/>
          <w:szCs w:val="18"/>
          <w:color w:val="auto"/>
        </w:rPr>
      </w:pPr>
    </w:p>
    <w:p>
      <w:pPr>
        <w:ind w:right="240" w:firstLine="1428"/>
        <w:spacing w:after="0" w:line="308" w:lineRule="auto"/>
        <w:tabs>
          <w:tab w:leader="none" w:pos="1832" w:val="left"/>
        </w:tabs>
        <w:numPr>
          <w:ilvl w:val="1"/>
          <w:numId w:val="231"/>
        </w:numPr>
        <w:rPr>
          <w:rFonts w:ascii="Arial" w:cs="Arial" w:eastAsia="Arial" w:hAnsi="Arial"/>
          <w:sz w:val="17"/>
          <w:szCs w:val="17"/>
          <w:color w:val="auto"/>
        </w:rPr>
      </w:pPr>
      <w:r>
        <w:rPr>
          <w:rFonts w:ascii="Arial" w:cs="Arial" w:eastAsia="Arial" w:hAnsi="Arial"/>
          <w:sz w:val="17"/>
          <w:szCs w:val="17"/>
          <w:color w:val="auto"/>
        </w:rPr>
        <w:t>if the securities are actively traded over-the-counter, then the value of the securities shall be deemed to be the average of the closing bid prices of the securities over the ten (10) trading day period ending five (5) trading days prior to the Distribution.</w:t>
      </w:r>
    </w:p>
    <w:p>
      <w:pPr>
        <w:spacing w:after="0" w:line="146"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In the event of a merger or other acquisition of the Corporation by another entity, the Distribution date shall be deemed to be the date such transaction closes.</w:t>
      </w:r>
    </w:p>
    <w:p>
      <w:pPr>
        <w:spacing w:after="0" w:line="170"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For the purposes of this subsection 3(d), “</w:t>
      </w:r>
      <w:r>
        <w:rPr>
          <w:rFonts w:ascii="Arial" w:cs="Arial" w:eastAsia="Arial" w:hAnsi="Arial"/>
          <w:sz w:val="17"/>
          <w:szCs w:val="17"/>
          <w:b w:val="1"/>
          <w:bCs w:val="1"/>
          <w:i w:val="1"/>
          <w:iCs w:val="1"/>
          <w:color w:val="auto"/>
        </w:rPr>
        <w:t>trading day</w:t>
      </w:r>
      <w:r>
        <w:rPr>
          <w:rFonts w:ascii="Arial" w:cs="Arial" w:eastAsia="Arial" w:hAnsi="Arial"/>
          <w:sz w:val="17"/>
          <w:szCs w:val="17"/>
          <w:color w:val="auto"/>
        </w:rPr>
        <w:t>” shall mean any day which the exchange or system on which the securities to be distributed are traded is open and “</w:t>
      </w:r>
      <w:r>
        <w:rPr>
          <w:rFonts w:ascii="Arial" w:cs="Arial" w:eastAsia="Arial" w:hAnsi="Arial"/>
          <w:sz w:val="17"/>
          <w:szCs w:val="17"/>
          <w:b w:val="1"/>
          <w:bCs w:val="1"/>
          <w:i w:val="1"/>
          <w:iCs w:val="1"/>
          <w:color w:val="auto"/>
        </w:rPr>
        <w:t>closing prices</w:t>
      </w:r>
      <w:r>
        <w:rPr>
          <w:rFonts w:ascii="Arial" w:cs="Arial" w:eastAsia="Arial" w:hAnsi="Arial"/>
          <w:sz w:val="17"/>
          <w:szCs w:val="17"/>
          <w:color w:val="auto"/>
        </w:rPr>
        <w:t>” or “</w:t>
      </w:r>
      <w:r>
        <w:rPr>
          <w:rFonts w:ascii="Arial" w:cs="Arial" w:eastAsia="Arial" w:hAnsi="Arial"/>
          <w:sz w:val="17"/>
          <w:szCs w:val="17"/>
          <w:b w:val="1"/>
          <w:bCs w:val="1"/>
          <w:i w:val="1"/>
          <w:iCs w:val="1"/>
          <w:color w:val="auto"/>
        </w:rPr>
        <w:t>closing bid prices</w:t>
      </w:r>
      <w:r>
        <w:rPr>
          <w:rFonts w:ascii="Arial" w:cs="Arial" w:eastAsia="Arial" w:hAnsi="Arial"/>
          <w:sz w:val="17"/>
          <w:szCs w:val="17"/>
          <w:color w:val="auto"/>
        </w:rPr>
        <w:t>” shall be deemed to be: (i) for securities traded primarily on the New York Stock Exchange, the NYSE American or a Nasdaq Stock Market, the last reported trade price or sale price, as the case may be, at 4:00 p.m., New York time, on that day and (ii) for securities listed or traded on other exchanges, markets and systems, the market price as of the end of the regular hours trading period that is generally accepted as such for such exchange, market or system. If, after the date hereof, the benchmark times generally accepted in the securities industry for determining the market price of a stock as of a given trading day shall change from those set forth above, the fair market value shall be determined as of such other generally accepted benchmark times.</w:t>
      </w:r>
    </w:p>
    <w:p>
      <w:pPr>
        <w:spacing w:after="0" w:line="177" w:lineRule="exact"/>
        <w:rPr>
          <w:sz w:val="20"/>
          <w:szCs w:val="20"/>
          <w:color w:val="auto"/>
        </w:rPr>
      </w:pPr>
    </w:p>
    <w:p>
      <w:pPr>
        <w:ind w:right="120" w:firstLine="987"/>
        <w:spacing w:after="0" w:line="291" w:lineRule="auto"/>
        <w:tabs>
          <w:tab w:leader="none" w:pos="1416" w:val="left"/>
        </w:tabs>
        <w:numPr>
          <w:ilvl w:val="0"/>
          <w:numId w:val="232"/>
        </w:numPr>
        <w:rPr>
          <w:rFonts w:ascii="Arial" w:cs="Arial" w:eastAsia="Arial" w:hAnsi="Arial"/>
          <w:sz w:val="16"/>
          <w:szCs w:val="16"/>
          <w:color w:val="auto"/>
        </w:rPr>
      </w:pPr>
      <w:r>
        <w:rPr>
          <w:rFonts w:ascii="Arial" w:cs="Arial" w:eastAsia="Arial" w:hAnsi="Arial"/>
          <w:sz w:val="16"/>
          <w:szCs w:val="16"/>
          <w:b w:val="1"/>
          <w:bCs w:val="1"/>
          <w:i w:val="1"/>
          <w:iCs w:val="1"/>
          <w:color w:val="auto"/>
        </w:rPr>
        <w:t>Allocation of Escrow and Contingent Consideration</w:t>
      </w:r>
      <w:r>
        <w:rPr>
          <w:rFonts w:ascii="Arial" w:cs="Arial" w:eastAsia="Arial" w:hAnsi="Arial"/>
          <w:sz w:val="16"/>
          <w:szCs w:val="16"/>
          <w:color w:val="auto"/>
        </w:rPr>
        <w:t>. In the event of a Deemed Liquidation Event, if any portion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consideration payable to the stockholders of the Corporation is placed into escrow and/or is payable to the stockholders of the Corporation subject to contingencies, including but not limited to contingent payments, earn-outs or escrows (the “</w:t>
      </w:r>
      <w:r>
        <w:rPr>
          <w:rFonts w:ascii="Arial" w:cs="Arial" w:eastAsia="Arial" w:hAnsi="Arial"/>
          <w:sz w:val="16"/>
          <w:szCs w:val="16"/>
          <w:b w:val="1"/>
          <w:bCs w:val="1"/>
          <w:i w:val="1"/>
          <w:iCs w:val="1"/>
          <w:color w:val="auto"/>
        </w:rPr>
        <w:t>Additional Consideration</w:t>
      </w:r>
      <w:r>
        <w:rPr>
          <w:rFonts w:ascii="Arial" w:cs="Arial" w:eastAsia="Arial" w:hAnsi="Arial"/>
          <w:sz w:val="16"/>
          <w:szCs w:val="16"/>
          <w:color w:val="auto"/>
        </w:rPr>
        <w:t>”), the agreement governing the Deemed Liquidation Event shall provide that (i) the portion of such consideration that is actually paid to stockholders and not placed in escrow and not subject to any contingencies (the “</w:t>
      </w:r>
      <w:r>
        <w:rPr>
          <w:rFonts w:ascii="Arial" w:cs="Arial" w:eastAsia="Arial" w:hAnsi="Arial"/>
          <w:sz w:val="16"/>
          <w:szCs w:val="16"/>
          <w:b w:val="1"/>
          <w:bCs w:val="1"/>
          <w:i w:val="1"/>
          <w:iCs w:val="1"/>
          <w:color w:val="auto"/>
        </w:rPr>
        <w:t>Initial Consideration</w:t>
      </w:r>
      <w:r>
        <w:rPr>
          <w:rFonts w:ascii="Arial" w:cs="Arial" w:eastAsia="Arial" w:hAnsi="Arial"/>
          <w:sz w:val="16"/>
          <w:szCs w:val="16"/>
          <w:color w:val="auto"/>
        </w:rPr>
        <w:t>”) shall be allocated among the holders of capital stock of the Corporation in accordance with Section 3 hereof as if the Initial Consideration were the only consideration payable in connection with such Deemed Liquidation Event and (ii) any Additional Consideration that becomes payable to the stockholders of the Corporation upon release from escrow or satisfaction of any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370" w:name="page371"/>
    <w:bookmarkEnd w:id="370"/>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contingencies shall be allocated among the holders of capital stock of the Corporation in accordance with Section 3 hereof, after taking into account the previous payment of the Initial Consideration as part of the same transaction, with such calculation being performed each time Additional Consideration is paid in connection with such Deemed Liquidation Event. For purposes of this Section 3(e), consideration placed into escrow or retained as a holdback to be available for satisfaction of indemnification or similar obligations in connection with such Deemed Liquidation Event shall be deemed to be Additional Consideration.</w:t>
      </w:r>
    </w:p>
    <w:p>
      <w:pPr>
        <w:spacing w:after="0" w:line="188" w:lineRule="exact"/>
        <w:rPr>
          <w:sz w:val="20"/>
          <w:szCs w:val="20"/>
          <w:color w:val="auto"/>
        </w:rPr>
      </w:pPr>
    </w:p>
    <w:p>
      <w:pPr>
        <w:ind w:right="60" w:firstLine="987"/>
        <w:spacing w:after="0" w:line="293" w:lineRule="auto"/>
        <w:tabs>
          <w:tab w:leader="none" w:pos="1351" w:val="left"/>
        </w:tabs>
        <w:numPr>
          <w:ilvl w:val="1"/>
          <w:numId w:val="233"/>
        </w:numPr>
        <w:rPr>
          <w:rFonts w:ascii="Arial" w:cs="Arial" w:eastAsia="Arial" w:hAnsi="Arial"/>
          <w:sz w:val="16"/>
          <w:szCs w:val="16"/>
          <w:color w:val="auto"/>
        </w:rPr>
      </w:pPr>
      <w:r>
        <w:rPr>
          <w:rFonts w:ascii="Arial" w:cs="Arial" w:eastAsia="Arial" w:hAnsi="Arial"/>
          <w:sz w:val="16"/>
          <w:szCs w:val="16"/>
          <w:color w:val="auto"/>
        </w:rPr>
        <w:t>Notwithstanding the foregoing provisions of this Section 3, upon any liquidation, dissolution or winding up (including a Deemed Liquidation Event), then each holder of Preferred Stock shall be entitled to receive, for each share of each series of Preferred Stock then held, out of the proceeds available for distribution, the greater of (i) the amount of cash, securities or other property to which such holder would be entitled to receive with respect to such shares pursuant to Section 3(a) (without giving effect to this Section 3(f)) and (ii) the amount of cash, securities or other property to which such holder would be entitled to receive with respect to such shares if such shares had been converted to Common Stock immediately prior to such liquidation, dissolution or winding up, giving effect to this Section 3(f) with respect to all series of Preferred Stock simultaneously.</w:t>
      </w:r>
    </w:p>
    <w:p>
      <w:pPr>
        <w:spacing w:after="0" w:line="268" w:lineRule="exact"/>
        <w:rPr>
          <w:rFonts w:ascii="Arial" w:cs="Arial" w:eastAsia="Arial" w:hAnsi="Arial"/>
          <w:sz w:val="16"/>
          <w:szCs w:val="16"/>
          <w:color w:val="auto"/>
        </w:rPr>
      </w:pPr>
    </w:p>
    <w:p>
      <w:pPr>
        <w:ind w:left="980" w:hanging="544"/>
        <w:spacing w:after="0"/>
        <w:tabs>
          <w:tab w:leader="none" w:pos="980"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Conversion. </w:t>
      </w:r>
      <w:r>
        <w:rPr>
          <w:rFonts w:ascii="Arial" w:cs="Arial" w:eastAsia="Arial" w:hAnsi="Arial"/>
          <w:sz w:val="18"/>
          <w:szCs w:val="18"/>
          <w:color w:val="auto"/>
        </w:rPr>
        <w:t>The holders of the Preferred Stock shall have conversion rights as follows:</w:t>
      </w:r>
    </w:p>
    <w:p>
      <w:pPr>
        <w:spacing w:after="0" w:line="121" w:lineRule="exact"/>
        <w:rPr>
          <w:rFonts w:ascii="Arial" w:cs="Arial" w:eastAsia="Arial" w:hAnsi="Arial"/>
          <w:sz w:val="18"/>
          <w:szCs w:val="18"/>
          <w:b w:val="1"/>
          <w:bCs w:val="1"/>
          <w:color w:val="auto"/>
        </w:rPr>
      </w:pPr>
    </w:p>
    <w:p>
      <w:pPr>
        <w:ind w:right="20" w:firstLine="987"/>
        <w:spacing w:after="0" w:line="293" w:lineRule="auto"/>
        <w:tabs>
          <w:tab w:leader="none" w:pos="1371" w:val="left"/>
        </w:tabs>
        <w:numPr>
          <w:ilvl w:val="1"/>
          <w:numId w:val="23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Right to Convert. </w:t>
      </w:r>
      <w:r>
        <w:rPr>
          <w:rFonts w:ascii="Arial" w:cs="Arial" w:eastAsia="Arial" w:hAnsi="Arial"/>
          <w:sz w:val="16"/>
          <w:szCs w:val="16"/>
          <w:color w:val="auto"/>
        </w:rPr>
        <w:t>Each share of Preferred Stock shall be convertible, at the option of the holder thereof, at any time after the date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issuance of such share at the office of the Corporation or any transfer agent for the Preferred Stock, into that number of fully-paid, nonassessable shares of Common Stock determined by dividing the Original Issue Price for the relevant series of Preferred Stock by the Conversion Price for such series of Preferred Stock. The number of shares of Common Stock into which each share of Preferred Stock of a series may be converted is hereinafter referred to as the “</w:t>
      </w:r>
      <w:r>
        <w:rPr>
          <w:rFonts w:ascii="Arial" w:cs="Arial" w:eastAsia="Arial" w:hAnsi="Arial"/>
          <w:sz w:val="16"/>
          <w:szCs w:val="16"/>
          <w:b w:val="1"/>
          <w:bCs w:val="1"/>
          <w:i w:val="1"/>
          <w:iCs w:val="1"/>
          <w:color w:val="auto"/>
        </w:rPr>
        <w:t>Conversion Rate</w:t>
      </w:r>
      <w:r>
        <w:rPr>
          <w:rFonts w:ascii="Arial" w:cs="Arial" w:eastAsia="Arial" w:hAnsi="Arial"/>
          <w:sz w:val="16"/>
          <w:szCs w:val="16"/>
          <w:color w:val="auto"/>
        </w:rPr>
        <w:t>” for each such series of Preferred Stock. Upon any decrease or increase in the Conversion Price for any series of Preferred Stock, as described in this Section 4, the Conversion Rate for such series of Preferred Stock shall be appropriately increased or decreased.</w:t>
      </w:r>
    </w:p>
    <w:p>
      <w:pPr>
        <w:spacing w:after="0" w:line="164" w:lineRule="exact"/>
        <w:rPr>
          <w:rFonts w:ascii="Arial" w:cs="Arial" w:eastAsia="Arial" w:hAnsi="Arial"/>
          <w:sz w:val="16"/>
          <w:szCs w:val="16"/>
          <w:color w:val="auto"/>
        </w:rPr>
      </w:pPr>
    </w:p>
    <w:p>
      <w:pPr>
        <w:ind w:firstLine="987"/>
        <w:spacing w:after="0" w:line="287" w:lineRule="auto"/>
        <w:tabs>
          <w:tab w:leader="none" w:pos="1381" w:val="left"/>
        </w:tabs>
        <w:numPr>
          <w:ilvl w:val="1"/>
          <w:numId w:val="23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Automatic Conversion. </w:t>
      </w:r>
      <w:r>
        <w:rPr>
          <w:rFonts w:ascii="Arial" w:cs="Arial" w:eastAsia="Arial" w:hAnsi="Arial"/>
          <w:sz w:val="16"/>
          <w:szCs w:val="16"/>
          <w:color w:val="auto"/>
        </w:rPr>
        <w:t>Each share of Preferred Stock shall automatically be converted into fully-paid, non-assessable shares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at the then effective Conversion Rate for such share (i) immediately prior to the closing of a firm commitment underwritten initial public offering pursuant to an effective registration statement filed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xml:space="preserve">”), covering the offer and sale of the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gross proceeds to the Corporation are not less than $75,000,000 (a “</w:t>
      </w:r>
      <w:r>
        <w:rPr>
          <w:rFonts w:ascii="Arial" w:cs="Arial" w:eastAsia="Arial" w:hAnsi="Arial"/>
          <w:sz w:val="16"/>
          <w:szCs w:val="16"/>
          <w:b w:val="1"/>
          <w:bCs w:val="1"/>
          <w:i w:val="1"/>
          <w:iCs w:val="1"/>
          <w:color w:val="auto"/>
        </w:rPr>
        <w:t>Qualified IPO</w:t>
      </w:r>
      <w:r>
        <w:rPr>
          <w:rFonts w:ascii="Arial" w:cs="Arial" w:eastAsia="Arial" w:hAnsi="Arial"/>
          <w:sz w:val="16"/>
          <w:szCs w:val="16"/>
          <w:color w:val="auto"/>
        </w:rPr>
        <w:t xml:space="preserve">”), and </w:t>
      </w:r>
      <w:r>
        <w:rPr>
          <w:rFonts w:ascii="Arial" w:cs="Arial" w:eastAsia="Arial" w:hAnsi="Arial"/>
          <w:sz w:val="16"/>
          <w:szCs w:val="16"/>
          <w:i w:val="1"/>
          <w:iCs w:val="1"/>
          <w:color w:val="auto"/>
        </w:rPr>
        <w:t xml:space="preserve">provided further </w:t>
      </w:r>
      <w:r>
        <w:rPr>
          <w:rFonts w:ascii="Arial" w:cs="Arial" w:eastAsia="Arial" w:hAnsi="Arial"/>
          <w:sz w:val="16"/>
          <w:szCs w:val="16"/>
          <w:color w:val="auto"/>
        </w:rPr>
        <w:t>that, with respect to a Qualified IPO at which the price per share to the public of the Common Stock is less than $2.59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 from time to time for Recapitalizations as set forth elsewhere herein), shall also require the written consent of the holders of a majority of the Series C Preferred Stock then outstanding, voting as a separate class; or (ii) upon the receipt by the Corporation of a written request for such conversion from the holders of a majority of the Preferred Stock then outstanding, voting together as a single class on an as-converted basis, or, if later, the effective date for conversion specified in such requests (each of the events referred to in (i) and (ii) are referred to herein as an “</w:t>
      </w:r>
      <w:r>
        <w:rPr>
          <w:rFonts w:ascii="Arial" w:cs="Arial" w:eastAsia="Arial" w:hAnsi="Arial"/>
          <w:sz w:val="16"/>
          <w:szCs w:val="16"/>
          <w:b w:val="1"/>
          <w:bCs w:val="1"/>
          <w:i w:val="1"/>
          <w:iCs w:val="1"/>
          <w:color w:val="auto"/>
        </w:rPr>
        <w:t>Automatic Conversion Event</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that with respect to subclause (ii), in the event that such consent to conversion is in connection with a firm commitment underwritten</w:t>
      </w:r>
      <w:r>
        <w:rPr>
          <w:rFonts w:ascii="Arial" w:cs="Arial" w:eastAsia="Arial" w:hAnsi="Arial"/>
          <w:sz w:val="16"/>
          <w:szCs w:val="16"/>
          <w:i w:val="1"/>
          <w:iCs w:val="1"/>
          <w:color w:val="auto"/>
        </w:rPr>
        <w:t xml:space="preserve"> </w:t>
      </w:r>
      <w:r>
        <w:rPr>
          <w:rFonts w:ascii="Arial" w:cs="Arial" w:eastAsia="Arial" w:hAnsi="Arial"/>
          <w:sz w:val="16"/>
          <w:szCs w:val="16"/>
          <w:color w:val="auto"/>
        </w:rPr>
        <w:t>initial public offering pursuant to an effective registration statement filed under the Securities Act, the consent of the holders of at least 75% of the shares of Preferred Stock then outstanding, voting together as a single class on an as-converted basis, shall also be required.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371" w:name="page372"/>
    <w:bookmarkEnd w:id="371"/>
    <w:p>
      <w:pPr>
        <w:ind w:left="1420" w:hanging="433"/>
        <w:spacing w:after="0"/>
        <w:tabs>
          <w:tab w:leader="none" w:pos="1420" w:val="left"/>
        </w:tabs>
        <w:numPr>
          <w:ilvl w:val="0"/>
          <w:numId w:val="235"/>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Mechanics of Conversion.</w:t>
      </w:r>
    </w:p>
    <w:p>
      <w:pPr>
        <w:spacing w:after="0" w:line="117" w:lineRule="exact"/>
        <w:rPr>
          <w:rFonts w:ascii="Arial" w:cs="Arial" w:eastAsia="Arial" w:hAnsi="Arial"/>
          <w:sz w:val="18"/>
          <w:szCs w:val="18"/>
          <w:color w:val="auto"/>
        </w:rPr>
      </w:pPr>
    </w:p>
    <w:p>
      <w:pPr>
        <w:ind w:right="40" w:firstLine="1428"/>
        <w:spacing w:after="0" w:line="279" w:lineRule="auto"/>
        <w:tabs>
          <w:tab w:leader="none" w:pos="1872" w:val="left"/>
        </w:tabs>
        <w:numPr>
          <w:ilvl w:val="1"/>
          <w:numId w:val="235"/>
        </w:numPr>
        <w:rPr>
          <w:rFonts w:ascii="Arial" w:cs="Arial" w:eastAsia="Arial" w:hAnsi="Arial"/>
          <w:sz w:val="17"/>
          <w:szCs w:val="17"/>
          <w:color w:val="auto"/>
        </w:rPr>
      </w:pPr>
      <w:r>
        <w:rPr>
          <w:rFonts w:ascii="Arial" w:cs="Arial" w:eastAsia="Arial" w:hAnsi="Arial"/>
          <w:sz w:val="17"/>
          <w:szCs w:val="17"/>
          <w:color w:val="auto"/>
        </w:rPr>
        <w:t>No fractional shares of Common Stock shall be issued upon conversion of Preferred Stock. In lieu of any fractional shares to which the holder would otherwise be entitled, the Corporation shall pay cash equal to such fraction multiplied by the then fair market value of a share of Common Stock as determined by the Board of Directors. For such purpose, all shares of Preferred Stock held by each holder of Preferred Stock shall be aggregated, and any resulting fractional share of Common Stock shall be paid in cash.</w:t>
      </w:r>
    </w:p>
    <w:p>
      <w:pPr>
        <w:spacing w:after="0" w:line="171" w:lineRule="exact"/>
        <w:rPr>
          <w:rFonts w:ascii="Arial" w:cs="Arial" w:eastAsia="Arial" w:hAnsi="Arial"/>
          <w:sz w:val="17"/>
          <w:szCs w:val="17"/>
          <w:color w:val="auto"/>
        </w:rPr>
      </w:pPr>
    </w:p>
    <w:p>
      <w:pPr>
        <w:ind w:firstLine="1428"/>
        <w:spacing w:after="0" w:line="284" w:lineRule="auto"/>
        <w:tabs>
          <w:tab w:leader="none" w:pos="1877" w:val="left"/>
        </w:tabs>
        <w:numPr>
          <w:ilvl w:val="1"/>
          <w:numId w:val="235"/>
        </w:numPr>
        <w:rPr>
          <w:rFonts w:ascii="Arial" w:cs="Arial" w:eastAsia="Arial" w:hAnsi="Arial"/>
          <w:sz w:val="16"/>
          <w:szCs w:val="16"/>
          <w:color w:val="auto"/>
        </w:rPr>
      </w:pPr>
      <w:r>
        <w:rPr>
          <w:rFonts w:ascii="Arial" w:cs="Arial" w:eastAsia="Arial" w:hAnsi="Arial"/>
          <w:sz w:val="16"/>
          <w:szCs w:val="16"/>
          <w:color w:val="auto"/>
        </w:rPr>
        <w:t xml:space="preserve">Before any holder of Preferred Stock shall be entitled to convert the same into full shares of Common Stock, and to receive certificates therefor, the holder shall either (A) surrender the certificate or certificates therefor, duly endorsed, at the office of the Corporation or of any transfer agent for the Preferred Stock or (B) notify the Corporation or its transfer agent that such certificates have been lost, stolen or destroyed and execute an agreement satisfactory to the Corporation to indemnify the Corporation from any loss incurred by it in connection with such certificates, and shall give written notice to the Corporation at such office that the holder elects to convert the same;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on the date of an Automatic Conversion Event, the outstanding shares of Preferred Stock convertible into Common Stock in connection therewith shall be converted automatically without any further action by the holders of such shares and whether or not the certificates representing such shares are surrendered to the Corporation or its transfer agent;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however, that the Corporation shall not be obligated to issue certificates evidencing the shares of Common Stock issuable upon such Automatic Conversion Event unless either the certificates evidencing such shares of Preferred Stock are delivered to the Corporation or its transfer agent as provided above, or the holder notifies the Corporation or its transfer agent that such certificates have been lost, stolen or destroyed and executes an agreement satisfactory to the Corporation to indemnify the Corporation from any loss incurred by it in connection with such certificates. The Corporation shall, as soon as practicable after such delivery, or after such agreement and indemnification, issue and deliver at such office to such holder of Preferred Stock, (i) a certificate or certificates for the number of shares of Common Stock to which the holder shall be entitled as aforesaid, (ii) a certificate for the number (if any) of the shares of Preferred Stock represented by the surrendered certificate that were not converted into Common Stock and (iii) a check payable to the holder in the amount of any cash amounts payable as the result of a conversion into fractional shares of Common Stock, plus any declared and unpaid dividends on the converted Preferred Stock. Such conversion shall be deemed to have been made immediately prior to the close of business on the date of such surrender of the shares of Preferred Stock to be converted, and the person or persons entitled to receive the shares of Common Stock issuable upon such conversion shall be treated for all purposes as the record holder or holders of such shares of Common Stock on such date;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conversion is in connection with an underwritten offer of securities registered pursuant to the Securities Act or a merger, sale, financing, or liquidation of the Corporation or other event, the conversion may, at the option of any holder tendering Preferred Stock for conversion, be conditioned upon the closing of such transaction or upon the occurrence of such event, in which case the person(s) entitled to receive the Common Stock issuable upon such conversion of the Preferred Stock shall not be deemed to have converted such Preferred Stock until immediately prior to the closing of such transaction or the occurrence of such event.</w:t>
      </w:r>
    </w:p>
    <w:p>
      <w:pPr>
        <w:spacing w:after="0" w:line="176" w:lineRule="exact"/>
        <w:rPr>
          <w:rFonts w:ascii="Arial" w:cs="Arial" w:eastAsia="Arial" w:hAnsi="Arial"/>
          <w:sz w:val="16"/>
          <w:szCs w:val="16"/>
          <w:color w:val="auto"/>
        </w:rPr>
      </w:pPr>
    </w:p>
    <w:p>
      <w:pPr>
        <w:ind w:right="200" w:firstLine="1428"/>
        <w:spacing w:after="0" w:line="275" w:lineRule="auto"/>
        <w:tabs>
          <w:tab w:leader="none" w:pos="1882" w:val="left"/>
        </w:tabs>
        <w:numPr>
          <w:ilvl w:val="1"/>
          <w:numId w:val="235"/>
        </w:numPr>
        <w:rPr>
          <w:rFonts w:ascii="Arial" w:cs="Arial" w:eastAsia="Arial" w:hAnsi="Arial"/>
          <w:sz w:val="17"/>
          <w:szCs w:val="17"/>
          <w:color w:val="auto"/>
        </w:rPr>
      </w:pPr>
      <w:r>
        <w:rPr>
          <w:rFonts w:ascii="Arial" w:cs="Arial" w:eastAsia="Arial" w:hAnsi="Arial"/>
          <w:sz w:val="17"/>
          <w:szCs w:val="17"/>
          <w:color w:val="auto"/>
        </w:rPr>
        <w:t>On the date of the occurrence of an Automatic Conversion Event, each holder of record of shares of Preferred Stock convertible into Common Stock in connection therewith shall be deemed to be the holder of record of the Common Stock issuable upon such conversion, notwithstanding that the certificates representing such shares of Preferred Stock shall not have been surrendered at the office of the Corporation, that notice from the Corporation shall not have been received by any holder of record of shares of Preferred Stock, or that the certificates evidencing such shares of Common Stock shall not then be actually delivered to such holder.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372" w:name="page373"/>
    <w:bookmarkEnd w:id="372"/>
    <w:p>
      <w:pPr>
        <w:ind w:left="1360" w:hanging="393"/>
        <w:spacing w:after="0"/>
        <w:tabs>
          <w:tab w:leader="none" w:pos="1360" w:val="left"/>
        </w:tabs>
        <w:numPr>
          <w:ilvl w:val="0"/>
          <w:numId w:val="236"/>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Adjustments to Conversion Price for Diluting Issues.</w:t>
      </w:r>
    </w:p>
    <w:p>
      <w:pPr>
        <w:spacing w:after="0" w:line="117" w:lineRule="exact"/>
        <w:rPr>
          <w:rFonts w:ascii="Arial" w:cs="Arial" w:eastAsia="Arial" w:hAnsi="Arial"/>
          <w:sz w:val="18"/>
          <w:szCs w:val="18"/>
          <w:color w:val="auto"/>
        </w:rPr>
      </w:pPr>
    </w:p>
    <w:p>
      <w:pPr>
        <w:jc w:val="both"/>
        <w:ind w:left="-20" w:right="280" w:firstLine="1428"/>
        <w:spacing w:after="0" w:line="263" w:lineRule="auto"/>
        <w:tabs>
          <w:tab w:leader="none" w:pos="1762" w:val="left"/>
        </w:tabs>
        <w:numPr>
          <w:ilvl w:val="1"/>
          <w:numId w:val="23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Special Definition. </w:t>
      </w:r>
      <w:r>
        <w:rPr>
          <w:rFonts w:ascii="Arial" w:cs="Arial" w:eastAsia="Arial" w:hAnsi="Arial"/>
          <w:sz w:val="18"/>
          <w:szCs w:val="18"/>
          <w:color w:val="auto"/>
        </w:rPr>
        <w:t>For purposes of this paragraph 4(d), “</w:t>
      </w:r>
      <w:r>
        <w:rPr>
          <w:rFonts w:ascii="Arial" w:cs="Arial" w:eastAsia="Arial" w:hAnsi="Arial"/>
          <w:sz w:val="18"/>
          <w:szCs w:val="18"/>
          <w:b w:val="1"/>
          <w:bCs w:val="1"/>
          <w:i w:val="1"/>
          <w:iCs w:val="1"/>
          <w:color w:val="auto"/>
        </w:rPr>
        <w:t>Additional Shares of Common</w:t>
      </w:r>
      <w:r>
        <w:rPr>
          <w:rFonts w:ascii="Arial" w:cs="Arial" w:eastAsia="Arial" w:hAnsi="Arial"/>
          <w:sz w:val="18"/>
          <w:szCs w:val="18"/>
          <w:color w:val="auto"/>
        </w:rPr>
        <w:t>” shall mean all shares of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issued (or, pursuant to paragraph 4(d)(iii), deemed to be issued) by the Corporation after the filing of this Amended and Restated Certificate of Incorporation (“</w:t>
      </w:r>
      <w:r>
        <w:rPr>
          <w:rFonts w:ascii="Arial" w:cs="Arial" w:eastAsia="Arial" w:hAnsi="Arial"/>
          <w:sz w:val="18"/>
          <w:szCs w:val="18"/>
          <w:b w:val="1"/>
          <w:bCs w:val="1"/>
          <w:i w:val="1"/>
          <w:iCs w:val="1"/>
          <w:color w:val="auto"/>
        </w:rPr>
        <w:t>Certificate of Incorporation</w:t>
      </w:r>
      <w:r>
        <w:rPr>
          <w:rFonts w:ascii="Arial" w:cs="Arial" w:eastAsia="Arial" w:hAnsi="Arial"/>
          <w:sz w:val="18"/>
          <w:szCs w:val="18"/>
          <w:color w:val="auto"/>
        </w:rPr>
        <w:t>”), other than issuances or deemed issuances of:</w:t>
      </w:r>
    </w:p>
    <w:p>
      <w:pPr>
        <w:spacing w:after="0" w:line="183" w:lineRule="exact"/>
        <w:rPr>
          <w:rFonts w:ascii="Arial" w:cs="Arial" w:eastAsia="Arial" w:hAnsi="Arial"/>
          <w:sz w:val="18"/>
          <w:szCs w:val="18"/>
          <w:color w:val="auto"/>
        </w:rPr>
      </w:pPr>
    </w:p>
    <w:p>
      <w:pPr>
        <w:ind w:left="2120" w:hanging="382"/>
        <w:spacing w:after="0"/>
        <w:tabs>
          <w:tab w:leader="none" w:pos="2120" w:val="left"/>
        </w:tabs>
        <w:numPr>
          <w:ilvl w:val="2"/>
          <w:numId w:val="236"/>
        </w:numPr>
        <w:rPr>
          <w:rFonts w:ascii="Arial" w:cs="Arial" w:eastAsia="Arial" w:hAnsi="Arial"/>
          <w:sz w:val="18"/>
          <w:szCs w:val="18"/>
          <w:color w:val="auto"/>
        </w:rPr>
      </w:pPr>
      <w:r>
        <w:rPr>
          <w:rFonts w:ascii="Arial" w:cs="Arial" w:eastAsia="Arial" w:hAnsi="Arial"/>
          <w:sz w:val="18"/>
          <w:szCs w:val="18"/>
          <w:color w:val="auto"/>
        </w:rPr>
        <w:t>shares of Common Stock upon the conversion of the Preferred Stock;</w:t>
      </w:r>
    </w:p>
    <w:p>
      <w:pPr>
        <w:spacing w:after="0" w:line="225" w:lineRule="exact"/>
        <w:rPr>
          <w:rFonts w:ascii="Arial" w:cs="Arial" w:eastAsia="Arial" w:hAnsi="Arial"/>
          <w:sz w:val="18"/>
          <w:szCs w:val="18"/>
          <w:color w:val="auto"/>
        </w:rPr>
      </w:pPr>
    </w:p>
    <w:p>
      <w:pPr>
        <w:ind w:left="-20" w:firstLine="1758"/>
        <w:spacing w:after="0" w:line="259" w:lineRule="auto"/>
        <w:tabs>
          <w:tab w:leader="none" w:pos="2132" w:val="left"/>
        </w:tabs>
        <w:numPr>
          <w:ilvl w:val="2"/>
          <w:numId w:val="236"/>
        </w:numPr>
        <w:rPr>
          <w:rFonts w:ascii="Arial" w:cs="Arial" w:eastAsia="Arial" w:hAnsi="Arial"/>
          <w:sz w:val="18"/>
          <w:szCs w:val="18"/>
          <w:color w:val="auto"/>
        </w:rPr>
      </w:pPr>
      <w:r>
        <w:rPr>
          <w:rFonts w:ascii="Arial" w:cs="Arial" w:eastAsia="Arial" w:hAnsi="Arial"/>
          <w:sz w:val="18"/>
          <w:szCs w:val="18"/>
          <w:color w:val="auto"/>
        </w:rPr>
        <w:t>shares of Common Stock and options, warrants or other rights to purchase Common Stock issued or issuable to employees, officers or directors of, or consultants or advisors to the Corporation or any subsidiary pursuant to stock grants, restricted stock purchase agreements, option plans, purchase plans or other equity incentive programs or arrangements approved by the Board of Directors, including the approval of a majority of the then-serving Preferred Directors;</w:t>
      </w:r>
    </w:p>
    <w:p>
      <w:pPr>
        <w:spacing w:after="0" w:line="186" w:lineRule="exact"/>
        <w:rPr>
          <w:rFonts w:ascii="Arial" w:cs="Arial" w:eastAsia="Arial" w:hAnsi="Arial"/>
          <w:sz w:val="18"/>
          <w:szCs w:val="18"/>
          <w:color w:val="auto"/>
        </w:rPr>
      </w:pPr>
    </w:p>
    <w:p>
      <w:pPr>
        <w:ind w:left="-20" w:right="160" w:firstLine="1758"/>
        <w:spacing w:after="0" w:line="277" w:lineRule="auto"/>
        <w:tabs>
          <w:tab w:leader="none" w:pos="2132" w:val="left"/>
        </w:tabs>
        <w:numPr>
          <w:ilvl w:val="2"/>
          <w:numId w:val="236"/>
        </w:numPr>
        <w:rPr>
          <w:rFonts w:ascii="Arial" w:cs="Arial" w:eastAsia="Arial" w:hAnsi="Arial"/>
          <w:sz w:val="18"/>
          <w:szCs w:val="18"/>
          <w:color w:val="auto"/>
        </w:rPr>
      </w:pPr>
      <w:r>
        <w:rPr>
          <w:rFonts w:ascii="Arial" w:cs="Arial" w:eastAsia="Arial" w:hAnsi="Arial"/>
          <w:sz w:val="18"/>
          <w:szCs w:val="18"/>
          <w:color w:val="auto"/>
        </w:rPr>
        <w:t>shares of Common Stock upon the exercise or conversion of Options or Convertible Securities outstanding as of the date of the filing of this Certificate of Incorporation;</w:t>
      </w:r>
    </w:p>
    <w:p>
      <w:pPr>
        <w:spacing w:after="0" w:line="170" w:lineRule="exact"/>
        <w:rPr>
          <w:rFonts w:ascii="Arial" w:cs="Arial" w:eastAsia="Arial" w:hAnsi="Arial"/>
          <w:sz w:val="18"/>
          <w:szCs w:val="18"/>
          <w:color w:val="auto"/>
        </w:rPr>
      </w:pPr>
    </w:p>
    <w:p>
      <w:pPr>
        <w:ind w:left="-20" w:right="220" w:firstLine="1758"/>
        <w:spacing w:after="0" w:line="277" w:lineRule="auto"/>
        <w:tabs>
          <w:tab w:leader="none" w:pos="2132" w:val="left"/>
        </w:tabs>
        <w:numPr>
          <w:ilvl w:val="2"/>
          <w:numId w:val="236"/>
        </w:numPr>
        <w:rPr>
          <w:rFonts w:ascii="Arial" w:cs="Arial" w:eastAsia="Arial" w:hAnsi="Arial"/>
          <w:sz w:val="18"/>
          <w:szCs w:val="18"/>
          <w:color w:val="auto"/>
        </w:rPr>
      </w:pPr>
      <w:r>
        <w:rPr>
          <w:rFonts w:ascii="Arial" w:cs="Arial" w:eastAsia="Arial" w:hAnsi="Arial"/>
          <w:sz w:val="18"/>
          <w:szCs w:val="18"/>
          <w:color w:val="auto"/>
        </w:rPr>
        <w:t>shares of Common Stock issued or issuable as a dividend or distribution on Preferred Stock or pursuant to any event for which adjustment is made pursuant to Section 4(e), 4(f) or 4(g) hereof;</w:t>
      </w:r>
    </w:p>
    <w:p>
      <w:pPr>
        <w:spacing w:after="0" w:line="170" w:lineRule="exact"/>
        <w:rPr>
          <w:rFonts w:ascii="Arial" w:cs="Arial" w:eastAsia="Arial" w:hAnsi="Arial"/>
          <w:sz w:val="18"/>
          <w:szCs w:val="18"/>
          <w:color w:val="auto"/>
        </w:rPr>
      </w:pPr>
    </w:p>
    <w:p>
      <w:pPr>
        <w:ind w:left="-20" w:right="200" w:firstLine="1758"/>
        <w:spacing w:after="0" w:line="263" w:lineRule="auto"/>
        <w:tabs>
          <w:tab w:leader="none" w:pos="2132" w:val="left"/>
        </w:tabs>
        <w:numPr>
          <w:ilvl w:val="2"/>
          <w:numId w:val="236"/>
        </w:numPr>
        <w:rPr>
          <w:rFonts w:ascii="Arial" w:cs="Arial" w:eastAsia="Arial" w:hAnsi="Arial"/>
          <w:sz w:val="18"/>
          <w:szCs w:val="18"/>
          <w:color w:val="auto"/>
        </w:rPr>
      </w:pPr>
      <w:r>
        <w:rPr>
          <w:rFonts w:ascii="Arial" w:cs="Arial" w:eastAsia="Arial" w:hAnsi="Arial"/>
          <w:sz w:val="18"/>
          <w:szCs w:val="18"/>
          <w:color w:val="auto"/>
        </w:rPr>
        <w:t>shares of Common Stock issued or issuable in an initial public offering of the Common Stock pursuant to an effective registration statement filed under the Securities Act prior to or in connection with which all outstanding shares of Preferred Stock will be converted to Common Stock;</w:t>
      </w:r>
    </w:p>
    <w:p>
      <w:pPr>
        <w:spacing w:after="0" w:line="183" w:lineRule="exact"/>
        <w:rPr>
          <w:rFonts w:ascii="Arial" w:cs="Arial" w:eastAsia="Arial" w:hAnsi="Arial"/>
          <w:sz w:val="18"/>
          <w:szCs w:val="18"/>
          <w:color w:val="auto"/>
        </w:rPr>
      </w:pPr>
    </w:p>
    <w:p>
      <w:pPr>
        <w:ind w:left="-20" w:right="420" w:firstLine="1758"/>
        <w:spacing w:after="0" w:line="286" w:lineRule="auto"/>
        <w:tabs>
          <w:tab w:leader="none" w:pos="2132" w:val="left"/>
        </w:tabs>
        <w:numPr>
          <w:ilvl w:val="2"/>
          <w:numId w:val="236"/>
        </w:numPr>
        <w:rPr>
          <w:rFonts w:ascii="Arial" w:cs="Arial" w:eastAsia="Arial" w:hAnsi="Arial"/>
          <w:sz w:val="17"/>
          <w:szCs w:val="17"/>
          <w:color w:val="auto"/>
        </w:rPr>
      </w:pPr>
      <w:r>
        <w:rPr>
          <w:rFonts w:ascii="Arial" w:cs="Arial" w:eastAsia="Arial" w:hAnsi="Arial"/>
          <w:sz w:val="17"/>
          <w:szCs w:val="17"/>
          <w:color w:val="auto"/>
        </w:rPr>
        <w:t xml:space="preserve">shares of Common Stock issued or issuable pursuant to the acquisition of another corporation by the Corporation by merger, purchase of substantially all of the assets or other reorganization or pursuant to a joint venture agreement, </w:t>
      </w:r>
      <w:r>
        <w:rPr>
          <w:rFonts w:ascii="Arial" w:cs="Arial" w:eastAsia="Arial" w:hAnsi="Arial"/>
          <w:sz w:val="17"/>
          <w:szCs w:val="17"/>
          <w:i w:val="1"/>
          <w:iCs w:val="1"/>
          <w:color w:val="auto"/>
        </w:rPr>
        <w:t>provided</w:t>
      </w:r>
      <w:r>
        <w:rPr>
          <w:rFonts w:ascii="Arial" w:cs="Arial" w:eastAsia="Arial" w:hAnsi="Arial"/>
          <w:sz w:val="17"/>
          <w:szCs w:val="17"/>
          <w:color w:val="auto"/>
        </w:rPr>
        <w:t>, that such issuances are approved by the Board of Directors, including the approval of a majority of the then-serving Preferred Directors;</w:t>
      </w:r>
    </w:p>
    <w:p>
      <w:pPr>
        <w:spacing w:after="0" w:line="165" w:lineRule="exact"/>
        <w:rPr>
          <w:rFonts w:ascii="Arial" w:cs="Arial" w:eastAsia="Arial" w:hAnsi="Arial"/>
          <w:sz w:val="17"/>
          <w:szCs w:val="17"/>
          <w:color w:val="auto"/>
        </w:rPr>
      </w:pPr>
    </w:p>
    <w:p>
      <w:pPr>
        <w:jc w:val="both"/>
        <w:ind w:left="-20" w:right="240" w:firstLine="1758"/>
        <w:spacing w:after="0" w:line="279" w:lineRule="auto"/>
        <w:tabs>
          <w:tab w:leader="none" w:pos="2132" w:val="left"/>
        </w:tabs>
        <w:numPr>
          <w:ilvl w:val="2"/>
          <w:numId w:val="236"/>
        </w:numPr>
        <w:rPr>
          <w:rFonts w:ascii="Arial" w:cs="Arial" w:eastAsia="Arial" w:hAnsi="Arial"/>
          <w:sz w:val="17"/>
          <w:szCs w:val="17"/>
          <w:color w:val="auto"/>
        </w:rPr>
      </w:pPr>
      <w:r>
        <w:rPr>
          <w:rFonts w:ascii="Arial" w:cs="Arial" w:eastAsia="Arial" w:hAnsi="Arial"/>
          <w:sz w:val="17"/>
          <w:szCs w:val="17"/>
          <w:color w:val="auto"/>
        </w:rPr>
        <w:t>shares of Common Stock issued or issuable to financial institutions, equipment lessors, real property lessors, brokers or similar entities in connection with commercial credit arrangements, equipment financings, commercial leasing or real property leasing transactions or similar transactions, approved by the Board of Directors, including the approval of a majority of the then-serving Preferred Directors, the principal purpose of which is other than the raising of capital through the sale of equity securities of the Corporation;</w:t>
      </w:r>
    </w:p>
    <w:p>
      <w:pPr>
        <w:spacing w:after="0" w:line="171" w:lineRule="exact"/>
        <w:rPr>
          <w:rFonts w:ascii="Arial" w:cs="Arial" w:eastAsia="Arial" w:hAnsi="Arial"/>
          <w:sz w:val="17"/>
          <w:szCs w:val="17"/>
          <w:color w:val="auto"/>
        </w:rPr>
      </w:pPr>
    </w:p>
    <w:p>
      <w:pPr>
        <w:jc w:val="both"/>
        <w:ind w:left="-20" w:right="20" w:firstLine="1758"/>
        <w:spacing w:after="0" w:line="259" w:lineRule="auto"/>
        <w:tabs>
          <w:tab w:leader="none" w:pos="2132" w:val="left"/>
        </w:tabs>
        <w:numPr>
          <w:ilvl w:val="2"/>
          <w:numId w:val="236"/>
        </w:numPr>
        <w:rPr>
          <w:rFonts w:ascii="Arial" w:cs="Arial" w:eastAsia="Arial" w:hAnsi="Arial"/>
          <w:sz w:val="18"/>
          <w:szCs w:val="18"/>
          <w:color w:val="auto"/>
        </w:rPr>
      </w:pPr>
      <w:r>
        <w:rPr>
          <w:rFonts w:ascii="Arial" w:cs="Arial" w:eastAsia="Arial" w:hAnsi="Arial"/>
          <w:sz w:val="18"/>
          <w:szCs w:val="18"/>
          <w:color w:val="auto"/>
        </w:rPr>
        <w:t>shares of Common Stock issued or issuable in connection with sponsored research, collaboration, technology license, development, OEM, marketing or other similar agreements or strategic partnerships approved by the Board of Directors, including the approval of a majority of the then-serving Preferred Directors, the principal purpose of which is other than the raising of capital through the sale of equity securities of the Corporation; and</w:t>
      </w:r>
    </w:p>
    <w:p>
      <w:pPr>
        <w:spacing w:after="0" w:line="186" w:lineRule="exact"/>
        <w:rPr>
          <w:rFonts w:ascii="Arial" w:cs="Arial" w:eastAsia="Arial" w:hAnsi="Arial"/>
          <w:sz w:val="18"/>
          <w:szCs w:val="18"/>
          <w:color w:val="auto"/>
        </w:rPr>
      </w:pPr>
    </w:p>
    <w:p>
      <w:pPr>
        <w:ind w:left="-20" w:right="720" w:firstLine="1758"/>
        <w:spacing w:after="0" w:line="277" w:lineRule="auto"/>
        <w:tabs>
          <w:tab w:leader="none" w:pos="2132" w:val="left"/>
        </w:tabs>
        <w:numPr>
          <w:ilvl w:val="2"/>
          <w:numId w:val="236"/>
        </w:numPr>
        <w:rPr>
          <w:rFonts w:ascii="Arial" w:cs="Arial" w:eastAsia="Arial" w:hAnsi="Arial"/>
          <w:sz w:val="18"/>
          <w:szCs w:val="18"/>
          <w:color w:val="auto"/>
        </w:rPr>
      </w:pPr>
      <w:r>
        <w:rPr>
          <w:rFonts w:ascii="Arial" w:cs="Arial" w:eastAsia="Arial" w:hAnsi="Arial"/>
          <w:sz w:val="18"/>
          <w:szCs w:val="18"/>
          <w:color w:val="auto"/>
        </w:rPr>
        <w:t>any right, option or warrant to acquire any security convertible into the securities excluded from the definition of Additional Shares of Common Stock pursuant to subsections (1) through (8) above.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60" w:top="274" w:right="459" w:bottom="1440" w:gutter="0" w:footer="0" w:header="0"/>
        </w:sectPr>
      </w:pPr>
    </w:p>
    <w:bookmarkStart w:id="373" w:name="page374"/>
    <w:bookmarkEnd w:id="373"/>
    <w:p>
      <w:pPr>
        <w:ind w:left="-40" w:firstLine="1428"/>
        <w:spacing w:after="0" w:line="259" w:lineRule="auto"/>
        <w:tabs>
          <w:tab w:leader="none" w:pos="1927" w:val="left"/>
        </w:tabs>
        <w:numPr>
          <w:ilvl w:val="0"/>
          <w:numId w:val="237"/>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 Adjustment of Conversion Price. </w:t>
      </w:r>
      <w:r>
        <w:rPr>
          <w:rFonts w:ascii="Arial" w:cs="Arial" w:eastAsia="Arial" w:hAnsi="Arial"/>
          <w:sz w:val="18"/>
          <w:szCs w:val="18"/>
          <w:color w:val="auto"/>
        </w:rPr>
        <w:t>No adjustment in the Conversion Price of a particular series of Preferred Stock shall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made in respect of the issuance of Additional Shares of Common unless the consideration per share (as determined pursuant to Section 4(d)(v)) for an Additional Share of Common issued or deemed to be issued by the Corporation is less than the Conversion Price in effect on the date of, and immediately prior to, such issue for such series of Preferred Stock.</w:t>
      </w:r>
    </w:p>
    <w:p>
      <w:pPr>
        <w:spacing w:after="0" w:line="186" w:lineRule="exact"/>
        <w:rPr>
          <w:rFonts w:ascii="Arial" w:cs="Arial" w:eastAsia="Arial" w:hAnsi="Arial"/>
          <w:sz w:val="18"/>
          <w:szCs w:val="18"/>
          <w:color w:val="auto"/>
        </w:rPr>
      </w:pPr>
    </w:p>
    <w:p>
      <w:pPr>
        <w:ind w:left="-40" w:firstLine="1428"/>
        <w:spacing w:after="0" w:line="290" w:lineRule="auto"/>
        <w:tabs>
          <w:tab w:leader="none" w:pos="1932" w:val="left"/>
        </w:tabs>
        <w:numPr>
          <w:ilvl w:val="0"/>
          <w:numId w:val="23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Deemed Issue of Additional Shares of Common. </w:t>
      </w:r>
      <w:r>
        <w:rPr>
          <w:rFonts w:ascii="Arial" w:cs="Arial" w:eastAsia="Arial" w:hAnsi="Arial"/>
          <w:sz w:val="16"/>
          <w:szCs w:val="16"/>
          <w:color w:val="auto"/>
        </w:rPr>
        <w:t>In the event the Corporation at any time or from time to time after the date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 the filing of this Certificate of Incorporation shall issue any shares of Common Stock through a dividend or Options or Convertible Securities or shall fix a record date for the determination of holders of any class of securities entitled to receive any such Options or Convertible Securities, then the maximum number of shares (as set forth in the instrument relating thereto without regard to any provisions contained therein for a subsequent adjustment of such number) of Common Stock issuable upon the exercise of such Options or, in the case of Convertible Securities, the conversion or exchange of such Convertible Securities or, in the case of Options for Convertible Securities, the exercise of such Options and the conversion or exchange of the underlying securities, shall be deemed to have been issued as of the time of such issue or, in case such a record date shall have been fixed, as of the close of business on such record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any such case in which shares are deemed to be issued:</w:t>
      </w:r>
    </w:p>
    <w:p>
      <w:pPr>
        <w:spacing w:after="0" w:line="165" w:lineRule="exact"/>
        <w:rPr>
          <w:rFonts w:ascii="Arial" w:cs="Arial" w:eastAsia="Arial" w:hAnsi="Arial"/>
          <w:sz w:val="16"/>
          <w:szCs w:val="16"/>
          <w:color w:val="auto"/>
        </w:rPr>
      </w:pPr>
    </w:p>
    <w:p>
      <w:pPr>
        <w:ind w:left="-40" w:right="40" w:firstLine="1979"/>
        <w:spacing w:after="0" w:line="263" w:lineRule="auto"/>
        <w:tabs>
          <w:tab w:leader="none" w:pos="2333" w:val="left"/>
        </w:tabs>
        <w:numPr>
          <w:ilvl w:val="1"/>
          <w:numId w:val="237"/>
        </w:numPr>
        <w:rPr>
          <w:rFonts w:ascii="Arial" w:cs="Arial" w:eastAsia="Arial" w:hAnsi="Arial"/>
          <w:sz w:val="18"/>
          <w:szCs w:val="18"/>
          <w:color w:val="auto"/>
        </w:rPr>
      </w:pPr>
      <w:r>
        <w:rPr>
          <w:rFonts w:ascii="Arial" w:cs="Arial" w:eastAsia="Arial" w:hAnsi="Arial"/>
          <w:sz w:val="18"/>
          <w:szCs w:val="18"/>
          <w:color w:val="auto"/>
        </w:rPr>
        <w:t>no further adjustment in the Conversion Price of any series of Preferred Stock shall be made upon the subsequent issue of Convertible Securities or shares of Common Stock in connection with the exercise of such Options or conversion or exchange of such Convertible Securities;</w:t>
      </w:r>
    </w:p>
    <w:p>
      <w:pPr>
        <w:spacing w:after="0" w:line="183" w:lineRule="exact"/>
        <w:rPr>
          <w:rFonts w:ascii="Arial" w:cs="Arial" w:eastAsia="Arial" w:hAnsi="Arial"/>
          <w:sz w:val="18"/>
          <w:szCs w:val="18"/>
          <w:color w:val="auto"/>
        </w:rPr>
      </w:pPr>
    </w:p>
    <w:p>
      <w:pPr>
        <w:ind w:left="-40" w:firstLine="1979"/>
        <w:spacing w:after="0" w:line="273" w:lineRule="auto"/>
        <w:tabs>
          <w:tab w:leader="none" w:pos="2333" w:val="left"/>
        </w:tabs>
        <w:numPr>
          <w:ilvl w:val="1"/>
          <w:numId w:val="237"/>
        </w:numPr>
        <w:rPr>
          <w:rFonts w:ascii="Arial" w:cs="Arial" w:eastAsia="Arial" w:hAnsi="Arial"/>
          <w:sz w:val="17"/>
          <w:szCs w:val="17"/>
          <w:color w:val="auto"/>
        </w:rPr>
      </w:pPr>
      <w:r>
        <w:rPr>
          <w:rFonts w:ascii="Arial" w:cs="Arial" w:eastAsia="Arial" w:hAnsi="Arial"/>
          <w:sz w:val="17"/>
          <w:szCs w:val="17"/>
          <w:color w:val="auto"/>
        </w:rPr>
        <w:t>if such Options or Convertible Securities by their terms provide, with the passage of time or otherwise, for any change in the consideration payable to the Corporation or in the number of shares of Common Stock issuable upon the exercise, conversion or exchange thereof (other than a change pursuant to the anti-dilution provisions of such Options or Convertible Securities such as this Section 4(d) or pursuant to Recapitalization provisions of such Options or Convertible Securities such as Sections 4(e), 4(f) and 4(g) hereof), the Conversion Price of each series of Preferred Stock and any subsequent adjustments based thereon shall be recomputed to reflect such change as if such change had been in effect as of the original issue thereof (or upon the occurrence of the record date with respect thereto);</w:t>
      </w:r>
    </w:p>
    <w:p>
      <w:pPr>
        <w:spacing w:after="0" w:line="177" w:lineRule="exact"/>
        <w:rPr>
          <w:rFonts w:ascii="Arial" w:cs="Arial" w:eastAsia="Arial" w:hAnsi="Arial"/>
          <w:sz w:val="17"/>
          <w:szCs w:val="17"/>
          <w:color w:val="auto"/>
        </w:rPr>
      </w:pPr>
    </w:p>
    <w:p>
      <w:pPr>
        <w:ind w:left="-40" w:right="120" w:firstLine="1979"/>
        <w:spacing w:after="0" w:line="263" w:lineRule="auto"/>
        <w:tabs>
          <w:tab w:leader="none" w:pos="2333" w:val="left"/>
        </w:tabs>
        <w:numPr>
          <w:ilvl w:val="1"/>
          <w:numId w:val="237"/>
        </w:numPr>
        <w:rPr>
          <w:rFonts w:ascii="Arial" w:cs="Arial" w:eastAsia="Arial" w:hAnsi="Arial"/>
          <w:sz w:val="18"/>
          <w:szCs w:val="18"/>
          <w:color w:val="auto"/>
        </w:rPr>
      </w:pPr>
      <w:r>
        <w:rPr>
          <w:rFonts w:ascii="Arial" w:cs="Arial" w:eastAsia="Arial" w:hAnsi="Arial"/>
          <w:sz w:val="18"/>
          <w:szCs w:val="18"/>
          <w:color w:val="auto"/>
        </w:rPr>
        <w:t>no readjustment pursuant to clause (2) above shall have the effect of increasing the Conversion Price of a series of Preferred Stock to an amount above the Conversion Price that would have resulted from any other issuances of Additional Shares of Common and any other adjustments provided for herein between the original adjustment date and such readjustment date;</w:t>
      </w:r>
    </w:p>
    <w:p>
      <w:pPr>
        <w:spacing w:after="0" w:line="183" w:lineRule="exact"/>
        <w:rPr>
          <w:rFonts w:ascii="Arial" w:cs="Arial" w:eastAsia="Arial" w:hAnsi="Arial"/>
          <w:sz w:val="18"/>
          <w:szCs w:val="18"/>
          <w:color w:val="auto"/>
        </w:rPr>
      </w:pPr>
    </w:p>
    <w:p>
      <w:pPr>
        <w:ind w:left="-40" w:right="320" w:firstLine="1979"/>
        <w:spacing w:after="0" w:line="311" w:lineRule="auto"/>
        <w:tabs>
          <w:tab w:leader="none" w:pos="2333" w:val="left"/>
        </w:tabs>
        <w:numPr>
          <w:ilvl w:val="1"/>
          <w:numId w:val="237"/>
        </w:numPr>
        <w:rPr>
          <w:rFonts w:ascii="Arial" w:cs="Arial" w:eastAsia="Arial" w:hAnsi="Arial"/>
          <w:sz w:val="16"/>
          <w:szCs w:val="16"/>
          <w:color w:val="auto"/>
        </w:rPr>
      </w:pPr>
      <w:r>
        <w:rPr>
          <w:rFonts w:ascii="Arial" w:cs="Arial" w:eastAsia="Arial" w:hAnsi="Arial"/>
          <w:sz w:val="16"/>
          <w:szCs w:val="16"/>
          <w:color w:val="auto"/>
        </w:rPr>
        <w:t>upon the expiration of any such Options or any rights of conversion or exchange under such Convertible Securities which shall not have been exercised, the Conversion Price of each series of Preferred Stock computed upon the original issue thereof (or upon the occurrence of a record date with respect thereto) and any subsequent adjustments based thereon shall, upon such expiration, be recomputed as if:</w:t>
      </w:r>
    </w:p>
    <w:p>
      <w:pPr>
        <w:spacing w:after="0" w:line="148" w:lineRule="exact"/>
        <w:rPr>
          <w:rFonts w:ascii="Arial" w:cs="Arial" w:eastAsia="Arial" w:hAnsi="Arial"/>
          <w:sz w:val="16"/>
          <w:szCs w:val="16"/>
          <w:color w:val="auto"/>
        </w:rPr>
      </w:pPr>
    </w:p>
    <w:p>
      <w:pPr>
        <w:ind w:left="-40" w:right="180" w:firstLine="2419"/>
        <w:spacing w:after="0" w:line="296" w:lineRule="auto"/>
        <w:tabs>
          <w:tab w:leader="none" w:pos="2763" w:val="left"/>
        </w:tabs>
        <w:numPr>
          <w:ilvl w:val="2"/>
          <w:numId w:val="237"/>
        </w:numPr>
        <w:rPr>
          <w:rFonts w:ascii="Arial" w:cs="Arial" w:eastAsia="Arial" w:hAnsi="Arial"/>
          <w:sz w:val="16"/>
          <w:szCs w:val="16"/>
          <w:color w:val="auto"/>
        </w:rPr>
      </w:pPr>
      <w:r>
        <w:rPr>
          <w:rFonts w:ascii="Arial" w:cs="Arial" w:eastAsia="Arial" w:hAnsi="Arial"/>
          <w:sz w:val="16"/>
          <w:szCs w:val="16"/>
          <w:color w:val="auto"/>
        </w:rPr>
        <w:t>in the case of Convertible Securities or Options for Common Stock, the only Additional Shares of Common issued were the shares of Common Stock, if any, actually issued upon the exercise of such Options or the conversion or exchange of such Convertible Securities and the consideration received therefor was the consideration actually received by the Corporation for the issue of such exercised Options plus the consideration actually received by the Corporation upon such exercise or for the issue of all such Convertible Securities which were actually converted or exchanged, plus the additional consideration, if any, actually received by the Corporation upon such conversion or exchange, and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480" w:top="274" w:right="499" w:bottom="1440" w:gutter="0" w:footer="0" w:header="0"/>
        </w:sectPr>
      </w:pPr>
    </w:p>
    <w:bookmarkStart w:id="374" w:name="page375"/>
    <w:bookmarkEnd w:id="374"/>
    <w:p>
      <w:pPr>
        <w:ind w:left="-60" w:right="20" w:firstLine="2419"/>
        <w:spacing w:after="0" w:line="257" w:lineRule="auto"/>
        <w:tabs>
          <w:tab w:leader="none" w:pos="2753" w:val="left"/>
        </w:tabs>
        <w:numPr>
          <w:ilvl w:val="2"/>
          <w:numId w:val="2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case of Options for Convertible Securities, only the Convertible Securities, if any, actually issued upon the exercise thereof were issued at the time of issue of such Options, and the consideration received by the Corporation for the Additional Shares of Common deemed to have been then issued was the consideration actually received by the Corporation for the issue of such exercised Options, plus the consideration deemed to have been received by the Corporation (determined pursuant to Section 4(d)(v)) upon the issue of the Convertible Securities with respect to which such Options were actually exercised; and</w:t>
      </w:r>
    </w:p>
    <w:p>
      <w:pPr>
        <w:spacing w:after="0" w:line="187" w:lineRule="exact"/>
        <w:rPr>
          <w:rFonts w:ascii="Arial" w:cs="Arial" w:eastAsia="Arial" w:hAnsi="Arial"/>
          <w:sz w:val="18"/>
          <w:szCs w:val="18"/>
          <w:color w:val="auto"/>
        </w:rPr>
      </w:pPr>
    </w:p>
    <w:p>
      <w:pPr>
        <w:ind w:left="-60" w:right="240" w:firstLine="1979"/>
        <w:spacing w:after="0" w:line="259" w:lineRule="auto"/>
        <w:tabs>
          <w:tab w:leader="none" w:pos="2313" w:val="left"/>
        </w:tabs>
        <w:numPr>
          <w:ilvl w:val="1"/>
          <w:numId w:val="239"/>
        </w:numPr>
        <w:rPr>
          <w:rFonts w:ascii="Arial" w:cs="Arial" w:eastAsia="Arial" w:hAnsi="Arial"/>
          <w:sz w:val="18"/>
          <w:szCs w:val="18"/>
          <w:color w:val="auto"/>
        </w:rPr>
      </w:pPr>
      <w:r>
        <w:rPr>
          <w:rFonts w:ascii="Arial" w:cs="Arial" w:eastAsia="Arial" w:hAnsi="Arial"/>
          <w:sz w:val="18"/>
          <w:szCs w:val="18"/>
          <w:color w:val="auto"/>
        </w:rPr>
        <w:t>if such record date shall have been fixed and such Options or Convertible Securities are not issued on the date fixed therefor, the adjustment previously made in the Conversion Price which became effective on such record date shall be canceled as of the close of business on such record date, and thereafter the Conversion Price shall be adjusted pursuant to this paragraph 4(d)(iii) as of the actual date of their issuance.</w:t>
      </w:r>
    </w:p>
    <w:p>
      <w:pPr>
        <w:spacing w:after="0" w:line="186" w:lineRule="exact"/>
        <w:rPr>
          <w:rFonts w:ascii="Arial" w:cs="Arial" w:eastAsia="Arial" w:hAnsi="Arial"/>
          <w:sz w:val="18"/>
          <w:szCs w:val="18"/>
          <w:color w:val="auto"/>
        </w:rPr>
      </w:pPr>
    </w:p>
    <w:p>
      <w:pPr>
        <w:ind w:left="-60" w:firstLine="1428"/>
        <w:spacing w:after="0" w:line="268" w:lineRule="auto"/>
        <w:tabs>
          <w:tab w:leader="none" w:pos="1947" w:val="left"/>
        </w:tabs>
        <w:numPr>
          <w:ilvl w:val="0"/>
          <w:numId w:val="24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Adjustment of Conversion Price Upon Issuance of Additional Shares of Common. </w:t>
      </w:r>
      <w:r>
        <w:rPr>
          <w:rFonts w:ascii="Arial" w:cs="Arial" w:eastAsia="Arial" w:hAnsi="Arial"/>
          <w:sz w:val="17"/>
          <w:szCs w:val="17"/>
          <w:color w:val="auto"/>
        </w:rPr>
        <w:t>In the event this Corporation at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time or from time to time after the date of the filing of this Certificate of Incorporation shall issue Additional Shares of Common (including Additional Shares of Common deemed to be issued pursuant to paragraph 4(d)(iii)) without consideration or for a consideration per share less than the applicable Conversion Price of a series of Preferred Stock in effect on the date of and immediately prior to such issue, then, the Conversion Price of the affected series of Preferred Stock shall be reduced, concurrently with such issue, to a price (calculated to the nearest cent) determined by multiplying such Conversion Price by a fraction, the numerator of which shall be the number of shares of Common Stock outstanding immediately prior to such issue plus the number of shares which the aggregate consideration received by the Corporation for the total number of Additional Shares of Common so issued would purchase at such Conversion Price, and the denominator of which shall be the number of shares of Common Stock outstanding immediately prior to such issue plus the number of such Additional Shares of Common so issued. Notwithstanding the foregoing, the Conversion Price shall not be reduced at such time if the amount of such reduction would be less than $0.01, but any such amount shall be carried forward, and a reduction will be made with respect to such amount at the time of, and together with, any subsequent reduction which, together with such amount and any other amounts so carried forward, equal $0.01 or more in the aggregate, provided that any adjustments carried forward and not yet applied shall be applied at the time such conversion takes place. For the purposes of this Subsection 4(d)(iv), all shares of Common Stock issuable upon conversion of all outstanding shares of Preferred Stock and the exercise and/or conversion of any other outstanding Convertible Securities and all outstanding Options shall be deemed to be outstanding.</w:t>
      </w:r>
    </w:p>
    <w:p>
      <w:pPr>
        <w:spacing w:after="0" w:line="181" w:lineRule="exact"/>
        <w:rPr>
          <w:rFonts w:ascii="Arial" w:cs="Arial" w:eastAsia="Arial" w:hAnsi="Arial"/>
          <w:sz w:val="17"/>
          <w:szCs w:val="17"/>
          <w:color w:val="auto"/>
        </w:rPr>
      </w:pPr>
    </w:p>
    <w:p>
      <w:pPr>
        <w:ind w:left="-60" w:firstLine="1428"/>
        <w:spacing w:after="0" w:line="277" w:lineRule="auto"/>
        <w:tabs>
          <w:tab w:leader="none" w:pos="1942" w:val="left"/>
        </w:tabs>
        <w:numPr>
          <w:ilvl w:val="0"/>
          <w:numId w:val="2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Determination of Consideration. </w:t>
      </w:r>
      <w:r>
        <w:rPr>
          <w:rFonts w:ascii="Arial" w:cs="Arial" w:eastAsia="Arial" w:hAnsi="Arial"/>
          <w:sz w:val="18"/>
          <w:szCs w:val="18"/>
          <w:color w:val="auto"/>
        </w:rPr>
        <w:t>For purposes of this subsection 4(d), the consideration received by the Corporation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 (or deemed issue) of any Additional Shares of Common shall be computed as follows:</w:t>
      </w:r>
    </w:p>
    <w:p>
      <w:pPr>
        <w:spacing w:after="0" w:line="170" w:lineRule="exact"/>
        <w:rPr>
          <w:rFonts w:ascii="Arial" w:cs="Arial" w:eastAsia="Arial" w:hAnsi="Arial"/>
          <w:sz w:val="18"/>
          <w:szCs w:val="18"/>
          <w:color w:val="auto"/>
        </w:rPr>
      </w:pPr>
    </w:p>
    <w:p>
      <w:pPr>
        <w:ind w:left="2300" w:hanging="381"/>
        <w:spacing w:after="0"/>
        <w:tabs>
          <w:tab w:leader="none" w:pos="2300" w:val="left"/>
        </w:tabs>
        <w:numPr>
          <w:ilvl w:val="1"/>
          <w:numId w:val="2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Cash and Property. </w:t>
      </w:r>
      <w:r>
        <w:rPr>
          <w:rFonts w:ascii="Arial" w:cs="Arial" w:eastAsia="Arial" w:hAnsi="Arial"/>
          <w:sz w:val="18"/>
          <w:szCs w:val="18"/>
          <w:color w:val="auto"/>
        </w:rPr>
        <w:t>Such consideration shall:</w:t>
      </w:r>
    </w:p>
    <w:p>
      <w:pPr>
        <w:spacing w:after="0" w:line="225" w:lineRule="exact"/>
        <w:rPr>
          <w:rFonts w:ascii="Arial" w:cs="Arial" w:eastAsia="Arial" w:hAnsi="Arial"/>
          <w:sz w:val="18"/>
          <w:szCs w:val="18"/>
          <w:color w:val="auto"/>
        </w:rPr>
      </w:pPr>
    </w:p>
    <w:p>
      <w:pPr>
        <w:ind w:left="-60" w:right="140" w:firstLine="2419"/>
        <w:spacing w:after="0" w:line="263" w:lineRule="auto"/>
        <w:tabs>
          <w:tab w:leader="none" w:pos="2743" w:val="left"/>
        </w:tabs>
        <w:numPr>
          <w:ilvl w:val="2"/>
          <w:numId w:val="240"/>
        </w:numPr>
        <w:rPr>
          <w:rFonts w:ascii="Arial" w:cs="Arial" w:eastAsia="Arial" w:hAnsi="Arial"/>
          <w:sz w:val="18"/>
          <w:szCs w:val="18"/>
          <w:color w:val="auto"/>
        </w:rPr>
      </w:pPr>
      <w:r>
        <w:rPr>
          <w:rFonts w:ascii="Arial" w:cs="Arial" w:eastAsia="Arial" w:hAnsi="Arial"/>
          <w:sz w:val="18"/>
          <w:szCs w:val="18"/>
          <w:color w:val="auto"/>
        </w:rPr>
        <w:t>insofar as it consists of cash, be computed at the aggregate amount of cash received by the Corporation before deducting any reasonable discounts, commissions or other expenses allowed, paid or incurred by the Corporation for any underwriting or otherwise in connection with such issuance;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80"/>
          </w:cols>
          <w:pgMar w:left="500" w:top="274" w:right="519" w:bottom="1440" w:gutter="0" w:footer="0" w:header="0"/>
        </w:sectPr>
      </w:pPr>
    </w:p>
    <w:bookmarkStart w:id="375" w:name="page376"/>
    <w:bookmarkEnd w:id="375"/>
    <w:p>
      <w:pPr>
        <w:ind w:left="4" w:right="100" w:firstLine="2419"/>
        <w:spacing w:after="0" w:line="277" w:lineRule="auto"/>
        <w:tabs>
          <w:tab w:leader="none" w:pos="2817" w:val="left"/>
        </w:tabs>
        <w:numPr>
          <w:ilvl w:val="3"/>
          <w:numId w:val="2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insofar as it consists of property other than cash, be computed at the fair market value thereof at the time of such issue, as determined in good faith by the Board of Directors; and</w:t>
      </w:r>
    </w:p>
    <w:p>
      <w:pPr>
        <w:spacing w:after="0" w:line="170" w:lineRule="exact"/>
        <w:rPr>
          <w:rFonts w:ascii="Arial" w:cs="Arial" w:eastAsia="Arial" w:hAnsi="Arial"/>
          <w:sz w:val="18"/>
          <w:szCs w:val="18"/>
          <w:color w:val="auto"/>
        </w:rPr>
      </w:pPr>
    </w:p>
    <w:p>
      <w:pPr>
        <w:ind w:left="4" w:firstLine="2419"/>
        <w:spacing w:after="0" w:line="291" w:lineRule="auto"/>
        <w:tabs>
          <w:tab w:leader="none" w:pos="2807" w:val="left"/>
        </w:tabs>
        <w:numPr>
          <w:ilvl w:val="3"/>
          <w:numId w:val="241"/>
        </w:numPr>
        <w:rPr>
          <w:rFonts w:ascii="Arial" w:cs="Arial" w:eastAsia="Arial" w:hAnsi="Arial"/>
          <w:sz w:val="16"/>
          <w:szCs w:val="16"/>
          <w:color w:val="auto"/>
        </w:rPr>
      </w:pPr>
      <w:r>
        <w:rPr>
          <w:rFonts w:ascii="Arial" w:cs="Arial" w:eastAsia="Arial" w:hAnsi="Arial"/>
          <w:sz w:val="16"/>
          <w:szCs w:val="16"/>
          <w:color w:val="auto"/>
        </w:rPr>
        <w:t>in the event Additional Shares of Common are issued together with other shares or securities or other assets of the Corporation for consideration which covers both, be the proportion of such consideration so received, computed as provided in clauses (a) and</w:t>
      </w:r>
    </w:p>
    <w:p>
      <w:pPr>
        <w:ind w:left="264" w:hanging="264"/>
        <w:spacing w:after="0"/>
        <w:tabs>
          <w:tab w:leader="none" w:pos="264"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above, as reasonably determined in good faith by the Board of Directors.</w:t>
      </w:r>
    </w:p>
    <w:p>
      <w:pPr>
        <w:spacing w:after="0" w:line="210" w:lineRule="exact"/>
        <w:rPr>
          <w:rFonts w:ascii="Arial" w:cs="Arial" w:eastAsia="Arial" w:hAnsi="Arial"/>
          <w:sz w:val="18"/>
          <w:szCs w:val="18"/>
          <w:color w:val="auto"/>
        </w:rPr>
      </w:pPr>
    </w:p>
    <w:p>
      <w:pPr>
        <w:ind w:left="4" w:right="120" w:firstLine="1979"/>
        <w:spacing w:after="0" w:line="277" w:lineRule="auto"/>
        <w:tabs>
          <w:tab w:leader="none" w:pos="2376" w:val="left"/>
        </w:tabs>
        <w:numPr>
          <w:ilvl w:val="2"/>
          <w:numId w:val="2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Options and Convertible Securities. </w:t>
      </w:r>
      <w:r>
        <w:rPr>
          <w:rFonts w:ascii="Arial" w:cs="Arial" w:eastAsia="Arial" w:hAnsi="Arial"/>
          <w:sz w:val="18"/>
          <w:szCs w:val="18"/>
          <w:color w:val="auto"/>
        </w:rPr>
        <w:t>The consideration per share received by the Corporation for Additional Shares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deemed to have been issued pursuant to paragraph 4(d)(iii) shall be determined by dividing:</w:t>
      </w:r>
    </w:p>
    <w:p>
      <w:pPr>
        <w:spacing w:after="0" w:line="170" w:lineRule="exact"/>
        <w:rPr>
          <w:rFonts w:ascii="Arial" w:cs="Arial" w:eastAsia="Arial" w:hAnsi="Arial"/>
          <w:sz w:val="18"/>
          <w:szCs w:val="18"/>
          <w:color w:val="auto"/>
        </w:rPr>
      </w:pPr>
    </w:p>
    <w:p>
      <w:pPr>
        <w:ind w:left="4" w:firstLine="2419"/>
        <w:spacing w:after="0" w:line="296" w:lineRule="auto"/>
        <w:tabs>
          <w:tab w:leader="none" w:pos="2817" w:val="left"/>
        </w:tabs>
        <w:numPr>
          <w:ilvl w:val="3"/>
          <w:numId w:val="242"/>
        </w:numPr>
        <w:rPr>
          <w:rFonts w:ascii="Arial" w:cs="Arial" w:eastAsia="Arial" w:hAnsi="Arial"/>
          <w:sz w:val="16"/>
          <w:szCs w:val="16"/>
          <w:color w:val="auto"/>
        </w:rPr>
      </w:pPr>
      <w:r>
        <w:rPr>
          <w:rFonts w:ascii="Arial" w:cs="Arial" w:eastAsia="Arial" w:hAnsi="Arial"/>
          <w:sz w:val="16"/>
          <w:szCs w:val="16"/>
          <w:color w:val="auto"/>
        </w:rPr>
        <w:t>the total amount, if any, received or receivable by the Corporation as consideration for the issue of such Options or Convertible Securities, including pursuant to Section 4(d)(v)(1)(c),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161" w:lineRule="exact"/>
        <w:rPr>
          <w:rFonts w:ascii="Arial" w:cs="Arial" w:eastAsia="Arial" w:hAnsi="Arial"/>
          <w:sz w:val="16"/>
          <w:szCs w:val="16"/>
          <w:color w:val="auto"/>
        </w:rPr>
      </w:pPr>
    </w:p>
    <w:p>
      <w:pPr>
        <w:ind w:left="4" w:right="40" w:firstLine="2419"/>
        <w:spacing w:after="0" w:line="263" w:lineRule="auto"/>
        <w:tabs>
          <w:tab w:leader="none" w:pos="2817" w:val="left"/>
        </w:tabs>
        <w:numPr>
          <w:ilvl w:val="3"/>
          <w:numId w:val="242"/>
        </w:numPr>
        <w:rPr>
          <w:rFonts w:ascii="Arial" w:cs="Arial" w:eastAsia="Arial" w:hAnsi="Arial"/>
          <w:sz w:val="18"/>
          <w:szCs w:val="18"/>
          <w:color w:val="auto"/>
        </w:rPr>
      </w:pPr>
      <w:r>
        <w:rPr>
          <w:rFonts w:ascii="Arial" w:cs="Arial" w:eastAsia="Arial" w:hAnsi="Arial"/>
          <w:sz w:val="18"/>
          <w:szCs w:val="18"/>
          <w:color w:val="auto"/>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w:t>
      </w:r>
    </w:p>
    <w:p>
      <w:pPr>
        <w:spacing w:after="0" w:line="183" w:lineRule="exact"/>
        <w:rPr>
          <w:rFonts w:ascii="Arial" w:cs="Arial" w:eastAsia="Arial" w:hAnsi="Arial"/>
          <w:sz w:val="18"/>
          <w:szCs w:val="18"/>
          <w:color w:val="auto"/>
        </w:rPr>
      </w:pPr>
    </w:p>
    <w:p>
      <w:pPr>
        <w:ind w:left="4" w:right="60" w:firstLine="987"/>
        <w:spacing w:after="0" w:line="255" w:lineRule="auto"/>
        <w:tabs>
          <w:tab w:leader="none" w:pos="1375" w:val="left"/>
        </w:tabs>
        <w:numPr>
          <w:ilvl w:val="1"/>
          <w:numId w:val="2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Adjustments for Subdivisions or Combinations of Common Stock. </w:t>
      </w:r>
      <w:r>
        <w:rPr>
          <w:rFonts w:ascii="Arial" w:cs="Arial" w:eastAsia="Arial" w:hAnsi="Arial"/>
          <w:sz w:val="18"/>
          <w:szCs w:val="18"/>
          <w:color w:val="auto"/>
        </w:rPr>
        <w:t>In the event the outstanding shares of Common Stock shall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subdivided (by stock split, by payment of a stock dividend or otherwise), into a greater number of shares of Common Stock, the Conversion Price of each series of Preferred Stock in effect immediately prior to such subdivision shall, concurrently with the effectiveness of such subdivision, be proportionately decreased. In the event the outstanding shares of Common Stock shall be combined (by reclassification or otherwise) into a lesser number of shares of Common Stock, the Conversion Prices in effect immediately prior to such combination shall, concurrently with the effectiveness of such combination, be proportionately increased.</w:t>
      </w:r>
    </w:p>
    <w:p>
      <w:pPr>
        <w:spacing w:after="0" w:line="192" w:lineRule="exact"/>
        <w:rPr>
          <w:rFonts w:ascii="Arial" w:cs="Arial" w:eastAsia="Arial" w:hAnsi="Arial"/>
          <w:sz w:val="18"/>
          <w:szCs w:val="18"/>
          <w:color w:val="auto"/>
        </w:rPr>
      </w:pPr>
    </w:p>
    <w:p>
      <w:pPr>
        <w:ind w:left="4" w:right="60" w:firstLine="987"/>
        <w:spacing w:after="0" w:line="272" w:lineRule="auto"/>
        <w:tabs>
          <w:tab w:leader="none" w:pos="1355" w:val="left"/>
        </w:tabs>
        <w:numPr>
          <w:ilvl w:val="1"/>
          <w:numId w:val="24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Adjustments for Subdivisions or Combinations of Preferred Stock. </w:t>
      </w:r>
      <w:r>
        <w:rPr>
          <w:rFonts w:ascii="Arial" w:cs="Arial" w:eastAsia="Arial" w:hAnsi="Arial"/>
          <w:sz w:val="17"/>
          <w:szCs w:val="17"/>
          <w:color w:val="auto"/>
        </w:rPr>
        <w:t>In the event the outstanding shares of Preferred Stock or a series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Preferred Stock shall be subdivided (by stock split, by payment of a stock dividend or otherwise), into a greater number of shares of Preferred Stock, the Dividend Rate, Original Issue Price and Liquidation Preference of the affected series of Preferred Stock in effect immediately prior to such subdivision shall, concurrently with the effectiveness of such subdivision, be proportionately decreased. In the event the outstanding shares of Preferred Stock or a series of Preferred Stock shall be combined (by reclassification or otherwise) into a lesser number of shares of Preferred Stock, the Dividend Rate, Original Issue Price and Liquidation Preference of the affected series of Preferred Stock in effect immediately prior to such combination shall, concurrently with the effectiveness of such combination, be proportionately increased.</w:t>
      </w:r>
    </w:p>
    <w:p>
      <w:pPr>
        <w:spacing w:after="0" w:line="177" w:lineRule="exact"/>
        <w:rPr>
          <w:rFonts w:ascii="Arial" w:cs="Arial" w:eastAsia="Arial" w:hAnsi="Arial"/>
          <w:sz w:val="17"/>
          <w:szCs w:val="17"/>
          <w:color w:val="auto"/>
        </w:rPr>
      </w:pPr>
    </w:p>
    <w:p>
      <w:pPr>
        <w:ind w:left="4" w:right="220" w:firstLine="987"/>
        <w:spacing w:after="0" w:line="286" w:lineRule="auto"/>
        <w:tabs>
          <w:tab w:leader="none" w:pos="1385" w:val="left"/>
        </w:tabs>
        <w:numPr>
          <w:ilvl w:val="1"/>
          <w:numId w:val="24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Adjustments for Reclassification, Exchange and Substitution. </w:t>
      </w:r>
      <w:r>
        <w:rPr>
          <w:rFonts w:ascii="Arial" w:cs="Arial" w:eastAsia="Arial" w:hAnsi="Arial"/>
          <w:sz w:val="17"/>
          <w:szCs w:val="17"/>
          <w:color w:val="auto"/>
        </w:rPr>
        <w:t>Subject to Section 3 (“</w:t>
      </w:r>
      <w:r>
        <w:rPr>
          <w:rFonts w:ascii="Arial" w:cs="Arial" w:eastAsia="Arial" w:hAnsi="Arial"/>
          <w:sz w:val="17"/>
          <w:szCs w:val="17"/>
          <w:b w:val="1"/>
          <w:bCs w:val="1"/>
          <w:i w:val="1"/>
          <w:iCs w:val="1"/>
          <w:color w:val="auto"/>
        </w:rPr>
        <w:t>Liquidation Rights</w:t>
      </w:r>
      <w:r>
        <w:rPr>
          <w:rFonts w:ascii="Arial" w:cs="Arial" w:eastAsia="Arial" w:hAnsi="Arial"/>
          <w:sz w:val="17"/>
          <w:szCs w:val="17"/>
          <w:color w:val="auto"/>
        </w:rPr>
        <w:t>”), if the Common Stock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issuable upon conversion of the Preferred Stock shall be changed into the same or a different number of shares of any other class or classes of stock, whether by capital reorganization, reclassification or otherwise (other than a subdivision or combination of shares</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376" w:name="page377"/>
    <w:bookmarkEnd w:id="376"/>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provided for above), then, in any such event, in lieu of the number of shares of Common Stock which the holders would otherwise have been entitled to receive each holder of such Preferred Stock shall have the right thereafter to convert such shares of Preferred Stock into a number of shares of such other class or classes of stock which a holder of the number of shares of Common Stock deliverable upon conversion of such series of Preferred Stock immediately before that change would have been entitled to receive in such reorganization or reclassification, all subject to further adjustment as provided herein with respect to such other shares.</w:t>
      </w:r>
    </w:p>
    <w:p>
      <w:pPr>
        <w:spacing w:after="0" w:line="188" w:lineRule="exact"/>
        <w:rPr>
          <w:sz w:val="20"/>
          <w:szCs w:val="20"/>
          <w:color w:val="auto"/>
        </w:rPr>
      </w:pPr>
    </w:p>
    <w:p>
      <w:pPr>
        <w:ind w:right="80" w:firstLine="987"/>
        <w:spacing w:after="0" w:line="293" w:lineRule="auto"/>
        <w:tabs>
          <w:tab w:leader="none" w:pos="1426" w:val="left"/>
        </w:tabs>
        <w:numPr>
          <w:ilvl w:val="0"/>
          <w:numId w:val="24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Certificate as to Adjustments. </w:t>
      </w:r>
      <w:r>
        <w:rPr>
          <w:rFonts w:ascii="Arial" w:cs="Arial" w:eastAsia="Arial" w:hAnsi="Arial"/>
          <w:sz w:val="16"/>
          <w:szCs w:val="16"/>
          <w:color w:val="auto"/>
        </w:rPr>
        <w:t>Upon the occurrence of each adjustment or readjustment of the Conversion Price pursuant to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Section 4, the Corporation at its expense shall promptly compute such adjustment or readjustment in accordance with the terms hereof and furnish to each holder of Preferred Stock a certificate setting forth such adjustment or readjustment and showing in detail the facts upon which such adjustment or readjustment is based. The Corporation shall, upon the written request at any time of any holder of Preferred Stock, furnish or cause to be furnished to such holder a like certificate setting forth (i) such adjustments and readjustments, (ii) the Conversion Price at the time in effect and (iii) the number of shares of Common Stock and the amount, if any, of other property which at the time would be received upon the conversion of Preferred Stock.</w:t>
      </w:r>
    </w:p>
    <w:p>
      <w:pPr>
        <w:spacing w:after="0" w:line="164" w:lineRule="exact"/>
        <w:rPr>
          <w:rFonts w:ascii="Arial" w:cs="Arial" w:eastAsia="Arial" w:hAnsi="Arial"/>
          <w:sz w:val="16"/>
          <w:szCs w:val="16"/>
          <w:color w:val="auto"/>
        </w:rPr>
      </w:pPr>
    </w:p>
    <w:p>
      <w:pPr>
        <w:ind w:right="260" w:firstLine="987"/>
        <w:spacing w:after="0" w:line="259" w:lineRule="auto"/>
        <w:tabs>
          <w:tab w:leader="none" w:pos="1431" w:val="left"/>
        </w:tabs>
        <w:numPr>
          <w:ilvl w:val="0"/>
          <w:numId w:val="2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Waiver of Adjustment of Conversion Price. </w:t>
      </w:r>
      <w:r>
        <w:rPr>
          <w:rFonts w:ascii="Arial" w:cs="Arial" w:eastAsia="Arial" w:hAnsi="Arial"/>
          <w:sz w:val="18"/>
          <w:szCs w:val="18"/>
          <w:color w:val="auto"/>
        </w:rPr>
        <w:t>Notwithstanding anything herein to the contrary, any downward adjustment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Conversion Price of any series of Preferred Stock may be waived by the consent or vote of the holders of a majority of the outstanding shares of such series, voting as a separate class, either before or after the issuance causing the adjustment. Any such waiver will bind all future holders of shares of such series of Preferred Stock.</w:t>
      </w:r>
    </w:p>
    <w:p>
      <w:pPr>
        <w:spacing w:after="0" w:line="186" w:lineRule="exact"/>
        <w:rPr>
          <w:rFonts w:ascii="Arial" w:cs="Arial" w:eastAsia="Arial" w:hAnsi="Arial"/>
          <w:sz w:val="18"/>
          <w:szCs w:val="18"/>
          <w:color w:val="auto"/>
        </w:rPr>
      </w:pPr>
    </w:p>
    <w:p>
      <w:pPr>
        <w:ind w:left="1420" w:hanging="433"/>
        <w:spacing w:after="0"/>
        <w:tabs>
          <w:tab w:leader="none" w:pos="1420" w:val="left"/>
        </w:tabs>
        <w:numPr>
          <w:ilvl w:val="0"/>
          <w:numId w:val="2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Notices of Record Date. </w:t>
      </w:r>
      <w:r>
        <w:rPr>
          <w:rFonts w:ascii="Arial" w:cs="Arial" w:eastAsia="Arial" w:hAnsi="Arial"/>
          <w:sz w:val="18"/>
          <w:szCs w:val="18"/>
          <w:color w:val="auto"/>
        </w:rPr>
        <w:t>In the event that this Corporation shall propose at any time:</w:t>
      </w:r>
    </w:p>
    <w:p>
      <w:pPr>
        <w:spacing w:after="0" w:line="225" w:lineRule="exact"/>
        <w:rPr>
          <w:rFonts w:ascii="Arial" w:cs="Arial" w:eastAsia="Arial" w:hAnsi="Arial"/>
          <w:sz w:val="18"/>
          <w:szCs w:val="18"/>
          <w:color w:val="auto"/>
        </w:rPr>
      </w:pPr>
    </w:p>
    <w:p>
      <w:pPr>
        <w:ind w:right="440" w:firstLine="1428"/>
        <w:spacing w:after="0" w:line="277" w:lineRule="auto"/>
        <w:tabs>
          <w:tab w:leader="none" w:pos="1872" w:val="left"/>
        </w:tabs>
        <w:numPr>
          <w:ilvl w:val="1"/>
          <w:numId w:val="243"/>
        </w:numPr>
        <w:rPr>
          <w:rFonts w:ascii="Arial" w:cs="Arial" w:eastAsia="Arial" w:hAnsi="Arial"/>
          <w:sz w:val="18"/>
          <w:szCs w:val="18"/>
          <w:color w:val="auto"/>
        </w:rPr>
      </w:pPr>
      <w:r>
        <w:rPr>
          <w:rFonts w:ascii="Arial" w:cs="Arial" w:eastAsia="Arial" w:hAnsi="Arial"/>
          <w:sz w:val="18"/>
          <w:szCs w:val="18"/>
          <w:color w:val="auto"/>
        </w:rPr>
        <w:t>to declare any Distribution upon its Common Stock, whether in cash, property, stock or other securities, whether or not a regular cash dividend and whether or not out of earnings or earned surplus;</w:t>
      </w:r>
    </w:p>
    <w:p>
      <w:pPr>
        <w:spacing w:after="0" w:line="170" w:lineRule="exact"/>
        <w:rPr>
          <w:rFonts w:ascii="Arial" w:cs="Arial" w:eastAsia="Arial" w:hAnsi="Arial"/>
          <w:sz w:val="18"/>
          <w:szCs w:val="18"/>
          <w:color w:val="auto"/>
        </w:rPr>
      </w:pPr>
    </w:p>
    <w:p>
      <w:pPr>
        <w:ind w:left="1880" w:hanging="452"/>
        <w:spacing w:after="0"/>
        <w:tabs>
          <w:tab w:leader="none" w:pos="1880" w:val="left"/>
        </w:tabs>
        <w:numPr>
          <w:ilvl w:val="1"/>
          <w:numId w:val="243"/>
        </w:numPr>
        <w:rPr>
          <w:rFonts w:ascii="Arial" w:cs="Arial" w:eastAsia="Arial" w:hAnsi="Arial"/>
          <w:sz w:val="16"/>
          <w:szCs w:val="16"/>
          <w:color w:val="auto"/>
        </w:rPr>
      </w:pPr>
      <w:r>
        <w:rPr>
          <w:rFonts w:ascii="Arial" w:cs="Arial" w:eastAsia="Arial" w:hAnsi="Arial"/>
          <w:sz w:val="16"/>
          <w:szCs w:val="16"/>
          <w:color w:val="auto"/>
        </w:rPr>
        <w:t>to effect any reclassification or recapitalization of its Common Stock outstanding involving a change in the Common Stock; or</w:t>
      </w:r>
    </w:p>
    <w:p>
      <w:pPr>
        <w:spacing w:after="0" w:line="248" w:lineRule="exact"/>
        <w:rPr>
          <w:rFonts w:ascii="Arial" w:cs="Arial" w:eastAsia="Arial" w:hAnsi="Arial"/>
          <w:sz w:val="16"/>
          <w:szCs w:val="16"/>
          <w:color w:val="auto"/>
        </w:rPr>
      </w:pPr>
    </w:p>
    <w:p>
      <w:pPr>
        <w:ind w:right="40" w:firstLine="1428"/>
        <w:spacing w:after="0" w:line="277" w:lineRule="auto"/>
        <w:tabs>
          <w:tab w:leader="none" w:pos="1882" w:val="left"/>
        </w:tabs>
        <w:numPr>
          <w:ilvl w:val="1"/>
          <w:numId w:val="243"/>
        </w:numPr>
        <w:rPr>
          <w:rFonts w:ascii="Arial" w:cs="Arial" w:eastAsia="Arial" w:hAnsi="Arial"/>
          <w:sz w:val="18"/>
          <w:szCs w:val="18"/>
          <w:color w:val="auto"/>
        </w:rPr>
      </w:pPr>
      <w:r>
        <w:rPr>
          <w:rFonts w:ascii="Arial" w:cs="Arial" w:eastAsia="Arial" w:hAnsi="Arial"/>
          <w:sz w:val="18"/>
          <w:szCs w:val="18"/>
          <w:color w:val="auto"/>
        </w:rPr>
        <w:t>to voluntarily liquidate or dissolve or to enter into any transaction deemed to be a liquidation, dissolution or winding up of the corporation pursuant to Section 3(c);</w:t>
      </w:r>
    </w:p>
    <w:p>
      <w:pPr>
        <w:spacing w:after="0" w:line="170"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then, in connection with each such event, this Corporation shall send to the holders of the Preferred Stock at least 10 days’ prior written notice of the date on which a record shall be taken for such Distribution (and specifying the date on which the holders of Common Stock shall be entitled thereto and, if applicable, the amount and character of such Distribution) or for determining rights to vote in respect of the matters referred to in (ii) and (iii) above.</w:t>
      </w:r>
    </w:p>
    <w:p>
      <w:pPr>
        <w:spacing w:after="0" w:line="149" w:lineRule="exact"/>
        <w:rPr>
          <w:sz w:val="20"/>
          <w:szCs w:val="20"/>
          <w:color w:val="auto"/>
        </w:rPr>
      </w:pPr>
    </w:p>
    <w:p>
      <w:pPr>
        <w:ind w:right="500" w:firstLine="440"/>
        <w:spacing w:after="0" w:line="342" w:lineRule="auto"/>
        <w:rPr>
          <w:sz w:val="20"/>
          <w:szCs w:val="20"/>
          <w:color w:val="auto"/>
        </w:rPr>
      </w:pPr>
      <w:r>
        <w:rPr>
          <w:rFonts w:ascii="Arial" w:cs="Arial" w:eastAsia="Arial" w:hAnsi="Arial"/>
          <w:sz w:val="16"/>
          <w:szCs w:val="16"/>
          <w:color w:val="auto"/>
        </w:rPr>
        <w:t>Such written notice shall be given by first class mail (or express courier), postage prepaid, addressed to the holders of Preferred Stock at the address for each such holder as shown on the books of the Corporation and shall be deemed given on the date such notice is mailed.</w:t>
      </w:r>
    </w:p>
    <w:p>
      <w:pPr>
        <w:spacing w:after="0" w:line="124"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The notice provisions set forth in this section may be shortened or waived prospectively or retrospectively by the consent or vote of the holders of a majority of the outstanding shares of Preferred Stock, voting together as a single class on an as-converted basis.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377" w:name="page378"/>
    <w:bookmarkEnd w:id="377"/>
    <w:p>
      <w:pPr>
        <w:ind w:firstLine="987"/>
        <w:spacing w:after="0" w:line="273" w:lineRule="auto"/>
        <w:tabs>
          <w:tab w:leader="none" w:pos="1381" w:val="left"/>
        </w:tabs>
        <w:numPr>
          <w:ilvl w:val="1"/>
          <w:numId w:val="244"/>
        </w:numPr>
        <w:rPr>
          <w:rFonts w:ascii="Arial" w:cs="Arial" w:eastAsia="Arial" w:hAnsi="Arial"/>
          <w:sz w:val="17"/>
          <w:szCs w:val="17"/>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Reservation of Stock Issuable Upon Conversion. </w:t>
      </w:r>
      <w:r>
        <w:rPr>
          <w:rFonts w:ascii="Arial" w:cs="Arial" w:eastAsia="Arial" w:hAnsi="Arial"/>
          <w:sz w:val="17"/>
          <w:szCs w:val="17"/>
          <w:color w:val="auto"/>
        </w:rPr>
        <w:t>The Corporation shall at all times reserve and keep available out of its authorized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but unissued shares of Common Stock solely for the purpose of effecting the conversion of the shares of the Preferred Stock, such number of its shares of Common Stock as shall from time to time be sufficient to effect the conversion of all then outstanding shares of the Preferred Stock; and if at any time the number of authorized but unissued shares of Common Stock shall not be sufficient to effect the conversion of all then outstanding shares of the Preferred Stock, the Corporation will take such corporate action as may, in the opinion of its counsel, be necessary to increase its authorized but unissued shares of Common Stock to such number of shares as shall be sufficient for such purpose.</w:t>
      </w:r>
    </w:p>
    <w:p>
      <w:pPr>
        <w:spacing w:after="0" w:line="281" w:lineRule="exact"/>
        <w:rPr>
          <w:rFonts w:ascii="Arial" w:cs="Arial" w:eastAsia="Arial" w:hAnsi="Arial"/>
          <w:sz w:val="17"/>
          <w:szCs w:val="17"/>
          <w:color w:val="auto"/>
        </w:rPr>
      </w:pPr>
    </w:p>
    <w:p>
      <w:pPr>
        <w:ind w:left="980" w:hanging="544"/>
        <w:spacing w:after="0"/>
        <w:tabs>
          <w:tab w:leader="none" w:pos="980"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Voting.</w:t>
      </w:r>
    </w:p>
    <w:p>
      <w:pPr>
        <w:spacing w:after="0" w:line="121" w:lineRule="exact"/>
        <w:rPr>
          <w:rFonts w:ascii="Arial" w:cs="Arial" w:eastAsia="Arial" w:hAnsi="Arial"/>
          <w:sz w:val="18"/>
          <w:szCs w:val="18"/>
          <w:b w:val="1"/>
          <w:bCs w:val="1"/>
          <w:color w:val="auto"/>
        </w:rPr>
      </w:pPr>
    </w:p>
    <w:p>
      <w:pPr>
        <w:ind w:right="140" w:firstLine="987"/>
        <w:spacing w:after="0" w:line="277" w:lineRule="auto"/>
        <w:tabs>
          <w:tab w:leader="none" w:pos="1371" w:val="left"/>
        </w:tabs>
        <w:numPr>
          <w:ilvl w:val="1"/>
          <w:numId w:val="2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Restricted Class Voting. </w:t>
      </w:r>
      <w:r>
        <w:rPr>
          <w:rFonts w:ascii="Arial" w:cs="Arial" w:eastAsia="Arial" w:hAnsi="Arial"/>
          <w:sz w:val="18"/>
          <w:szCs w:val="18"/>
          <w:color w:val="auto"/>
        </w:rPr>
        <w:t>Except as otherwise expressly provided herein or as required by law, the holders of Preferred Stock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Common Stock shall vote together and not as separate classes.</w:t>
      </w:r>
    </w:p>
    <w:p>
      <w:pPr>
        <w:spacing w:after="0" w:line="170" w:lineRule="exact"/>
        <w:rPr>
          <w:rFonts w:ascii="Arial" w:cs="Arial" w:eastAsia="Arial" w:hAnsi="Arial"/>
          <w:sz w:val="18"/>
          <w:szCs w:val="18"/>
          <w:color w:val="auto"/>
        </w:rPr>
      </w:pPr>
    </w:p>
    <w:p>
      <w:pPr>
        <w:ind w:left="1380" w:hanging="393"/>
        <w:spacing w:after="0"/>
        <w:tabs>
          <w:tab w:leader="none" w:pos="1380" w:val="left"/>
        </w:tabs>
        <w:numPr>
          <w:ilvl w:val="1"/>
          <w:numId w:val="2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Series Voting. </w:t>
      </w:r>
      <w:r>
        <w:rPr>
          <w:rFonts w:ascii="Arial" w:cs="Arial" w:eastAsia="Arial" w:hAnsi="Arial"/>
          <w:sz w:val="18"/>
          <w:szCs w:val="18"/>
          <w:color w:val="auto"/>
        </w:rPr>
        <w:t>Other than as provided herein or required by law, there shall be no series voting.</w:t>
      </w:r>
    </w:p>
    <w:p>
      <w:pPr>
        <w:spacing w:after="0" w:line="225" w:lineRule="exact"/>
        <w:rPr>
          <w:rFonts w:ascii="Arial" w:cs="Arial" w:eastAsia="Arial" w:hAnsi="Arial"/>
          <w:sz w:val="18"/>
          <w:szCs w:val="18"/>
          <w:color w:val="auto"/>
        </w:rPr>
      </w:pPr>
    </w:p>
    <w:p>
      <w:pPr>
        <w:ind w:right="20" w:firstLine="987"/>
        <w:spacing w:after="0" w:line="273" w:lineRule="auto"/>
        <w:tabs>
          <w:tab w:leader="none" w:pos="1371" w:val="left"/>
        </w:tabs>
        <w:numPr>
          <w:ilvl w:val="1"/>
          <w:numId w:val="24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Preferred Stock. </w:t>
      </w:r>
      <w:r>
        <w:rPr>
          <w:rFonts w:ascii="Arial" w:cs="Arial" w:eastAsia="Arial" w:hAnsi="Arial"/>
          <w:sz w:val="17"/>
          <w:szCs w:val="17"/>
          <w:color w:val="auto"/>
        </w:rPr>
        <w:t>Each holder of Preferred Stock shall be entitled to the number of votes equal to the number of shares of Common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 into which the shares of Preferred Stock held by such holder could be converted as of the record date. Fractional votes shall not be permitted and any fractional voting rights resulting from the above formula (after aggregating all shares into which shares of Preferred Stock held by each holder could be converted) shall be disregarded. Except as otherwise expressly provided herein or as required by law, the holders of shares of the Preferred Stock shall be entitled to vote on all matters on which the Common Stock shall be entitled to vote. Holders of Preferred Stock shall be entitled to notice of any stockholders’ meeting in accordance with the Bylaws of the Corporation.</w:t>
      </w:r>
    </w:p>
    <w:p>
      <w:pPr>
        <w:spacing w:after="0" w:line="177" w:lineRule="exact"/>
        <w:rPr>
          <w:rFonts w:ascii="Arial" w:cs="Arial" w:eastAsia="Arial" w:hAnsi="Arial"/>
          <w:sz w:val="17"/>
          <w:szCs w:val="17"/>
          <w:color w:val="auto"/>
        </w:rPr>
      </w:pPr>
    </w:p>
    <w:p>
      <w:pPr>
        <w:ind w:right="60" w:firstLine="987"/>
        <w:spacing w:after="0" w:line="296" w:lineRule="auto"/>
        <w:tabs>
          <w:tab w:leader="none" w:pos="1381" w:val="left"/>
        </w:tabs>
        <w:numPr>
          <w:ilvl w:val="1"/>
          <w:numId w:val="24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Election of Directors. </w:t>
      </w:r>
      <w:r>
        <w:rPr>
          <w:rFonts w:ascii="Arial" w:cs="Arial" w:eastAsia="Arial" w:hAnsi="Arial"/>
          <w:sz w:val="16"/>
          <w:szCs w:val="16"/>
          <w:color w:val="auto"/>
        </w:rPr>
        <w:t>The holders of Preferred Stock, voting together as a single class on an as converted basis, shall be entitled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elect three members of the Board of Directors (the “</w:t>
      </w:r>
      <w:r>
        <w:rPr>
          <w:rFonts w:ascii="Arial" w:cs="Arial" w:eastAsia="Arial" w:hAnsi="Arial"/>
          <w:sz w:val="16"/>
          <w:szCs w:val="16"/>
          <w:b w:val="1"/>
          <w:bCs w:val="1"/>
          <w:i w:val="1"/>
          <w:iCs w:val="1"/>
          <w:color w:val="auto"/>
        </w:rPr>
        <w:t>Preferred Directors</w:t>
      </w:r>
      <w:r>
        <w:rPr>
          <w:rFonts w:ascii="Arial" w:cs="Arial" w:eastAsia="Arial" w:hAnsi="Arial"/>
          <w:sz w:val="16"/>
          <w:szCs w:val="16"/>
          <w:color w:val="auto"/>
        </w:rPr>
        <w:t>”) at each meeting or pursuant to each consent of the Corporation’s stockholders for the election of directors. The holders of Common Stock, voting as a separate class, shall be entitled to elect one member of the Board of Directors at each meeting or pursuant to each consent of the Corporation’s stockholders for the election of directors. Any additional members of the Corporation’s Board of Directors shall be elected by the holders of Common Stock and Preferred Stock, voting together as a single class on an as converted basis.</w:t>
      </w:r>
    </w:p>
    <w:p>
      <w:pPr>
        <w:spacing w:after="0" w:line="161" w:lineRule="exact"/>
        <w:rPr>
          <w:rFonts w:ascii="Arial" w:cs="Arial" w:eastAsia="Arial" w:hAnsi="Arial"/>
          <w:sz w:val="16"/>
          <w:szCs w:val="16"/>
          <w:color w:val="auto"/>
        </w:rPr>
      </w:pPr>
    </w:p>
    <w:p>
      <w:pPr>
        <w:ind w:right="160" w:firstLine="987"/>
        <w:spacing w:after="0" w:line="263" w:lineRule="auto"/>
        <w:tabs>
          <w:tab w:leader="none" w:pos="1371" w:val="left"/>
        </w:tabs>
        <w:numPr>
          <w:ilvl w:val="1"/>
          <w:numId w:val="2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Adjustment in Authorized Common Stock. </w:t>
      </w:r>
      <w:r>
        <w:rPr>
          <w:rFonts w:ascii="Arial" w:cs="Arial" w:eastAsia="Arial" w:hAnsi="Arial"/>
          <w:sz w:val="18"/>
          <w:szCs w:val="18"/>
          <w:color w:val="auto"/>
        </w:rPr>
        <w:t>The number of authorized shares of Common Stock may be increased or decreased (but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below the number of shares of Common Stock then outstanding) by an affirmative vote of the holders of a majority of the capital stock of the Corporation, voting together as a single class on an as converted basis.</w:t>
      </w:r>
    </w:p>
    <w:p>
      <w:pPr>
        <w:spacing w:after="0" w:line="183" w:lineRule="exact"/>
        <w:rPr>
          <w:rFonts w:ascii="Arial" w:cs="Arial" w:eastAsia="Arial" w:hAnsi="Arial"/>
          <w:sz w:val="18"/>
          <w:szCs w:val="18"/>
          <w:color w:val="auto"/>
        </w:rPr>
      </w:pPr>
    </w:p>
    <w:p>
      <w:pPr>
        <w:ind w:left="1340" w:hanging="353"/>
        <w:spacing w:after="0"/>
        <w:tabs>
          <w:tab w:leader="none" w:pos="1340" w:val="left"/>
        </w:tabs>
        <w:numPr>
          <w:ilvl w:val="1"/>
          <w:numId w:val="2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Common Stock. </w:t>
      </w:r>
      <w:r>
        <w:rPr>
          <w:rFonts w:ascii="Arial" w:cs="Arial" w:eastAsia="Arial" w:hAnsi="Arial"/>
          <w:sz w:val="18"/>
          <w:szCs w:val="18"/>
          <w:color w:val="auto"/>
        </w:rPr>
        <w:t>Each holder of shares of Common Stock shall be entitled to one vote for each share thereof held.</w:t>
      </w:r>
    </w:p>
    <w:p>
      <w:pPr>
        <w:spacing w:after="0" w:line="221" w:lineRule="exact"/>
        <w:rPr>
          <w:rFonts w:ascii="Arial" w:cs="Arial" w:eastAsia="Arial" w:hAnsi="Arial"/>
          <w:sz w:val="18"/>
          <w:szCs w:val="18"/>
          <w:color w:val="auto"/>
        </w:rPr>
      </w:pPr>
    </w:p>
    <w:p>
      <w:pPr>
        <w:ind w:right="20" w:firstLine="436"/>
        <w:spacing w:after="0" w:line="261" w:lineRule="auto"/>
        <w:tabs>
          <w:tab w:leader="none" w:pos="980"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Amendments and Changes. </w:t>
      </w:r>
      <w:r>
        <w:rPr>
          <w:rFonts w:ascii="Arial" w:cs="Arial" w:eastAsia="Arial" w:hAnsi="Arial"/>
          <w:sz w:val="18"/>
          <w:szCs w:val="18"/>
          <w:color w:val="auto"/>
        </w:rPr>
        <w:t>As long as any shares of Preferred Stock are issued and outstanding, the Corporation shall not (whether by</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to this Certificate of Incorporation, by merger or consolidation, or otherwise), without first obtaining the approval (by vote or written consent as provided by law) of the holders of a majority of the outstanding shares of Preferred Stock, voting together as a single class on an as-converted basis: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378" w:name="page379"/>
    <w:bookmarkEnd w:id="378"/>
    <w:p>
      <w:pPr>
        <w:ind w:left="-20" w:right="80" w:firstLine="987"/>
        <w:spacing w:after="0" w:line="263" w:lineRule="auto"/>
        <w:tabs>
          <w:tab w:leader="none" w:pos="1351" w:val="left"/>
        </w:tabs>
        <w:numPr>
          <w:ilvl w:val="0"/>
          <w:numId w:val="2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 alter or repeal any provision of the Certificate of Incorporation or bylaws of the Corporation if such action would adversely alter the rights, preferences, privileges or powers of, or restrictions provided for the benefit of, or the obligation in respect of, the Preferred Stock or any series thereof;</w:t>
      </w:r>
    </w:p>
    <w:p>
      <w:pPr>
        <w:spacing w:after="0" w:line="183" w:lineRule="exact"/>
        <w:rPr>
          <w:rFonts w:ascii="Arial" w:cs="Arial" w:eastAsia="Arial" w:hAnsi="Arial"/>
          <w:sz w:val="18"/>
          <w:szCs w:val="18"/>
          <w:color w:val="auto"/>
        </w:rPr>
      </w:pPr>
    </w:p>
    <w:p>
      <w:pPr>
        <w:ind w:left="-20" w:right="140" w:firstLine="987"/>
        <w:spacing w:after="0" w:line="277" w:lineRule="auto"/>
        <w:tabs>
          <w:tab w:leader="none" w:pos="1361"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take any action that would alter or change the rights, preferences, privileges or powers of, or restrictions provided for the benefit of, or the obligation in respect of, the Preferred Stock so as to adversely affect the Preferred Stock;</w:t>
      </w:r>
    </w:p>
    <w:p>
      <w:pPr>
        <w:spacing w:after="0" w:line="170" w:lineRule="exact"/>
        <w:rPr>
          <w:rFonts w:ascii="Arial" w:cs="Arial" w:eastAsia="Arial" w:hAnsi="Arial"/>
          <w:sz w:val="18"/>
          <w:szCs w:val="18"/>
          <w:color w:val="auto"/>
        </w:rPr>
      </w:pPr>
    </w:p>
    <w:p>
      <w:pPr>
        <w:ind w:left="-20" w:right="220" w:firstLine="987"/>
        <w:spacing w:after="0" w:line="277" w:lineRule="auto"/>
        <w:tabs>
          <w:tab w:leader="none" w:pos="1351"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increase or decrease (other than for decreases resulting from conversion of the Preferred Stock) the authorized number of shares of Common Stock or Preferred Stock or any series thereof;</w:t>
      </w:r>
    </w:p>
    <w:p>
      <w:pPr>
        <w:spacing w:after="0" w:line="170" w:lineRule="exact"/>
        <w:rPr>
          <w:rFonts w:ascii="Arial" w:cs="Arial" w:eastAsia="Arial" w:hAnsi="Arial"/>
          <w:sz w:val="18"/>
          <w:szCs w:val="18"/>
          <w:color w:val="auto"/>
        </w:rPr>
      </w:pPr>
    </w:p>
    <w:p>
      <w:pPr>
        <w:ind w:left="-20" w:right="160" w:firstLine="987"/>
        <w:spacing w:after="0" w:line="277" w:lineRule="auto"/>
        <w:tabs>
          <w:tab w:leader="none" w:pos="1361"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authorize or create (by reclassification, merger or otherwise) any new class or series of equity security having rights, preferences or privileges senior to or on a parity with any series of Preferred Stock;</w:t>
      </w:r>
    </w:p>
    <w:p>
      <w:pPr>
        <w:spacing w:after="0" w:line="170" w:lineRule="exact"/>
        <w:rPr>
          <w:rFonts w:ascii="Arial" w:cs="Arial" w:eastAsia="Arial" w:hAnsi="Arial"/>
          <w:sz w:val="18"/>
          <w:szCs w:val="18"/>
          <w:color w:val="auto"/>
        </w:rPr>
      </w:pPr>
    </w:p>
    <w:p>
      <w:pPr>
        <w:ind w:left="-20" w:right="240" w:firstLine="987"/>
        <w:spacing w:after="0" w:line="277" w:lineRule="auto"/>
        <w:tabs>
          <w:tab w:leader="none" w:pos="1351" w:val="left"/>
        </w:tabs>
        <w:numPr>
          <w:ilvl w:val="0"/>
          <w:numId w:val="246"/>
        </w:numPr>
        <w:rPr>
          <w:rFonts w:ascii="Arial" w:cs="Arial" w:eastAsia="Arial" w:hAnsi="Arial"/>
          <w:sz w:val="18"/>
          <w:szCs w:val="18"/>
          <w:color w:val="auto"/>
        </w:rPr>
      </w:pPr>
      <w:r>
        <w:rPr>
          <w:rFonts w:ascii="Arial" w:cs="Arial" w:eastAsia="Arial" w:hAnsi="Arial"/>
          <w:sz w:val="18"/>
          <w:szCs w:val="18"/>
          <w:color w:val="auto"/>
        </w:rPr>
        <w:t>enter into any transaction or series of related transactions that is, or is deemed to be, a liquidation, dissolution or winding up of the Corporation pursuant to Section 3(c);</w:t>
      </w:r>
    </w:p>
    <w:p>
      <w:pPr>
        <w:spacing w:after="0" w:line="170" w:lineRule="exact"/>
        <w:rPr>
          <w:rFonts w:ascii="Arial" w:cs="Arial" w:eastAsia="Arial" w:hAnsi="Arial"/>
          <w:sz w:val="18"/>
          <w:szCs w:val="18"/>
          <w:color w:val="auto"/>
        </w:rPr>
      </w:pPr>
    </w:p>
    <w:p>
      <w:pPr>
        <w:ind w:left="1320" w:hanging="353"/>
        <w:spacing w:after="0"/>
        <w:tabs>
          <w:tab w:leader="none" w:pos="132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increase or decrease the authorized size of the Board of Directors;</w:t>
      </w:r>
    </w:p>
    <w:p>
      <w:pPr>
        <w:spacing w:after="0" w:line="225" w:lineRule="exact"/>
        <w:rPr>
          <w:rFonts w:ascii="Arial" w:cs="Arial" w:eastAsia="Arial" w:hAnsi="Arial"/>
          <w:sz w:val="18"/>
          <w:szCs w:val="18"/>
          <w:color w:val="auto"/>
        </w:rPr>
      </w:pPr>
    </w:p>
    <w:p>
      <w:pPr>
        <w:ind w:left="-20" w:firstLine="987"/>
        <w:spacing w:after="0" w:line="277" w:lineRule="auto"/>
        <w:tabs>
          <w:tab w:leader="none" w:pos="1361" w:val="left"/>
        </w:tabs>
        <w:numPr>
          <w:ilvl w:val="0"/>
          <w:numId w:val="246"/>
        </w:numPr>
        <w:rPr>
          <w:rFonts w:ascii="Arial" w:cs="Arial" w:eastAsia="Arial" w:hAnsi="Arial"/>
          <w:sz w:val="18"/>
          <w:szCs w:val="18"/>
          <w:color w:val="auto"/>
        </w:rPr>
      </w:pPr>
      <w:r>
        <w:rPr>
          <w:rFonts w:ascii="Arial" w:cs="Arial" w:eastAsia="Arial" w:hAnsi="Arial"/>
          <w:sz w:val="18"/>
          <w:szCs w:val="18"/>
          <w:color w:val="auto"/>
        </w:rPr>
        <w:t>declare or pay a dividend or otherwise make any Distribution with respect to the Common Stock (other than as expressly permitted in the Certificate of Incorporation);</w:t>
      </w:r>
    </w:p>
    <w:p>
      <w:pPr>
        <w:spacing w:after="0" w:line="170" w:lineRule="exact"/>
        <w:rPr>
          <w:rFonts w:ascii="Arial" w:cs="Arial" w:eastAsia="Arial" w:hAnsi="Arial"/>
          <w:sz w:val="18"/>
          <w:szCs w:val="18"/>
          <w:color w:val="auto"/>
        </w:rPr>
      </w:pPr>
    </w:p>
    <w:p>
      <w:pPr>
        <w:jc w:val="both"/>
        <w:ind w:left="-20" w:right="100" w:firstLine="987"/>
        <w:spacing w:after="0" w:line="263" w:lineRule="auto"/>
        <w:tabs>
          <w:tab w:leader="none" w:pos="1361" w:val="left"/>
        </w:tabs>
        <w:numPr>
          <w:ilvl w:val="0"/>
          <w:numId w:val="246"/>
        </w:numPr>
        <w:rPr>
          <w:rFonts w:ascii="Arial" w:cs="Arial" w:eastAsia="Arial" w:hAnsi="Arial"/>
          <w:sz w:val="18"/>
          <w:szCs w:val="18"/>
          <w:color w:val="auto"/>
        </w:rPr>
      </w:pPr>
      <w:r>
        <w:rPr>
          <w:rFonts w:ascii="Arial" w:cs="Arial" w:eastAsia="Arial" w:hAnsi="Arial"/>
          <w:sz w:val="18"/>
          <w:szCs w:val="18"/>
          <w:color w:val="auto"/>
        </w:rPr>
        <w:t>encumber or grant a security interest in all or substantially all of the assets of the Corporation or assign or grant an exclusive license to any material intellectual property asset of the Corporation or its subsidiaries, unless the same has been approved by the Board of Directors, including the approval of a majority of the then-serving Preferred Directors;</w:t>
      </w:r>
    </w:p>
    <w:p>
      <w:pPr>
        <w:spacing w:after="0" w:line="183" w:lineRule="exact"/>
        <w:rPr>
          <w:rFonts w:ascii="Arial" w:cs="Arial" w:eastAsia="Arial" w:hAnsi="Arial"/>
          <w:sz w:val="18"/>
          <w:szCs w:val="18"/>
          <w:color w:val="auto"/>
        </w:rPr>
      </w:pPr>
    </w:p>
    <w:p>
      <w:pPr>
        <w:ind w:left="-20" w:right="360" w:firstLine="987"/>
        <w:spacing w:after="0" w:line="277" w:lineRule="auto"/>
        <w:tabs>
          <w:tab w:leader="none" w:pos="1321"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incur any indebtedness for borrowed money in excess of $1,000,000 in the aggregate, unless approved by the Board of Directors, including the approval of a majority of the then-serving Preferred Directors;</w:t>
      </w:r>
    </w:p>
    <w:p>
      <w:pPr>
        <w:spacing w:after="0" w:line="170" w:lineRule="exact"/>
        <w:rPr>
          <w:rFonts w:ascii="Arial" w:cs="Arial" w:eastAsia="Arial" w:hAnsi="Arial"/>
          <w:sz w:val="18"/>
          <w:szCs w:val="18"/>
          <w:color w:val="auto"/>
        </w:rPr>
      </w:pPr>
    </w:p>
    <w:p>
      <w:pPr>
        <w:ind w:left="-20" w:right="320" w:firstLine="987"/>
        <w:spacing w:after="0" w:line="263" w:lineRule="auto"/>
        <w:tabs>
          <w:tab w:leader="none" w:pos="1321"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acquire, or permit any subsidiary to acquire, by merger, purchase of stock or assets, any other business combination transaction or otherwise, any assets or equity interests of any person or entity for consideration in excess of $1,000,000, other than investments pursuant to an investment policy approved by the Board of Directors;</w:t>
      </w:r>
    </w:p>
    <w:p>
      <w:pPr>
        <w:spacing w:after="0" w:line="183" w:lineRule="exact"/>
        <w:rPr>
          <w:rFonts w:ascii="Arial" w:cs="Arial" w:eastAsia="Arial" w:hAnsi="Arial"/>
          <w:sz w:val="18"/>
          <w:szCs w:val="18"/>
          <w:color w:val="auto"/>
        </w:rPr>
      </w:pPr>
    </w:p>
    <w:p>
      <w:pPr>
        <w:ind w:left="-20" w:right="80" w:firstLine="987"/>
        <w:spacing w:after="0" w:line="277" w:lineRule="auto"/>
        <w:tabs>
          <w:tab w:leader="none" w:pos="1361"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increase the number of shares authorized for issuance under any existing stock or option plan or create any new stock or option plan, unless approved by the Board of Directors, including the approval of a majority of the then-serving Preferred Directors;</w:t>
      </w:r>
    </w:p>
    <w:p>
      <w:pPr>
        <w:spacing w:after="0" w:line="170" w:lineRule="exact"/>
        <w:rPr>
          <w:rFonts w:ascii="Arial" w:cs="Arial" w:eastAsia="Arial" w:hAnsi="Arial"/>
          <w:sz w:val="18"/>
          <w:szCs w:val="18"/>
          <w:color w:val="auto"/>
        </w:rPr>
      </w:pPr>
    </w:p>
    <w:p>
      <w:pPr>
        <w:ind w:left="-20" w:right="20" w:firstLine="987"/>
        <w:spacing w:after="0" w:line="255" w:lineRule="auto"/>
        <w:tabs>
          <w:tab w:leader="none" w:pos="1321"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authorize the redemption of any capital stock of the Corporation other than (i) repurchases of Common Stock issued to or held by employees, directors or consultants of the Corporation upon termination of their employment or services pursuant to agreements providing for the right of said repurchase, approved by the Board of Directors, including the approval of a majority of the then-serving Preferred Directors, and (ii) repurchases of Common Stock issued to or held by employees, officers, directors or consultants of the Corporation pursuant to rights of first refusal contained in agreements providing for such rights, approved by the Board of Directors, including the approval of a majority of the then-serving Preferred Directors; or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60" w:top="274" w:right="459" w:bottom="1440" w:gutter="0" w:footer="0" w:header="0"/>
        </w:sectPr>
      </w:pPr>
    </w:p>
    <w:bookmarkStart w:id="379" w:name="page380"/>
    <w:bookmarkEnd w:id="379"/>
    <w:p>
      <w:pPr>
        <w:ind w:left="1424" w:hanging="433"/>
        <w:spacing w:after="0"/>
        <w:tabs>
          <w:tab w:leader="none" w:pos="1424" w:val="left"/>
        </w:tabs>
        <w:numPr>
          <w:ilvl w:val="2"/>
          <w:numId w:val="2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 this Section 6.</w:t>
      </w:r>
    </w:p>
    <w:p>
      <w:pPr>
        <w:spacing w:after="0" w:line="221" w:lineRule="exact"/>
        <w:rPr>
          <w:rFonts w:ascii="Arial" w:cs="Arial" w:eastAsia="Arial" w:hAnsi="Arial"/>
          <w:sz w:val="18"/>
          <w:szCs w:val="18"/>
          <w:color w:val="auto"/>
        </w:rPr>
      </w:pPr>
    </w:p>
    <w:p>
      <w:pPr>
        <w:jc w:val="both"/>
        <w:ind w:left="4" w:right="40" w:firstLine="436"/>
        <w:spacing w:after="0" w:line="314" w:lineRule="auto"/>
        <w:tabs>
          <w:tab w:leader="none" w:pos="984" w:val="left"/>
        </w:tabs>
        <w:numPr>
          <w:ilvl w:val="1"/>
          <w:numId w:val="248"/>
        </w:numPr>
        <w:rPr>
          <w:rFonts w:ascii="Arial" w:cs="Arial" w:eastAsia="Arial" w:hAnsi="Arial"/>
          <w:sz w:val="16"/>
          <w:szCs w:val="16"/>
          <w:b w:val="1"/>
          <w:bCs w:val="1"/>
          <w:color w:val="auto"/>
        </w:rPr>
      </w:pPr>
      <w:r>
        <w:rPr>
          <w:rFonts w:ascii="Arial" w:cs="Arial" w:eastAsia="Arial" w:hAnsi="Arial"/>
          <w:sz w:val="16"/>
          <w:szCs w:val="16"/>
          <w:b w:val="1"/>
          <w:bCs w:val="1"/>
          <w:color w:val="auto"/>
        </w:rPr>
        <w:t>Series B Protective Provisions</w:t>
      </w:r>
      <w:r>
        <w:rPr>
          <w:rFonts w:ascii="Arial" w:cs="Arial" w:eastAsia="Arial" w:hAnsi="Arial"/>
          <w:sz w:val="16"/>
          <w:szCs w:val="16"/>
          <w:color w:val="auto"/>
        </w:rPr>
        <w:t>. As long as any shares of Series B Preferred Stock are issued and outstanding, the Corporation shall not</w:t>
      </w:r>
      <w:r>
        <w:rPr>
          <w:rFonts w:ascii="Arial" w:cs="Arial" w:eastAsia="Arial" w:hAnsi="Arial"/>
          <w:sz w:val="16"/>
          <w:szCs w:val="16"/>
          <w:b w:val="1"/>
          <w:bCs w:val="1"/>
          <w:color w:val="auto"/>
        </w:rPr>
        <w:t xml:space="preserve"> </w:t>
      </w:r>
      <w:r>
        <w:rPr>
          <w:rFonts w:ascii="Arial" w:cs="Arial" w:eastAsia="Arial" w:hAnsi="Arial"/>
          <w:sz w:val="16"/>
          <w:szCs w:val="16"/>
          <w:color w:val="auto"/>
        </w:rPr>
        <w:t>(whether by amendment to this Certificate of Incorporation, by merger or consolidation, or otherwise), without first obtaining the approval (by vote or written consent as provided by law) of the holders of a majority of the outstanding shares of Series B Preferred Stock voting as a separate series:</w:t>
      </w:r>
    </w:p>
    <w:p>
      <w:pPr>
        <w:spacing w:after="0" w:line="145" w:lineRule="exact"/>
        <w:rPr>
          <w:rFonts w:ascii="Arial" w:cs="Arial" w:eastAsia="Arial" w:hAnsi="Arial"/>
          <w:sz w:val="16"/>
          <w:szCs w:val="16"/>
          <w:b w:val="1"/>
          <w:bCs w:val="1"/>
          <w:color w:val="auto"/>
        </w:rPr>
      </w:pPr>
    </w:p>
    <w:p>
      <w:pPr>
        <w:ind w:left="4" w:firstLine="987"/>
        <w:spacing w:after="0" w:line="286" w:lineRule="auto"/>
        <w:tabs>
          <w:tab w:leader="none" w:pos="1375" w:val="left"/>
        </w:tabs>
        <w:numPr>
          <w:ilvl w:val="2"/>
          <w:numId w:val="248"/>
        </w:numPr>
        <w:rPr>
          <w:rFonts w:ascii="Arial" w:cs="Arial" w:eastAsia="Arial" w:hAnsi="Arial"/>
          <w:sz w:val="17"/>
          <w:szCs w:val="17"/>
          <w:color w:val="auto"/>
        </w:rPr>
      </w:pPr>
      <w:r>
        <w:rPr>
          <w:rFonts w:ascii="Arial" w:cs="Arial" w:eastAsia="Arial" w:hAnsi="Arial"/>
          <w:sz w:val="17"/>
          <w:szCs w:val="17"/>
          <w:color w:val="auto"/>
        </w:rPr>
        <w:t>take any action that would adversely alter the rights, preferences, privileges or powers of, or restrictions provided for the benefit of, or the obligations in respect of, the Series B Preferred Stock but shall not so affect the entire class of Preferred Stock (provided that, for clarity, the creation or issuance of a new series of senior Preferred Stock shall not, in and of itself, trigger this Section 7(a));</w:t>
      </w:r>
    </w:p>
    <w:p>
      <w:pPr>
        <w:spacing w:after="0" w:line="165" w:lineRule="exact"/>
        <w:rPr>
          <w:rFonts w:ascii="Arial" w:cs="Arial" w:eastAsia="Arial" w:hAnsi="Arial"/>
          <w:sz w:val="17"/>
          <w:szCs w:val="17"/>
          <w:color w:val="auto"/>
        </w:rPr>
      </w:pPr>
    </w:p>
    <w:p>
      <w:pPr>
        <w:ind w:left="4" w:right="60" w:firstLine="987"/>
        <w:spacing w:after="0" w:line="277" w:lineRule="auto"/>
        <w:tabs>
          <w:tab w:leader="none" w:pos="1385" w:val="left"/>
        </w:tabs>
        <w:numPr>
          <w:ilvl w:val="2"/>
          <w:numId w:val="248"/>
        </w:numPr>
        <w:rPr>
          <w:rFonts w:ascii="Arial" w:cs="Arial" w:eastAsia="Arial" w:hAnsi="Arial"/>
          <w:sz w:val="18"/>
          <w:szCs w:val="18"/>
          <w:color w:val="auto"/>
        </w:rPr>
      </w:pPr>
      <w:r>
        <w:rPr>
          <w:rFonts w:ascii="Arial" w:cs="Arial" w:eastAsia="Arial" w:hAnsi="Arial"/>
          <w:sz w:val="18"/>
          <w:szCs w:val="18"/>
          <w:color w:val="auto"/>
        </w:rPr>
        <w:t>increase or decrease (other than for decreases resulting from conversion of the Preferred Stock) the authorized number of shares of Series B Preferred Stock;</w:t>
      </w:r>
    </w:p>
    <w:p>
      <w:pPr>
        <w:spacing w:after="0" w:line="170" w:lineRule="exact"/>
        <w:rPr>
          <w:rFonts w:ascii="Arial" w:cs="Arial" w:eastAsia="Arial" w:hAnsi="Arial"/>
          <w:sz w:val="18"/>
          <w:szCs w:val="18"/>
          <w:color w:val="auto"/>
        </w:rPr>
      </w:pPr>
    </w:p>
    <w:p>
      <w:pPr>
        <w:ind w:left="1364" w:hanging="373"/>
        <w:spacing w:after="0"/>
        <w:tabs>
          <w:tab w:leader="none" w:pos="1364" w:val="left"/>
        </w:tabs>
        <w:numPr>
          <w:ilvl w:val="2"/>
          <w:numId w:val="248"/>
        </w:numPr>
        <w:rPr>
          <w:rFonts w:ascii="Arial" w:cs="Arial" w:eastAsia="Arial" w:hAnsi="Arial"/>
          <w:sz w:val="16"/>
          <w:szCs w:val="16"/>
          <w:color w:val="auto"/>
        </w:rPr>
      </w:pPr>
      <w:r>
        <w:rPr>
          <w:rFonts w:ascii="Arial" w:cs="Arial" w:eastAsia="Arial" w:hAnsi="Arial"/>
          <w:sz w:val="16"/>
          <w:szCs w:val="16"/>
          <w:color w:val="auto"/>
        </w:rPr>
        <w:t>require (i) the conversion of Series B Preferred Stock held by a holder into Common Stock or another class or series of stock or</w:t>
      </w:r>
    </w:p>
    <w:p>
      <w:pPr>
        <w:spacing w:after="0" w:line="46" w:lineRule="exact"/>
        <w:rPr>
          <w:rFonts w:ascii="Arial" w:cs="Arial" w:eastAsia="Arial" w:hAnsi="Arial"/>
          <w:sz w:val="16"/>
          <w:szCs w:val="16"/>
          <w:color w:val="auto"/>
        </w:rPr>
      </w:pPr>
    </w:p>
    <w:p>
      <w:pPr>
        <w:ind w:left="4" w:hanging="4"/>
        <w:spacing w:after="0" w:line="281" w:lineRule="auto"/>
        <w:tabs>
          <w:tab w:leader="none" w:pos="269" w:val="left"/>
        </w:tabs>
        <w:numPr>
          <w:ilvl w:val="0"/>
          <w:numId w:val="249"/>
        </w:numPr>
        <w:rPr>
          <w:rFonts w:ascii="Arial" w:cs="Arial" w:eastAsia="Arial" w:hAnsi="Arial"/>
          <w:sz w:val="16"/>
          <w:szCs w:val="16"/>
          <w:color w:val="auto"/>
        </w:rPr>
      </w:pPr>
      <w:r>
        <w:rPr>
          <w:rFonts w:ascii="Arial" w:cs="Arial" w:eastAsia="Arial" w:hAnsi="Arial"/>
          <w:sz w:val="16"/>
          <w:szCs w:val="16"/>
          <w:color w:val="auto"/>
        </w:rPr>
        <w:t>termination or waiver of any rights of a holder with respect to such holder’s shares of Series B Preferred Stock; in each case as a result of such holder’s failure to purchase securities or other instruments of the Corporation sold by the Corporation in a transaction or series of transactions undertaken principally for the purpose of raising capital pursuant to the terms of the agreement(s) under which such securities or other instruments are issued and sold (provided that, for clarity, the automatic conversion of shares of Preferred Stock into shares of Common Stock pursuant to clause (i) or</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250"/>
        </w:numPr>
        <w:rPr>
          <w:rFonts w:ascii="Arial" w:cs="Arial" w:eastAsia="Arial" w:hAnsi="Arial"/>
          <w:sz w:val="18"/>
          <w:szCs w:val="18"/>
          <w:color w:val="auto"/>
        </w:rPr>
      </w:pPr>
      <w:r>
        <w:rPr>
          <w:rFonts w:ascii="Arial" w:cs="Arial" w:eastAsia="Arial" w:hAnsi="Arial"/>
          <w:sz w:val="18"/>
          <w:szCs w:val="18"/>
          <w:color w:val="auto"/>
        </w:rPr>
        <w:t>of Section 4(b) shall not, in and of itself, trigger this Section 7(c)); or</w:t>
      </w:r>
    </w:p>
    <w:p>
      <w:pPr>
        <w:spacing w:after="0" w:line="210" w:lineRule="exact"/>
        <w:rPr>
          <w:rFonts w:ascii="Arial" w:cs="Arial" w:eastAsia="Arial" w:hAnsi="Arial"/>
          <w:sz w:val="18"/>
          <w:szCs w:val="18"/>
          <w:color w:val="auto"/>
        </w:rPr>
      </w:pPr>
    </w:p>
    <w:p>
      <w:pPr>
        <w:ind w:left="1384" w:hanging="393"/>
        <w:spacing w:after="0"/>
        <w:tabs>
          <w:tab w:leader="none" w:pos="1384" w:val="left"/>
        </w:tabs>
        <w:numPr>
          <w:ilvl w:val="2"/>
          <w:numId w:val="250"/>
        </w:numPr>
        <w:rPr>
          <w:rFonts w:ascii="Arial" w:cs="Arial" w:eastAsia="Arial" w:hAnsi="Arial"/>
          <w:sz w:val="18"/>
          <w:szCs w:val="18"/>
          <w:color w:val="auto"/>
        </w:rPr>
      </w:pPr>
      <w:r>
        <w:rPr>
          <w:rFonts w:ascii="Arial" w:cs="Arial" w:eastAsia="Arial" w:hAnsi="Arial"/>
          <w:sz w:val="18"/>
          <w:szCs w:val="18"/>
          <w:color w:val="auto"/>
        </w:rPr>
        <w:t>amend this Section 7.</w:t>
      </w:r>
    </w:p>
    <w:p>
      <w:pPr>
        <w:spacing w:after="0" w:line="221" w:lineRule="exact"/>
        <w:rPr>
          <w:rFonts w:ascii="Arial" w:cs="Arial" w:eastAsia="Arial" w:hAnsi="Arial"/>
          <w:sz w:val="18"/>
          <w:szCs w:val="18"/>
          <w:color w:val="auto"/>
        </w:rPr>
      </w:pPr>
    </w:p>
    <w:p>
      <w:pPr>
        <w:jc w:val="both"/>
        <w:ind w:left="4" w:right="40" w:firstLine="436"/>
        <w:spacing w:after="0" w:line="314" w:lineRule="auto"/>
        <w:tabs>
          <w:tab w:leader="none" w:pos="984" w:val="left"/>
        </w:tabs>
        <w:numPr>
          <w:ilvl w:val="1"/>
          <w:numId w:val="250"/>
        </w:numPr>
        <w:rPr>
          <w:rFonts w:ascii="Arial" w:cs="Arial" w:eastAsia="Arial" w:hAnsi="Arial"/>
          <w:sz w:val="16"/>
          <w:szCs w:val="16"/>
          <w:b w:val="1"/>
          <w:bCs w:val="1"/>
          <w:color w:val="auto"/>
        </w:rPr>
      </w:pPr>
      <w:r>
        <w:rPr>
          <w:rFonts w:ascii="Arial" w:cs="Arial" w:eastAsia="Arial" w:hAnsi="Arial"/>
          <w:sz w:val="16"/>
          <w:szCs w:val="16"/>
          <w:b w:val="1"/>
          <w:bCs w:val="1"/>
          <w:color w:val="auto"/>
        </w:rPr>
        <w:t>Series C Protective Provisions</w:t>
      </w:r>
      <w:r>
        <w:rPr>
          <w:rFonts w:ascii="Arial" w:cs="Arial" w:eastAsia="Arial" w:hAnsi="Arial"/>
          <w:sz w:val="16"/>
          <w:szCs w:val="16"/>
          <w:color w:val="auto"/>
        </w:rPr>
        <w:t>. As long as any shares of Series C Preferred Stock are issued and outstanding, the Corporation shall not</w:t>
      </w:r>
      <w:r>
        <w:rPr>
          <w:rFonts w:ascii="Arial" w:cs="Arial" w:eastAsia="Arial" w:hAnsi="Arial"/>
          <w:sz w:val="16"/>
          <w:szCs w:val="16"/>
          <w:b w:val="1"/>
          <w:bCs w:val="1"/>
          <w:color w:val="auto"/>
        </w:rPr>
        <w:t xml:space="preserve"> </w:t>
      </w:r>
      <w:r>
        <w:rPr>
          <w:rFonts w:ascii="Arial" w:cs="Arial" w:eastAsia="Arial" w:hAnsi="Arial"/>
          <w:sz w:val="16"/>
          <w:szCs w:val="16"/>
          <w:color w:val="auto"/>
        </w:rPr>
        <w:t>(whether by amendment to this Certificate of Incorporation, by merger or consolidation, or otherwise), without first obtaining the approval (by vote or written consent as provided by law) of the holders of a majority of the outstanding shares of Series C Preferred Stock voting as a separate series:</w:t>
      </w:r>
    </w:p>
    <w:p>
      <w:pPr>
        <w:spacing w:after="0" w:line="145" w:lineRule="exact"/>
        <w:rPr>
          <w:rFonts w:ascii="Arial" w:cs="Arial" w:eastAsia="Arial" w:hAnsi="Arial"/>
          <w:sz w:val="16"/>
          <w:szCs w:val="16"/>
          <w:b w:val="1"/>
          <w:bCs w:val="1"/>
          <w:color w:val="auto"/>
        </w:rPr>
      </w:pPr>
    </w:p>
    <w:p>
      <w:pPr>
        <w:ind w:left="4" w:firstLine="987"/>
        <w:spacing w:after="0" w:line="286" w:lineRule="auto"/>
        <w:tabs>
          <w:tab w:leader="none" w:pos="1375" w:val="left"/>
        </w:tabs>
        <w:numPr>
          <w:ilvl w:val="2"/>
          <w:numId w:val="251"/>
        </w:numPr>
        <w:rPr>
          <w:rFonts w:ascii="Arial" w:cs="Arial" w:eastAsia="Arial" w:hAnsi="Arial"/>
          <w:sz w:val="17"/>
          <w:szCs w:val="17"/>
          <w:color w:val="auto"/>
        </w:rPr>
      </w:pPr>
      <w:r>
        <w:rPr>
          <w:rFonts w:ascii="Arial" w:cs="Arial" w:eastAsia="Arial" w:hAnsi="Arial"/>
          <w:sz w:val="17"/>
          <w:szCs w:val="17"/>
          <w:color w:val="auto"/>
        </w:rPr>
        <w:t>take any action that would adversely alter the rights, preferences, privileges or powers of, or restrictions provided for the benefit of, or the obligations in respect of, the Series C Preferred Stock but shall not so affect the entire class of Preferred Stock (provided that, for clarity, the creation or issuance of a new series of senior Preferred Stock shall not, in and of itself, trigger this Section 8(a));</w:t>
      </w:r>
    </w:p>
    <w:p>
      <w:pPr>
        <w:spacing w:after="0" w:line="165" w:lineRule="exact"/>
        <w:rPr>
          <w:rFonts w:ascii="Arial" w:cs="Arial" w:eastAsia="Arial" w:hAnsi="Arial"/>
          <w:sz w:val="17"/>
          <w:szCs w:val="17"/>
          <w:color w:val="auto"/>
        </w:rPr>
      </w:pPr>
    </w:p>
    <w:p>
      <w:pPr>
        <w:ind w:left="4" w:right="60" w:firstLine="987"/>
        <w:spacing w:after="0" w:line="277" w:lineRule="auto"/>
        <w:tabs>
          <w:tab w:leader="none" w:pos="1385" w:val="left"/>
        </w:tabs>
        <w:numPr>
          <w:ilvl w:val="2"/>
          <w:numId w:val="251"/>
        </w:numPr>
        <w:rPr>
          <w:rFonts w:ascii="Arial" w:cs="Arial" w:eastAsia="Arial" w:hAnsi="Arial"/>
          <w:sz w:val="18"/>
          <w:szCs w:val="18"/>
          <w:color w:val="auto"/>
        </w:rPr>
      </w:pPr>
      <w:r>
        <w:rPr>
          <w:rFonts w:ascii="Arial" w:cs="Arial" w:eastAsia="Arial" w:hAnsi="Arial"/>
          <w:sz w:val="18"/>
          <w:szCs w:val="18"/>
          <w:color w:val="auto"/>
        </w:rPr>
        <w:t>increase or decrease (other than for decreases resulting from conversion of the Preferred Stock) the authorized number of shares of Series C Preferred Stock;</w:t>
      </w:r>
    </w:p>
    <w:p>
      <w:pPr>
        <w:spacing w:after="0" w:line="170" w:lineRule="exact"/>
        <w:rPr>
          <w:rFonts w:ascii="Arial" w:cs="Arial" w:eastAsia="Arial" w:hAnsi="Arial"/>
          <w:sz w:val="18"/>
          <w:szCs w:val="18"/>
          <w:color w:val="auto"/>
        </w:rPr>
      </w:pPr>
    </w:p>
    <w:p>
      <w:pPr>
        <w:ind w:left="1364" w:hanging="373"/>
        <w:spacing w:after="0"/>
        <w:tabs>
          <w:tab w:leader="none" w:pos="1364" w:val="left"/>
        </w:tabs>
        <w:numPr>
          <w:ilvl w:val="2"/>
          <w:numId w:val="251"/>
        </w:numPr>
        <w:rPr>
          <w:rFonts w:ascii="Arial" w:cs="Arial" w:eastAsia="Arial" w:hAnsi="Arial"/>
          <w:sz w:val="16"/>
          <w:szCs w:val="16"/>
          <w:color w:val="auto"/>
        </w:rPr>
      </w:pPr>
      <w:r>
        <w:rPr>
          <w:rFonts w:ascii="Arial" w:cs="Arial" w:eastAsia="Arial" w:hAnsi="Arial"/>
          <w:sz w:val="16"/>
          <w:szCs w:val="16"/>
          <w:color w:val="auto"/>
        </w:rPr>
        <w:t>require (i) the conversion of Series C Preferred Stock held by a holder into Common Stock or another class or series of stock or</w:t>
      </w:r>
    </w:p>
    <w:p>
      <w:pPr>
        <w:spacing w:after="0" w:line="46" w:lineRule="exact"/>
        <w:rPr>
          <w:sz w:val="20"/>
          <w:szCs w:val="20"/>
          <w:color w:val="auto"/>
        </w:rPr>
      </w:pPr>
    </w:p>
    <w:p>
      <w:pPr>
        <w:ind w:left="4" w:hanging="4"/>
        <w:spacing w:after="0" w:line="281" w:lineRule="auto"/>
        <w:tabs>
          <w:tab w:leader="none" w:pos="269" w:val="left"/>
        </w:tabs>
        <w:numPr>
          <w:ilvl w:val="0"/>
          <w:numId w:val="252"/>
        </w:numPr>
        <w:rPr>
          <w:rFonts w:ascii="Arial" w:cs="Arial" w:eastAsia="Arial" w:hAnsi="Arial"/>
          <w:sz w:val="16"/>
          <w:szCs w:val="16"/>
          <w:color w:val="auto"/>
        </w:rPr>
      </w:pPr>
      <w:r>
        <w:rPr>
          <w:rFonts w:ascii="Arial" w:cs="Arial" w:eastAsia="Arial" w:hAnsi="Arial"/>
          <w:sz w:val="16"/>
          <w:szCs w:val="16"/>
          <w:color w:val="auto"/>
        </w:rPr>
        <w:t>termination or waiver of any rights of a holder with respect to such holder’s shares of Series C Preferred Stock; in each case as a result of such holder’s failure to purchase securities or other instruments of the Corporation sold by the Corporation in a transaction or series of transactions undertaken principally for the purpose of raising capital pursuant to the terms of the agreement(s) under which such securities or other instruments are issued and sold (provided that, for clarity, the automatic conversion of shares of Preferred Stock into shares of Common Stock pursuant to clause (i) or</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253"/>
        </w:numPr>
        <w:rPr>
          <w:rFonts w:ascii="Arial" w:cs="Arial" w:eastAsia="Arial" w:hAnsi="Arial"/>
          <w:sz w:val="18"/>
          <w:szCs w:val="18"/>
          <w:color w:val="auto"/>
        </w:rPr>
      </w:pPr>
      <w:r>
        <w:rPr>
          <w:rFonts w:ascii="Arial" w:cs="Arial" w:eastAsia="Arial" w:hAnsi="Arial"/>
          <w:sz w:val="18"/>
          <w:szCs w:val="18"/>
          <w:color w:val="auto"/>
        </w:rPr>
        <w:t>of Section 4(b) shall not, in and of itself, trigger this Section 8(c)); or</w:t>
      </w:r>
    </w:p>
    <w:p>
      <w:pPr>
        <w:spacing w:after="0" w:line="211" w:lineRule="exact"/>
        <w:rPr>
          <w:sz w:val="20"/>
          <w:szCs w:val="20"/>
          <w:color w:val="auto"/>
        </w:rPr>
      </w:pPr>
    </w:p>
    <w:p>
      <w:pPr>
        <w:ind w:left="1384" w:hanging="393"/>
        <w:spacing w:after="0"/>
        <w:tabs>
          <w:tab w:leader="none" w:pos="1384"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amend this Section 8.</w:t>
      </w:r>
    </w:p>
    <w:p>
      <w:pPr>
        <w:spacing w:after="0" w:line="158" w:lineRule="exact"/>
        <w:rPr>
          <w:sz w:val="20"/>
          <w:szCs w:val="20"/>
          <w:color w:val="auto"/>
        </w:rPr>
      </w:pPr>
    </w:p>
    <w:p>
      <w:pPr>
        <w:jc w:val="center"/>
        <w:ind w:right="-18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44"/>
          </w:cols>
          <w:pgMar w:left="436" w:top="274" w:right="619" w:bottom="1440" w:gutter="0" w:footer="0" w:header="0"/>
        </w:sectPr>
      </w:pPr>
    </w:p>
    <w:bookmarkStart w:id="380" w:name="page381"/>
    <w:bookmarkEnd w:id="380"/>
    <w:p>
      <w:pPr>
        <w:ind w:right="440" w:firstLine="436"/>
        <w:spacing w:after="0" w:line="347" w:lineRule="auto"/>
        <w:tabs>
          <w:tab w:leader="none" w:pos="980" w:val="left"/>
        </w:tabs>
        <w:numPr>
          <w:ilvl w:val="0"/>
          <w:numId w:val="255"/>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Reissuance of Preferred Stock. </w:t>
      </w:r>
      <w:r>
        <w:rPr>
          <w:rFonts w:ascii="Arial" w:cs="Arial" w:eastAsia="Arial" w:hAnsi="Arial"/>
          <w:sz w:val="16"/>
          <w:szCs w:val="16"/>
          <w:color w:val="auto"/>
        </w:rPr>
        <w:t>In the event that any shares of Preferred Stock shall be converted pursuant to Section 4 or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repurchased by the Corporation, the shares so converted or repurchased shall be cancelled and shall not be issuable by this Corporation.</w:t>
      </w:r>
    </w:p>
    <w:p>
      <w:pPr>
        <w:spacing w:after="0" w:line="115" w:lineRule="exact"/>
        <w:rPr>
          <w:rFonts w:ascii="Arial" w:cs="Arial" w:eastAsia="Arial" w:hAnsi="Arial"/>
          <w:sz w:val="16"/>
          <w:szCs w:val="16"/>
          <w:b w:val="1"/>
          <w:bCs w:val="1"/>
          <w:color w:val="auto"/>
        </w:rPr>
      </w:pPr>
    </w:p>
    <w:p>
      <w:pPr>
        <w:ind w:right="140" w:firstLine="436"/>
        <w:spacing w:after="0" w:line="266" w:lineRule="auto"/>
        <w:tabs>
          <w:tab w:leader="none" w:pos="980"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Any notice required by the provisions of this ARTICLE V to be given to the holders of Preferred Stock shall be deemed given if</w:t>
      </w:r>
      <w:r>
        <w:rPr>
          <w:rFonts w:ascii="Arial" w:cs="Arial" w:eastAsia="Arial" w:hAnsi="Arial"/>
          <w:sz w:val="18"/>
          <w:szCs w:val="18"/>
          <w:b w:val="1"/>
          <w:bCs w:val="1"/>
          <w:color w:val="auto"/>
        </w:rPr>
        <w:t xml:space="preserve"> </w:t>
      </w:r>
      <w:r>
        <w:rPr>
          <w:rFonts w:ascii="Arial" w:cs="Arial" w:eastAsia="Arial" w:hAnsi="Arial"/>
          <w:sz w:val="18"/>
          <w:szCs w:val="18"/>
          <w:color w:val="auto"/>
        </w:rPr>
        <w:t>deposited in the United States mail, postage prepaid, and addressed to each holder of record at such holder’s address appearing on the books of the Corporation.</w:t>
      </w:r>
    </w:p>
    <w:p>
      <w:pPr>
        <w:spacing w:after="0" w:line="175" w:lineRule="exact"/>
        <w:rPr>
          <w:rFonts w:ascii="Arial" w:cs="Arial" w:eastAsia="Arial" w:hAnsi="Arial"/>
          <w:sz w:val="18"/>
          <w:szCs w:val="18"/>
          <w:b w:val="1"/>
          <w:bCs w:val="1"/>
          <w:color w:val="auto"/>
        </w:rPr>
      </w:pPr>
    </w:p>
    <w:p>
      <w:pPr>
        <w:ind w:right="60" w:firstLine="436"/>
        <w:spacing w:after="0" w:line="258" w:lineRule="auto"/>
        <w:tabs>
          <w:tab w:leader="none" w:pos="970"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Construction. </w:t>
      </w:r>
      <w:r>
        <w:rPr>
          <w:rFonts w:ascii="Arial" w:cs="Arial" w:eastAsia="Arial" w:hAnsi="Arial"/>
          <w:sz w:val="18"/>
          <w:szCs w:val="18"/>
          <w:color w:val="auto"/>
        </w:rPr>
        <w:t>The word “including” shall mean including without limitation regardless of whether such words are included in some</w:t>
      </w:r>
      <w:r>
        <w:rPr>
          <w:rFonts w:ascii="Arial" w:cs="Arial" w:eastAsia="Arial" w:hAnsi="Arial"/>
          <w:sz w:val="18"/>
          <w:szCs w:val="18"/>
          <w:b w:val="1"/>
          <w:bCs w:val="1"/>
          <w:color w:val="auto"/>
        </w:rPr>
        <w:t xml:space="preserve"> </w:t>
      </w:r>
      <w:r>
        <w:rPr>
          <w:rFonts w:ascii="Arial" w:cs="Arial" w:eastAsia="Arial" w:hAnsi="Arial"/>
          <w:sz w:val="18"/>
          <w:szCs w:val="18"/>
          <w:color w:val="auto"/>
        </w:rPr>
        <w:t>contexts but not others. The words “herein,” “hereof,” “hereby,” “hereto,” “hereinafter,” and other words of similar import refer to this Certificate of Incorporation as a whole, and not to any particular article, section, subsection, paragraph, subparagraph or clause contained in this Certificate of Incorporation. The defined terms herein shall apply equally to both the singular and plural forms of such terms and “or” is used in the inclusive sense of “and/or”.</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Corporation is to have perpetual existence.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Elections of directors need not be by written ballot unless the Bylaws of the Corporation shall so provide.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9"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Unless otherwise set forth herein, the number of directors that constitute the Board of Directors shall be fixed by, or in the manner provided in, the Bylaws of the Corporation.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In furtherance and not in limitation of the powers conferred by statute, the Board of Directors is expressly authorized to adopt, amend or repeal the Bylaws of the Corporation.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29" w:lineRule="exact"/>
        <w:rPr>
          <w:sz w:val="20"/>
          <w:szCs w:val="20"/>
          <w:color w:val="auto"/>
        </w:rPr>
      </w:pPr>
    </w:p>
    <w:p>
      <w:pPr>
        <w:ind w:right="140" w:firstLine="436"/>
        <w:spacing w:after="0" w:line="257" w:lineRule="auto"/>
        <w:tabs>
          <w:tab w:leader="none" w:pos="977" w:val="left"/>
        </w:tabs>
        <w:numPr>
          <w:ilvl w:val="0"/>
          <w:numId w:val="256"/>
        </w:numPr>
        <w:rPr>
          <w:rFonts w:ascii="Arial" w:cs="Arial" w:eastAsia="Arial" w:hAnsi="Arial"/>
          <w:sz w:val="18"/>
          <w:szCs w:val="18"/>
          <w:b w:val="1"/>
          <w:bCs w:val="1"/>
          <w:color w:val="auto"/>
        </w:rPr>
      </w:pPr>
      <w:r>
        <w:rPr>
          <w:rFonts w:ascii="Arial" w:cs="Arial" w:eastAsia="Arial" w:hAnsi="Arial"/>
          <w:sz w:val="18"/>
          <w:szCs w:val="18"/>
          <w:color w:val="auto"/>
        </w:rPr>
        <w:t>To the fullest extent permitted by the Delaware General Corporation Law as the same exists or as may hereafter be amended from time to time, a director of the Corporation shall not be personally liable to the Corporation or its stockholders for monetary damages for a breach of fiduciary duty as a director. If the Delaware General Corporation Law is amended to authorize corporate action further eliminating or limiting the personal liability of directors, then the liability of a director of the Corporation shall be eliminated or limited to the fullest extent permitted by the Delaware General Corporation Law, as so amended.</w:t>
      </w:r>
    </w:p>
    <w:p>
      <w:pPr>
        <w:spacing w:after="0" w:line="187" w:lineRule="exact"/>
        <w:rPr>
          <w:rFonts w:ascii="Arial" w:cs="Arial" w:eastAsia="Arial" w:hAnsi="Arial"/>
          <w:sz w:val="18"/>
          <w:szCs w:val="18"/>
          <w:b w:val="1"/>
          <w:bCs w:val="1"/>
          <w:color w:val="auto"/>
        </w:rPr>
      </w:pPr>
    </w:p>
    <w:p>
      <w:pPr>
        <w:ind w:right="40" w:firstLine="436"/>
        <w:spacing w:after="0" w:line="254" w:lineRule="auto"/>
        <w:tabs>
          <w:tab w:leader="none" w:pos="977" w:val="left"/>
        </w:tabs>
        <w:numPr>
          <w:ilvl w:val="0"/>
          <w:numId w:val="256"/>
        </w:numPr>
        <w:rPr>
          <w:rFonts w:ascii="Arial" w:cs="Arial" w:eastAsia="Arial" w:hAnsi="Arial"/>
          <w:sz w:val="18"/>
          <w:szCs w:val="18"/>
          <w:b w:val="1"/>
          <w:bCs w:val="1"/>
          <w:color w:val="auto"/>
        </w:rPr>
      </w:pPr>
      <w:r>
        <w:rPr>
          <w:rFonts w:ascii="Arial" w:cs="Arial" w:eastAsia="Arial" w:hAnsi="Arial"/>
          <w:sz w:val="18"/>
          <w:szCs w:val="18"/>
          <w:color w:val="auto"/>
        </w:rPr>
        <w:t>The Corporation shall have the power to indemnify, to the fullest extent permitted by the Delaware General Corporation Law, as it presently exists or may hereafter be amended from time to time, any person who was or is a party or is threatened to be made a party to any threatened, pending or completed action, suit or proceeding, whether civil, criminal, administrative or investigative (a “</w:t>
      </w:r>
      <w:r>
        <w:rPr>
          <w:rFonts w:ascii="Arial" w:cs="Arial" w:eastAsia="Arial" w:hAnsi="Arial"/>
          <w:sz w:val="18"/>
          <w:szCs w:val="18"/>
          <w:b w:val="1"/>
          <w:bCs w:val="1"/>
          <w:i w:val="1"/>
          <w:iCs w:val="1"/>
          <w:color w:val="auto"/>
        </w:rPr>
        <w:t>Proceeding</w:t>
      </w:r>
      <w:r>
        <w:rPr>
          <w:rFonts w:ascii="Arial" w:cs="Arial" w:eastAsia="Arial" w:hAnsi="Arial"/>
          <w:sz w:val="18"/>
          <w:szCs w:val="18"/>
          <w:color w:val="auto"/>
        </w:rPr>
        <w:t>”) by reason of the fact that 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0" w:right="459" w:bottom="1440" w:gutter="0" w:footer="0" w:header="0"/>
        </w:sectPr>
      </w:pPr>
    </w:p>
    <w:bookmarkStart w:id="381" w:name="page382"/>
    <w:bookmarkEnd w:id="381"/>
    <w:p>
      <w:pPr>
        <w:jc w:val="both"/>
        <w:ind w:right="20" w:firstLine="436"/>
        <w:spacing w:after="0" w:line="311" w:lineRule="auto"/>
        <w:tabs>
          <w:tab w:leader="none" w:pos="980" w:val="left"/>
        </w:tabs>
        <w:numPr>
          <w:ilvl w:val="0"/>
          <w:numId w:val="257"/>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Neither any amendment nor repeal of this ARTICLE X, nor the adoption of any provision of this Certificate of Incorporation inconsistent with this ARTICLE X, shall eliminate or reduce the effect of this ARTICLE X, in respect of any matter occurring, or any action or proceeding accruing or arising or that, but for this ARTICLE X, would accrue or arise, prior to such amendment, repeal or adoption of an inconsistent provision.</w:t>
      </w:r>
    </w:p>
    <w:p>
      <w:pPr>
        <w:spacing w:after="0" w:line="36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XI</w:t>
      </w:r>
    </w:p>
    <w:p>
      <w:pPr>
        <w:spacing w:after="0" w:line="229"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Meetings of stockholders may be held within or without the State of Delaware, as the Bylaws may provide. The books of the Corporation may be kept (subject to any provision contained in the statutes) outside of the State of Delaware at such place or places as may be designated from time to time by the Board of Directors or in the Bylaws of the Corporation.</w:t>
      </w: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XII</w:t>
      </w:r>
    </w:p>
    <w:p>
      <w:pPr>
        <w:spacing w:after="0" w:line="229"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The Corporation renounces any interest or expectancy of the Corporation in, or in being offered an opportunity to participate in, any Excluded Opportunity. An “</w:t>
      </w:r>
      <w:r>
        <w:rPr>
          <w:rFonts w:ascii="Arial" w:cs="Arial" w:eastAsia="Arial" w:hAnsi="Arial"/>
          <w:sz w:val="18"/>
          <w:szCs w:val="18"/>
          <w:b w:val="1"/>
          <w:bCs w:val="1"/>
          <w:i w:val="1"/>
          <w:iCs w:val="1"/>
          <w:color w:val="auto"/>
        </w:rPr>
        <w:t>Excluded Opportunity</w:t>
      </w:r>
      <w:r>
        <w:rPr>
          <w:rFonts w:ascii="Arial" w:cs="Arial" w:eastAsia="Arial" w:hAnsi="Arial"/>
          <w:sz w:val="18"/>
          <w:szCs w:val="18"/>
          <w:color w:val="auto"/>
        </w:rPr>
        <w:t>” is any matter, transaction or interest that is presented to, or acquired, created or developed by, or which otherwise comes into the possession of, any stockholder or director of the Corporation who, in either case, is not an employee of the Corporation or any of its subsidiaries, (collectively, “</w:t>
      </w:r>
      <w:r>
        <w:rPr>
          <w:rFonts w:ascii="Arial" w:cs="Arial" w:eastAsia="Arial" w:hAnsi="Arial"/>
          <w:sz w:val="18"/>
          <w:szCs w:val="18"/>
          <w:b w:val="1"/>
          <w:bCs w:val="1"/>
          <w:i w:val="1"/>
          <w:iCs w:val="1"/>
          <w:color w:val="auto"/>
        </w:rPr>
        <w:t>Covered Persons</w:t>
      </w:r>
      <w:r>
        <w:rPr>
          <w:rFonts w:ascii="Arial" w:cs="Arial" w:eastAsia="Arial" w:hAnsi="Arial"/>
          <w:sz w:val="18"/>
          <w:szCs w:val="18"/>
          <w:color w:val="auto"/>
        </w:rPr>
        <w:t>”), unless in either case such matter, transaction or interest is presented to, or acquired, created or developed by, or otherwise comes into the possession of, a Covered Person expressly and solely in such Covered Person’s capacity as a director of the Corporation.</w:t>
      </w:r>
    </w:p>
    <w:p>
      <w:pPr>
        <w:spacing w:after="0" w:line="192" w:lineRule="exact"/>
        <w:rPr>
          <w:sz w:val="20"/>
          <w:szCs w:val="20"/>
          <w:color w:val="auto"/>
        </w:rPr>
      </w:pPr>
    </w:p>
    <w:p>
      <w:pPr>
        <w:ind w:left="4800"/>
        <w:spacing w:after="0"/>
        <w:tabs>
          <w:tab w:leader="none" w:pos="5420" w:val="left"/>
          <w:tab w:leader="none" w:pos="61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20"/>
          </w:cols>
          <w:pgMar w:left="440" w:top="274" w:right="539" w:bottom="1440" w:gutter="0" w:footer="0" w:header="0"/>
        </w:sectPr>
      </w:pPr>
    </w:p>
    <w:bookmarkStart w:id="382" w:name="page383"/>
    <w:bookmarkEnd w:id="38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 OF AMENDMENT TO</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AMENDED AND RESTATED</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CERTIFICATE OF INCORPORATION</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TENAYA THERAPEUTICS, INC.</w:t>
      </w:r>
    </w:p>
    <w:p>
      <w:pPr>
        <w:spacing w:after="0" w:line="229"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Tenaya Therapeutics, Inc., a corporation organized and existing under the laws of the State of Delaware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hereby certifies as follows:</w:t>
      </w:r>
    </w:p>
    <w:p>
      <w:pPr>
        <w:spacing w:after="0" w:line="62" w:lineRule="exact"/>
        <w:rPr>
          <w:sz w:val="20"/>
          <w:szCs w:val="20"/>
          <w:color w:val="auto"/>
        </w:rPr>
      </w:pPr>
    </w:p>
    <w:p>
      <w:pPr>
        <w:ind w:right="560" w:firstLine="436"/>
        <w:spacing w:after="0" w:line="263" w:lineRule="auto"/>
        <w:tabs>
          <w:tab w:leader="none" w:pos="62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name of the Corporation is Tenaya Therapeutics, Inc. The original Certificate of Incorporation of the Corporation was filed with the Secretary of State of the State (“</w:t>
      </w:r>
      <w:r>
        <w:rPr>
          <w:rFonts w:ascii="Arial" w:cs="Arial" w:eastAsia="Arial" w:hAnsi="Arial"/>
          <w:sz w:val="18"/>
          <w:szCs w:val="18"/>
          <w:b w:val="1"/>
          <w:bCs w:val="1"/>
          <w:i w:val="1"/>
          <w:iCs w:val="1"/>
          <w:color w:val="auto"/>
        </w:rPr>
        <w:t>SOS</w:t>
      </w:r>
      <w:r>
        <w:rPr>
          <w:rFonts w:ascii="Arial" w:cs="Arial" w:eastAsia="Arial" w:hAnsi="Arial"/>
          <w:sz w:val="18"/>
          <w:szCs w:val="18"/>
          <w:color w:val="auto"/>
        </w:rPr>
        <w:t>”) of Delaware on August 18, 2016. The Corporation’s most recent Amended and Restated Certificate of Incorporation was filed with the SOS on December 16, 2020 (the “</w:t>
      </w:r>
      <w:r>
        <w:rPr>
          <w:rFonts w:ascii="Arial" w:cs="Arial" w:eastAsia="Arial" w:hAnsi="Arial"/>
          <w:sz w:val="18"/>
          <w:szCs w:val="18"/>
          <w:b w:val="1"/>
          <w:bCs w:val="1"/>
          <w:i w:val="1"/>
          <w:iCs w:val="1"/>
          <w:color w:val="auto"/>
        </w:rPr>
        <w:t>Restated Certificate</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right="640" w:firstLine="436"/>
        <w:spacing w:after="0" w:line="342" w:lineRule="auto"/>
        <w:tabs>
          <w:tab w:leader="none" w:pos="62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This Certificate of Amendment to the Restated Certificate (the “</w:t>
      </w:r>
      <w:r>
        <w:rPr>
          <w:rFonts w:ascii="Arial" w:cs="Arial" w:eastAsia="Arial" w:hAnsi="Arial"/>
          <w:sz w:val="16"/>
          <w:szCs w:val="16"/>
          <w:b w:val="1"/>
          <w:bCs w:val="1"/>
          <w:i w:val="1"/>
          <w:iCs w:val="1"/>
          <w:color w:val="auto"/>
        </w:rPr>
        <w:t>Certificate of Amendment</w:t>
      </w:r>
      <w:r>
        <w:rPr>
          <w:rFonts w:ascii="Arial" w:cs="Arial" w:eastAsia="Arial" w:hAnsi="Arial"/>
          <w:sz w:val="16"/>
          <w:szCs w:val="16"/>
          <w:color w:val="auto"/>
        </w:rPr>
        <w:t>”) has been duly adopted in accordance with Section 242 of the Delaware General Corporation Law (the “</w:t>
      </w:r>
      <w:r>
        <w:rPr>
          <w:rFonts w:ascii="Arial" w:cs="Arial" w:eastAsia="Arial" w:hAnsi="Arial"/>
          <w:sz w:val="16"/>
          <w:szCs w:val="16"/>
          <w:b w:val="1"/>
          <w:bCs w:val="1"/>
          <w:i w:val="1"/>
          <w:iCs w:val="1"/>
          <w:color w:val="auto"/>
        </w:rPr>
        <w:t>DGCL</w:t>
      </w:r>
      <w:r>
        <w:rPr>
          <w:rFonts w:ascii="Arial" w:cs="Arial" w:eastAsia="Arial" w:hAnsi="Arial"/>
          <w:sz w:val="16"/>
          <w:szCs w:val="16"/>
          <w:color w:val="auto"/>
        </w:rPr>
        <w:t>”) and amends the provisions of the Restated Certificate.</w:t>
      </w:r>
    </w:p>
    <w:p>
      <w:pPr>
        <w:spacing w:after="0" w:line="123" w:lineRule="exact"/>
        <w:rPr>
          <w:rFonts w:ascii="Arial" w:cs="Arial" w:eastAsia="Arial" w:hAnsi="Arial"/>
          <w:sz w:val="16"/>
          <w:szCs w:val="16"/>
          <w:color w:val="auto"/>
        </w:rPr>
      </w:pPr>
    </w:p>
    <w:p>
      <w:pPr>
        <w:jc w:val="both"/>
        <w:ind w:right="300" w:firstLine="436"/>
        <w:spacing w:after="0" w:line="263" w:lineRule="auto"/>
        <w:tabs>
          <w:tab w:leader="none" w:pos="62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terms and provisions of this Certificate of Amendment have been duly approved by written consent of the required number of shares of outstanding stock of the Corporation pursuant to Subsection 228(a) of the DGCL and written notice pursuant to Subsection 228(e) of the DGCL has been or will be given to those stockholders whose written consent has not been obtained.</w:t>
      </w:r>
    </w:p>
    <w:p>
      <w:pPr>
        <w:spacing w:after="0" w:line="183" w:lineRule="exact"/>
        <w:rPr>
          <w:rFonts w:ascii="Arial" w:cs="Arial" w:eastAsia="Arial" w:hAnsi="Arial"/>
          <w:sz w:val="18"/>
          <w:szCs w:val="18"/>
          <w:color w:val="auto"/>
        </w:rPr>
      </w:pPr>
    </w:p>
    <w:p>
      <w:pPr>
        <w:ind w:left="620" w:hanging="184"/>
        <w:spacing w:after="0"/>
        <w:tabs>
          <w:tab w:leader="none" w:pos="62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ARTICLE IV of the Restated Certificate is hereby amended and restated in its entirety to read as follows:</w:t>
      </w:r>
    </w:p>
    <w:p>
      <w:pPr>
        <w:spacing w:after="0" w:line="117" w:lineRule="exact"/>
        <w:rPr>
          <w:sz w:val="20"/>
          <w:szCs w:val="20"/>
          <w:color w:val="auto"/>
        </w:rPr>
      </w:pPr>
    </w:p>
    <w:p>
      <w:pPr>
        <w:ind w:left="440" w:firstLine="423"/>
        <w:spacing w:after="0" w:line="269" w:lineRule="auto"/>
        <w:rPr>
          <w:sz w:val="20"/>
          <w:szCs w:val="20"/>
          <w:color w:val="auto"/>
        </w:rPr>
      </w:pPr>
      <w:r>
        <w:rPr>
          <w:rFonts w:ascii="Arial" w:cs="Arial" w:eastAsia="Arial" w:hAnsi="Arial"/>
          <w:sz w:val="17"/>
          <w:szCs w:val="17"/>
          <w:color w:val="auto"/>
        </w:rPr>
        <w:t>“Immediately upon the filing of this Certificate of Amendment, each 6 outstanding shares of Common Stock, each 6 outstanding shares of Series A Preferred Stock, each 6 outstanding shares of Series B Preferred Stock and each 6 outstanding shares of Series C Preferred Stock will be exchanged and combined, automatically and without further action, into 1 share of Common Stock, 1 share of Series A Preferred Stock, 1 share of Series B Preferred Stock and 1 share of Series C Preferred Stock, respectively (the “</w:t>
      </w:r>
      <w:r>
        <w:rPr>
          <w:rFonts w:ascii="Arial" w:cs="Arial" w:eastAsia="Arial" w:hAnsi="Arial"/>
          <w:sz w:val="17"/>
          <w:szCs w:val="17"/>
          <w:b w:val="1"/>
          <w:bCs w:val="1"/>
          <w:i w:val="1"/>
          <w:iCs w:val="1"/>
          <w:color w:val="auto"/>
        </w:rPr>
        <w:t>Reverse Stock Split</w:t>
      </w:r>
      <w:r>
        <w:rPr>
          <w:rFonts w:ascii="Arial" w:cs="Arial" w:eastAsia="Arial" w:hAnsi="Arial"/>
          <w:sz w:val="17"/>
          <w:szCs w:val="17"/>
          <w:color w:val="auto"/>
        </w:rPr>
        <w:t>”). The Reverse Stock Split shall also apply to any outstanding securities or rights convertible into, or exchangeable or exercisable for, Common Stock or Preferred Stock of the Corporation. The Reverse Stock Split shall be effected on a certificate-by-certificate basis and each certificate share number will then be rounded down to the nearest whole number. No fractional shares shall be issued upon the exchange and combination. In lieu of any fractional shares to which the holder would otherwise be entitled, the Corporation shall pay an amount of cash equal to the product of (i) the fractional share to which the holder would otherwise be entitled and (ii) the then fair value of a share as determined in good faith by the Board of Directors of the Corporation.</w:t>
      </w:r>
    </w:p>
    <w:p>
      <w:pPr>
        <w:spacing w:after="0" w:line="77" w:lineRule="exact"/>
        <w:rPr>
          <w:sz w:val="20"/>
          <w:szCs w:val="20"/>
          <w:color w:val="auto"/>
        </w:rPr>
      </w:pPr>
    </w:p>
    <w:p>
      <w:pPr>
        <w:ind w:left="440" w:right="60" w:firstLine="423"/>
        <w:spacing w:after="0" w:line="257" w:lineRule="auto"/>
        <w:rPr>
          <w:sz w:val="20"/>
          <w:szCs w:val="20"/>
          <w:color w:val="auto"/>
        </w:rPr>
      </w:pPr>
      <w:r>
        <w:rPr>
          <w:rFonts w:ascii="Arial" w:cs="Arial" w:eastAsia="Arial" w:hAnsi="Arial"/>
          <w:sz w:val="18"/>
          <w:szCs w:val="18"/>
          <w:color w:val="auto"/>
        </w:rPr>
        <w:t>The total number of shares of stock that the Corporation shall have authority to issue is 56,432,301 shares, consisting of 30,330,000 shares of Common Stock, $0.0001 par value per share, and 26,102,301 shares of Preferred Stock, $0.0001 par value per share. The first Series of Preferred Stock shall be designated “</w:t>
      </w:r>
      <w:r>
        <w:rPr>
          <w:rFonts w:ascii="Arial" w:cs="Arial" w:eastAsia="Arial" w:hAnsi="Arial"/>
          <w:sz w:val="18"/>
          <w:szCs w:val="18"/>
          <w:b w:val="1"/>
          <w:bCs w:val="1"/>
          <w:i w:val="1"/>
          <w:iCs w:val="1"/>
          <w:color w:val="auto"/>
        </w:rPr>
        <w:t>Series A Preferred Stock</w:t>
      </w:r>
      <w:r>
        <w:rPr>
          <w:rFonts w:ascii="Arial" w:cs="Arial" w:eastAsia="Arial" w:hAnsi="Arial"/>
          <w:sz w:val="18"/>
          <w:szCs w:val="18"/>
          <w:color w:val="auto"/>
        </w:rPr>
        <w:t>” and shall consist of 8,316,666 shares. The second Series of Preferred Stock shall be designated “</w:t>
      </w:r>
      <w:r>
        <w:rPr>
          <w:rFonts w:ascii="Arial" w:cs="Arial" w:eastAsia="Arial" w:hAnsi="Arial"/>
          <w:sz w:val="18"/>
          <w:szCs w:val="18"/>
          <w:b w:val="1"/>
          <w:bCs w:val="1"/>
          <w:i w:val="1"/>
          <w:iCs w:val="1"/>
          <w:color w:val="auto"/>
        </w:rPr>
        <w:t>Series B Preferred Stock</w:t>
      </w:r>
      <w:r>
        <w:rPr>
          <w:rFonts w:ascii="Arial" w:cs="Arial" w:eastAsia="Arial" w:hAnsi="Arial"/>
          <w:sz w:val="18"/>
          <w:szCs w:val="18"/>
          <w:i w:val="1"/>
          <w:iCs w:val="1"/>
          <w:color w:val="auto"/>
        </w:rPr>
        <w:t>”</w:t>
      </w:r>
      <w:r>
        <w:rPr>
          <w:rFonts w:ascii="Arial" w:cs="Arial" w:eastAsia="Arial" w:hAnsi="Arial"/>
          <w:sz w:val="18"/>
          <w:szCs w:val="18"/>
          <w:color w:val="auto"/>
        </w:rPr>
        <w:t xml:space="preserve"> and shall consist of 9,259,254 shares. The third Series of Preferred Stock shall be designated “</w:t>
      </w:r>
      <w:r>
        <w:rPr>
          <w:rFonts w:ascii="Arial" w:cs="Arial" w:eastAsia="Arial" w:hAnsi="Arial"/>
          <w:sz w:val="18"/>
          <w:szCs w:val="18"/>
          <w:b w:val="1"/>
          <w:bCs w:val="1"/>
          <w:i w:val="1"/>
          <w:iCs w:val="1"/>
          <w:color w:val="auto"/>
        </w:rPr>
        <w:t>Series C</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 and shall consist of 8,526,381 shares.”</w:t>
      </w:r>
    </w:p>
    <w:p>
      <w:pPr>
        <w:spacing w:after="0" w:line="188" w:lineRule="exact"/>
        <w:rPr>
          <w:sz w:val="20"/>
          <w:szCs w:val="20"/>
          <w:color w:val="auto"/>
        </w:rPr>
      </w:pPr>
    </w:p>
    <w:p>
      <w:pPr>
        <w:jc w:val="center"/>
        <w:ind w:right="-19"/>
        <w:spacing w:after="0"/>
        <w:tabs>
          <w:tab w:leader="none" w:pos="200" w:val="left"/>
          <w:tab w:leader="none" w:pos="220" w:val="left"/>
        </w:tabs>
        <w:rPr>
          <w:sz w:val="20"/>
          <w:szCs w:val="20"/>
          <w:color w:val="auto"/>
        </w:rPr>
      </w:pPr>
      <w:r>
        <w:rPr>
          <w:rFonts w:ascii="Arial" w:cs="Arial" w:eastAsia="Arial" w:hAnsi="Arial"/>
          <w:sz w:val="18"/>
          <w:szCs w:val="18"/>
          <w:color w:val="auto"/>
        </w:rPr>
        <w:t>*</w:t>
        <w:tab/>
        <w:t>*</w:t>
        <w:tab/>
        <w:t>*</w:t>
      </w:r>
    </w:p>
    <w:p>
      <w:pPr>
        <w:sectPr>
          <w:pgSz w:w="11900" w:h="16838" w:orient="portrait"/>
          <w:cols w:equalWidth="0" w:num="1">
            <w:col w:w="10980"/>
          </w:cols>
          <w:pgMar w:left="440" w:top="270" w:right="479" w:bottom="1440" w:gutter="0" w:footer="0" w:header="0"/>
        </w:sectPr>
      </w:pPr>
    </w:p>
    <w:bookmarkStart w:id="383" w:name="page384"/>
    <w:bookmarkEnd w:id="383"/>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Tenaya Therapeutics, Inc. has caused this Certificate of Amendment to be signed by its Chief Executive Officer on this</w:t>
      </w:r>
      <w:r>
        <w:rPr>
          <w:rFonts w:ascii="Arial" w:cs="Arial" w:eastAsia="Arial" w:hAnsi="Arial"/>
          <w:sz w:val="18"/>
          <w:szCs w:val="18"/>
          <w:b w:val="1"/>
          <w:bCs w:val="1"/>
          <w:color w:val="auto"/>
        </w:rPr>
        <w:t xml:space="preserve"> </w:t>
      </w:r>
      <w:r>
        <w:rPr>
          <w:rFonts w:ascii="Arial" w:cs="Arial" w:eastAsia="Arial" w:hAnsi="Arial"/>
          <w:sz w:val="18"/>
          <w:szCs w:val="18"/>
          <w:color w:val="auto"/>
        </w:rPr>
        <w:t>23</w:t>
      </w:r>
      <w:r>
        <w:rPr>
          <w:rFonts w:ascii="Arial" w:cs="Arial" w:eastAsia="Arial" w:hAnsi="Arial"/>
          <w:sz w:val="15"/>
          <w:szCs w:val="15"/>
          <w:color w:val="auto"/>
        </w:rPr>
        <w:t>rd</w:t>
      </w:r>
      <w:r>
        <w:rPr>
          <w:rFonts w:ascii="Arial" w:cs="Arial" w:eastAsia="Arial" w:hAnsi="Arial"/>
          <w:sz w:val="18"/>
          <w:szCs w:val="18"/>
          <w:color w:val="auto"/>
        </w:rPr>
        <w:t xml:space="preserve"> day of July, 2021.</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ENAYA</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Faraz Ali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Faraz Ali</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880"/>
          </w:cols>
          <w:pgMar w:left="440" w:top="270" w:right="579" w:bottom="1440" w:gutter="0" w:footer="0" w:header="0"/>
        </w:sectPr>
      </w:pPr>
    </w:p>
    <w:bookmarkStart w:id="384" w:name="page385"/>
    <w:bookmarkEnd w:id="384"/>
    <w:p>
      <w:pPr>
        <w:ind w:left="9180"/>
        <w:spacing w:after="0"/>
        <w:rPr>
          <w:sz w:val="20"/>
          <w:szCs w:val="20"/>
          <w:color w:val="auto"/>
        </w:rPr>
      </w:pPr>
      <w:r>
        <w:rPr>
          <w:rFonts w:ascii="Arial" w:cs="Arial" w:eastAsia="Arial" w:hAnsi="Arial"/>
          <w:sz w:val="16"/>
          <w:szCs w:val="16"/>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186055</wp:posOffset>
            </wp:positionV>
            <wp:extent cx="7029450" cy="426910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7">
                      <a:extLst>
                        <a:ext uri="{28A0092B-C50C-407E-A947-70E740481C1C}"/>
                      </a:extLst>
                    </a:blip>
                    <a:srcRect/>
                    <a:stretch>
                      <a:fillRect/>
                    </a:stretch>
                  </pic:blipFill>
                  <pic:spPr bwMode="auto">
                    <a:xfrm>
                      <a:off x="0" y="0"/>
                      <a:ext cx="7029450" cy="426910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385" w:name="page386"/>
    <w:bookmarkEnd w:id="3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2157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8">
                      <a:extLst>
                        <a:ext uri="{28A0092B-C50C-407E-A947-70E740481C1C}"/>
                      </a:extLst>
                    </a:blip>
                    <a:srcRect/>
                    <a:stretch>
                      <a:fillRect/>
                    </a:stretch>
                  </pic:blipFill>
                  <pic:spPr bwMode="auto">
                    <a:xfrm>
                      <a:off x="0" y="0"/>
                      <a:ext cx="7174865" cy="9215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6" w:name="page387"/>
    <w:bookmarkEnd w:id="386"/>
    <w:p>
      <w:pPr>
        <w:jc w:val="right"/>
        <w:spacing w:after="0"/>
        <w:rPr>
          <w:sz w:val="20"/>
          <w:szCs w:val="20"/>
          <w:color w:val="auto"/>
        </w:rPr>
      </w:pPr>
      <w:r>
        <w:rPr>
          <w:rFonts w:ascii="Arial" w:cs="Arial" w:eastAsia="Arial" w:hAnsi="Arial"/>
          <w:sz w:val="18"/>
          <w:szCs w:val="18"/>
          <w:b w:val="1"/>
          <w:bCs w:val="1"/>
          <w:color w:val="auto"/>
        </w:rPr>
        <w:t>Exhibit 5.1</w:t>
      </w:r>
    </w:p>
    <w:p>
      <w:pPr>
        <w:spacing w:after="0" w:line="25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-89535</wp:posOffset>
            </wp:positionV>
            <wp:extent cx="1156970" cy="48831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9">
                      <a:extLst>
                        <a:ext uri="{28A0092B-C50C-407E-A947-70E740481C1C}"/>
                      </a:extLst>
                    </a:blip>
                    <a:srcRect/>
                    <a:stretch>
                      <a:fillRect/>
                    </a:stretch>
                  </pic:blipFill>
                  <pic:spPr bwMode="auto">
                    <a:xfrm>
                      <a:off x="0" y="0"/>
                      <a:ext cx="1156970" cy="48831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4"/>
          <w:szCs w:val="14"/>
          <w:color w:val="auto"/>
        </w:rPr>
        <w:t>Professional Corporation</w:t>
      </w:r>
    </w:p>
    <w:p>
      <w:pPr>
        <w:spacing w:after="0" w:line="9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650 Page Mill Road</w:t>
      </w:r>
    </w:p>
    <w:p>
      <w:pPr>
        <w:jc w:val="right"/>
        <w:spacing w:after="0"/>
        <w:rPr>
          <w:sz w:val="20"/>
          <w:szCs w:val="20"/>
          <w:color w:val="auto"/>
        </w:rPr>
      </w:pPr>
      <w:r>
        <w:rPr>
          <w:rFonts w:ascii="Arial" w:cs="Arial" w:eastAsia="Arial" w:hAnsi="Arial"/>
          <w:sz w:val="14"/>
          <w:szCs w:val="14"/>
          <w:color w:val="auto"/>
        </w:rPr>
        <w:t>Palo Alto, California 94304-1050</w:t>
      </w:r>
    </w:p>
    <w:p>
      <w:pPr>
        <w:spacing w:after="0" w:line="9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O</w:t>
      </w:r>
      <w:r>
        <w:rPr>
          <w:rFonts w:ascii="Arial" w:cs="Arial" w:eastAsia="Arial" w:hAnsi="Arial"/>
          <w:sz w:val="14"/>
          <w:szCs w:val="14"/>
          <w:color w:val="auto"/>
        </w:rPr>
        <w:t>: 650.493.9300</w:t>
      </w:r>
    </w:p>
    <w:p>
      <w:pPr>
        <w:jc w:val="right"/>
        <w:spacing w:after="0"/>
        <w:rPr>
          <w:sz w:val="20"/>
          <w:szCs w:val="20"/>
          <w:color w:val="auto"/>
        </w:rPr>
      </w:pPr>
      <w:r>
        <w:rPr>
          <w:rFonts w:ascii="Arial" w:cs="Arial" w:eastAsia="Arial" w:hAnsi="Arial"/>
          <w:sz w:val="12"/>
          <w:szCs w:val="12"/>
          <w:color w:val="auto"/>
        </w:rPr>
        <w:t>F</w:t>
      </w:r>
      <w:r>
        <w:rPr>
          <w:rFonts w:ascii="Arial" w:cs="Arial" w:eastAsia="Arial" w:hAnsi="Arial"/>
          <w:sz w:val="14"/>
          <w:szCs w:val="14"/>
          <w:color w:val="auto"/>
        </w:rPr>
        <w:t>: 650.493.6811</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26,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Tenaya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171 Oyster Point Boulevard, 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94080</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 Registration Statement on Form S-1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opinion is furnished to you in connection with the Registration Statement on Form S-1 (Registration No. 333-257820), as amended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 Statement</w:t>
      </w:r>
      <w:r>
        <w:rPr>
          <w:rFonts w:ascii="Arial" w:cs="Arial" w:eastAsia="Arial" w:hAnsi="Arial"/>
          <w:sz w:val="16"/>
          <w:szCs w:val="16"/>
          <w:color w:val="auto"/>
        </w:rPr>
        <w:t>”), filed by Tenaya Therapeutics, Inc. (the “</w:t>
      </w:r>
      <w:r>
        <w:rPr>
          <w:rFonts w:ascii="Arial" w:cs="Arial" w:eastAsia="Arial" w:hAnsi="Arial"/>
          <w:sz w:val="16"/>
          <w:szCs w:val="16"/>
          <w:b w:val="1"/>
          <w:bCs w:val="1"/>
          <w:color w:val="auto"/>
        </w:rPr>
        <w:t>Company</w:t>
      </w:r>
      <w:r>
        <w:rPr>
          <w:rFonts w:ascii="Arial" w:cs="Arial" w:eastAsia="Arial" w:hAnsi="Arial"/>
          <w:sz w:val="16"/>
          <w:szCs w:val="16"/>
          <w:color w:val="auto"/>
        </w:rPr>
        <w:t>”) with the Securities and Exchange Commission in connection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registration under the Securities Act of 1933, as amended, of up to 11,500,000 shares (including up to 1,500,000 shares issuable upon exercise of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option granted to the underwriters by the Company) of the Company’s common stock, $0.0001 par value per share (the “</w:t>
      </w:r>
      <w:r>
        <w:rPr>
          <w:rFonts w:ascii="Arial" w:cs="Arial" w:eastAsia="Arial" w:hAnsi="Arial"/>
          <w:sz w:val="16"/>
          <w:szCs w:val="16"/>
          <w:b w:val="1"/>
          <w:bCs w:val="1"/>
          <w:color w:val="auto"/>
        </w:rPr>
        <w:t>Shares</w:t>
      </w:r>
      <w:r>
        <w:rPr>
          <w:rFonts w:ascii="Arial" w:cs="Arial" w:eastAsia="Arial" w:hAnsi="Arial"/>
          <w:sz w:val="16"/>
          <w:szCs w:val="16"/>
          <w:color w:val="auto"/>
        </w:rPr>
        <w:t>”), to be issued and sold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the Company. We understand that the Shares are to be sold to the underwriters for resale to the public as described in the Registration Statement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pursuant to an underwriting agreement, to be entered into by and among the Company and the underwriters (the “</w:t>
      </w:r>
      <w:r>
        <w:rPr>
          <w:rFonts w:ascii="Arial" w:cs="Arial" w:eastAsia="Arial" w:hAnsi="Arial"/>
          <w:sz w:val="17"/>
          <w:szCs w:val="17"/>
          <w:b w:val="1"/>
          <w:bCs w:val="1"/>
          <w:color w:val="auto"/>
        </w:rPr>
        <w:t>Underwriting Agreement</w:t>
      </w:r>
      <w:r>
        <w:rPr>
          <w:rFonts w:ascii="Arial" w:cs="Arial" w:eastAsia="Arial" w:hAnsi="Arial"/>
          <w:sz w:val="17"/>
          <w:szCs w:val="17"/>
          <w:color w:val="auto"/>
        </w:rPr>
        <w:t>”).</w:t>
      </w:r>
    </w:p>
    <w:p>
      <w:pPr>
        <w:spacing w:after="0" w:line="222"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We are acting as counsel for the Company in connection with the sale of the Shares by the Company. In such capacity, we have examined originals or copies, certified or otherwise identified to our satisfaction, of such documents, corporate records, certificates of public officials and other instruments as we have deemed necessary for the purposes of rendering this opinion. In our examination, we have assumed the genuineness of all signatures, the authenticity of all documents submitted to us as originals, the conformity with the originals of all documents submitted to us as copies, the authenticity of the originals of such documents and the legal competence of all signatories to such documents.</w:t>
      </w:r>
    </w:p>
    <w:p>
      <w:pPr>
        <w:spacing w:after="0" w:line="176"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We express no opinion herein as to the laws of any state or jurisdiction other than the General Corporation Law of the State of Delaware</w:t>
      </w:r>
    </w:p>
    <w:p>
      <w:pPr>
        <w:spacing w:after="0" w:line="35"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(including the statutory provisions and all applicable judicial decisions interpreting those laws) and the federal laws of the United States of America.</w:t>
      </w:r>
    </w:p>
    <w:p>
      <w:pPr>
        <w:spacing w:after="0" w:line="234"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On the basis of the foregoing, we are of the opinion that upon the effectiveness of the Company’s Amended and Restated Certificate of Incorporation, a form of which has been filed as Exhibit 3.2 to the Registration Statement, the Shares to be issued and sold by the Company have been duly authorized and, when such Shares are issued and paid for in accordance with the terms of the Underwriting Agreement, will be validly issued, fully paid and nonassessable.</w:t>
      </w:r>
    </w:p>
    <w:p>
      <w:pPr>
        <w:spacing w:after="0" w:line="187" w:lineRule="exact"/>
        <w:rPr>
          <w:sz w:val="20"/>
          <w:szCs w:val="20"/>
          <w:color w:val="auto"/>
        </w:rPr>
      </w:pPr>
    </w:p>
    <w:p>
      <w:pPr>
        <w:jc w:val="center"/>
        <w:ind w:right="20"/>
        <w:spacing w:after="0"/>
        <w:tabs>
          <w:tab w:leader="none" w:pos="200" w:val="left"/>
          <w:tab w:leader="none" w:pos="220" w:val="left"/>
        </w:tabs>
        <w:rPr>
          <w:sz w:val="20"/>
          <w:szCs w:val="20"/>
          <w:color w:val="auto"/>
        </w:rPr>
      </w:pPr>
      <w:r>
        <w:rPr>
          <w:rFonts w:ascii="Arial" w:cs="Arial" w:eastAsia="Arial" w:hAnsi="Arial"/>
          <w:sz w:val="18"/>
          <w:szCs w:val="18"/>
          <w:color w:val="auto"/>
        </w:rPr>
        <w:t>*</w:t>
        <w:tab/>
        <w:t>*</w:t>
        <w:tab/>
        <w:t>*</w:t>
      </w:r>
    </w:p>
    <w:p>
      <w:pPr>
        <w:sectPr>
          <w:pgSz w:w="11900" w:h="16838" w:orient="portrait"/>
          <w:cols w:equalWidth="0" w:num="1">
            <w:col w:w="11020"/>
          </w:cols>
          <w:pgMar w:left="440" w:top="121" w:right="439" w:bottom="1440" w:gutter="0" w:footer="0" w:header="0"/>
        </w:sectPr>
      </w:pPr>
    </w:p>
    <w:p>
      <w:pPr>
        <w:spacing w:after="0" w:line="23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AUSTIN</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firstLine="57"/>
        <w:spacing w:after="0" w:line="328" w:lineRule="auto"/>
        <w:rPr>
          <w:sz w:val="20"/>
          <w:szCs w:val="20"/>
          <w:color w:val="auto"/>
        </w:rPr>
      </w:pPr>
      <w:r>
        <w:rPr>
          <w:rFonts w:ascii="Arial" w:cs="Arial" w:eastAsia="Arial" w:hAnsi="Arial"/>
          <w:sz w:val="15"/>
          <w:szCs w:val="15"/>
          <w:color w:val="auto"/>
        </w:rPr>
        <w:t>BEIJING SAN DIEGO</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tabs>
          <w:tab w:leader="none" w:pos="1000" w:val="left"/>
          <w:tab w:leader="none" w:pos="2120" w:val="left"/>
          <w:tab w:leader="none" w:pos="3420" w:val="left"/>
          <w:tab w:leader="none" w:pos="4420" w:val="left"/>
        </w:tabs>
        <w:rPr>
          <w:sz w:val="20"/>
          <w:szCs w:val="20"/>
          <w:color w:val="auto"/>
        </w:rPr>
      </w:pPr>
      <w:r>
        <w:rPr>
          <w:rFonts w:ascii="Arial" w:cs="Arial" w:eastAsia="Arial" w:hAnsi="Arial"/>
          <w:sz w:val="16"/>
          <w:szCs w:val="16"/>
          <w:color w:val="auto"/>
        </w:rPr>
        <w:t>BOSTON</w:t>
      </w:r>
      <w:r>
        <w:rPr>
          <w:sz w:val="20"/>
          <w:szCs w:val="20"/>
          <w:color w:val="auto"/>
        </w:rPr>
        <w:tab/>
      </w:r>
      <w:r>
        <w:rPr>
          <w:rFonts w:ascii="Arial" w:cs="Arial" w:eastAsia="Arial" w:hAnsi="Arial"/>
          <w:sz w:val="16"/>
          <w:szCs w:val="16"/>
          <w:color w:val="auto"/>
        </w:rPr>
        <w:t>BRUSSELS</w:t>
      </w:r>
      <w:r>
        <w:rPr>
          <w:sz w:val="20"/>
          <w:szCs w:val="20"/>
          <w:color w:val="auto"/>
        </w:rPr>
        <w:tab/>
      </w:r>
      <w:r>
        <w:rPr>
          <w:rFonts w:ascii="Arial" w:cs="Arial" w:eastAsia="Arial" w:hAnsi="Arial"/>
          <w:sz w:val="16"/>
          <w:szCs w:val="16"/>
          <w:color w:val="auto"/>
        </w:rPr>
        <w:t>HONG KONG</w:t>
      </w:r>
      <w:r>
        <w:rPr>
          <w:sz w:val="20"/>
          <w:szCs w:val="20"/>
          <w:color w:val="auto"/>
        </w:rPr>
        <w:tab/>
      </w:r>
      <w:r>
        <w:rPr>
          <w:rFonts w:ascii="Arial" w:cs="Arial" w:eastAsia="Arial" w:hAnsi="Arial"/>
          <w:sz w:val="16"/>
          <w:szCs w:val="16"/>
          <w:color w:val="auto"/>
        </w:rPr>
        <w:t>LONDON</w:t>
      </w:r>
      <w:r>
        <w:rPr>
          <w:sz w:val="20"/>
          <w:szCs w:val="20"/>
          <w:color w:val="auto"/>
        </w:rPr>
        <w:tab/>
      </w:r>
      <w:r>
        <w:rPr>
          <w:rFonts w:ascii="Arial" w:cs="Arial" w:eastAsia="Arial" w:hAnsi="Arial"/>
          <w:sz w:val="15"/>
          <w:szCs w:val="15"/>
          <w:color w:val="auto"/>
        </w:rPr>
        <w:t>LOS ANGELES</w:t>
      </w:r>
    </w:p>
    <w:p>
      <w:pPr>
        <w:spacing w:after="0" w:line="22" w:lineRule="exact"/>
        <w:rPr>
          <w:sz w:val="20"/>
          <w:szCs w:val="20"/>
          <w:color w:val="auto"/>
        </w:rPr>
      </w:pPr>
    </w:p>
    <w:p>
      <w:pPr>
        <w:ind w:left="200"/>
        <w:spacing w:after="0"/>
        <w:tabs>
          <w:tab w:leader="none" w:pos="1780" w:val="left"/>
          <w:tab w:leader="none" w:pos="2780" w:val="left"/>
          <w:tab w:leader="none" w:pos="3960" w:val="left"/>
        </w:tabs>
        <w:rPr>
          <w:sz w:val="20"/>
          <w:szCs w:val="20"/>
          <w:color w:val="auto"/>
        </w:rPr>
      </w:pPr>
      <w:r>
        <w:rPr>
          <w:rFonts w:ascii="Arial" w:cs="Arial" w:eastAsia="Arial" w:hAnsi="Arial"/>
          <w:sz w:val="16"/>
          <w:szCs w:val="16"/>
          <w:color w:val="auto"/>
        </w:rPr>
        <w:t>SAN FRANCISCO</w:t>
      </w:r>
      <w:r>
        <w:rPr>
          <w:sz w:val="20"/>
          <w:szCs w:val="20"/>
          <w:color w:val="auto"/>
        </w:rPr>
        <w:tab/>
      </w:r>
      <w:r>
        <w:rPr>
          <w:rFonts w:ascii="Arial" w:cs="Arial" w:eastAsia="Arial" w:hAnsi="Arial"/>
          <w:sz w:val="16"/>
          <w:szCs w:val="16"/>
          <w:color w:val="auto"/>
        </w:rPr>
        <w:t>SEATTLE</w:t>
      </w:r>
      <w:r>
        <w:rPr>
          <w:sz w:val="20"/>
          <w:szCs w:val="20"/>
          <w:color w:val="auto"/>
        </w:rPr>
        <w:tab/>
      </w:r>
      <w:r>
        <w:rPr>
          <w:rFonts w:ascii="Arial" w:cs="Arial" w:eastAsia="Arial" w:hAnsi="Arial"/>
          <w:sz w:val="16"/>
          <w:szCs w:val="16"/>
          <w:color w:val="auto"/>
        </w:rPr>
        <w:t>SHANGHAI</w:t>
      </w:r>
      <w:r>
        <w:rPr>
          <w:sz w:val="20"/>
          <w:szCs w:val="20"/>
          <w:color w:val="auto"/>
        </w:rPr>
        <w:tab/>
      </w:r>
      <w:r>
        <w:rPr>
          <w:rFonts w:ascii="Arial" w:cs="Arial" w:eastAsia="Arial" w:hAnsi="Arial"/>
          <w:sz w:val="15"/>
          <w:szCs w:val="15"/>
          <w:color w:val="auto"/>
        </w:rPr>
        <w:t>WASHINGTON, DC</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right="640" w:firstLine="175"/>
        <w:spacing w:after="0" w:line="293" w:lineRule="auto"/>
        <w:rPr>
          <w:sz w:val="20"/>
          <w:szCs w:val="20"/>
          <w:color w:val="auto"/>
        </w:rPr>
      </w:pPr>
      <w:r>
        <w:rPr>
          <w:rFonts w:ascii="Arial" w:cs="Arial" w:eastAsia="Arial" w:hAnsi="Arial"/>
          <w:sz w:val="16"/>
          <w:szCs w:val="16"/>
          <w:color w:val="auto"/>
        </w:rPr>
        <w:t>NEW YORK PALO ALTO WILMINGTON, DE</w:t>
      </w:r>
    </w:p>
    <w:p>
      <w:pPr>
        <w:sectPr>
          <w:pgSz w:w="11900" w:h="16838" w:orient="portrait"/>
          <w:cols w:equalWidth="0" w:num="4">
            <w:col w:w="1220" w:space="260"/>
            <w:col w:w="880" w:space="120"/>
            <w:col w:w="5520" w:space="160"/>
            <w:col w:w="2860"/>
          </w:cols>
          <w:pgMar w:left="440" w:top="121" w:right="439" w:bottom="1440" w:gutter="0" w:footer="0" w:header="0"/>
          <w:type w:val="continuous"/>
        </w:sectPr>
      </w:pPr>
    </w:p>
    <w:bookmarkStart w:id="387" w:name="page388"/>
    <w:bookmarkEnd w:id="38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337820</wp:posOffset>
            </wp:positionV>
            <wp:extent cx="634365" cy="31686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1">
                      <a:clrChange>
                        <a:clrFrom>
                          <a:srgbClr val="FFFFFF"/>
                        </a:clrFrom>
                        <a:clrTo>
                          <a:srgbClr val="FFFFFF">
                            <a:alpha val="0"/>
                          </a:srgbClr>
                        </a:clrTo>
                      </a:clrChange>
                      <a:extLst>
                        <a:ext uri="{28A0092B-C50C-407E-A947-70E740481C1C}"/>
                      </a:extLst>
                    </a:blip>
                    <a:srcRect/>
                    <a:stretch>
                      <a:fillRect/>
                    </a:stretch>
                  </pic:blipFill>
                  <pic:spPr bwMode="auto">
                    <a:xfrm>
                      <a:off x="0" y="0"/>
                      <a:ext cx="634365" cy="316865"/>
                    </a:xfrm>
                    <a:prstGeom prst="rect">
                      <a:avLst/>
                    </a:prstGeom>
                    <a:noFill/>
                  </pic:spPr>
                </pic:pic>
              </a:graphicData>
            </a:graphic>
          </wp:anchor>
        </w:drawing>
        <w:t>Tenaya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26,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We consent to the use of this opinion as an exhibit to the Registration Statement, and we consent to the reference of our name under the caption “Legal Matters” in the prospectus forming part of the Registration Statement.</w:t>
      </w:r>
    </w:p>
    <w:p>
      <w:pPr>
        <w:spacing w:after="0" w:line="6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Wilson Sonsini Goodrich &amp; Rosati</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Professional Corporation</w:t>
      </w:r>
    </w:p>
    <w:p>
      <w:pPr>
        <w:sectPr>
          <w:pgSz w:w="11900" w:h="16838" w:orient="portrait"/>
          <w:cols w:equalWidth="0" w:num="1">
            <w:col w:w="10760"/>
          </w:cols>
          <w:pgMar w:left="440" w:top="1124" w:right="699" w:bottom="1440" w:gutter="0" w:footer="0" w:header="0"/>
        </w:sectPr>
      </w:pPr>
    </w:p>
    <w:bookmarkStart w:id="388" w:name="page389"/>
    <w:bookmarkEnd w:id="388"/>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TENAYA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EQUITY INCENTIVE PLAN</w:t>
      </w:r>
    </w:p>
    <w:p>
      <w:pPr>
        <w:spacing w:after="0" w:line="229" w:lineRule="exact"/>
        <w:rPr>
          <w:sz w:val="20"/>
          <w:szCs w:val="20"/>
          <w:color w:val="auto"/>
        </w:rPr>
      </w:pPr>
    </w:p>
    <w:p>
      <w:pPr>
        <w:ind w:left="620" w:hanging="184"/>
        <w:spacing w:after="0"/>
        <w:tabs>
          <w:tab w:leader="none" w:pos="620"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Purposes of the Plan</w:t>
      </w:r>
      <w:r>
        <w:rPr>
          <w:rFonts w:ascii="Arial" w:cs="Arial" w:eastAsia="Arial" w:hAnsi="Arial"/>
          <w:sz w:val="18"/>
          <w:szCs w:val="18"/>
          <w:color w:val="auto"/>
        </w:rPr>
        <w:t>. The purposes of this Plan are: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to attract and retain the best available personnel for positions of substantial responsibility,</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to provide additional incentive to Employees, Directors and Consultants,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to promote the success of the Company’s business.</w:t>
      </w:r>
    </w:p>
    <w:p>
      <w:pPr>
        <w:spacing w:after="0" w:line="225" w:lineRule="exact"/>
        <w:rPr>
          <w:sz w:val="20"/>
          <w:szCs w:val="20"/>
          <w:color w:val="auto"/>
        </w:rPr>
      </w:pPr>
    </w:p>
    <w:p>
      <w:pPr>
        <w:ind w:right="720" w:firstLine="991"/>
        <w:spacing w:after="0" w:line="277" w:lineRule="auto"/>
        <w:rPr>
          <w:sz w:val="20"/>
          <w:szCs w:val="20"/>
          <w:color w:val="auto"/>
        </w:rPr>
      </w:pPr>
      <w:r>
        <w:rPr>
          <w:rFonts w:ascii="Arial" w:cs="Arial" w:eastAsia="Arial" w:hAnsi="Arial"/>
          <w:sz w:val="18"/>
          <w:szCs w:val="18"/>
          <w:color w:val="auto"/>
        </w:rPr>
        <w:t>The Plan permits the grant of Incentive Stock Options, Nonstatutory Stock Options, Stock Appreciation Rights, Restricted Stock, Restricted Stock Units and Performance Awards.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 the following definitions will apply:</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2.1 “</w:t>
      </w:r>
      <w:r>
        <w:rPr>
          <w:rFonts w:ascii="Arial" w:cs="Arial" w:eastAsia="Arial" w:hAnsi="Arial"/>
          <w:sz w:val="16"/>
          <w:szCs w:val="16"/>
          <w:u w:val="single" w:color="auto"/>
          <w:color w:val="auto"/>
        </w:rPr>
        <w:t>Administrator</w:t>
      </w:r>
      <w:r>
        <w:rPr>
          <w:rFonts w:ascii="Arial" w:cs="Arial" w:eastAsia="Arial" w:hAnsi="Arial"/>
          <w:sz w:val="16"/>
          <w:szCs w:val="16"/>
          <w:color w:val="auto"/>
        </w:rPr>
        <w:t>” means the Board or any of its Committees as will be administering the Plan, in accordance with Section 4 of the Plan.</w:t>
      </w:r>
    </w:p>
    <w:p>
      <w:pPr>
        <w:spacing w:after="0" w:line="248"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spacing w:after="0" w:line="187"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2.3 “</w:t>
      </w:r>
      <w:r>
        <w:rPr>
          <w:rFonts w:ascii="Arial" w:cs="Arial" w:eastAsia="Arial" w:hAnsi="Arial"/>
          <w:sz w:val="18"/>
          <w:szCs w:val="18"/>
          <w:u w:val="single" w:color="auto"/>
          <w:color w:val="auto"/>
        </w:rPr>
        <w:t>Award</w:t>
      </w:r>
      <w:r>
        <w:rPr>
          <w:rFonts w:ascii="Arial" w:cs="Arial" w:eastAsia="Arial" w:hAnsi="Arial"/>
          <w:sz w:val="18"/>
          <w:szCs w:val="18"/>
          <w:color w:val="auto"/>
        </w:rPr>
        <w:t>” means, individually or collectively, a grant under the Plan of Options, Stock Appreciation Rights, Restricted Stock, Restricted Stock Units, or Performance Awards.</w:t>
      </w:r>
    </w:p>
    <w:p>
      <w:pPr>
        <w:spacing w:after="0" w:line="170"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the written or electronic agreement setting forth the terms and provisions applicable to each Award granted under the Plan. The Award Agreement is subject to the terms and conditions of the Plan.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2.5 “</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occurrence of any of the following events:</w:t>
      </w:r>
    </w:p>
    <w:p>
      <w:pPr>
        <w:spacing w:after="0" w:line="117" w:lineRule="exact"/>
        <w:rPr>
          <w:sz w:val="20"/>
          <w:szCs w:val="20"/>
          <w:color w:val="auto"/>
        </w:rPr>
      </w:pPr>
    </w:p>
    <w:p>
      <w:pPr>
        <w:ind w:right="20" w:firstLine="1428"/>
        <w:spacing w:after="0" w:line="257" w:lineRule="auto"/>
        <w:tabs>
          <w:tab w:leader="none" w:pos="1677"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Change in Ownership of the Company</w:t>
      </w:r>
      <w:r>
        <w:rPr>
          <w:rFonts w:ascii="Arial" w:cs="Arial" w:eastAsia="Arial" w:hAnsi="Arial"/>
          <w:sz w:val="18"/>
          <w:szCs w:val="18"/>
          <w:color w:val="auto"/>
        </w:rPr>
        <w:t>. A change in the ownership of the Company which occurs on the date that any one person, or more than one person acting as a group (“</w:t>
      </w:r>
      <w:r>
        <w:rPr>
          <w:rFonts w:ascii="Arial" w:cs="Arial" w:eastAsia="Arial" w:hAnsi="Arial"/>
          <w:sz w:val="18"/>
          <w:szCs w:val="18"/>
          <w:u w:val="single" w:color="auto"/>
          <w:color w:val="auto"/>
        </w:rPr>
        <w:t>Person</w:t>
      </w:r>
      <w:r>
        <w:rPr>
          <w:rFonts w:ascii="Arial" w:cs="Arial" w:eastAsia="Arial" w:hAnsi="Arial"/>
          <w:sz w:val="18"/>
          <w:szCs w:val="18"/>
          <w:color w:val="auto"/>
        </w:rPr>
        <w:t>”),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 Person, who is considered to own more than fifty percent (50%) of the total voting power of the stock of the Company will not be considered a Change in Control;</w:t>
      </w:r>
    </w:p>
    <w:p>
      <w:pPr>
        <w:sectPr>
          <w:pgSz w:w="11900" w:h="16838" w:orient="portrait"/>
          <w:cols w:equalWidth="0" w:num="1">
            <w:col w:w="11020"/>
          </w:cols>
          <w:pgMar w:left="440" w:top="121" w:right="439" w:bottom="1440" w:gutter="0" w:footer="0" w:header="0"/>
        </w:sectPr>
      </w:pPr>
    </w:p>
    <w:bookmarkStart w:id="389" w:name="page390"/>
    <w:bookmarkEnd w:id="389"/>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90" w:lineRule="exact"/>
        <w:rPr>
          <w:sz w:val="20"/>
          <w:szCs w:val="20"/>
          <w:color w:val="auto"/>
        </w:rPr>
      </w:pPr>
    </w:p>
    <w:p>
      <w:pPr>
        <w:jc w:val="both"/>
        <w:ind w:right="40" w:firstLine="1428"/>
        <w:spacing w:after="0" w:line="275" w:lineRule="auto"/>
        <w:tabs>
          <w:tab w:leader="none" w:pos="1687" w:val="left"/>
        </w:tabs>
        <w:numPr>
          <w:ilvl w:val="0"/>
          <w:numId w:val="261"/>
        </w:numPr>
        <w:rPr>
          <w:rFonts w:ascii="Arial" w:cs="Arial" w:eastAsia="Arial" w:hAnsi="Arial"/>
          <w:sz w:val="17"/>
          <w:szCs w:val="17"/>
          <w:color w:val="auto"/>
        </w:rPr>
      </w:pPr>
      <w:r>
        <w:rPr>
          <w:rFonts w:ascii="Arial" w:cs="Arial" w:eastAsia="Arial" w:hAnsi="Arial"/>
          <w:sz w:val="17"/>
          <w:szCs w:val="17"/>
          <w:u w:val="single" w:color="auto"/>
          <w:color w:val="auto"/>
        </w:rPr>
        <w:t>Change in Effective Control of the Company</w:t>
      </w:r>
      <w:r>
        <w:rPr>
          <w:rFonts w:ascii="Arial" w:cs="Arial" w:eastAsia="Arial" w:hAnsi="Arial"/>
          <w:sz w:val="17"/>
          <w:szCs w:val="17"/>
          <w:color w:val="auto"/>
        </w:rPr>
        <w:t>. If the Company has a class of securities 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spacing w:after="0" w:line="176" w:lineRule="exact"/>
        <w:rPr>
          <w:rFonts w:ascii="Arial" w:cs="Arial" w:eastAsia="Arial" w:hAnsi="Arial"/>
          <w:sz w:val="17"/>
          <w:szCs w:val="17"/>
          <w:color w:val="auto"/>
        </w:rPr>
      </w:pPr>
    </w:p>
    <w:p>
      <w:pPr>
        <w:jc w:val="both"/>
        <w:ind w:firstLine="1428"/>
        <w:spacing w:after="0" w:line="287" w:lineRule="auto"/>
        <w:tabs>
          <w:tab w:leader="none" w:pos="1677" w:val="left"/>
        </w:tabs>
        <w:numPr>
          <w:ilvl w:val="0"/>
          <w:numId w:val="261"/>
        </w:numPr>
        <w:rPr>
          <w:rFonts w:ascii="Arial" w:cs="Arial" w:eastAsia="Arial" w:hAnsi="Arial"/>
          <w:sz w:val="16"/>
          <w:szCs w:val="16"/>
          <w:color w:val="auto"/>
        </w:rPr>
      </w:pPr>
      <w:r>
        <w:rPr>
          <w:rFonts w:ascii="Arial" w:cs="Arial" w:eastAsia="Arial" w:hAnsi="Arial"/>
          <w:sz w:val="16"/>
          <w:szCs w:val="16"/>
          <w:u w:val="single" w:color="auto"/>
          <w:color w:val="auto"/>
        </w:rPr>
        <w:t>Change in Ownership of a Substantial Portion of the Company’s Assets</w:t>
      </w:r>
      <w:r>
        <w:rPr>
          <w:rFonts w:ascii="Arial" w:cs="Arial" w:eastAsia="Arial" w:hAnsi="Arial"/>
          <w:sz w:val="16"/>
          <w:szCs w:val="16"/>
          <w:color w:val="auto"/>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w:t>
      </w:r>
    </w:p>
    <w:p>
      <w:pPr>
        <w:spacing w:after="0" w:line="2" w:lineRule="exact"/>
        <w:rPr>
          <w:rFonts w:ascii="Arial" w:cs="Arial" w:eastAsia="Arial" w:hAnsi="Arial"/>
          <w:sz w:val="16"/>
          <w:szCs w:val="16"/>
          <w:color w:val="auto"/>
        </w:rPr>
      </w:pPr>
    </w:p>
    <w:p>
      <w:pPr>
        <w:ind w:right="40"/>
        <w:spacing w:after="0" w:line="268" w:lineRule="auto"/>
        <w:rPr>
          <w:rFonts w:ascii="Arial" w:cs="Arial" w:eastAsia="Arial" w:hAnsi="Arial"/>
          <w:sz w:val="16"/>
          <w:szCs w:val="16"/>
          <w:color w:val="auto"/>
        </w:rPr>
      </w:pPr>
      <w:r>
        <w:rPr>
          <w:rFonts w:ascii="Arial" w:cs="Arial" w:eastAsia="Arial" w:hAnsi="Arial"/>
          <w:sz w:val="17"/>
          <w:szCs w:val="17"/>
          <w:color w:val="auto"/>
        </w:rPr>
        <w:t>(50%)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spacing w:after="0" w:line="181" w:lineRule="exact"/>
        <w:rPr>
          <w:sz w:val="20"/>
          <w:szCs w:val="20"/>
          <w:color w:val="auto"/>
        </w:rPr>
      </w:pPr>
    </w:p>
    <w:p>
      <w:pPr>
        <w:ind w:right="280" w:firstLine="1432"/>
        <w:spacing w:after="0" w:line="308" w:lineRule="auto"/>
        <w:rPr>
          <w:sz w:val="20"/>
          <w:szCs w:val="20"/>
          <w:color w:val="auto"/>
        </w:rPr>
      </w:pPr>
      <w:r>
        <w:rPr>
          <w:rFonts w:ascii="Arial" w:cs="Arial" w:eastAsia="Arial" w:hAnsi="Arial"/>
          <w:sz w:val="17"/>
          <w:szCs w:val="17"/>
          <w:color w:val="auto"/>
        </w:rPr>
        <w:t>For purposes of this Section 2.6, persons will be considered to be acting as a group if they are owners of a corporation that enters into a merger, consolidation, purchase or acquisition of stock, or similar business transaction with the Company.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390" w:name="page391"/>
    <w:bookmarkEnd w:id="390"/>
    <w:p>
      <w:pPr>
        <w:ind w:left="4" w:right="120" w:firstLine="1432"/>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a transaction will not be deemed a Change in Control unless the transaction qualifies as a change in control event within the meaning of Code Section 409A.</w:t>
      </w:r>
    </w:p>
    <w:p>
      <w:pPr>
        <w:spacing w:after="0" w:line="170" w:lineRule="exact"/>
        <w:rPr>
          <w:sz w:val="20"/>
          <w:szCs w:val="20"/>
          <w:color w:val="auto"/>
        </w:rPr>
      </w:pPr>
    </w:p>
    <w:p>
      <w:pPr>
        <w:ind w:left="4" w:right="160" w:firstLine="1432"/>
        <w:spacing w:after="0" w:line="263" w:lineRule="auto"/>
        <w:rPr>
          <w:sz w:val="20"/>
          <w:szCs w:val="20"/>
          <w:color w:val="auto"/>
        </w:rPr>
      </w:pPr>
      <w:r>
        <w:rPr>
          <w:rFonts w:ascii="Arial" w:cs="Arial" w:eastAsia="Arial" w:hAnsi="Arial"/>
          <w:sz w:val="18"/>
          <w:szCs w:val="18"/>
          <w:color w:val="auto"/>
        </w:rPr>
        <w:t>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spacing w:after="0" w:line="184" w:lineRule="exact"/>
        <w:rPr>
          <w:sz w:val="20"/>
          <w:szCs w:val="20"/>
          <w:color w:val="auto"/>
        </w:rPr>
      </w:pPr>
    </w:p>
    <w:p>
      <w:pPr>
        <w:ind w:left="4" w:right="180" w:firstLine="991"/>
        <w:spacing w:after="0" w:line="311" w:lineRule="auto"/>
        <w:rPr>
          <w:sz w:val="20"/>
          <w:szCs w:val="20"/>
          <w:color w:val="auto"/>
        </w:rPr>
      </w:pPr>
      <w:r>
        <w:rPr>
          <w:rFonts w:ascii="Arial" w:cs="Arial" w:eastAsia="Arial" w:hAnsi="Arial"/>
          <w:sz w:val="16"/>
          <w:szCs w:val="16"/>
          <w:color w:val="auto"/>
        </w:rPr>
        <w:t>2.7 “</w:t>
      </w:r>
      <w:r>
        <w:rPr>
          <w:rFonts w:ascii="Arial" w:cs="Arial" w:eastAsia="Arial" w:hAnsi="Arial"/>
          <w:sz w:val="16"/>
          <w:szCs w:val="16"/>
          <w:u w:val="single" w:color="auto"/>
          <w:color w:val="auto"/>
        </w:rPr>
        <w:t>Code</w:t>
      </w:r>
      <w:r>
        <w:rPr>
          <w:rFonts w:ascii="Arial" w:cs="Arial" w:eastAsia="Arial" w:hAnsi="Arial"/>
          <w:sz w:val="16"/>
          <w:szCs w:val="16"/>
          <w:color w:val="auto"/>
        </w:rPr>
        <w:t>” 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spacing w:after="0" w:line="149" w:lineRule="exact"/>
        <w:rPr>
          <w:sz w:val="20"/>
          <w:szCs w:val="20"/>
          <w:color w:val="auto"/>
        </w:rPr>
      </w:pPr>
    </w:p>
    <w:p>
      <w:pPr>
        <w:ind w:left="4" w:right="100" w:firstLine="991"/>
        <w:spacing w:after="0" w:line="277" w:lineRule="auto"/>
        <w:rPr>
          <w:sz w:val="20"/>
          <w:szCs w:val="20"/>
          <w:color w:val="auto"/>
        </w:rPr>
      </w:pPr>
      <w:r>
        <w:rPr>
          <w:rFonts w:ascii="Arial" w:cs="Arial" w:eastAsia="Arial" w:hAnsi="Arial"/>
          <w:sz w:val="18"/>
          <w:szCs w:val="18"/>
          <w:color w:val="auto"/>
        </w:rPr>
        <w:t>2.8 “</w:t>
      </w:r>
      <w:r>
        <w:rPr>
          <w:rFonts w:ascii="Arial" w:cs="Arial" w:eastAsia="Arial" w:hAnsi="Arial"/>
          <w:sz w:val="18"/>
          <w:szCs w:val="18"/>
          <w:u w:val="single" w:color="auto"/>
          <w:color w:val="auto"/>
        </w:rPr>
        <w:t>Committee</w:t>
      </w:r>
      <w:r>
        <w:rPr>
          <w:rFonts w:ascii="Arial" w:cs="Arial" w:eastAsia="Arial" w:hAnsi="Arial"/>
          <w:sz w:val="18"/>
          <w:szCs w:val="18"/>
          <w:color w:val="auto"/>
        </w:rPr>
        <w:t>” means a committee of Directors or of other individuals satisfying Applicable Laws appointed by the Board, or by a duly authorized committee of the Board, in accordance with Section 4 hereof.</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Company</w:t>
      </w:r>
      <w:r>
        <w:rPr>
          <w:rFonts w:ascii="Arial" w:cs="Arial" w:eastAsia="Arial" w:hAnsi="Arial"/>
          <w:sz w:val="18"/>
          <w:szCs w:val="18"/>
          <w:color w:val="auto"/>
        </w:rPr>
        <w:t>” means Tenaya Therapeutics, Inc., a Delaware corporation, or any successor thereto.</w:t>
      </w:r>
    </w:p>
    <w:p>
      <w:pPr>
        <w:spacing w:after="0" w:line="225" w:lineRule="exact"/>
        <w:rPr>
          <w:sz w:val="20"/>
          <w:szCs w:val="20"/>
          <w:color w:val="auto"/>
        </w:rPr>
      </w:pPr>
    </w:p>
    <w:p>
      <w:pPr>
        <w:ind w:left="4" w:right="140" w:firstLine="991"/>
        <w:spacing w:after="0" w:line="291" w:lineRule="auto"/>
        <w:rPr>
          <w:sz w:val="20"/>
          <w:szCs w:val="20"/>
          <w:color w:val="auto"/>
        </w:rPr>
      </w:pPr>
      <w:r>
        <w:rPr>
          <w:rFonts w:ascii="Arial" w:cs="Arial" w:eastAsia="Arial" w:hAnsi="Arial"/>
          <w:sz w:val="16"/>
          <w:szCs w:val="16"/>
          <w:color w:val="auto"/>
        </w:rPr>
        <w:t>2.11 “</w:t>
      </w:r>
      <w:r>
        <w:rPr>
          <w:rFonts w:ascii="Arial" w:cs="Arial" w:eastAsia="Arial" w:hAnsi="Arial"/>
          <w:sz w:val="16"/>
          <w:szCs w:val="16"/>
          <w:u w:val="single" w:color="auto"/>
          <w:color w:val="auto"/>
        </w:rPr>
        <w:t>Consultant</w:t>
      </w:r>
      <w:r>
        <w:rPr>
          <w:rFonts w:ascii="Arial" w:cs="Arial" w:eastAsia="Arial" w:hAnsi="Arial"/>
          <w:sz w:val="16"/>
          <w:szCs w:val="16"/>
          <w:color w:val="auto"/>
        </w:rPr>
        <w:t>” means any natural person, including an advisor, engaged by the Company or any of its Parent or Subsidiaries to render bona fide services to such entity, provided the services (a) are not in connection with the offer or sale of securities in a capital-raising transaction, and</w:t>
      </w:r>
    </w:p>
    <w:p>
      <w:pPr>
        <w:ind w:left="4" w:hanging="4"/>
        <w:spacing w:after="0" w:line="255" w:lineRule="auto"/>
        <w:tabs>
          <w:tab w:leader="none" w:pos="259" w:val="left"/>
        </w:tabs>
        <w:numPr>
          <w:ilvl w:val="0"/>
          <w:numId w:val="262"/>
        </w:numPr>
        <w:rPr>
          <w:rFonts w:ascii="Arial" w:cs="Arial" w:eastAsia="Arial" w:hAnsi="Arial"/>
          <w:sz w:val="18"/>
          <w:szCs w:val="18"/>
          <w:color w:val="auto"/>
        </w:rPr>
      </w:pPr>
      <w:r>
        <w:rPr>
          <w:rFonts w:ascii="Arial" w:cs="Arial" w:eastAsia="Arial" w:hAnsi="Arial"/>
          <w:sz w:val="18"/>
          <w:szCs w:val="18"/>
          <w:color w:val="auto"/>
        </w:rPr>
        <w:t>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spacing w:after="0" w:line="19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225" w:lineRule="exact"/>
        <w:rPr>
          <w:sz w:val="20"/>
          <w:szCs w:val="20"/>
          <w:color w:val="auto"/>
        </w:rPr>
      </w:pPr>
    </w:p>
    <w:p>
      <w:pPr>
        <w:ind w:left="4" w:right="80" w:firstLine="991"/>
        <w:spacing w:after="0" w:line="263" w:lineRule="auto"/>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Disability</w:t>
      </w:r>
      <w:r>
        <w:rPr>
          <w:rFonts w:ascii="Arial" w:cs="Arial" w:eastAsia="Arial" w:hAnsi="Arial"/>
          <w:sz w:val="18"/>
          <w:szCs w:val="18"/>
          <w:color w:val="auto"/>
        </w:rPr>
        <w:t>” means total and permanent disability as defined in Code Section 22(e)(3),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84" w:lineRule="exact"/>
        <w:rPr>
          <w:sz w:val="20"/>
          <w:szCs w:val="20"/>
          <w:color w:val="auto"/>
        </w:rPr>
      </w:pPr>
    </w:p>
    <w:p>
      <w:pPr>
        <w:ind w:left="4" w:right="100" w:firstLine="991"/>
        <w:spacing w:after="0" w:line="342" w:lineRule="auto"/>
        <w:rPr>
          <w:sz w:val="20"/>
          <w:szCs w:val="20"/>
          <w:color w:val="auto"/>
        </w:rPr>
      </w:pPr>
      <w:r>
        <w:rPr>
          <w:rFonts w:ascii="Arial" w:cs="Arial" w:eastAsia="Arial" w:hAnsi="Arial"/>
          <w:sz w:val="16"/>
          <w:szCs w:val="16"/>
          <w:color w:val="auto"/>
        </w:rPr>
        <w:t>2.14 “</w:t>
      </w:r>
      <w:r>
        <w:rPr>
          <w:rFonts w:ascii="Arial" w:cs="Arial" w:eastAsia="Arial" w:hAnsi="Arial"/>
          <w:sz w:val="16"/>
          <w:szCs w:val="16"/>
          <w:u w:val="single" w:color="auto"/>
          <w:color w:val="auto"/>
        </w:rPr>
        <w:t>Employee</w:t>
      </w:r>
      <w:r>
        <w:rPr>
          <w:rFonts w:ascii="Arial" w:cs="Arial" w:eastAsia="Arial" w:hAnsi="Arial"/>
          <w:sz w:val="16"/>
          <w:szCs w:val="16"/>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124" w:lineRule="exact"/>
        <w:rPr>
          <w:sz w:val="20"/>
          <w:szCs w:val="20"/>
          <w:color w:val="auto"/>
        </w:rPr>
      </w:pPr>
    </w:p>
    <w:p>
      <w:pPr>
        <w:ind w:left="984"/>
        <w:spacing w:after="0"/>
        <w:rPr>
          <w:sz w:val="20"/>
          <w:szCs w:val="20"/>
          <w:color w:val="auto"/>
        </w:rPr>
      </w:pPr>
      <w:r>
        <w:rPr>
          <w:rFonts w:ascii="Arial" w:cs="Arial" w:eastAsia="Arial" w:hAnsi="Arial"/>
          <w:sz w:val="17"/>
          <w:szCs w:val="17"/>
          <w:color w:val="auto"/>
        </w:rPr>
        <w:t>2.15 “</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U.S. Securities Exchange Act of 1934, as amended, including the rules and regulations promulgated</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thereunder.</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391" w:name="page392"/>
    <w:bookmarkEnd w:id="391"/>
    <w:p>
      <w:pPr>
        <w:ind w:right="40"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2.16 “</w:t>
      </w:r>
      <w:r>
        <w:rPr>
          <w:rFonts w:ascii="Arial" w:cs="Arial" w:eastAsia="Arial" w:hAnsi="Arial"/>
          <w:sz w:val="18"/>
          <w:szCs w:val="18"/>
          <w:u w:val="single" w:color="auto"/>
          <w:color w:val="auto"/>
        </w:rPr>
        <w:t>Exchange Program</w:t>
      </w:r>
      <w:r>
        <w:rPr>
          <w:rFonts w:ascii="Arial" w:cs="Arial" w:eastAsia="Arial" w:hAnsi="Arial"/>
          <w:sz w:val="18"/>
          <w:szCs w:val="18"/>
          <w:color w:val="auto"/>
        </w:rPr>
        <w:t>” means a program under which (a) outstanding Awards are surrendered or cancelled in exchange for awards of the same type (which may have higher or lower exercise prices and different terms), awards of a different type, and/or cash, (b) Participants would have the opportunity to transfer any outstanding Awards to a financial institution or other person or entity selected by the Administrator, and/or (c) the exercise price of an outstanding Award is reduced or increased. The Administrator will determine the terms and conditions of any Exchange Program in its sole discretion.</w:t>
      </w:r>
    </w:p>
    <w:p>
      <w:pPr>
        <w:spacing w:after="0" w:line="188" w:lineRule="exact"/>
        <w:rPr>
          <w:sz w:val="20"/>
          <w:szCs w:val="20"/>
          <w:color w:val="auto"/>
        </w:rPr>
      </w:pPr>
    </w:p>
    <w:p>
      <w:pPr>
        <w:ind w:right="760" w:firstLine="991"/>
        <w:spacing w:after="0" w:line="277" w:lineRule="auto"/>
        <w:rPr>
          <w:sz w:val="20"/>
          <w:szCs w:val="20"/>
          <w:color w:val="auto"/>
        </w:rPr>
      </w:pPr>
      <w:r>
        <w:rPr>
          <w:rFonts w:ascii="Arial" w:cs="Arial" w:eastAsia="Arial" w:hAnsi="Arial"/>
          <w:sz w:val="18"/>
          <w:szCs w:val="18"/>
          <w:color w:val="auto"/>
        </w:rPr>
        <w:t>2.17 “</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of any date and unless the Administrator determines otherwise, the value of Common Stock determined as follows:</w:t>
      </w:r>
    </w:p>
    <w:p>
      <w:pPr>
        <w:spacing w:after="0" w:line="62" w:lineRule="exact"/>
        <w:rPr>
          <w:sz w:val="20"/>
          <w:szCs w:val="20"/>
          <w:color w:val="auto"/>
        </w:rPr>
      </w:pPr>
    </w:p>
    <w:p>
      <w:pPr>
        <w:ind w:firstLine="1428"/>
        <w:spacing w:after="0" w:line="257" w:lineRule="auto"/>
        <w:tabs>
          <w:tab w:leader="none" w:pos="1677" w:val="left"/>
        </w:tabs>
        <w:numPr>
          <w:ilvl w:val="0"/>
          <w:numId w:val="263"/>
        </w:numPr>
        <w:rPr>
          <w:rFonts w:ascii="Arial" w:cs="Arial" w:eastAsia="Arial" w:hAnsi="Arial"/>
          <w:sz w:val="18"/>
          <w:szCs w:val="18"/>
          <w:color w:val="auto"/>
        </w:rPr>
      </w:pPr>
      <w:r>
        <w:rPr>
          <w:rFonts w:ascii="Arial" w:cs="Arial" w:eastAsia="Arial" w:hAnsi="Arial"/>
          <w:sz w:val="18"/>
          <w:szCs w:val="18"/>
          <w:color w:val="auto"/>
        </w:rPr>
        <w:t xml:space="preserve">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date of determination, as reported in </w:t>
      </w:r>
      <w:r>
        <w:rPr>
          <w:rFonts w:ascii="Arial" w:cs="Arial" w:eastAsia="Arial" w:hAnsi="Arial"/>
          <w:sz w:val="18"/>
          <w:szCs w:val="18"/>
          <w:i w:val="1"/>
          <w:iCs w:val="1"/>
          <w:color w:val="auto"/>
        </w:rPr>
        <w:t>The Wall Street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Journal </w:t>
      </w:r>
      <w:r>
        <w:rPr>
          <w:rFonts w:ascii="Arial" w:cs="Arial" w:eastAsia="Arial" w:hAnsi="Arial"/>
          <w:sz w:val="18"/>
          <w:szCs w:val="18"/>
          <w:color w:val="auto"/>
        </w:rPr>
        <w:t>or such other source as the Administrator deems reliable;</w:t>
      </w:r>
    </w:p>
    <w:p>
      <w:pPr>
        <w:spacing w:after="0" w:line="187" w:lineRule="exact"/>
        <w:rPr>
          <w:rFonts w:ascii="Arial" w:cs="Arial" w:eastAsia="Arial" w:hAnsi="Arial"/>
          <w:sz w:val="18"/>
          <w:szCs w:val="18"/>
          <w:color w:val="auto"/>
        </w:rPr>
      </w:pPr>
    </w:p>
    <w:p>
      <w:pPr>
        <w:ind w:firstLine="1428"/>
        <w:spacing w:after="0" w:line="259" w:lineRule="auto"/>
        <w:tabs>
          <w:tab w:leader="none" w:pos="1687" w:val="left"/>
        </w:tabs>
        <w:numPr>
          <w:ilvl w:val="0"/>
          <w:numId w:val="263"/>
        </w:numPr>
        <w:rPr>
          <w:rFonts w:ascii="Arial" w:cs="Arial" w:eastAsia="Arial" w:hAnsi="Arial"/>
          <w:sz w:val="18"/>
          <w:szCs w:val="18"/>
          <w:color w:val="auto"/>
        </w:rPr>
      </w:pPr>
      <w:r>
        <w:rPr>
          <w:rFonts w:ascii="Arial" w:cs="Arial" w:eastAsia="Arial" w:hAnsi="Arial"/>
          <w:sz w:val="18"/>
          <w:szCs w:val="18"/>
          <w:color w:val="auto"/>
        </w:rPr>
        <w:t xml:space="preserve">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Day such bids and asks were reported),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Administrator deems reliable;</w:t>
      </w:r>
    </w:p>
    <w:p>
      <w:pPr>
        <w:spacing w:after="0" w:line="186" w:lineRule="exact"/>
        <w:rPr>
          <w:rFonts w:ascii="Arial" w:cs="Arial" w:eastAsia="Arial" w:hAnsi="Arial"/>
          <w:sz w:val="18"/>
          <w:szCs w:val="18"/>
          <w:color w:val="auto"/>
        </w:rPr>
      </w:pPr>
    </w:p>
    <w:p>
      <w:pPr>
        <w:ind w:right="160" w:firstLine="1428"/>
        <w:spacing w:after="0" w:line="263" w:lineRule="auto"/>
        <w:tabs>
          <w:tab w:leader="none" w:pos="1677" w:val="left"/>
        </w:tabs>
        <w:numPr>
          <w:ilvl w:val="0"/>
          <w:numId w:val="263"/>
        </w:numPr>
        <w:rPr>
          <w:rFonts w:ascii="Arial" w:cs="Arial" w:eastAsia="Arial" w:hAnsi="Arial"/>
          <w:sz w:val="18"/>
          <w:szCs w:val="18"/>
          <w:color w:val="auto"/>
        </w:rPr>
      </w:pPr>
      <w:r>
        <w:rPr>
          <w:rFonts w:ascii="Arial" w:cs="Arial" w:eastAsia="Arial" w:hAnsi="Arial"/>
          <w:sz w:val="18"/>
          <w:szCs w:val="18"/>
          <w:color w:val="auto"/>
        </w:rPr>
        <w:t>For purposes of any Awards granted on the Registration Date, the Fair Market Value will be the initial price to the public as set forth in the final prospectus included within the registration statement on Form S-1 filed with the Securities and Exchange Commission for the initial public offering of the Common Stock; or</w:t>
      </w:r>
    </w:p>
    <w:p>
      <w:pPr>
        <w:spacing w:after="0" w:line="183" w:lineRule="exact"/>
        <w:rPr>
          <w:rFonts w:ascii="Arial" w:cs="Arial" w:eastAsia="Arial" w:hAnsi="Arial"/>
          <w:sz w:val="18"/>
          <w:szCs w:val="18"/>
          <w:color w:val="auto"/>
        </w:rPr>
      </w:pPr>
    </w:p>
    <w:p>
      <w:pPr>
        <w:ind w:left="1680" w:hanging="252"/>
        <w:spacing w:after="0"/>
        <w:tabs>
          <w:tab w:leader="none" w:pos="168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In the absence of an established market for the Common Stock, the Fair Market Value will be determined in good faith by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Administrator.</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2.18 “</w:t>
      </w:r>
      <w:r>
        <w:rPr>
          <w:rFonts w:ascii="Arial" w:cs="Arial" w:eastAsia="Arial" w:hAnsi="Arial"/>
          <w:sz w:val="18"/>
          <w:szCs w:val="18"/>
          <w:u w:val="single" w:color="auto"/>
          <w:color w:val="auto"/>
        </w:rPr>
        <w:t>Fiscal Year</w:t>
      </w:r>
      <w:r>
        <w:rPr>
          <w:rFonts w:ascii="Arial" w:cs="Arial" w:eastAsia="Arial" w:hAnsi="Arial"/>
          <w:sz w:val="18"/>
          <w:szCs w:val="18"/>
          <w:color w:val="auto"/>
        </w:rPr>
        <w:t>” means the fiscal year of the Company.</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2.19 “</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that by its terms qualifies and is otherwise intended to qualify as an incentive stock option within the meaning of Code Section 422 and the regulations promulgated thereunder.</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2.20 “</w:t>
      </w:r>
      <w:r>
        <w:rPr>
          <w:rFonts w:ascii="Arial" w:cs="Arial" w:eastAsia="Arial" w:hAnsi="Arial"/>
          <w:sz w:val="16"/>
          <w:szCs w:val="16"/>
          <w:u w:val="single" w:color="auto"/>
          <w:color w:val="auto"/>
        </w:rPr>
        <w:t>Nonstatutory Stock Option</w:t>
      </w:r>
      <w:r>
        <w:rPr>
          <w:rFonts w:ascii="Arial" w:cs="Arial" w:eastAsia="Arial" w:hAnsi="Arial"/>
          <w:sz w:val="16"/>
          <w:szCs w:val="16"/>
          <w:color w:val="auto"/>
        </w:rPr>
        <w:t>” means an Option that by its terms does not qualify or is not intended to qualify as an Incentive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Option.</w:t>
      </w:r>
    </w:p>
    <w:p>
      <w:pPr>
        <w:spacing w:after="0" w:line="211"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2.21 “</w:t>
      </w:r>
      <w:r>
        <w:rPr>
          <w:rFonts w:ascii="Arial" w:cs="Arial" w:eastAsia="Arial" w:hAnsi="Arial"/>
          <w:sz w:val="18"/>
          <w:szCs w:val="18"/>
          <w:u w:val="single" w:color="auto"/>
          <w:color w:val="auto"/>
        </w:rPr>
        <w:t>Officer</w:t>
      </w:r>
      <w:r>
        <w:rPr>
          <w:rFonts w:ascii="Arial" w:cs="Arial" w:eastAsia="Arial" w:hAnsi="Arial"/>
          <w:sz w:val="18"/>
          <w:szCs w:val="18"/>
          <w:color w:val="auto"/>
        </w:rPr>
        <w:t>” means a person who is an officer of the Company within the meaning of Section 16 of the Exchange Act and the rules and regulations promulgated thereunder.</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2.22 “</w:t>
      </w:r>
      <w:r>
        <w:rPr>
          <w:rFonts w:ascii="Arial" w:cs="Arial" w:eastAsia="Arial" w:hAnsi="Arial"/>
          <w:sz w:val="18"/>
          <w:szCs w:val="18"/>
          <w:u w:val="single" w:color="auto"/>
          <w:color w:val="auto"/>
        </w:rPr>
        <w:t>Option</w:t>
      </w:r>
      <w:r>
        <w:rPr>
          <w:rFonts w:ascii="Arial" w:cs="Arial" w:eastAsia="Arial" w:hAnsi="Arial"/>
          <w:sz w:val="18"/>
          <w:szCs w:val="18"/>
          <w:color w:val="auto"/>
        </w:rPr>
        <w:t>” means a stock option granted pursuant to the Plan.</w:t>
      </w:r>
    </w:p>
    <w:p>
      <w:pPr>
        <w:spacing w:after="0" w:line="15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4" w:right="499" w:bottom="1440" w:gutter="0" w:footer="0" w:header="0"/>
        </w:sectPr>
      </w:pPr>
    </w:p>
    <w:bookmarkStart w:id="392" w:name="page393"/>
    <w:bookmarkEnd w:id="392"/>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2.23 “</w:t>
      </w:r>
      <w:r>
        <w:rPr>
          <w:rFonts w:ascii="Arial" w:cs="Arial" w:eastAsia="Arial" w:hAnsi="Arial"/>
          <w:sz w:val="18"/>
          <w:szCs w:val="18"/>
          <w:u w:val="single" w:color="auto"/>
          <w:color w:val="auto"/>
        </w:rPr>
        <w:t>Outside Director</w:t>
      </w:r>
      <w:r>
        <w:rPr>
          <w:rFonts w:ascii="Arial" w:cs="Arial" w:eastAsia="Arial" w:hAnsi="Arial"/>
          <w:sz w:val="18"/>
          <w:szCs w:val="18"/>
          <w:color w:val="auto"/>
        </w:rPr>
        <w:t>” means a Director who is not an Employee.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2.24 “</w:t>
      </w:r>
      <w:r>
        <w:rPr>
          <w:rFonts w:ascii="Arial" w:cs="Arial" w:eastAsia="Arial" w:hAnsi="Arial"/>
          <w:sz w:val="18"/>
          <w:szCs w:val="18"/>
          <w:u w:val="single" w:color="auto"/>
          <w:color w:val="auto"/>
        </w:rPr>
        <w:t>Parent</w:t>
      </w:r>
      <w:r>
        <w:rPr>
          <w:rFonts w:ascii="Arial" w:cs="Arial" w:eastAsia="Arial" w:hAnsi="Arial"/>
          <w:sz w:val="18"/>
          <w:szCs w:val="18"/>
          <w:color w:val="auto"/>
        </w:rPr>
        <w:t>” means a “parent corporation,” whether now or hereafter existing, as defined in Code Section 424(e).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2.25 “</w:t>
      </w:r>
      <w:r>
        <w:rPr>
          <w:rFonts w:ascii="Arial" w:cs="Arial" w:eastAsia="Arial" w:hAnsi="Arial"/>
          <w:sz w:val="18"/>
          <w:szCs w:val="18"/>
          <w:u w:val="single" w:color="auto"/>
          <w:color w:val="auto"/>
        </w:rPr>
        <w:t>Participant</w:t>
      </w:r>
      <w:r>
        <w:rPr>
          <w:rFonts w:ascii="Arial" w:cs="Arial" w:eastAsia="Arial" w:hAnsi="Arial"/>
          <w:sz w:val="18"/>
          <w:szCs w:val="18"/>
          <w:color w:val="auto"/>
        </w:rPr>
        <w:t>” means the holder of an outstanding Award.</w:t>
      </w:r>
    </w:p>
    <w:p>
      <w:pPr>
        <w:spacing w:after="0" w:line="22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2.26 “</w:t>
      </w:r>
      <w:r>
        <w:rPr>
          <w:rFonts w:ascii="Arial" w:cs="Arial" w:eastAsia="Arial" w:hAnsi="Arial"/>
          <w:sz w:val="18"/>
          <w:szCs w:val="18"/>
          <w:u w:val="single" w:color="auto"/>
          <w:color w:val="auto"/>
        </w:rPr>
        <w:t>Performance Awards</w:t>
      </w:r>
      <w:r>
        <w:rPr>
          <w:rFonts w:ascii="Arial" w:cs="Arial" w:eastAsia="Arial" w:hAnsi="Arial"/>
          <w:sz w:val="18"/>
          <w:szCs w:val="18"/>
          <w:color w:val="auto"/>
        </w:rPr>
        <w:t>” means an Award which may be earned in whole or in part upon attainment of performance goals or other vesting criteria as the Administrator may determine and which may be cash- or stock-denominated and may be settled for cash, Shares or other securities or a combination of the foregoing under Section 10.</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2.27 “</w:t>
      </w:r>
      <w:r>
        <w:rPr>
          <w:rFonts w:ascii="Arial" w:cs="Arial" w:eastAsia="Arial" w:hAnsi="Arial"/>
          <w:sz w:val="18"/>
          <w:szCs w:val="18"/>
          <w:u w:val="single" w:color="auto"/>
          <w:color w:val="auto"/>
        </w:rPr>
        <w:t>Performance Period</w:t>
      </w:r>
      <w:r>
        <w:rPr>
          <w:rFonts w:ascii="Arial" w:cs="Arial" w:eastAsia="Arial" w:hAnsi="Arial"/>
          <w:sz w:val="18"/>
          <w:szCs w:val="18"/>
          <w:color w:val="auto"/>
        </w:rPr>
        <w:t>” means Performance Period as defined in Section 10.1.</w:t>
      </w:r>
    </w:p>
    <w:p>
      <w:pPr>
        <w:spacing w:after="0" w:line="225"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2.28 “</w:t>
      </w:r>
      <w:r>
        <w:rPr>
          <w:rFonts w:ascii="Arial" w:cs="Arial" w:eastAsia="Arial" w:hAnsi="Arial"/>
          <w:sz w:val="18"/>
          <w:szCs w:val="18"/>
          <w:u w:val="single" w:color="auto"/>
          <w:color w:val="auto"/>
        </w:rPr>
        <w:t>Period of Restriction</w:t>
      </w:r>
      <w:r>
        <w:rPr>
          <w:rFonts w:ascii="Arial" w:cs="Arial" w:eastAsia="Arial" w:hAnsi="Arial"/>
          <w:sz w:val="18"/>
          <w:szCs w:val="18"/>
          <w:color w:val="auto"/>
        </w:rPr>
        <w:t>” means the period (if any)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2.29 “</w:t>
      </w:r>
      <w:r>
        <w:rPr>
          <w:rFonts w:ascii="Arial" w:cs="Arial" w:eastAsia="Arial" w:hAnsi="Arial"/>
          <w:sz w:val="18"/>
          <w:szCs w:val="18"/>
          <w:u w:val="single" w:color="auto"/>
          <w:color w:val="auto"/>
        </w:rPr>
        <w:t>Plan</w:t>
      </w:r>
      <w:r>
        <w:rPr>
          <w:rFonts w:ascii="Arial" w:cs="Arial" w:eastAsia="Arial" w:hAnsi="Arial"/>
          <w:sz w:val="18"/>
          <w:szCs w:val="18"/>
          <w:color w:val="auto"/>
        </w:rPr>
        <w:t>” means this 2021 Equity Incentive Plan.</w:t>
      </w:r>
    </w:p>
    <w:p>
      <w:pPr>
        <w:spacing w:after="0" w:line="225" w:lineRule="exact"/>
        <w:rPr>
          <w:sz w:val="20"/>
          <w:szCs w:val="20"/>
          <w:color w:val="auto"/>
        </w:rPr>
      </w:pPr>
    </w:p>
    <w:p>
      <w:pPr>
        <w:ind w:right="340" w:firstLine="991"/>
        <w:spacing w:after="0" w:line="277" w:lineRule="auto"/>
        <w:rPr>
          <w:sz w:val="20"/>
          <w:szCs w:val="20"/>
          <w:color w:val="auto"/>
        </w:rPr>
      </w:pPr>
      <w:r>
        <w:rPr>
          <w:rFonts w:ascii="Arial" w:cs="Arial" w:eastAsia="Arial" w:hAnsi="Arial"/>
          <w:sz w:val="18"/>
          <w:szCs w:val="18"/>
          <w:color w:val="auto"/>
        </w:rPr>
        <w:t>2.30 “</w:t>
      </w:r>
      <w:r>
        <w:rPr>
          <w:rFonts w:ascii="Arial" w:cs="Arial" w:eastAsia="Arial" w:hAnsi="Arial"/>
          <w:sz w:val="18"/>
          <w:szCs w:val="18"/>
          <w:u w:val="single" w:color="auto"/>
          <w:color w:val="auto"/>
        </w:rPr>
        <w:t>Registration Date</w:t>
      </w:r>
      <w:r>
        <w:rPr>
          <w:rFonts w:ascii="Arial" w:cs="Arial" w:eastAsia="Arial" w:hAnsi="Arial"/>
          <w:sz w:val="18"/>
          <w:szCs w:val="18"/>
          <w:color w:val="auto"/>
        </w:rPr>
        <w:t>” means the effective date of the first registration statement that is filed by the Company and declared effective pursuant to Section 12(b) of the Exchange Act, with respect to any class of the Company’s securities.</w:t>
      </w:r>
    </w:p>
    <w:p>
      <w:pPr>
        <w:spacing w:after="0" w:line="170"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2.31 “</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issued pursuant to an Award of Restricted Stock under Section 8 of the Plan, or issued pursuant to the early exercise of an Option.</w:t>
      </w:r>
    </w:p>
    <w:p>
      <w:pPr>
        <w:spacing w:after="0" w:line="170" w:lineRule="exact"/>
        <w:rPr>
          <w:sz w:val="20"/>
          <w:szCs w:val="20"/>
          <w:color w:val="auto"/>
        </w:rPr>
      </w:pPr>
    </w:p>
    <w:p>
      <w:pPr>
        <w:ind w:right="360" w:firstLine="991"/>
        <w:spacing w:after="0" w:line="277" w:lineRule="auto"/>
        <w:rPr>
          <w:sz w:val="20"/>
          <w:szCs w:val="20"/>
          <w:color w:val="auto"/>
        </w:rPr>
      </w:pPr>
      <w:r>
        <w:rPr>
          <w:rFonts w:ascii="Arial" w:cs="Arial" w:eastAsia="Arial" w:hAnsi="Arial"/>
          <w:sz w:val="18"/>
          <w:szCs w:val="18"/>
          <w:color w:val="auto"/>
        </w:rPr>
        <w:t>2.32 “</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 bookkeeping entry representing an amount equal to the Fair Market Value of one Share, granted pursuant to Section 9. Each Restricted Stock Unit represents an unfunded and unsecured obligation of the Company.</w:t>
      </w:r>
    </w:p>
    <w:p>
      <w:pPr>
        <w:spacing w:after="0" w:line="170"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2.33 “</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of the Exchange Act or any successor to Rule 16b-3, as in effect when discretion is being exercised with respect to the Plan.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2.34 “</w:t>
      </w:r>
      <w:r>
        <w:rPr>
          <w:rFonts w:ascii="Arial" w:cs="Arial" w:eastAsia="Arial" w:hAnsi="Arial"/>
          <w:sz w:val="18"/>
          <w:szCs w:val="18"/>
          <w:u w:val="single" w:color="auto"/>
          <w:color w:val="auto"/>
        </w:rPr>
        <w:t>Section 16b</w:t>
      </w:r>
      <w:r>
        <w:rPr>
          <w:rFonts w:ascii="Arial" w:cs="Arial" w:eastAsia="Arial" w:hAnsi="Arial"/>
          <w:sz w:val="18"/>
          <w:szCs w:val="18"/>
          <w:color w:val="auto"/>
        </w:rPr>
        <w:t>” means Section 16(b) of the Exchange Act.</w:t>
      </w:r>
    </w:p>
    <w:p>
      <w:pPr>
        <w:spacing w:after="0" w:line="225"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2.35 “</w:t>
      </w:r>
      <w:r>
        <w:rPr>
          <w:rFonts w:ascii="Arial" w:cs="Arial" w:eastAsia="Arial" w:hAnsi="Arial"/>
          <w:sz w:val="18"/>
          <w:szCs w:val="18"/>
          <w:u w:val="single" w:color="auto"/>
          <w:color w:val="auto"/>
        </w:rPr>
        <w:t>Section 409A</w:t>
      </w:r>
      <w:r>
        <w:rPr>
          <w:rFonts w:ascii="Arial" w:cs="Arial" w:eastAsia="Arial" w:hAnsi="Arial"/>
          <w:sz w:val="18"/>
          <w:szCs w:val="18"/>
          <w:color w:val="auto"/>
        </w:rPr>
        <w:t>” means Code Section 409A and the U.S. Treasury Regulations and guidance thereunder, and any applicable state law equivalent, as each may be promulgated, amended or modified from time to time.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2.36 “</w:t>
      </w:r>
      <w:r>
        <w:rPr>
          <w:rFonts w:ascii="Arial" w:cs="Arial" w:eastAsia="Arial" w:hAnsi="Arial"/>
          <w:sz w:val="16"/>
          <w:szCs w:val="16"/>
          <w:u w:val="single" w:color="auto"/>
          <w:color w:val="auto"/>
        </w:rPr>
        <w:t>Securities Act</w:t>
      </w:r>
      <w:r>
        <w:rPr>
          <w:rFonts w:ascii="Arial" w:cs="Arial" w:eastAsia="Arial" w:hAnsi="Arial"/>
          <w:sz w:val="16"/>
          <w:szCs w:val="16"/>
          <w:color w:val="auto"/>
        </w:rPr>
        <w:t>” means the U.S. Securities Act of 1933, as amended, including the rules and regulations promulgated thereunder.</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2.37 “</w:t>
      </w:r>
      <w:r>
        <w:rPr>
          <w:rFonts w:ascii="Arial" w:cs="Arial" w:eastAsia="Arial" w:hAnsi="Arial"/>
          <w:sz w:val="18"/>
          <w:szCs w:val="18"/>
          <w:u w:val="single" w:color="auto"/>
          <w:color w:val="auto"/>
        </w:rPr>
        <w:t>Service Provider</w:t>
      </w:r>
      <w:r>
        <w:rPr>
          <w:rFonts w:ascii="Arial" w:cs="Arial" w:eastAsia="Arial" w:hAnsi="Arial"/>
          <w:sz w:val="18"/>
          <w:szCs w:val="18"/>
          <w:color w:val="auto"/>
        </w:rPr>
        <w:t>” means an Employee, Director or Consultant.</w:t>
      </w:r>
    </w:p>
    <w:p>
      <w:pPr>
        <w:spacing w:after="0" w:line="15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393" w:name="page394"/>
    <w:bookmarkEnd w:id="393"/>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2.38 “</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the Common Stock, as adjusted in accordance with Section 14 of the Plan.</w:t>
      </w:r>
    </w:p>
    <w:p>
      <w:pPr>
        <w:spacing w:after="0" w:line="225"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2.39 “</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means an Award, granted alone or in connection with an Option, that pursuant to Section 7 is designated as a Stock Appreciation Right.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2.40 “</w:t>
      </w:r>
      <w:r>
        <w:rPr>
          <w:rFonts w:ascii="Arial" w:cs="Arial" w:eastAsia="Arial" w:hAnsi="Arial"/>
          <w:sz w:val="18"/>
          <w:szCs w:val="18"/>
          <w:u w:val="single" w:color="auto"/>
          <w:color w:val="auto"/>
        </w:rPr>
        <w:t>Subsidiary</w:t>
      </w:r>
      <w:r>
        <w:rPr>
          <w:rFonts w:ascii="Arial" w:cs="Arial" w:eastAsia="Arial" w:hAnsi="Arial"/>
          <w:sz w:val="18"/>
          <w:szCs w:val="18"/>
          <w:color w:val="auto"/>
        </w:rPr>
        <w:t>” means a “subsidiary corporation,” whether now or hereafter existing, as defined in Code Section 424(f).</w:t>
      </w:r>
    </w:p>
    <w:p>
      <w:pPr>
        <w:spacing w:after="0" w:line="225" w:lineRule="exact"/>
        <w:rPr>
          <w:sz w:val="20"/>
          <w:szCs w:val="20"/>
          <w:color w:val="auto"/>
        </w:rPr>
      </w:pPr>
    </w:p>
    <w:p>
      <w:pPr>
        <w:ind w:right="200" w:firstLine="991"/>
        <w:spacing w:after="0" w:line="342" w:lineRule="auto"/>
        <w:rPr>
          <w:sz w:val="20"/>
          <w:szCs w:val="20"/>
          <w:color w:val="auto"/>
        </w:rPr>
      </w:pPr>
      <w:r>
        <w:rPr>
          <w:rFonts w:ascii="Arial" w:cs="Arial" w:eastAsia="Arial" w:hAnsi="Arial"/>
          <w:sz w:val="16"/>
          <w:szCs w:val="16"/>
          <w:color w:val="auto"/>
        </w:rPr>
        <w:t>2.41 “</w:t>
      </w:r>
      <w:r>
        <w:rPr>
          <w:rFonts w:ascii="Arial" w:cs="Arial" w:eastAsia="Arial" w:hAnsi="Arial"/>
          <w:sz w:val="16"/>
          <w:szCs w:val="16"/>
          <w:u w:val="single" w:color="auto"/>
          <w:color w:val="auto"/>
        </w:rPr>
        <w:t>Trading Day</w:t>
      </w:r>
      <w:r>
        <w:rPr>
          <w:rFonts w:ascii="Arial" w:cs="Arial" w:eastAsia="Arial" w:hAnsi="Arial"/>
          <w:sz w:val="16"/>
          <w:szCs w:val="16"/>
          <w:color w:val="auto"/>
        </w:rPr>
        <w:t>” means a day that the primary stock exchange, national market system, or other trading platform, as applicable, upon which the Common Stock is listed (or otherwise trades regularly, as determined by the Administrator, in its sole discretion) is open for trading.</w:t>
      </w:r>
    </w:p>
    <w:p>
      <w:pPr>
        <w:spacing w:after="0" w:line="124" w:lineRule="exact"/>
        <w:rPr>
          <w:sz w:val="20"/>
          <w:szCs w:val="20"/>
          <w:color w:val="auto"/>
        </w:rPr>
      </w:pPr>
    </w:p>
    <w:p>
      <w:pPr>
        <w:jc w:val="both"/>
        <w:ind w:right="140" w:firstLine="991"/>
        <w:spacing w:after="0" w:line="263" w:lineRule="auto"/>
        <w:rPr>
          <w:sz w:val="20"/>
          <w:szCs w:val="20"/>
          <w:color w:val="auto"/>
        </w:rPr>
      </w:pPr>
      <w:r>
        <w:rPr>
          <w:rFonts w:ascii="Arial" w:cs="Arial" w:eastAsia="Arial" w:hAnsi="Arial"/>
          <w:sz w:val="18"/>
          <w:szCs w:val="18"/>
          <w:color w:val="auto"/>
        </w:rPr>
        <w:t>2.42 “</w:t>
      </w:r>
      <w:r>
        <w:rPr>
          <w:rFonts w:ascii="Arial" w:cs="Arial" w:eastAsia="Arial" w:hAnsi="Arial"/>
          <w:sz w:val="18"/>
          <w:szCs w:val="18"/>
          <w:u w:val="single" w:color="auto"/>
          <w:color w:val="auto"/>
        </w:rPr>
        <w:t>U.S. Treasury Regulations</w:t>
      </w:r>
      <w:r>
        <w:rPr>
          <w:rFonts w:ascii="Arial" w:cs="Arial" w:eastAsia="Arial" w:hAnsi="Arial"/>
          <w:sz w:val="18"/>
          <w:szCs w:val="18"/>
          <w:color w:val="auto"/>
        </w:rPr>
        <w:t>” 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w:t>
      </w:r>
    </w:p>
    <w:p>
      <w:pPr>
        <w:spacing w:after="0" w:line="184" w:lineRule="exact"/>
        <w:rPr>
          <w:sz w:val="20"/>
          <w:szCs w:val="20"/>
          <w:color w:val="auto"/>
        </w:rPr>
      </w:pPr>
    </w:p>
    <w:p>
      <w:pPr>
        <w:ind w:left="620" w:hanging="184"/>
        <w:spacing w:after="0"/>
        <w:tabs>
          <w:tab w:leader="none" w:pos="620" w:val="left"/>
        </w:tabs>
        <w:numPr>
          <w:ilvl w:val="0"/>
          <w:numId w:val="264"/>
        </w:numPr>
        <w:rPr>
          <w:rFonts w:ascii="Arial" w:cs="Arial" w:eastAsia="Arial" w:hAnsi="Arial"/>
          <w:sz w:val="18"/>
          <w:szCs w:val="18"/>
          <w:color w:val="auto"/>
        </w:rPr>
      </w:pPr>
      <w:r>
        <w:rPr>
          <w:rFonts w:ascii="Arial" w:cs="Arial" w:eastAsia="Arial" w:hAnsi="Arial"/>
          <w:sz w:val="18"/>
          <w:szCs w:val="18"/>
          <w:u w:val="single" w:color="auto"/>
          <w:color w:val="auto"/>
        </w:rPr>
        <w:t>Stock Subject to the Plan</w:t>
      </w:r>
      <w:r>
        <w:rPr>
          <w:rFonts w:ascii="Arial" w:cs="Arial" w:eastAsia="Arial" w:hAnsi="Arial"/>
          <w:sz w:val="18"/>
          <w:szCs w:val="18"/>
          <w:color w:val="auto"/>
        </w:rPr>
        <w:t>.</w:t>
      </w:r>
    </w:p>
    <w:p>
      <w:pPr>
        <w:spacing w:after="0" w:line="225" w:lineRule="exact"/>
        <w:rPr>
          <w:sz w:val="20"/>
          <w:szCs w:val="20"/>
          <w:color w:val="auto"/>
        </w:rPr>
      </w:pPr>
    </w:p>
    <w:p>
      <w:pPr>
        <w:ind w:right="180" w:firstLine="991"/>
        <w:spacing w:after="0" w:line="25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Stock Subject to the Plan</w:t>
      </w:r>
      <w:r>
        <w:rPr>
          <w:rFonts w:ascii="Arial" w:cs="Arial" w:eastAsia="Arial" w:hAnsi="Arial"/>
          <w:sz w:val="18"/>
          <w:szCs w:val="18"/>
          <w:color w:val="auto"/>
        </w:rPr>
        <w:t>. Subject to adjustment upon changes in capitalization of the Company as provided in Section 14 and the automatic increase set forth in Section 3.2, the maximum aggregate number of Shares that may be subject to Awards and sold under the Plan will be equal to (a) 4,000,000 Shares, plus (b) any Shares subject to stock options, restricted stock units, or similar awards granted under the Company’s 2016 Equity Incentive Plan (the “</w:t>
      </w:r>
      <w:r>
        <w:rPr>
          <w:rFonts w:ascii="Arial" w:cs="Arial" w:eastAsia="Arial" w:hAnsi="Arial"/>
          <w:sz w:val="18"/>
          <w:szCs w:val="18"/>
          <w:u w:val="single" w:color="auto"/>
          <w:color w:val="auto"/>
        </w:rPr>
        <w:t>2016 Plan</w:t>
      </w:r>
      <w:r>
        <w:rPr>
          <w:rFonts w:ascii="Arial" w:cs="Arial" w:eastAsia="Arial" w:hAnsi="Arial"/>
          <w:sz w:val="18"/>
          <w:szCs w:val="18"/>
          <w:color w:val="auto"/>
        </w:rPr>
        <w:t>”) that, on or after the Registration Date, expire or otherwise terminate without having been exercised in full, are tendered to or withheld by the Company for payment of an exercise price or for tax withholding obligations, or are forfeited to or repurchased by the Company due to failure to vest, with the maximum number of Shares to be added to the Plan pursuant to clause (b) equal to 2,430,000 Shares. In addition, Shares may become available for issuance under Sections 3.2 and 3.3. The Shares may be authorized but unissued, or reacquired Common Stock.</w:t>
      </w:r>
    </w:p>
    <w:p>
      <w:pPr>
        <w:spacing w:after="0" w:line="192"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Automatic Share Reserve Increase</w:t>
      </w:r>
      <w:r>
        <w:rPr>
          <w:rFonts w:ascii="Arial" w:cs="Arial" w:eastAsia="Arial" w:hAnsi="Arial"/>
          <w:sz w:val="16"/>
          <w:szCs w:val="16"/>
          <w:color w:val="auto"/>
        </w:rPr>
        <w:t>. Subject to adjustment upon changes in capitalization of the Company as provided in Section 14, the number of Shares available for issuance under the Plan will be increased on the first day of each Fiscal Year beginning with the 2022 Fiscal Year, in an amount equal to the least of (a) 4,000,000 Shares, (b) four percent (4%) of the outstanding Shares on the last day of the immediately preceding Fiscal Year, or (c) such number of Shares determined by the Board no later than the last day of the immediately preceding Fiscal Year.</w:t>
      </w:r>
    </w:p>
    <w:p>
      <w:pPr>
        <w:spacing w:after="0" w:line="157"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Lapsed Awards</w:t>
      </w:r>
      <w:r>
        <w:rPr>
          <w:rFonts w:ascii="Arial" w:cs="Arial" w:eastAsia="Arial" w:hAnsi="Arial"/>
          <w:sz w:val="18"/>
          <w:szCs w:val="18"/>
          <w:color w:val="auto"/>
        </w:rPr>
        <w:t>. If an Award expires or becomes unexercisable without having been exercised in full, is surrendered pursuant to an Exchange Program, or, with respect to Restricted Stock, Restricted Stock Units, Performance Units or Performance Shares is forfeited to or repurchased by the Company due to the failure to vest, the unpurchased Shares (or for Awards other than Options or Stock Appreciation Rights the forfeited or repurchased Shares) which were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394" w:name="page395"/>
    <w:bookmarkEnd w:id="394"/>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 thereto will become available for future grant or sale under the Plan (unless the Plan has terminated). With respect to Stock Appreciation Rights, only Shares actually issued pursuant to a Stock Appreciation Right will cease to be available under the Plan; all remaining Shares under Stock Appreciation Rights will remain available for future grant or sale under the Plan (unless the Plan has terminated). Shares that have actually been issued under the Plan under any Award will not be returned to the Plan and will not become available for future distribution under the Plan; provided, however, that if Shares issued pursuant to Awards of Restricted Stock, Restricted Stock Units or Performance Awards are repurchased by the Company or are forfeited to the Company due to the failure to vest, such Shares will become available for future grant under the Plan. Shares used to pay the exercise price of an Award or to satisfy the tax liabilities or withholdings related to an Award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14, the maximum number of Shares that may be issued upon the exercise of Incentive Stock Options will equal the aggregate Share number stated in Section 3.1, plus, to the extent allowable under Code Section 422 and the U.S. Treasury Regulations promulgated thereunder, any Shares that become available for issuance under the Plan pursuant to Sections 3.2 and 3.3.</w:t>
      </w:r>
    </w:p>
    <w:p>
      <w:pPr>
        <w:spacing w:after="0" w:line="179"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Share Reserve</w:t>
      </w:r>
      <w:r>
        <w:rPr>
          <w:rFonts w:ascii="Arial" w:cs="Arial" w:eastAsia="Arial" w:hAnsi="Arial"/>
          <w:sz w:val="18"/>
          <w:szCs w:val="18"/>
          <w:color w:val="auto"/>
        </w:rPr>
        <w:t>. The Company, during the term of this Plan, will at all times reserve and keep available such number of Shares as will be sufficient to satisfy the requirements of the Plan.</w:t>
      </w:r>
    </w:p>
    <w:p>
      <w:pPr>
        <w:spacing w:after="0" w:line="170" w:lineRule="exact"/>
        <w:rPr>
          <w:sz w:val="20"/>
          <w:szCs w:val="20"/>
          <w:color w:val="auto"/>
        </w:rPr>
      </w:pPr>
    </w:p>
    <w:p>
      <w:pPr>
        <w:ind w:left="980" w:right="8380" w:hanging="544"/>
        <w:spacing w:after="0" w:line="530" w:lineRule="auto"/>
        <w:tabs>
          <w:tab w:leader="none" w:pos="609" w:val="left"/>
        </w:tabs>
        <w:numPr>
          <w:ilvl w:val="0"/>
          <w:numId w:val="265"/>
        </w:numPr>
        <w:rPr>
          <w:rFonts w:ascii="Arial" w:cs="Arial" w:eastAsia="Arial" w:hAnsi="Arial"/>
          <w:sz w:val="17"/>
          <w:szCs w:val="17"/>
          <w:color w:val="auto"/>
        </w:rPr>
      </w:pPr>
      <w:r>
        <w:rPr>
          <w:rFonts w:ascii="Arial" w:cs="Arial" w:eastAsia="Arial" w:hAnsi="Arial"/>
          <w:sz w:val="17"/>
          <w:szCs w:val="17"/>
          <w:u w:val="single" w:color="auto"/>
          <w:color w:val="auto"/>
        </w:rPr>
        <w:t>Administration of the Plan</w:t>
      </w:r>
      <w:r>
        <w:rPr>
          <w:rFonts w:ascii="Arial" w:cs="Arial" w:eastAsia="Arial" w:hAnsi="Arial"/>
          <w:sz w:val="17"/>
          <w:szCs w:val="17"/>
          <w:color w:val="auto"/>
        </w:rPr>
        <w:t xml:space="preserve">. 4.1 </w:t>
      </w:r>
      <w:r>
        <w:rPr>
          <w:rFonts w:ascii="Arial" w:cs="Arial" w:eastAsia="Arial" w:hAnsi="Arial"/>
          <w:sz w:val="17"/>
          <w:szCs w:val="17"/>
          <w:u w:val="single" w:color="auto"/>
          <w:color w:val="auto"/>
        </w:rPr>
        <w:t>Procedure</w:t>
      </w:r>
      <w:r>
        <w:rPr>
          <w:rFonts w:ascii="Arial" w:cs="Arial" w:eastAsia="Arial" w:hAnsi="Arial"/>
          <w:sz w:val="17"/>
          <w:szCs w:val="17"/>
          <w:color w:val="auto"/>
        </w:rPr>
        <w:t>.</w:t>
      </w:r>
    </w:p>
    <w:p>
      <w:pPr>
        <w:spacing w:after="0" w:line="1"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Multiple Administrative Bodies</w:t>
      </w:r>
      <w:r>
        <w:rPr>
          <w:rFonts w:ascii="Arial" w:cs="Arial" w:eastAsia="Arial" w:hAnsi="Arial"/>
          <w:sz w:val="17"/>
          <w:szCs w:val="17"/>
          <w:color w:val="auto"/>
        </w:rPr>
        <w:t>. Different Committees with respect to different groups of Service Providers may administer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Plan.</w:t>
      </w:r>
    </w:p>
    <w:p>
      <w:pPr>
        <w:spacing w:after="0" w:line="211" w:lineRule="exact"/>
        <w:rPr>
          <w:sz w:val="20"/>
          <w:szCs w:val="20"/>
          <w:color w:val="auto"/>
        </w:rPr>
      </w:pPr>
    </w:p>
    <w:p>
      <w:pPr>
        <w:ind w:right="900" w:firstLine="1432"/>
        <w:spacing w:after="0" w:line="277"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Rule 16b-3</w:t>
      </w:r>
      <w:r>
        <w:rPr>
          <w:rFonts w:ascii="Arial" w:cs="Arial" w:eastAsia="Arial" w:hAnsi="Arial"/>
          <w:sz w:val="18"/>
          <w:szCs w:val="18"/>
          <w:color w:val="auto"/>
        </w:rPr>
        <w:t>. To the extent desirable to qualify transactions hereunder as exempt under Rule 16b-3, the transactions contemplated hereunder will be structured to satisfy the requirements for exemption under Rule 16b-3.</w:t>
      </w:r>
    </w:p>
    <w:p>
      <w:pPr>
        <w:spacing w:after="0" w:line="170" w:lineRule="exact"/>
        <w:rPr>
          <w:sz w:val="20"/>
          <w:szCs w:val="20"/>
          <w:color w:val="auto"/>
        </w:rPr>
      </w:pPr>
    </w:p>
    <w:p>
      <w:pPr>
        <w:ind w:right="420" w:firstLine="1432"/>
        <w:spacing w:after="0" w:line="277"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Other Administration</w:t>
      </w:r>
      <w:r>
        <w:rPr>
          <w:rFonts w:ascii="Arial" w:cs="Arial" w:eastAsia="Arial" w:hAnsi="Arial"/>
          <w:sz w:val="18"/>
          <w:szCs w:val="18"/>
          <w:color w:val="auto"/>
        </w:rPr>
        <w:t>. Other than as provided above, the Plan will be administered by (A) the Board or (B) a Committee, which Committee will be constituted to comply with Applicable Laws.</w:t>
      </w:r>
    </w:p>
    <w:p>
      <w:pPr>
        <w:spacing w:after="0" w:line="170" w:lineRule="exact"/>
        <w:rPr>
          <w:sz w:val="20"/>
          <w:szCs w:val="20"/>
          <w:color w:val="auto"/>
        </w:rPr>
      </w:pPr>
    </w:p>
    <w:p>
      <w:pPr>
        <w:ind w:right="520" w:firstLine="991"/>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Powers of the Administrator</w:t>
      </w:r>
      <w:r>
        <w:rPr>
          <w:rFonts w:ascii="Arial" w:cs="Arial" w:eastAsia="Arial" w:hAnsi="Arial"/>
          <w:sz w:val="18"/>
          <w:szCs w:val="18"/>
          <w:color w:val="auto"/>
        </w:rPr>
        <w:t>. Subject to the provisions of the Plan, and in the case of a Committee, subject to the specific duties delegated by the Board to such Committee, the Administrator will have the authority, in its discretion:</w:t>
      </w:r>
    </w:p>
    <w:p>
      <w:pPr>
        <w:spacing w:after="0" w:line="62" w:lineRule="exact"/>
        <w:rPr>
          <w:sz w:val="20"/>
          <w:szCs w:val="20"/>
          <w:color w:val="auto"/>
        </w:rPr>
      </w:pPr>
    </w:p>
    <w:p>
      <w:pPr>
        <w:ind w:left="1680" w:hanging="252"/>
        <w:spacing w:after="0"/>
        <w:tabs>
          <w:tab w:leader="none" w:pos="168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to determine the Fair Market Value;</w:t>
      </w:r>
    </w:p>
    <w:p>
      <w:pPr>
        <w:spacing w:after="0" w:line="225" w:lineRule="exact"/>
        <w:rPr>
          <w:rFonts w:ascii="Arial" w:cs="Arial" w:eastAsia="Arial" w:hAnsi="Arial"/>
          <w:sz w:val="18"/>
          <w:szCs w:val="18"/>
          <w:color w:val="auto"/>
        </w:rPr>
      </w:pPr>
    </w:p>
    <w:p>
      <w:pPr>
        <w:ind w:left="5400" w:right="3860" w:hanging="3972"/>
        <w:spacing w:after="0" w:line="449" w:lineRule="auto"/>
        <w:tabs>
          <w:tab w:leader="none" w:pos="1684"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to select the Service Providers to whom Awards may be granted hereunder; -7-</w:t>
      </w:r>
    </w:p>
    <w:p>
      <w:pPr>
        <w:sectPr>
          <w:pgSz w:w="11900" w:h="16838" w:orient="portrait"/>
          <w:cols w:equalWidth="0" w:num="1">
            <w:col w:w="10960"/>
          </w:cols>
          <w:pgMar w:left="440" w:top="274" w:right="499" w:bottom="1440" w:gutter="0" w:footer="0" w:header="0"/>
        </w:sectPr>
      </w:pPr>
    </w:p>
    <w:bookmarkStart w:id="395" w:name="page396"/>
    <w:bookmarkEnd w:id="395"/>
    <w:p>
      <w:pPr>
        <w:ind w:left="1680" w:hanging="252"/>
        <w:spacing w:after="0"/>
        <w:tabs>
          <w:tab w:leader="none" w:pos="16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determine the number of Shares to be covered by each Award granted hereunder;</w:t>
      </w:r>
    </w:p>
    <w:p>
      <w:pPr>
        <w:spacing w:after="0" w:line="225" w:lineRule="exact"/>
        <w:rPr>
          <w:rFonts w:ascii="Arial" w:cs="Arial" w:eastAsia="Arial" w:hAnsi="Arial"/>
          <w:sz w:val="18"/>
          <w:szCs w:val="18"/>
          <w:color w:val="auto"/>
        </w:rPr>
      </w:pPr>
    </w:p>
    <w:p>
      <w:pPr>
        <w:ind w:left="1680" w:hanging="252"/>
        <w:spacing w:after="0"/>
        <w:tabs>
          <w:tab w:leader="none" w:pos="16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to approve forms of Award Agreements for use under the Plan;</w:t>
      </w:r>
    </w:p>
    <w:p>
      <w:pPr>
        <w:spacing w:after="0" w:line="225" w:lineRule="exact"/>
        <w:rPr>
          <w:rFonts w:ascii="Arial" w:cs="Arial" w:eastAsia="Arial" w:hAnsi="Arial"/>
          <w:sz w:val="18"/>
          <w:szCs w:val="18"/>
          <w:color w:val="auto"/>
        </w:rPr>
      </w:pPr>
    </w:p>
    <w:p>
      <w:pPr>
        <w:ind w:right="40" w:firstLine="1428"/>
        <w:spacing w:after="0" w:line="293" w:lineRule="auto"/>
        <w:tabs>
          <w:tab w:leader="none" w:pos="1677" w:val="left"/>
        </w:tabs>
        <w:numPr>
          <w:ilvl w:val="0"/>
          <w:numId w:val="267"/>
        </w:numPr>
        <w:rPr>
          <w:rFonts w:ascii="Arial" w:cs="Arial" w:eastAsia="Arial" w:hAnsi="Arial"/>
          <w:sz w:val="16"/>
          <w:szCs w:val="16"/>
          <w:color w:val="auto"/>
        </w:rPr>
      </w:pPr>
      <w:r>
        <w:rPr>
          <w:rFonts w:ascii="Arial" w:cs="Arial" w:eastAsia="Arial" w:hAnsi="Arial"/>
          <w:sz w:val="16"/>
          <w:szCs w:val="16"/>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(including but not limited to, temporarily suspending the exercisability of an Award if the Administrator deems such suspension to be necessary or appropriate for administrative purposes or to comply with Applicable Laws, provided that such suspension must be lifted prior to the expiration of the maximum term and post-termination exercisability period of an Award), based in each case on such factors as the Administrator will determine;</w:t>
      </w:r>
    </w:p>
    <w:p>
      <w:pPr>
        <w:spacing w:after="0" w:line="164" w:lineRule="exact"/>
        <w:rPr>
          <w:rFonts w:ascii="Arial" w:cs="Arial" w:eastAsia="Arial" w:hAnsi="Arial"/>
          <w:sz w:val="16"/>
          <w:szCs w:val="16"/>
          <w:color w:val="auto"/>
        </w:rPr>
      </w:pPr>
    </w:p>
    <w:p>
      <w:pPr>
        <w:ind w:right="260" w:firstLine="1428"/>
        <w:spacing w:after="0" w:line="277" w:lineRule="auto"/>
        <w:tabs>
          <w:tab w:leader="none" w:pos="1657"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to institute and determine the terms and conditions of an Exchange Program, including, subject to Section 19.3, to unilaterally implement an Exchange Program without the consent of the applicable Award holder;</w:t>
      </w:r>
    </w:p>
    <w:p>
      <w:pPr>
        <w:spacing w:after="0" w:line="170" w:lineRule="exact"/>
        <w:rPr>
          <w:rFonts w:ascii="Arial" w:cs="Arial" w:eastAsia="Arial" w:hAnsi="Arial"/>
          <w:sz w:val="18"/>
          <w:szCs w:val="18"/>
          <w:color w:val="auto"/>
        </w:rPr>
      </w:pPr>
    </w:p>
    <w:p>
      <w:pPr>
        <w:ind w:left="1680" w:hanging="252"/>
        <w:spacing w:after="0"/>
        <w:tabs>
          <w:tab w:leader="none" w:pos="16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to construe and interpret the terms of the Plan and Awards granted pursuant to the Plan;</w:t>
      </w:r>
    </w:p>
    <w:p>
      <w:pPr>
        <w:spacing w:after="0" w:line="225" w:lineRule="exact"/>
        <w:rPr>
          <w:rFonts w:ascii="Arial" w:cs="Arial" w:eastAsia="Arial" w:hAnsi="Arial"/>
          <w:sz w:val="18"/>
          <w:szCs w:val="18"/>
          <w:color w:val="auto"/>
        </w:rPr>
      </w:pPr>
    </w:p>
    <w:p>
      <w:pPr>
        <w:ind w:right="240" w:firstLine="1428"/>
        <w:spacing w:after="0" w:line="342" w:lineRule="auto"/>
        <w:tabs>
          <w:tab w:leader="none" w:pos="1687" w:val="left"/>
        </w:tabs>
        <w:numPr>
          <w:ilvl w:val="0"/>
          <w:numId w:val="267"/>
        </w:numPr>
        <w:rPr>
          <w:rFonts w:ascii="Arial" w:cs="Arial" w:eastAsia="Arial" w:hAnsi="Arial"/>
          <w:sz w:val="16"/>
          <w:szCs w:val="16"/>
          <w:color w:val="auto"/>
        </w:rPr>
      </w:pPr>
      <w:r>
        <w:rPr>
          <w:rFonts w:ascii="Arial" w:cs="Arial" w:eastAsia="Arial" w:hAnsi="Arial"/>
          <w:sz w:val="16"/>
          <w:szCs w:val="16"/>
          <w:color w:val="auto"/>
        </w:rPr>
        <w:t>to prescribe, amend and rescind rules and regulations relating to the Plan, including rules and regulations relating to sub-plans established for the purpose of satisfying applicable non-U.S. laws or for qualifying for favorable tax treatment under applicable non-U.S. laws;</w:t>
      </w:r>
    </w:p>
    <w:p>
      <w:pPr>
        <w:spacing w:after="0" w:line="123" w:lineRule="exact"/>
        <w:rPr>
          <w:rFonts w:ascii="Arial" w:cs="Arial" w:eastAsia="Arial" w:hAnsi="Arial"/>
          <w:sz w:val="16"/>
          <w:szCs w:val="16"/>
          <w:color w:val="auto"/>
        </w:rPr>
      </w:pPr>
    </w:p>
    <w:p>
      <w:pPr>
        <w:ind w:firstLine="1428"/>
        <w:spacing w:after="0" w:line="263" w:lineRule="auto"/>
        <w:tabs>
          <w:tab w:leader="none" w:pos="1647"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to modify or amend each Award (subject to Section 19.3), including but not limited to the discretionary authority to extend the post-termination exercisability period of Awards and to extend the maximum term of an Option or Stock Appreciation Right (subject to Sections 6.4 and 7.5);</w:t>
      </w:r>
    </w:p>
    <w:p>
      <w:pPr>
        <w:spacing w:after="0" w:line="183" w:lineRule="exact"/>
        <w:rPr>
          <w:rFonts w:ascii="Arial" w:cs="Arial" w:eastAsia="Arial" w:hAnsi="Arial"/>
          <w:sz w:val="18"/>
          <w:szCs w:val="18"/>
          <w:color w:val="auto"/>
        </w:rPr>
      </w:pPr>
    </w:p>
    <w:p>
      <w:pPr>
        <w:ind w:left="1640" w:hanging="212"/>
        <w:spacing w:after="0"/>
        <w:tabs>
          <w:tab w:leader="none" w:pos="164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to allow Participants to satisfy withholding tax obligations in a manner prescribed in Section 16;</w:t>
      </w:r>
    </w:p>
    <w:p>
      <w:pPr>
        <w:spacing w:after="0" w:line="225" w:lineRule="exact"/>
        <w:rPr>
          <w:rFonts w:ascii="Arial" w:cs="Arial" w:eastAsia="Arial" w:hAnsi="Arial"/>
          <w:sz w:val="18"/>
          <w:szCs w:val="18"/>
          <w:color w:val="auto"/>
        </w:rPr>
      </w:pPr>
    </w:p>
    <w:p>
      <w:pPr>
        <w:ind w:right="100" w:firstLine="1428"/>
        <w:spacing w:after="0" w:line="277" w:lineRule="auto"/>
        <w:tabs>
          <w:tab w:leader="none" w:pos="1687"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to authorize any person to execute on behalf of the Company any instrument required to effect the grant of an Award previously granted by the Administrator;</w:t>
      </w:r>
    </w:p>
    <w:p>
      <w:pPr>
        <w:spacing w:after="0" w:line="170" w:lineRule="exact"/>
        <w:rPr>
          <w:rFonts w:ascii="Arial" w:cs="Arial" w:eastAsia="Arial" w:hAnsi="Arial"/>
          <w:sz w:val="18"/>
          <w:szCs w:val="18"/>
          <w:color w:val="auto"/>
        </w:rPr>
      </w:pPr>
    </w:p>
    <w:p>
      <w:pPr>
        <w:ind w:right="280" w:firstLine="1428"/>
        <w:spacing w:after="0" w:line="277" w:lineRule="auto"/>
        <w:tabs>
          <w:tab w:leader="none" w:pos="1647"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to allow a Participant to defer the receipt of the payment of cash or the delivery of Shares that otherwise would be due to such Participant under an Award; and</w:t>
      </w:r>
    </w:p>
    <w:p>
      <w:pPr>
        <w:spacing w:after="0" w:line="170" w:lineRule="exact"/>
        <w:rPr>
          <w:rFonts w:ascii="Arial" w:cs="Arial" w:eastAsia="Arial" w:hAnsi="Arial"/>
          <w:sz w:val="18"/>
          <w:szCs w:val="18"/>
          <w:color w:val="auto"/>
        </w:rPr>
      </w:pPr>
    </w:p>
    <w:p>
      <w:pPr>
        <w:ind w:left="1740" w:hanging="312"/>
        <w:spacing w:after="0"/>
        <w:tabs>
          <w:tab w:leader="none" w:pos="174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to make all other determinations deemed necessary or advisable for administering the Plan.</w:t>
      </w:r>
    </w:p>
    <w:p>
      <w:pPr>
        <w:spacing w:after="0" w:line="225"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Effect of Administrator’s Decision</w:t>
      </w:r>
      <w:r>
        <w:rPr>
          <w:rFonts w:ascii="Arial" w:cs="Arial" w:eastAsia="Arial" w:hAnsi="Arial"/>
          <w:sz w:val="18"/>
          <w:szCs w:val="18"/>
          <w:color w:val="auto"/>
        </w:rPr>
        <w:t>. The Administrator’s decisions, determinations and interpretations will be final and binding on all Participants and any other holders of Awards and will be given the maximum deference permitted by Applicable Laws.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396" w:name="page397"/>
    <w:bookmarkEnd w:id="396"/>
    <w:p>
      <w:pPr>
        <w:ind w:right="740" w:firstLine="436"/>
        <w:spacing w:after="0" w:line="308" w:lineRule="auto"/>
        <w:tabs>
          <w:tab w:leader="none" w:pos="620" w:val="left"/>
        </w:tabs>
        <w:numPr>
          <w:ilvl w:val="0"/>
          <w:numId w:val="26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Eligibility</w:t>
      </w:r>
      <w:r>
        <w:rPr>
          <w:rFonts w:ascii="Arial" w:cs="Arial" w:eastAsia="Arial" w:hAnsi="Arial"/>
          <w:sz w:val="17"/>
          <w:szCs w:val="17"/>
          <w:color w:val="auto"/>
        </w:rPr>
        <w:t>. Nonstatutory Stock Options, Stock Appreciation Rights, Restricted Stock, Restricted Stock Units, Performance Shares and Performance Units may be granted to Service Providers. Incentive Stock Options may be granted only to Employees.</w:t>
      </w:r>
    </w:p>
    <w:p>
      <w:pPr>
        <w:spacing w:after="0" w:line="146" w:lineRule="exact"/>
        <w:rPr>
          <w:rFonts w:ascii="Arial" w:cs="Arial" w:eastAsia="Arial" w:hAnsi="Arial"/>
          <w:sz w:val="17"/>
          <w:szCs w:val="17"/>
          <w:color w:val="auto"/>
        </w:rPr>
      </w:pPr>
    </w:p>
    <w:p>
      <w:pPr>
        <w:ind w:left="620" w:hanging="184"/>
        <w:spacing w:after="0"/>
        <w:tabs>
          <w:tab w:leader="none" w:pos="620"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w:t>
      </w:r>
    </w:p>
    <w:p>
      <w:pPr>
        <w:spacing w:after="0" w:line="225" w:lineRule="exact"/>
        <w:rPr>
          <w:sz w:val="20"/>
          <w:szCs w:val="20"/>
          <w:color w:val="auto"/>
        </w:rPr>
      </w:pPr>
    </w:p>
    <w:p>
      <w:pPr>
        <w:ind w:right="400" w:firstLine="991"/>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Grant of Options</w:t>
      </w:r>
      <w:r>
        <w:rPr>
          <w:rFonts w:ascii="Arial" w:cs="Arial" w:eastAsia="Arial" w:hAnsi="Arial"/>
          <w:sz w:val="18"/>
          <w:szCs w:val="18"/>
          <w:color w:val="auto"/>
        </w:rPr>
        <w:t>. Subject to the terms and provisions of the Plan, the Administrator, at any time and from time to time, may grant Options to Service Providers in such amounts as the Administrator, in its sole discretion, will determine.</w:t>
      </w:r>
    </w:p>
    <w:p>
      <w:pPr>
        <w:spacing w:after="0" w:line="170" w:lineRule="exact"/>
        <w:rPr>
          <w:sz w:val="20"/>
          <w:szCs w:val="20"/>
          <w:color w:val="auto"/>
        </w:rPr>
      </w:pPr>
    </w:p>
    <w:p>
      <w:pPr>
        <w:jc w:val="both"/>
        <w:ind w:right="80" w:firstLine="991"/>
        <w:spacing w:after="0" w:line="263"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Option Agreement</w:t>
      </w:r>
      <w:r>
        <w:rPr>
          <w:rFonts w:ascii="Arial" w:cs="Arial" w:eastAsia="Arial" w:hAnsi="Arial"/>
          <w:sz w:val="18"/>
          <w:szCs w:val="18"/>
          <w:color w:val="auto"/>
        </w:rPr>
        <w:t>. Each Award of an Option will be evidenced by an Award Agreement that will specify the exercise price, the term of the Option, the number of Shares subject to the Option, the exercise restrictions, if any, applicable to the Option, and such other terms and conditions as the Administrator, in its sole discretion, will determine.</w:t>
      </w:r>
    </w:p>
    <w:p>
      <w:pPr>
        <w:spacing w:after="0" w:line="184" w:lineRule="exact"/>
        <w:rPr>
          <w:sz w:val="20"/>
          <w:szCs w:val="20"/>
          <w:color w:val="auto"/>
        </w:rPr>
      </w:pPr>
    </w:p>
    <w:p>
      <w:pPr>
        <w:ind w:right="60" w:firstLine="991"/>
        <w:spacing w:after="0" w:line="254"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Limitations</w:t>
      </w:r>
      <w:r>
        <w:rPr>
          <w:rFonts w:ascii="Arial" w:cs="Arial" w:eastAsia="Arial" w:hAnsi="Arial"/>
          <w:sz w:val="18"/>
          <w:szCs w:val="18"/>
          <w:color w:val="auto"/>
        </w:rPr>
        <w:t>. Each Option will be designated in the Award Agreement as either an Incentive Stock Option or a Nonstatutory Stock Option. Notwithstanding such designation, however,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6.3, Incentive Stock Options will be taken into account in the order in which they were granted, the Fair Market Value of the Shares will be determined as of the time the Option with respect to such Shares is granted, and calculation will be performed in accordance with Code Section 422 and the U.S. Treasury Regulations promulgated thereunder.</w:t>
      </w:r>
    </w:p>
    <w:p>
      <w:pPr>
        <w:spacing w:after="0" w:line="195"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Term of Option</w:t>
      </w:r>
      <w:r>
        <w:rPr>
          <w:rFonts w:ascii="Arial" w:cs="Arial" w:eastAsia="Arial" w:hAnsi="Arial"/>
          <w:sz w:val="18"/>
          <w:szCs w:val="18"/>
          <w:color w:val="auto"/>
        </w:rPr>
        <w:t>. The term of each Option will be stated in the Award Agreement; provided, however, that the term will be no more than ten (10) years from the date of grant thereof.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Option Exercise Price and Consideration</w:t>
      </w:r>
      <w:r>
        <w:rPr>
          <w:rFonts w:ascii="Arial" w:cs="Arial" w:eastAsia="Arial" w:hAnsi="Arial"/>
          <w:sz w:val="18"/>
          <w:szCs w:val="18"/>
          <w:color w:val="auto"/>
        </w:rPr>
        <w:t>.</w:t>
      </w:r>
    </w:p>
    <w:p>
      <w:pPr>
        <w:spacing w:after="0" w:line="225" w:lineRule="exact"/>
        <w:rPr>
          <w:sz w:val="20"/>
          <w:szCs w:val="20"/>
          <w:color w:val="auto"/>
        </w:rPr>
      </w:pPr>
    </w:p>
    <w:p>
      <w:pPr>
        <w:ind w:right="40" w:firstLine="1432"/>
        <w:spacing w:after="0" w:line="254" w:lineRule="auto"/>
        <w:rPr>
          <w:sz w:val="20"/>
          <w:szCs w:val="20"/>
          <w:color w:val="auto"/>
        </w:rPr>
      </w:pPr>
      <w:r>
        <w:rPr>
          <w:rFonts w:ascii="Arial" w:cs="Arial" w:eastAsia="Arial" w:hAnsi="Arial"/>
          <w:sz w:val="18"/>
          <w:szCs w:val="18"/>
          <w:color w:val="auto"/>
        </w:rPr>
        <w:t xml:space="preserve">6.5.1 </w:t>
      </w:r>
      <w:r>
        <w:rPr>
          <w:rFonts w:ascii="Arial" w:cs="Arial" w:eastAsia="Arial" w:hAnsi="Arial"/>
          <w:sz w:val="18"/>
          <w:szCs w:val="18"/>
          <w:u w:val="single" w:color="auto"/>
          <w:color w:val="auto"/>
        </w:rPr>
        <w:t>Exercise Price</w:t>
      </w:r>
      <w:r>
        <w:rPr>
          <w:rFonts w:ascii="Arial" w:cs="Arial" w:eastAsia="Arial" w:hAnsi="Arial"/>
          <w:sz w:val="18"/>
          <w:szCs w:val="18"/>
          <w:color w:val="auto"/>
        </w:rPr>
        <w:t>. The per Share exercise price for the Shares to be issued pursuant to the exercise of an Option will be determined by the Administrator, but will be no less than one hundred percent (100%) of the Fair Market Value per Share on the date of grant. In addition, in the case of an Incentive Stock Option granted to an Employee who owns stock representing more than ten percent (10%) of the voting power of all classes of stock of the Company or any Parent or Subsidiary, the per Share exercise price will be no less than one hundred ten percent (110%) of the Fair Market Value per Share on the date of grant. Notwithstanding the foregoing provisions of this Section 6.5.1, Options may be granted with a per Share exercise price of less than one hundred percent (100%) of the Fair Market Value per Share on the date of grant pursuant to a transaction described in, and in a manner consistent with, Code Section 424(a).</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397" w:name="page398"/>
    <w:bookmarkEnd w:id="397"/>
    <w:p>
      <w:pPr>
        <w:ind w:right="280" w:firstLine="1432"/>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6.5.2 </w:t>
      </w:r>
      <w:r>
        <w:rPr>
          <w:rFonts w:ascii="Arial" w:cs="Arial" w:eastAsia="Arial" w:hAnsi="Arial"/>
          <w:sz w:val="18"/>
          <w:szCs w:val="18"/>
          <w:u w:val="single" w:color="auto"/>
          <w:color w:val="auto"/>
        </w:rPr>
        <w:t>Waiting Period and Exercise Dates</w:t>
      </w:r>
      <w:r>
        <w:rPr>
          <w:rFonts w:ascii="Arial" w:cs="Arial" w:eastAsia="Arial" w:hAnsi="Arial"/>
          <w:sz w:val="18"/>
          <w:szCs w:val="18"/>
          <w:color w:val="auto"/>
        </w:rPr>
        <w:t>. At the time an Option is granted, the Administrator will fix the period within which the Option may be exercised and will determine any conditions that must be satisfied before the Option may be exercised.</w:t>
      </w:r>
    </w:p>
    <w:p>
      <w:pPr>
        <w:spacing w:after="0" w:line="170" w:lineRule="exact"/>
        <w:rPr>
          <w:sz w:val="20"/>
          <w:szCs w:val="20"/>
          <w:color w:val="auto"/>
        </w:rPr>
      </w:pPr>
    </w:p>
    <w:p>
      <w:pPr>
        <w:ind w:right="40" w:firstLine="1432"/>
        <w:spacing w:after="0" w:line="269" w:lineRule="auto"/>
        <w:rPr>
          <w:sz w:val="20"/>
          <w:szCs w:val="20"/>
          <w:color w:val="auto"/>
        </w:rPr>
      </w:pPr>
      <w:r>
        <w:rPr>
          <w:rFonts w:ascii="Arial" w:cs="Arial" w:eastAsia="Arial" w:hAnsi="Arial"/>
          <w:sz w:val="17"/>
          <w:szCs w:val="17"/>
          <w:color w:val="auto"/>
        </w:rPr>
        <w:t xml:space="preserve">6.5.3 </w:t>
      </w:r>
      <w:r>
        <w:rPr>
          <w:rFonts w:ascii="Arial" w:cs="Arial" w:eastAsia="Arial" w:hAnsi="Arial"/>
          <w:sz w:val="17"/>
          <w:szCs w:val="17"/>
          <w:u w:val="single" w:color="auto"/>
          <w:color w:val="auto"/>
        </w:rPr>
        <w:t>Form of Consideration</w:t>
      </w:r>
      <w:r>
        <w:rPr>
          <w:rFonts w:ascii="Arial" w:cs="Arial" w:eastAsia="Arial" w:hAnsi="Arial"/>
          <w:sz w:val="17"/>
          <w:szCs w:val="17"/>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(a) cash (including cash equivalents); (b) check; (c) promissory note, to the extent permitted by Applicable Laws, (d) other Shares, provided that such Shares have a Fair Market Value on the date of surrender equal to the aggregate exercise price of the Shares as to which such Option will be exercised and provided further that accepting such Shares will not result in any adverse accounting consequences to the Company, as the Administrator determines in its sole discretion; (e) consideration received by the Company under a cashless exercise program (whether through a broker or otherwise) implemented by the Company in connection with the Plan; (f) by net exercise; (g) such other consideration and method of payment for the issuance of Shares to the extent permitted by Applicable Laws, or (h) any combination of the foregoing methods of payment. In making its determination as to the type of consideration to accept, the Administrator will consider if acceptance of such consideration may be reasonably expected to benefit the Company.</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225" w:lineRule="exact"/>
        <w:rPr>
          <w:sz w:val="20"/>
          <w:szCs w:val="20"/>
          <w:color w:val="auto"/>
        </w:rPr>
      </w:pPr>
    </w:p>
    <w:p>
      <w:pPr>
        <w:jc w:val="both"/>
        <w:ind w:right="140" w:firstLine="1432"/>
        <w:spacing w:after="0" w:line="263" w:lineRule="auto"/>
        <w:rPr>
          <w:sz w:val="20"/>
          <w:szCs w:val="20"/>
          <w:color w:val="auto"/>
        </w:rPr>
      </w:pPr>
      <w:r>
        <w:rPr>
          <w:rFonts w:ascii="Arial" w:cs="Arial" w:eastAsia="Arial" w:hAnsi="Arial"/>
          <w:sz w:val="18"/>
          <w:szCs w:val="18"/>
          <w:color w:val="auto"/>
        </w:rPr>
        <w:t xml:space="preserve">6.6.1 </w:t>
      </w:r>
      <w:r>
        <w:rPr>
          <w:rFonts w:ascii="Arial" w:cs="Arial" w:eastAsia="Arial" w:hAnsi="Arial"/>
          <w:sz w:val="18"/>
          <w:szCs w:val="18"/>
          <w:u w:val="single" w:color="auto"/>
          <w:color w:val="auto"/>
        </w:rPr>
        <w:t>Procedure for Exercise; Rights as a Stockholder</w:t>
      </w:r>
      <w:r>
        <w:rPr>
          <w:rFonts w:ascii="Arial" w:cs="Arial" w:eastAsia="Arial" w:hAnsi="Arial"/>
          <w:sz w:val="18"/>
          <w:szCs w:val="18"/>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84" w:lineRule="exact"/>
        <w:rPr>
          <w:sz w:val="20"/>
          <w:szCs w:val="20"/>
          <w:color w:val="auto"/>
        </w:rPr>
      </w:pPr>
    </w:p>
    <w:p>
      <w:pPr>
        <w:ind w:firstLine="1432"/>
        <w:spacing w:after="0" w:line="270" w:lineRule="auto"/>
        <w:rPr>
          <w:sz w:val="20"/>
          <w:szCs w:val="20"/>
          <w:color w:val="auto"/>
        </w:rPr>
      </w:pPr>
      <w:r>
        <w:rPr>
          <w:rFonts w:ascii="Arial" w:cs="Arial" w:eastAsia="Arial" w:hAnsi="Arial"/>
          <w:sz w:val="17"/>
          <w:szCs w:val="17"/>
          <w:color w:val="auto"/>
        </w:rPr>
        <w:t>An Option will be deemed exercised when the Company receives: (a) notice of exercise (in such form as the Administrator may specify from time to time) from the person entitled to exercise the Option, and (b) full payment for the Shares with respect to which the Option is exercised (together with applicable tax withholding).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14 of the Plan.</w:t>
      </w:r>
    </w:p>
    <w:p>
      <w:pPr>
        <w:spacing w:after="0" w:line="181" w:lineRule="exact"/>
        <w:rPr>
          <w:sz w:val="20"/>
          <w:szCs w:val="20"/>
          <w:color w:val="auto"/>
        </w:rPr>
      </w:pPr>
    </w:p>
    <w:p>
      <w:pPr>
        <w:ind w:right="220" w:firstLine="1432"/>
        <w:spacing w:after="0" w:line="277" w:lineRule="auto"/>
        <w:rPr>
          <w:sz w:val="20"/>
          <w:szCs w:val="20"/>
          <w:color w:val="auto"/>
        </w:rPr>
      </w:pPr>
      <w:r>
        <w:rPr>
          <w:rFonts w:ascii="Arial" w:cs="Arial" w:eastAsia="Arial" w:hAnsi="Arial"/>
          <w:sz w:val="18"/>
          <w:szCs w:val="18"/>
          <w:color w:val="auto"/>
        </w:rPr>
        <w:t>Exercising an Option in any manner will decrease the number of Shares thereafter available, both for purposes of the Plan and for sale under the Option, by the number of Shares as to which the Option is exercised.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398" w:name="page399"/>
    <w:bookmarkEnd w:id="398"/>
    <w:p>
      <w:pPr>
        <w:ind w:right="60" w:firstLine="1432"/>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6.6.2 </w:t>
      </w:r>
      <w:r>
        <w:rPr>
          <w:rFonts w:ascii="Arial" w:cs="Arial" w:eastAsia="Arial" w:hAnsi="Arial"/>
          <w:sz w:val="16"/>
          <w:szCs w:val="16"/>
          <w:u w:val="single" w:color="auto"/>
          <w:color w:val="auto"/>
        </w:rPr>
        <w:t>Termination of Relationship as a Service Provider</w:t>
      </w:r>
      <w:r>
        <w:rPr>
          <w:rFonts w:ascii="Arial" w:cs="Arial" w:eastAsia="Arial" w:hAnsi="Arial"/>
          <w:sz w:val="16"/>
          <w:szCs w:val="16"/>
          <w:color w:val="auto"/>
        </w:rPr>
        <w:t>. If a Participant ceases to be a Service Provider, other than upon the Participant’s termination as the result of the Participant’s death or Disability, the Participant may exercise his or her Option, to the extent that the Option is vested on the date of termination, within three (3) months of termination, or such shorter or longer period of time, as is specified in the Award Agreement or in writing by the Administrator, in each case, in no event later than the expiration of the term of such Option as set forth in the Award Agreement.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166" w:lineRule="exact"/>
        <w:rPr>
          <w:sz w:val="20"/>
          <w:szCs w:val="20"/>
          <w:color w:val="auto"/>
        </w:rPr>
      </w:pPr>
    </w:p>
    <w:p>
      <w:pPr>
        <w:ind w:firstLine="1432"/>
        <w:spacing w:after="0" w:line="254" w:lineRule="auto"/>
        <w:rPr>
          <w:sz w:val="20"/>
          <w:szCs w:val="20"/>
          <w:color w:val="auto"/>
        </w:rPr>
      </w:pPr>
      <w:r>
        <w:rPr>
          <w:rFonts w:ascii="Arial" w:cs="Arial" w:eastAsia="Arial" w:hAnsi="Arial"/>
          <w:sz w:val="18"/>
          <w:szCs w:val="18"/>
          <w:color w:val="auto"/>
        </w:rPr>
        <w:t xml:space="preserve">6.6.3 </w:t>
      </w:r>
      <w:r>
        <w:rPr>
          <w:rFonts w:ascii="Arial" w:cs="Arial" w:eastAsia="Arial" w:hAnsi="Arial"/>
          <w:sz w:val="18"/>
          <w:szCs w:val="18"/>
          <w:u w:val="single" w:color="auto"/>
          <w:color w:val="auto"/>
        </w:rPr>
        <w:t>Disability of Participant</w:t>
      </w:r>
      <w:r>
        <w:rPr>
          <w:rFonts w:ascii="Arial" w:cs="Arial" w:eastAsia="Arial" w:hAnsi="Arial"/>
          <w:sz w:val="18"/>
          <w:szCs w:val="18"/>
          <w:color w:val="auto"/>
        </w:rPr>
        <w:t>. If a Participant ceases to be a Service Provider as a result of the Participant’s Disability, the Participant may exercise his or her Option within twelve (12) months of termination, or such longer or shorter period of time as is specified in the Award Agreement or in writing by the Administrator (but in no event later than the expiration of the term of such Option as set forth in the Award Agreement) to the extent the Option is vested on the date of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195" w:lineRule="exact"/>
        <w:rPr>
          <w:sz w:val="20"/>
          <w:szCs w:val="20"/>
          <w:color w:val="auto"/>
        </w:rPr>
      </w:pPr>
    </w:p>
    <w:p>
      <w:pPr>
        <w:ind w:firstLine="1432"/>
        <w:spacing w:after="0" w:line="269" w:lineRule="auto"/>
        <w:rPr>
          <w:sz w:val="20"/>
          <w:szCs w:val="20"/>
          <w:color w:val="auto"/>
        </w:rPr>
      </w:pPr>
      <w:r>
        <w:rPr>
          <w:rFonts w:ascii="Arial" w:cs="Arial" w:eastAsia="Arial" w:hAnsi="Arial"/>
          <w:sz w:val="17"/>
          <w:szCs w:val="17"/>
          <w:color w:val="auto"/>
        </w:rPr>
        <w:t xml:space="preserve">6.6.4 </w:t>
      </w:r>
      <w:r>
        <w:rPr>
          <w:rFonts w:ascii="Arial" w:cs="Arial" w:eastAsia="Arial" w:hAnsi="Arial"/>
          <w:sz w:val="17"/>
          <w:szCs w:val="17"/>
          <w:u w:val="single" w:color="auto"/>
          <w:color w:val="auto"/>
        </w:rPr>
        <w:t>Death of Participant</w:t>
      </w:r>
      <w:r>
        <w:rPr>
          <w:rFonts w:ascii="Arial" w:cs="Arial" w:eastAsia="Arial" w:hAnsi="Arial"/>
          <w:sz w:val="17"/>
          <w:szCs w:val="17"/>
          <w:color w:val="auto"/>
        </w:rPr>
        <w:t>. If a Participant dies while a Service Provider, the Option may be exercised within twelve (12) months following the Participant’s death, or within such longer or shorter period of time as is specified in the Award Agreement or in writing by the Administrator (but in no event later than the expiration of the term of such Option as set forth in the Award Agreement) to the extent that the Option is vested on the date of death, by the Participant’s designated beneficiary, provided such beneficiary has been designated prior to the Participant’s death in a form (if any)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(each, a “</w:t>
      </w:r>
      <w:r>
        <w:rPr>
          <w:rFonts w:ascii="Arial" w:cs="Arial" w:eastAsia="Arial" w:hAnsi="Arial"/>
          <w:sz w:val="17"/>
          <w:szCs w:val="17"/>
          <w:u w:val="single" w:color="auto"/>
          <w:color w:val="auto"/>
        </w:rPr>
        <w:t>Legal Representative</w:t>
      </w:r>
      <w:r>
        <w:rPr>
          <w:rFonts w:ascii="Arial" w:cs="Arial" w:eastAsia="Arial" w:hAnsi="Arial"/>
          <w:sz w:val="17"/>
          <w:szCs w:val="17"/>
          <w:color w:val="auto"/>
        </w:rPr>
        <w:t>”). If the Option is exercised pursuant to this Section 6.6.4, Participant’s designated beneficiary or Legal Representative shall be subject to the terms of this Plan and the Award Agreement, including but not limited to the restrictions on transferability and forfeitability applicable to the Service Provider.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399" w:name="page400"/>
    <w:bookmarkEnd w:id="399"/>
    <w:p>
      <w:pPr>
        <w:ind w:left="142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6.6.5 </w:t>
      </w:r>
      <w:r>
        <w:rPr>
          <w:rFonts w:ascii="Arial" w:cs="Arial" w:eastAsia="Arial" w:hAnsi="Arial"/>
          <w:sz w:val="18"/>
          <w:szCs w:val="18"/>
          <w:u w:val="single" w:color="auto"/>
          <w:color w:val="auto"/>
        </w:rPr>
        <w:t>Tolling Expiration</w:t>
      </w:r>
      <w:r>
        <w:rPr>
          <w:rFonts w:ascii="Arial" w:cs="Arial" w:eastAsia="Arial" w:hAnsi="Arial"/>
          <w:sz w:val="18"/>
          <w:szCs w:val="18"/>
          <w:color w:val="auto"/>
        </w:rPr>
        <w:t>. A Participant’s Award Agreement may also provide that:</w:t>
      </w:r>
    </w:p>
    <w:p>
      <w:pPr>
        <w:spacing w:after="0" w:line="117" w:lineRule="exact"/>
        <w:rPr>
          <w:sz w:val="20"/>
          <w:szCs w:val="20"/>
          <w:color w:val="auto"/>
        </w:rPr>
      </w:pPr>
    </w:p>
    <w:p>
      <w:pPr>
        <w:ind w:left="4" w:right="100" w:firstLine="1979"/>
        <w:spacing w:after="0" w:line="259" w:lineRule="auto"/>
        <w:tabs>
          <w:tab w:leader="none" w:pos="2231" w:val="left"/>
        </w:tabs>
        <w:numPr>
          <w:ilvl w:val="2"/>
          <w:numId w:val="269"/>
        </w:numPr>
        <w:rPr>
          <w:rFonts w:ascii="Arial" w:cs="Arial" w:eastAsia="Arial" w:hAnsi="Arial"/>
          <w:sz w:val="18"/>
          <w:szCs w:val="18"/>
          <w:color w:val="auto"/>
        </w:rPr>
      </w:pPr>
      <w:r>
        <w:rPr>
          <w:rFonts w:ascii="Arial" w:cs="Arial" w:eastAsia="Arial" w:hAnsi="Arial"/>
          <w:sz w:val="18"/>
          <w:szCs w:val="18"/>
          <w:color w:val="auto"/>
        </w:rPr>
        <w:t>if the exercise of the Option following the cessation of Participant’s status as a Service Provider (other than upon the Participant’s death or Disability) would result in liability under Section 16(b), then the Option will terminate on the earlier of (i) the expiration of the term of the Option set forth in the Award Agreement, or (ii) the tenth (10</w:t>
      </w:r>
      <w:r>
        <w:rPr>
          <w:rFonts w:ascii="Arial" w:cs="Arial" w:eastAsia="Arial" w:hAnsi="Arial"/>
          <w:sz w:val="15"/>
          <w:szCs w:val="15"/>
          <w:color w:val="auto"/>
        </w:rPr>
        <w:t>th</w:t>
      </w:r>
      <w:r>
        <w:rPr>
          <w:rFonts w:ascii="Arial" w:cs="Arial" w:eastAsia="Arial" w:hAnsi="Arial"/>
          <w:sz w:val="18"/>
          <w:szCs w:val="18"/>
          <w:color w:val="auto"/>
        </w:rPr>
        <w:t>) day after the last date on which such exercise would result in liability under Section 16(b); or</w:t>
      </w:r>
    </w:p>
    <w:p>
      <w:pPr>
        <w:spacing w:after="0" w:line="186" w:lineRule="exact"/>
        <w:rPr>
          <w:rFonts w:ascii="Arial" w:cs="Arial" w:eastAsia="Arial" w:hAnsi="Arial"/>
          <w:sz w:val="18"/>
          <w:szCs w:val="18"/>
          <w:color w:val="auto"/>
        </w:rPr>
      </w:pPr>
    </w:p>
    <w:p>
      <w:pPr>
        <w:ind w:left="4" w:firstLine="1979"/>
        <w:spacing w:after="0" w:line="287" w:lineRule="auto"/>
        <w:tabs>
          <w:tab w:leader="none" w:pos="2242" w:val="left"/>
        </w:tabs>
        <w:numPr>
          <w:ilvl w:val="2"/>
          <w:numId w:val="269"/>
        </w:numPr>
        <w:rPr>
          <w:rFonts w:ascii="Arial" w:cs="Arial" w:eastAsia="Arial" w:hAnsi="Arial"/>
          <w:sz w:val="16"/>
          <w:szCs w:val="16"/>
          <w:color w:val="auto"/>
        </w:rPr>
      </w:pPr>
      <w:r>
        <w:rPr>
          <w:rFonts w:ascii="Arial" w:cs="Arial" w:eastAsia="Arial" w:hAnsi="Arial"/>
          <w:sz w:val="16"/>
          <w:szCs w:val="16"/>
          <w:color w:val="auto"/>
        </w:rPr>
        <w:t>if the exercise of the Option following the cessation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(i) the expiration of the term of the Option or (ii) the expiration of a period of thirty</w:t>
      </w:r>
    </w:p>
    <w:p>
      <w:pPr>
        <w:spacing w:after="0" w:line="2" w:lineRule="exact"/>
        <w:rPr>
          <w:rFonts w:ascii="Arial" w:cs="Arial" w:eastAsia="Arial" w:hAnsi="Arial"/>
          <w:sz w:val="16"/>
          <w:szCs w:val="16"/>
          <w:color w:val="auto"/>
        </w:rPr>
      </w:pPr>
    </w:p>
    <w:p>
      <w:pPr>
        <w:ind w:left="4" w:right="240" w:hanging="4"/>
        <w:spacing w:after="0" w:line="260" w:lineRule="auto"/>
        <w:tabs>
          <w:tab w:leader="none" w:pos="349" w:val="left"/>
        </w:tabs>
        <w:numPr>
          <w:ilvl w:val="0"/>
          <w:numId w:val="270"/>
        </w:numPr>
        <w:rPr>
          <w:rFonts w:ascii="Arial" w:cs="Arial" w:eastAsia="Arial" w:hAnsi="Arial"/>
          <w:sz w:val="18"/>
          <w:szCs w:val="18"/>
          <w:color w:val="auto"/>
        </w:rPr>
      </w:pPr>
      <w:r>
        <w:rPr>
          <w:rFonts w:ascii="Arial" w:cs="Arial" w:eastAsia="Arial" w:hAnsi="Arial"/>
          <w:sz w:val="18"/>
          <w:szCs w:val="18"/>
          <w:color w:val="auto"/>
        </w:rPr>
        <w:t>days after the cessation of the Participant’s status as a Service Provider during which the exercise of the Option would not be in violation of such registration requirements.</w:t>
      </w:r>
    </w:p>
    <w:p>
      <w:pPr>
        <w:spacing w:after="0" w:line="185" w:lineRule="exact"/>
        <w:rPr>
          <w:rFonts w:ascii="Arial" w:cs="Arial" w:eastAsia="Arial" w:hAnsi="Arial"/>
          <w:sz w:val="18"/>
          <w:szCs w:val="18"/>
          <w:color w:val="auto"/>
        </w:rPr>
      </w:pPr>
    </w:p>
    <w:p>
      <w:pPr>
        <w:ind w:left="624" w:hanging="184"/>
        <w:spacing w:after="0"/>
        <w:tabs>
          <w:tab w:leader="none" w:pos="624" w:val="left"/>
        </w:tabs>
        <w:numPr>
          <w:ilvl w:val="1"/>
          <w:numId w:val="270"/>
        </w:numPr>
        <w:rPr>
          <w:rFonts w:ascii="Arial" w:cs="Arial" w:eastAsia="Arial" w:hAnsi="Arial"/>
          <w:sz w:val="18"/>
          <w:szCs w:val="18"/>
          <w:color w:val="auto"/>
        </w:rPr>
      </w:pPr>
      <w:r>
        <w:rPr>
          <w:rFonts w:ascii="Arial" w:cs="Arial" w:eastAsia="Arial" w:hAnsi="Arial"/>
          <w:sz w:val="18"/>
          <w:szCs w:val="18"/>
          <w:u w:val="single" w:color="auto"/>
          <w:color w:val="auto"/>
        </w:rPr>
        <w:t>Stock Appreciation Rights</w:t>
      </w:r>
      <w:r>
        <w:rPr>
          <w:rFonts w:ascii="Arial" w:cs="Arial" w:eastAsia="Arial" w:hAnsi="Arial"/>
          <w:sz w:val="18"/>
          <w:szCs w:val="18"/>
          <w:color w:val="auto"/>
        </w:rPr>
        <w:t>.</w:t>
      </w:r>
    </w:p>
    <w:p>
      <w:pPr>
        <w:spacing w:after="0" w:line="225" w:lineRule="exact"/>
        <w:rPr>
          <w:sz w:val="20"/>
          <w:szCs w:val="20"/>
          <w:color w:val="auto"/>
        </w:rPr>
      </w:pPr>
    </w:p>
    <w:p>
      <w:pPr>
        <w:ind w:left="4" w:right="340" w:firstLine="991"/>
        <w:spacing w:after="0" w:line="27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Grant of Stock Appreciation Rights</w:t>
      </w:r>
      <w:r>
        <w:rPr>
          <w:rFonts w:ascii="Arial" w:cs="Arial" w:eastAsia="Arial" w:hAnsi="Arial"/>
          <w:sz w:val="18"/>
          <w:szCs w:val="18"/>
          <w:color w:val="auto"/>
        </w:rPr>
        <w:t>. Subject to the terms and conditions of the Plan, a Stock Appreciation Right may be granted to Service Providers at any time and from time to time as will be determined by the Administrator, in its sole discretion.</w:t>
      </w:r>
    </w:p>
    <w:p>
      <w:pPr>
        <w:spacing w:after="0" w:line="170" w:lineRule="exact"/>
        <w:rPr>
          <w:sz w:val="20"/>
          <w:szCs w:val="20"/>
          <w:color w:val="auto"/>
        </w:rPr>
      </w:pPr>
    </w:p>
    <w:p>
      <w:pPr>
        <w:ind w:left="4" w:right="100" w:firstLine="991"/>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Number of Shares</w:t>
      </w:r>
      <w:r>
        <w:rPr>
          <w:rFonts w:ascii="Arial" w:cs="Arial" w:eastAsia="Arial" w:hAnsi="Arial"/>
          <w:sz w:val="18"/>
          <w:szCs w:val="18"/>
          <w:color w:val="auto"/>
        </w:rPr>
        <w:t>. The Administrator will have complete discretion to determine the number of Shares subject to any Award of Stock Appreciation Rights.</w:t>
      </w:r>
    </w:p>
    <w:p>
      <w:pPr>
        <w:spacing w:after="0" w:line="170" w:lineRule="exact"/>
        <w:rPr>
          <w:sz w:val="20"/>
          <w:szCs w:val="20"/>
          <w:color w:val="auto"/>
        </w:rPr>
      </w:pPr>
    </w:p>
    <w:p>
      <w:pPr>
        <w:ind w:left="4" w:right="60" w:firstLine="991"/>
        <w:spacing w:after="0" w:line="279"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Exercise Price and Other Terms</w:t>
      </w:r>
      <w:r>
        <w:rPr>
          <w:rFonts w:ascii="Arial" w:cs="Arial" w:eastAsia="Arial" w:hAnsi="Arial"/>
          <w:sz w:val="17"/>
          <w:szCs w:val="17"/>
          <w:color w:val="auto"/>
        </w:rPr>
        <w:t>. The per Share exercise price for the Shares that will determine the amount of the payment to be received upon exercise of a Stock Appreciation Right as set forth in Section 7.6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171" w:lineRule="exact"/>
        <w:rPr>
          <w:sz w:val="20"/>
          <w:szCs w:val="20"/>
          <w:color w:val="auto"/>
        </w:rPr>
      </w:pPr>
    </w:p>
    <w:p>
      <w:pPr>
        <w:ind w:left="4" w:firstLine="991"/>
        <w:spacing w:after="0" w:line="263"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Stock Appreciation Right Agreement</w:t>
      </w:r>
      <w:r>
        <w:rPr>
          <w:rFonts w:ascii="Arial" w:cs="Arial" w:eastAsia="Arial" w:hAnsi="Arial"/>
          <w:sz w:val="18"/>
          <w:szCs w:val="18"/>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84" w:lineRule="exact"/>
        <w:rPr>
          <w:sz w:val="20"/>
          <w:szCs w:val="20"/>
          <w:color w:val="auto"/>
        </w:rPr>
      </w:pPr>
    </w:p>
    <w:p>
      <w:pPr>
        <w:ind w:left="4" w:right="140" w:firstLine="991"/>
        <w:spacing w:after="0" w:line="263"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Expiration of Stock Appreciation Rights</w:t>
      </w:r>
      <w:r>
        <w:rPr>
          <w:rFonts w:ascii="Arial" w:cs="Arial" w:eastAsia="Arial" w:hAnsi="Arial"/>
          <w:sz w:val="18"/>
          <w:szCs w:val="18"/>
          <w:color w:val="auto"/>
        </w:rPr>
        <w:t>. A Stock Appreciation Right granted under the Plan will expire upon the date determined by the Administrator, in its sole discretion, and set forth in the Award Agreement. Notwithstanding the foregoing, the rules of Section 6.4 relating to the maximum term and Section 6.5 relating to exercise also will apply to Stock Appreciation Rights.</w:t>
      </w:r>
    </w:p>
    <w:p>
      <w:pPr>
        <w:spacing w:after="0" w:line="184" w:lineRule="exact"/>
        <w:rPr>
          <w:sz w:val="20"/>
          <w:szCs w:val="20"/>
          <w:color w:val="auto"/>
        </w:rPr>
      </w:pPr>
    </w:p>
    <w:p>
      <w:pPr>
        <w:ind w:left="4" w:right="200" w:firstLine="991"/>
        <w:spacing w:after="0" w:line="277"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Payment of Stock Appreciation Right Amount</w:t>
      </w:r>
      <w:r>
        <w:rPr>
          <w:rFonts w:ascii="Arial" w:cs="Arial" w:eastAsia="Arial" w:hAnsi="Arial"/>
          <w:sz w:val="18"/>
          <w:szCs w:val="18"/>
          <w:color w:val="auto"/>
        </w:rPr>
        <w:t>. Upon exercise of a Stock Appreciation Right, a Participant will be entitled to receive payment from the Company in an amount determined by multiplying:</w:t>
      </w:r>
    </w:p>
    <w:p>
      <w:pPr>
        <w:spacing w:after="0" w:line="170" w:lineRule="exact"/>
        <w:rPr>
          <w:sz w:val="20"/>
          <w:szCs w:val="20"/>
          <w:color w:val="auto"/>
        </w:rPr>
      </w:pPr>
    </w:p>
    <w:p>
      <w:pPr>
        <w:ind w:left="1684" w:hanging="252"/>
        <w:spacing w:after="0"/>
        <w:tabs>
          <w:tab w:leader="none" w:pos="1684"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difference between the Fair Market Value of a Share on the date of exercise over the exercise price; times</w:t>
      </w:r>
    </w:p>
    <w:p>
      <w:pPr>
        <w:spacing w:after="0" w:line="225" w:lineRule="exact"/>
        <w:rPr>
          <w:rFonts w:ascii="Arial" w:cs="Arial" w:eastAsia="Arial" w:hAnsi="Arial"/>
          <w:sz w:val="18"/>
          <w:szCs w:val="18"/>
          <w:color w:val="auto"/>
        </w:rPr>
      </w:pPr>
    </w:p>
    <w:p>
      <w:pPr>
        <w:ind w:left="1684" w:hanging="252"/>
        <w:spacing w:after="0"/>
        <w:tabs>
          <w:tab w:leader="none" w:pos="1684"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number of Shares with respect to which the Stock Appreciation Right is exercised.</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400" w:name="page401"/>
    <w:bookmarkEnd w:id="400"/>
    <w:p>
      <w:pPr>
        <w:ind w:right="120" w:firstLine="1432"/>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the discretion of the Administrator, the payment upon Stock Appreciation Right exercise may be in cash, in Shares of equivalent value, or in some combination thereof.</w:t>
      </w:r>
    </w:p>
    <w:p>
      <w:pPr>
        <w:spacing w:after="0" w:line="170" w:lineRule="exact"/>
        <w:rPr>
          <w:sz w:val="20"/>
          <w:szCs w:val="20"/>
          <w:color w:val="auto"/>
        </w:rPr>
      </w:pPr>
    </w:p>
    <w:p>
      <w:pPr>
        <w:ind w:left="620" w:hanging="184"/>
        <w:spacing w:after="0"/>
        <w:tabs>
          <w:tab w:leader="none" w:pos="620"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t>Restricted Stock</w:t>
      </w:r>
      <w:r>
        <w:rPr>
          <w:rFonts w:ascii="Arial" w:cs="Arial" w:eastAsia="Arial" w:hAnsi="Arial"/>
          <w:sz w:val="18"/>
          <w:szCs w:val="18"/>
          <w:color w:val="auto"/>
        </w:rPr>
        <w:t>.</w:t>
      </w:r>
    </w:p>
    <w:p>
      <w:pPr>
        <w:spacing w:after="0" w:line="225" w:lineRule="exact"/>
        <w:rPr>
          <w:sz w:val="20"/>
          <w:szCs w:val="20"/>
          <w:color w:val="auto"/>
        </w:rPr>
      </w:pPr>
    </w:p>
    <w:p>
      <w:pPr>
        <w:ind w:right="220" w:firstLine="991"/>
        <w:spacing w:after="0" w:line="308"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Grant of Restricted Stock</w:t>
      </w:r>
      <w:r>
        <w:rPr>
          <w:rFonts w:ascii="Arial" w:cs="Arial" w:eastAsia="Arial" w:hAnsi="Arial"/>
          <w:sz w:val="17"/>
          <w:szCs w:val="17"/>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46"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Restricted Stock Agreement</w:t>
      </w:r>
      <w:r>
        <w:rPr>
          <w:rFonts w:ascii="Arial" w:cs="Arial" w:eastAsia="Arial" w:hAnsi="Arial"/>
          <w:sz w:val="18"/>
          <w:szCs w:val="18"/>
          <w:color w:val="auto"/>
        </w:rPr>
        <w:t>. Each Award of Restricted Stock will be evidenced by an Award Agreement that will specify the Period of Restriction (if any),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187" w:lineRule="exact"/>
        <w:rPr>
          <w:sz w:val="20"/>
          <w:szCs w:val="20"/>
          <w:color w:val="auto"/>
        </w:rPr>
      </w:pPr>
    </w:p>
    <w:p>
      <w:pPr>
        <w:ind w:right="240" w:firstLine="991"/>
        <w:spacing w:after="0" w:line="308"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Transferability</w:t>
      </w:r>
      <w:r>
        <w:rPr>
          <w:rFonts w:ascii="Arial" w:cs="Arial" w:eastAsia="Arial" w:hAnsi="Arial"/>
          <w:sz w:val="17"/>
          <w:szCs w:val="17"/>
          <w:color w:val="auto"/>
        </w:rPr>
        <w:t>. Except as provided in this Section 8 or as the Administrator determines, Shares of Restricted Stock may not be sold, transferred, pledged, assigned, or otherwise alienated or hypothecated until the end of the applicable Period of Restriction.</w:t>
      </w:r>
    </w:p>
    <w:p>
      <w:pPr>
        <w:spacing w:after="0" w:line="146"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Other Restrictions</w:t>
      </w:r>
      <w:r>
        <w:rPr>
          <w:rFonts w:ascii="Arial" w:cs="Arial" w:eastAsia="Arial" w:hAnsi="Arial"/>
          <w:sz w:val="18"/>
          <w:szCs w:val="18"/>
          <w:color w:val="auto"/>
        </w:rPr>
        <w:t>. The Administrator, in its sole discretion, may impose such other restrictions on Shares of Restricted Stock as it may deem advisable or appropriate.</w:t>
      </w:r>
    </w:p>
    <w:p>
      <w:pPr>
        <w:spacing w:after="0" w:line="170" w:lineRule="exact"/>
        <w:rPr>
          <w:sz w:val="20"/>
          <w:szCs w:val="20"/>
          <w:color w:val="auto"/>
        </w:rPr>
      </w:pPr>
    </w:p>
    <w:p>
      <w:pPr>
        <w:jc w:val="both"/>
        <w:ind w:right="160" w:firstLine="991"/>
        <w:spacing w:after="0" w:line="311"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Removal of Restrictions</w:t>
      </w:r>
      <w:r>
        <w:rPr>
          <w:rFonts w:ascii="Arial" w:cs="Arial" w:eastAsia="Arial" w:hAnsi="Arial"/>
          <w:sz w:val="16"/>
          <w:szCs w:val="16"/>
          <w:color w:val="auto"/>
        </w:rPr>
        <w:t>. Except as otherwise provided in this Section 8,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49"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Voting Rights</w:t>
      </w:r>
      <w:r>
        <w:rPr>
          <w:rFonts w:ascii="Arial" w:cs="Arial" w:eastAsia="Arial" w:hAnsi="Arial"/>
          <w:sz w:val="18"/>
          <w:szCs w:val="18"/>
          <w:color w:val="auto"/>
        </w:rPr>
        <w:t>. During the Period of Restriction, Service Providers holding Shares of Restricted Stock granted hereunder may exercise full voting rights with respect to those Shares, unless the Administrator determines otherwise.</w:t>
      </w:r>
    </w:p>
    <w:p>
      <w:pPr>
        <w:spacing w:after="0" w:line="170" w:lineRule="exact"/>
        <w:rPr>
          <w:sz w:val="20"/>
          <w:szCs w:val="20"/>
          <w:color w:val="auto"/>
        </w:rPr>
      </w:pPr>
    </w:p>
    <w:p>
      <w:pPr>
        <w:ind w:right="420" w:firstLine="991"/>
        <w:spacing w:after="0" w:line="259"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Dividends and Other Distributions</w:t>
      </w:r>
      <w:r>
        <w:rPr>
          <w:rFonts w:ascii="Arial" w:cs="Arial" w:eastAsia="Arial" w:hAnsi="Arial"/>
          <w:sz w:val="18"/>
          <w:szCs w:val="18"/>
          <w:color w:val="auto"/>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pacing w:after="0" w:line="187"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Return of Restricted Stock to Company</w:t>
      </w:r>
      <w:r>
        <w:rPr>
          <w:rFonts w:ascii="Arial" w:cs="Arial" w:eastAsia="Arial" w:hAnsi="Arial"/>
          <w:sz w:val="18"/>
          <w:szCs w:val="18"/>
          <w:color w:val="auto"/>
        </w:rPr>
        <w:t>. On the date set forth in the Award Agreement, the Restricted Stock for which restrictions have not lapsed will revert to the Company and again will become available for grant under the Plan.</w:t>
      </w:r>
    </w:p>
    <w:p>
      <w:pPr>
        <w:spacing w:after="0" w:line="170" w:lineRule="exact"/>
        <w:rPr>
          <w:sz w:val="20"/>
          <w:szCs w:val="20"/>
          <w:color w:val="auto"/>
        </w:rPr>
      </w:pPr>
    </w:p>
    <w:p>
      <w:pPr>
        <w:ind w:left="620" w:hanging="184"/>
        <w:spacing w:after="0"/>
        <w:tabs>
          <w:tab w:leader="none" w:pos="620"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Restricted Stock Units</w:t>
      </w:r>
      <w:r>
        <w:rPr>
          <w:rFonts w:ascii="Arial" w:cs="Arial" w:eastAsia="Arial" w:hAnsi="Arial"/>
          <w:sz w:val="18"/>
          <w:szCs w:val="18"/>
          <w:color w:val="auto"/>
        </w:rPr>
        <w:t>.</w:t>
      </w:r>
    </w:p>
    <w:p>
      <w:pPr>
        <w:spacing w:after="0" w:line="225" w:lineRule="exact"/>
        <w:rPr>
          <w:sz w:val="20"/>
          <w:szCs w:val="20"/>
          <w:color w:val="auto"/>
        </w:rPr>
      </w:pPr>
    </w:p>
    <w:p>
      <w:pPr>
        <w:ind w:right="360" w:firstLine="991"/>
        <w:spacing w:after="0" w:line="263"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Grant</w:t>
      </w:r>
      <w:r>
        <w:rPr>
          <w:rFonts w:ascii="Arial" w:cs="Arial" w:eastAsia="Arial" w:hAnsi="Arial"/>
          <w:sz w:val="18"/>
          <w:szCs w:val="18"/>
          <w:color w:val="auto"/>
        </w:rPr>
        <w:t>. Restricted Stock Units may be granted at any time and from time to time as determined by the Administrator. After the Administrator determines that it will grant Restricted Stock Units, it will advise the Participant in an Award Agreement of the terms, conditions, and restrictions related to the grant, including the number of Restricted Stock Units.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401" w:name="page402"/>
    <w:bookmarkEnd w:id="401"/>
    <w:p>
      <w:pPr>
        <w:ind w:right="40" w:firstLine="99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9.2 </w:t>
      </w:r>
      <w:r>
        <w:rPr>
          <w:rFonts w:ascii="Arial" w:cs="Arial" w:eastAsia="Arial" w:hAnsi="Arial"/>
          <w:sz w:val="17"/>
          <w:szCs w:val="17"/>
          <w:u w:val="single" w:color="auto"/>
          <w:color w:val="auto"/>
        </w:rPr>
        <w:t>Vesting Criteria and Other Terms</w:t>
      </w:r>
      <w:r>
        <w:rPr>
          <w:rFonts w:ascii="Arial" w:cs="Arial" w:eastAsia="Arial" w:hAnsi="Arial"/>
          <w:sz w:val="17"/>
          <w:szCs w:val="17"/>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71" w:lineRule="exact"/>
        <w:rPr>
          <w:sz w:val="20"/>
          <w:szCs w:val="20"/>
          <w:color w:val="auto"/>
        </w:rPr>
      </w:pPr>
    </w:p>
    <w:p>
      <w:pPr>
        <w:jc w:val="both"/>
        <w:ind w:right="320" w:firstLine="991"/>
        <w:spacing w:after="0" w:line="263"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Earning Restricted Stock Units</w:t>
      </w:r>
      <w:r>
        <w:rPr>
          <w:rFonts w:ascii="Arial" w:cs="Arial" w:eastAsia="Arial" w:hAnsi="Arial"/>
          <w:sz w:val="18"/>
          <w:szCs w:val="18"/>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84"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Form and Timing of Payment</w:t>
      </w:r>
      <w:r>
        <w:rPr>
          <w:rFonts w:ascii="Arial" w:cs="Arial" w:eastAsia="Arial" w:hAnsi="Arial"/>
          <w:sz w:val="18"/>
          <w:szCs w:val="18"/>
          <w:color w:val="auto"/>
        </w:rPr>
        <w:t>. Payment of earned Restricted Stock Units will be made at the time(s) determined by the Administrator and set forth in the Award Agreement. The Administrator, in its sole discretion, may settle earned Restricted Stock Units in cash, Shares, or a combination of both.</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Cancellation</w:t>
      </w:r>
      <w:r>
        <w:rPr>
          <w:rFonts w:ascii="Arial" w:cs="Arial" w:eastAsia="Arial" w:hAnsi="Arial"/>
          <w:sz w:val="17"/>
          <w:szCs w:val="17"/>
          <w:color w:val="auto"/>
        </w:rPr>
        <w:t>. On the date set forth in the Award Agreement, all unearned Restricted Stock Units will be forfeited to the Company.</w:t>
      </w:r>
    </w:p>
    <w:p>
      <w:pPr>
        <w:spacing w:after="0" w:line="237" w:lineRule="exact"/>
        <w:rPr>
          <w:sz w:val="20"/>
          <w:szCs w:val="20"/>
          <w:color w:val="auto"/>
        </w:rPr>
      </w:pPr>
    </w:p>
    <w:p>
      <w:pPr>
        <w:ind w:left="1260" w:hanging="273"/>
        <w:spacing w:after="0"/>
        <w:tabs>
          <w:tab w:leader="none" w:pos="1260"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Performance Awards</w:t>
      </w:r>
      <w:r>
        <w:rPr>
          <w:rFonts w:ascii="Arial" w:cs="Arial" w:eastAsia="Arial" w:hAnsi="Arial"/>
          <w:sz w:val="18"/>
          <w:szCs w:val="18"/>
          <w:color w:val="auto"/>
        </w:rPr>
        <w:t>.</w:t>
      </w:r>
    </w:p>
    <w:p>
      <w:pPr>
        <w:spacing w:after="0" w:line="225" w:lineRule="exact"/>
        <w:rPr>
          <w:sz w:val="20"/>
          <w:szCs w:val="20"/>
          <w:color w:val="auto"/>
        </w:rPr>
      </w:pPr>
    </w:p>
    <w:p>
      <w:pPr>
        <w:jc w:val="both"/>
        <w:ind w:right="340" w:firstLine="991"/>
        <w:spacing w:after="0" w:line="311"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Award Agreement</w:t>
      </w:r>
      <w:r>
        <w:rPr>
          <w:rFonts w:ascii="Arial" w:cs="Arial" w:eastAsia="Arial" w:hAnsi="Arial"/>
          <w:sz w:val="16"/>
          <w:szCs w:val="16"/>
          <w:color w:val="auto"/>
        </w:rPr>
        <w:t>. Each Performance Award will be evidenced by an Award Agreement that will specify any time period during which any performance objectives or other vesting provisions will be measured (“</w:t>
      </w:r>
      <w:r>
        <w:rPr>
          <w:rFonts w:ascii="Arial" w:cs="Arial" w:eastAsia="Arial" w:hAnsi="Arial"/>
          <w:sz w:val="16"/>
          <w:szCs w:val="16"/>
          <w:u w:val="single" w:color="auto"/>
          <w:color w:val="auto"/>
        </w:rPr>
        <w:t>Performance Period</w:t>
      </w:r>
      <w:r>
        <w:rPr>
          <w:rFonts w:ascii="Arial" w:cs="Arial" w:eastAsia="Arial" w:hAnsi="Arial"/>
          <w:sz w:val="16"/>
          <w:szCs w:val="16"/>
          <w:color w:val="auto"/>
        </w:rPr>
        <w:t>”), and such other terms and conditions as the Administrator determines. Each Performance Award will have an initial value that is determined by the Administrator on or before its date of grant.</w:t>
      </w:r>
    </w:p>
    <w:p>
      <w:pPr>
        <w:spacing w:after="0" w:line="149"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Objectives or Vesting Provisions and Other Terms</w:t>
      </w:r>
      <w:r>
        <w:rPr>
          <w:rFonts w:ascii="Arial" w:cs="Arial" w:eastAsia="Arial" w:hAnsi="Arial"/>
          <w:sz w:val="18"/>
          <w:szCs w:val="18"/>
          <w:color w:val="auto"/>
        </w:rPr>
        <w:t>. The Administrator will set any objectives or vesting provisions that, depending on the extent to which any such objectives or vesting provisions are met, will determine the value of the payout for the Performance Awards.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88" w:lineRule="exact"/>
        <w:rPr>
          <w:sz w:val="20"/>
          <w:szCs w:val="20"/>
          <w:color w:val="auto"/>
        </w:rPr>
      </w:pPr>
    </w:p>
    <w:p>
      <w:pPr>
        <w:jc w:val="both"/>
        <w:ind w:right="40" w:firstLine="991"/>
        <w:spacing w:after="0" w:line="263"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Earning Performance Awards</w:t>
      </w:r>
      <w:r>
        <w:rPr>
          <w:rFonts w:ascii="Arial" w:cs="Arial" w:eastAsia="Arial" w:hAnsi="Arial"/>
          <w:sz w:val="18"/>
          <w:szCs w:val="18"/>
          <w:color w:val="auto"/>
        </w:rPr>
        <w:t>. After an applicable Performance Period has ended, the holder of a Performance Award will be entitled to receive a payout for the Performance Award earned by the Participant over the Performance Period. The Administrator, in its discretion, may reduce or waive any performance objectives or other vesting provisions for such Performance Award.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440" w:top="274" w:right="499" w:bottom="1440" w:gutter="0" w:footer="0" w:header="0"/>
        </w:sectPr>
      </w:pPr>
    </w:p>
    <w:bookmarkStart w:id="402" w:name="page403"/>
    <w:bookmarkEnd w:id="402"/>
    <w:p>
      <w:pPr>
        <w:ind w:right="2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10.4 </w:t>
      </w:r>
      <w:r>
        <w:rPr>
          <w:rFonts w:ascii="Arial" w:cs="Arial" w:eastAsia="Arial" w:hAnsi="Arial"/>
          <w:sz w:val="18"/>
          <w:szCs w:val="18"/>
          <w:u w:val="single" w:color="auto"/>
          <w:color w:val="auto"/>
        </w:rPr>
        <w:t>Form and Timing of Payment</w:t>
      </w:r>
      <w:r>
        <w:rPr>
          <w:rFonts w:ascii="Arial" w:cs="Arial" w:eastAsia="Arial" w:hAnsi="Arial"/>
          <w:sz w:val="18"/>
          <w:szCs w:val="18"/>
          <w:color w:val="auto"/>
        </w:rPr>
        <w:t>. Payment of earned Performance Awards will be made at the time(s) determined by the Administrator and set forth in the Award Agreement. The Administrator, in its sole discretion, may settle earned Performance Awards in cash, Shares, or a combination of both.</w:t>
      </w:r>
    </w:p>
    <w:p>
      <w:pPr>
        <w:spacing w:after="0" w:line="184"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Cancellation of Performance Awards</w:t>
      </w:r>
      <w:r>
        <w:rPr>
          <w:rFonts w:ascii="Arial" w:cs="Arial" w:eastAsia="Arial" w:hAnsi="Arial"/>
          <w:sz w:val="18"/>
          <w:szCs w:val="18"/>
          <w:color w:val="auto"/>
        </w:rPr>
        <w:t>. On the date set forth in the Award Agreement, all unearned or unvested Performance Awards will be forfeited to the Company, and again will be available for grant under the Plan.</w:t>
      </w:r>
    </w:p>
    <w:p>
      <w:pPr>
        <w:spacing w:after="0" w:line="170" w:lineRule="exact"/>
        <w:rPr>
          <w:sz w:val="20"/>
          <w:szCs w:val="20"/>
          <w:color w:val="auto"/>
        </w:rPr>
      </w:pPr>
    </w:p>
    <w:p>
      <w:pPr>
        <w:ind w:firstLine="436"/>
        <w:spacing w:after="0" w:line="288" w:lineRule="auto"/>
        <w:tabs>
          <w:tab w:leader="none" w:pos="703" w:val="left"/>
        </w:tabs>
        <w:numPr>
          <w:ilvl w:val="0"/>
          <w:numId w:val="275"/>
        </w:numPr>
        <w:rPr>
          <w:rFonts w:ascii="Arial" w:cs="Arial" w:eastAsia="Arial" w:hAnsi="Arial"/>
          <w:sz w:val="16"/>
          <w:szCs w:val="16"/>
          <w:color w:val="auto"/>
        </w:rPr>
      </w:pPr>
      <w:r>
        <w:rPr>
          <w:rFonts w:ascii="Arial" w:cs="Arial" w:eastAsia="Arial" w:hAnsi="Arial"/>
          <w:sz w:val="16"/>
          <w:szCs w:val="16"/>
          <w:u w:val="single" w:color="auto"/>
          <w:color w:val="auto"/>
        </w:rPr>
        <w:t>Compliance With Section 409A</w:t>
      </w:r>
      <w:r>
        <w:rPr>
          <w:rFonts w:ascii="Arial" w:cs="Arial" w:eastAsia="Arial" w:hAnsi="Arial"/>
          <w:sz w:val="16"/>
          <w:szCs w:val="16"/>
          <w:color w:val="auto"/>
        </w:rPr>
        <w:t>. Awards will be designed and operated in such a manner that they are either exempt from the application of, or comply with, the requirements of Section 409A such that the grant, payment, settlement or deferral will not be subject to the additional tax or interest applicable under Section 409A, except as otherwise determined in the sole discretion of the Administrator. The Plan and each Award Agreement under the Plan is intended to be exempt from or meet the requirements of Section 409A and will be construed and interpreted in accordance with such intent (including with respect to any ambiguities or ambiguous terms), 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of its Parent or Subsidiaries have any responsibility, liability, or obligation to reimburse, indemnify, or hold harmless a Participant (or any other person) in respect of Awards, for any taxes, penalties or interest that may be imposed on, or other costs incurred by, Participant (or any other person) as a result of Section 409A.</w:t>
      </w:r>
    </w:p>
    <w:p>
      <w:pPr>
        <w:spacing w:after="0" w:line="168" w:lineRule="exact"/>
        <w:rPr>
          <w:rFonts w:ascii="Arial" w:cs="Arial" w:eastAsia="Arial" w:hAnsi="Arial"/>
          <w:sz w:val="16"/>
          <w:szCs w:val="16"/>
          <w:color w:val="auto"/>
        </w:rPr>
      </w:pPr>
    </w:p>
    <w:p>
      <w:pPr>
        <w:ind w:right="120" w:firstLine="436"/>
        <w:spacing w:after="0" w:line="272" w:lineRule="auto"/>
        <w:tabs>
          <w:tab w:leader="none" w:pos="710" w:val="left"/>
        </w:tabs>
        <w:numPr>
          <w:ilvl w:val="0"/>
          <w:numId w:val="275"/>
        </w:numPr>
        <w:rPr>
          <w:rFonts w:ascii="Arial" w:cs="Arial" w:eastAsia="Arial" w:hAnsi="Arial"/>
          <w:sz w:val="17"/>
          <w:szCs w:val="17"/>
          <w:color w:val="auto"/>
        </w:rPr>
      </w:pPr>
      <w:r>
        <w:rPr>
          <w:rFonts w:ascii="Arial" w:cs="Arial" w:eastAsia="Arial" w:hAnsi="Arial"/>
          <w:sz w:val="17"/>
          <w:szCs w:val="17"/>
          <w:u w:val="single" w:color="auto"/>
          <w:color w:val="auto"/>
        </w:rPr>
        <w:t>Leaves of Absence/Transfer Between Locations</w:t>
      </w:r>
      <w:r>
        <w:rPr>
          <w:rFonts w:ascii="Arial" w:cs="Arial" w:eastAsia="Arial" w:hAnsi="Arial"/>
          <w:sz w:val="17"/>
          <w:szCs w:val="17"/>
          <w:color w:val="auto"/>
        </w:rPr>
        <w:t>. Unless the Administrator provides otherwise or as otherwise required by Applicable Laws, vesting of Awards granted hereunder will be suspended during any unpaid leave of absence. A Participant will not cease to be an Employee in the case of (a) any leave of absence approved by the Company or (b) transfers between locations of the Company or between the Company, its Parent, or any of its Subsidiaries.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w:t>
      </w:r>
      <w:r>
        <w:rPr>
          <w:rFonts w:ascii="Arial" w:cs="Arial" w:eastAsia="Arial" w:hAnsi="Arial"/>
          <w:sz w:val="14"/>
          <w:szCs w:val="14"/>
          <w:color w:val="auto"/>
        </w:rPr>
        <w:t>st</w:t>
      </w:r>
      <w:r>
        <w:rPr>
          <w:rFonts w:ascii="Arial" w:cs="Arial" w:eastAsia="Arial" w:hAnsi="Arial"/>
          <w:sz w:val="17"/>
          <w:szCs w:val="17"/>
          <w:color w:val="auto"/>
        </w:rPr>
        <w:t>) day of such leave, any Incentive Stock Option held by the Participant will cease to be treated as an Incentive Stock Option and will be treated for tax purposes as a Nonstatutory Stock Option.</w:t>
      </w:r>
    </w:p>
    <w:p>
      <w:pPr>
        <w:spacing w:after="0" w:line="177" w:lineRule="exact"/>
        <w:rPr>
          <w:rFonts w:ascii="Arial" w:cs="Arial" w:eastAsia="Arial" w:hAnsi="Arial"/>
          <w:sz w:val="17"/>
          <w:szCs w:val="17"/>
          <w:color w:val="auto"/>
        </w:rPr>
      </w:pPr>
    </w:p>
    <w:p>
      <w:pPr>
        <w:jc w:val="both"/>
        <w:ind w:right="40" w:firstLine="436"/>
        <w:spacing w:after="0" w:line="257" w:lineRule="auto"/>
        <w:tabs>
          <w:tab w:leader="none" w:pos="710"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Limited Transferability of Awards</w:t>
      </w:r>
      <w:r>
        <w:rPr>
          <w:rFonts w:ascii="Arial" w:cs="Arial" w:eastAsia="Arial" w:hAnsi="Arial"/>
          <w:sz w:val="18"/>
          <w:szCs w:val="18"/>
          <w:color w:val="auto"/>
        </w:rPr>
        <w:t>. Unless determined otherwise by the Administrator, Awards may not be sold, pledged, assigned, hypothecated, transferred, or disposed of in any manner other than by will or by the laws of descent and distribution (which, for purposes of clarification, shall be deemed to include through a beneficiary designation if available in accordance with Section 6.6), and may be exercised, during the lifetime of the Participant, only by the Participant. If the Administrator makes an Award transferable, such Award will contain such additional terms and conditions as the Administrator deems appropriate.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403" w:name="page404"/>
    <w:bookmarkEnd w:id="403"/>
    <w:p>
      <w:pPr>
        <w:ind w:left="700" w:hanging="264"/>
        <w:spacing w:after="0"/>
        <w:tabs>
          <w:tab w:leader="none" w:pos="700"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Adjustments; Dissolution or Liquidation; Merger or Change in Control</w:t>
      </w:r>
      <w:r>
        <w:rPr>
          <w:rFonts w:ascii="Arial" w:cs="Arial" w:eastAsia="Arial" w:hAnsi="Arial"/>
          <w:sz w:val="18"/>
          <w:szCs w:val="18"/>
          <w:color w:val="auto"/>
        </w:rPr>
        <w:t>.</w:t>
      </w:r>
    </w:p>
    <w:p>
      <w:pPr>
        <w:spacing w:after="0" w:line="225" w:lineRule="exact"/>
        <w:rPr>
          <w:sz w:val="20"/>
          <w:szCs w:val="20"/>
          <w:color w:val="auto"/>
        </w:rPr>
      </w:pPr>
    </w:p>
    <w:p>
      <w:pPr>
        <w:ind w:right="280" w:firstLine="991"/>
        <w:spacing w:after="0" w:line="293" w:lineRule="auto"/>
        <w:rPr>
          <w:sz w:val="20"/>
          <w:szCs w:val="20"/>
          <w:color w:val="auto"/>
        </w:rPr>
      </w:pPr>
      <w:r>
        <w:rPr>
          <w:rFonts w:ascii="Arial" w:cs="Arial" w:eastAsia="Arial" w:hAnsi="Arial"/>
          <w:sz w:val="16"/>
          <w:szCs w:val="16"/>
          <w:color w:val="auto"/>
        </w:rPr>
        <w:t xml:space="preserve">14.1 </w:t>
      </w:r>
      <w:r>
        <w:rPr>
          <w:rFonts w:ascii="Arial" w:cs="Arial" w:eastAsia="Arial" w:hAnsi="Arial"/>
          <w:sz w:val="16"/>
          <w:szCs w:val="16"/>
          <w:u w:val="single" w:color="auto"/>
          <w:color w:val="auto"/>
        </w:rPr>
        <w:t>Adjustments</w:t>
      </w:r>
      <w:r>
        <w:rPr>
          <w:rFonts w:ascii="Arial" w:cs="Arial" w:eastAsia="Arial" w:hAnsi="Arial"/>
          <w:sz w:val="16"/>
          <w:szCs w:val="16"/>
          <w:color w:val="auto"/>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and numerical Share limits in Section 3.</w:t>
      </w:r>
    </w:p>
    <w:p>
      <w:pPr>
        <w:spacing w:after="0" w:line="164"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84"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 xml:space="preserve">14.3 </w:t>
      </w:r>
      <w:r>
        <w:rPr>
          <w:rFonts w:ascii="Arial" w:cs="Arial" w:eastAsia="Arial" w:hAnsi="Arial"/>
          <w:sz w:val="17"/>
          <w:szCs w:val="17"/>
          <w:u w:val="single" w:color="auto"/>
          <w:color w:val="auto"/>
        </w:rPr>
        <w:t>Merger or Change in Control</w:t>
      </w:r>
      <w:r>
        <w:rPr>
          <w:rFonts w:ascii="Arial" w:cs="Arial" w:eastAsia="Arial" w:hAnsi="Arial"/>
          <w:sz w:val="17"/>
          <w:szCs w:val="17"/>
          <w:color w:val="auto"/>
        </w:rPr>
        <w:t>.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limitation, that (a) Awards will be assumed, or substantially equivalent awards will be substituted, by the acquiring or succeeding corporation (or an affiliate thereof) with appropriate adjustments as to the number and kind of shares and prices; (b) upon written notice to a Participant, that the Participant’s Awards will terminate upon or immediately prior to the consummation of such merger or Change in Control; (c)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(d) (i) 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(ii) the replacement of such Award with other rights or property selected by the Administrator in its sole discretion; or (e) any combination of the foregoing. In taking any of the actions permitted under this Section 14.3, the Administrator will not be obligated to treat all Awards, all Awards held by a Participant, all Awards of the same type, or all portions of Awards, similarly.</w:t>
      </w:r>
    </w:p>
    <w:p>
      <w:pPr>
        <w:spacing w:after="0" w:line="182" w:lineRule="exact"/>
        <w:rPr>
          <w:sz w:val="20"/>
          <w:szCs w:val="20"/>
          <w:color w:val="auto"/>
        </w:rPr>
      </w:pPr>
    </w:p>
    <w:p>
      <w:pPr>
        <w:ind w:right="180" w:firstLine="991"/>
        <w:spacing w:after="0" w:line="259" w:lineRule="auto"/>
        <w:rPr>
          <w:sz w:val="20"/>
          <w:szCs w:val="20"/>
          <w:color w:val="auto"/>
        </w:rPr>
      </w:pPr>
      <w:r>
        <w:rPr>
          <w:rFonts w:ascii="Arial" w:cs="Arial" w:eastAsia="Arial" w:hAnsi="Arial"/>
          <w:sz w:val="18"/>
          <w:szCs w:val="18"/>
          <w:color w:val="auto"/>
        </w:rPr>
        <w:t>In the event that the successor corporation does not assume or substitute for the Award (or portion thereof), the Participant will fully vest in and have the right to exercise his or her outstanding Options and Stock Appreciation Rights (or portions thereof) not assumed or substituted for, including Shares as to which such Awards would not otherwise be vested or exercisable, all restrictions on Restricted Stock, Restricted Stock Units, Performance Shares and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404" w:name="page405"/>
    <w:bookmarkEnd w:id="404"/>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Performance Units (or portions thereof) not assumed or substituted for will lapse, and, with respect to Awards with performance-based vesting (or portions thereof) not assumed or substituted for, all performance goals or other vesting criteria will be deemed achieved at one hundred percent (100%) of target levels and all other terms and conditions met, in each case, unless specifically provided otherwise under the applicable Award Agreement or other written agreement between the Participant and the Company or any of its Subsidiaries or Parents, as applicable. In addition, unless specifically provided otherwise under the applicable Award Agreement or other written agreement between the Participant and the Company or any of its Subsidiaries or Parents, as applicable, if an Option or Stock Appreciation Right (or portion thereof) is not assumed or substituted in the event of a merger or Change in Control, the Administrator will notify the Participant in writing or electronically that the Option or Stock Appreciation Right (or its applicable portion) will be exercisable for a period of time determined by the Administrator in its sole discretion, and the Option or Stock Appreciation Right (or its applicable portion) will terminate upon the expiration of such period.</w:t>
      </w:r>
    </w:p>
    <w:p>
      <w:pPr>
        <w:spacing w:after="0" w:line="181" w:lineRule="exact"/>
        <w:rPr>
          <w:sz w:val="20"/>
          <w:szCs w:val="20"/>
          <w:color w:val="auto"/>
        </w:rPr>
      </w:pPr>
    </w:p>
    <w:p>
      <w:pPr>
        <w:ind w:right="60" w:firstLine="991"/>
        <w:spacing w:after="0" w:line="289" w:lineRule="auto"/>
        <w:rPr>
          <w:sz w:val="20"/>
          <w:szCs w:val="20"/>
          <w:color w:val="auto"/>
        </w:rPr>
      </w:pPr>
      <w:r>
        <w:rPr>
          <w:rFonts w:ascii="Arial" w:cs="Arial" w:eastAsia="Arial" w:hAnsi="Arial"/>
          <w:sz w:val="16"/>
          <w:szCs w:val="16"/>
          <w:color w:val="auto"/>
        </w:rPr>
        <w:t>For the purposes of this Section 14.3 and Section 14.4 below,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merger or Change in Control.</w:t>
      </w:r>
    </w:p>
    <w:p>
      <w:pPr>
        <w:spacing w:after="0" w:line="166" w:lineRule="exact"/>
        <w:rPr>
          <w:sz w:val="20"/>
          <w:szCs w:val="20"/>
          <w:color w:val="auto"/>
        </w:rPr>
      </w:pPr>
    </w:p>
    <w:p>
      <w:pPr>
        <w:ind w:right="20" w:firstLine="991"/>
        <w:spacing w:after="0" w:line="296" w:lineRule="auto"/>
        <w:rPr>
          <w:sz w:val="20"/>
          <w:szCs w:val="20"/>
          <w:color w:val="auto"/>
        </w:rPr>
      </w:pPr>
      <w:r>
        <w:rPr>
          <w:rFonts w:ascii="Arial" w:cs="Arial" w:eastAsia="Arial" w:hAnsi="Arial"/>
          <w:sz w:val="16"/>
          <w:szCs w:val="16"/>
          <w:color w:val="auto"/>
        </w:rPr>
        <w:t>Notwithstanding anything in this Section 14.3 to the contrary, an Award that vests, is earned or paid-out upon the satisfaction of one or more performance goals will not be considered assumed if the Company or its successor modifies any of such performance goals without the Participant’s consent, in all cases, unless specifically provided otherwise under the applicable Award Agreement or other written agreement between the Participant and the Company or any of its Subsidiaries or Parents, as applicable; provided, however, a modification to such performance goals only to reflect the successor corporation’s post-Change in Control corporate structure will not be deemed to invalidate an otherwise valid Award assumption.</w:t>
      </w:r>
    </w:p>
    <w:p>
      <w:pPr>
        <w:spacing w:after="0" w:line="161" w:lineRule="exact"/>
        <w:rPr>
          <w:sz w:val="20"/>
          <w:szCs w:val="20"/>
          <w:color w:val="auto"/>
        </w:rPr>
      </w:pPr>
    </w:p>
    <w:p>
      <w:pPr>
        <w:ind w:right="160" w:firstLine="991"/>
        <w:spacing w:after="0" w:line="296" w:lineRule="auto"/>
        <w:rPr>
          <w:sz w:val="20"/>
          <w:szCs w:val="20"/>
          <w:color w:val="auto"/>
        </w:rPr>
      </w:pPr>
      <w:r>
        <w:rPr>
          <w:rFonts w:ascii="Arial" w:cs="Arial" w:eastAsia="Arial" w:hAnsi="Arial"/>
          <w:sz w:val="16"/>
          <w:szCs w:val="16"/>
          <w:color w:val="auto"/>
        </w:rPr>
        <w:t>Notwithstanding anything in this Section 14.3 to the contrary, and unless otherwise provided in an Award Agreement, if an Award that vests, is earned or paid-out under an Award Agreement is subject to Section 409A and if the change in control definition contained in the Award Agreement (or other agreement related to the Award, as applicable) does not comply with the definition of “change in control” for purposes of a distribution under Section 409A, then any payment of an amount that is otherwise accelerated under this Section will be delayed until the earliest time that such payment would be permissible under Section 409A without triggering any penalties applicable under Section 409A.</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440" w:top="274" w:right="499" w:bottom="1440" w:gutter="0" w:footer="0" w:header="0"/>
        </w:sectPr>
      </w:pPr>
    </w:p>
    <w:bookmarkStart w:id="405" w:name="page406"/>
    <w:bookmarkEnd w:id="405"/>
    <w:p>
      <w:pPr>
        <w:ind w:firstLine="99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14.4 </w:t>
      </w:r>
      <w:r>
        <w:rPr>
          <w:rFonts w:ascii="Arial" w:cs="Arial" w:eastAsia="Arial" w:hAnsi="Arial"/>
          <w:sz w:val="17"/>
          <w:szCs w:val="17"/>
          <w:u w:val="single" w:color="auto"/>
          <w:color w:val="auto"/>
        </w:rPr>
        <w:t>Outside Director Awards</w:t>
      </w:r>
      <w:r>
        <w:rPr>
          <w:rFonts w:ascii="Arial" w:cs="Arial" w:eastAsia="Arial" w:hAnsi="Arial"/>
          <w:sz w:val="17"/>
          <w:szCs w:val="17"/>
          <w:color w:val="auto"/>
        </w:rPr>
        <w:t>. With respect to Awards granted to an Outside Director, the Outside Director will fully vest in and have the right to exercise Options and/or Stock Appreciation Rights as to all of the Shares underlying such Award, including those Shares which otherwise would not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unless specifically provided otherwise under the applicable Award Agreement or other written agreement between the Participant and the Company or any of its Parent or Subsidiaries, as applicable.</w:t>
      </w:r>
    </w:p>
    <w:p>
      <w:pPr>
        <w:spacing w:after="0" w:line="178" w:lineRule="exact"/>
        <w:rPr>
          <w:sz w:val="20"/>
          <w:szCs w:val="20"/>
          <w:color w:val="auto"/>
        </w:rPr>
      </w:pPr>
    </w:p>
    <w:p>
      <w:pPr>
        <w:ind w:left="700" w:hanging="264"/>
        <w:spacing w:after="0"/>
        <w:tabs>
          <w:tab w:leader="none" w:pos="700"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75" w:lineRule="auto"/>
        <w:rPr>
          <w:sz w:val="20"/>
          <w:szCs w:val="20"/>
          <w:color w:val="auto"/>
        </w:rPr>
      </w:pPr>
      <w:r>
        <w:rPr>
          <w:rFonts w:ascii="Arial" w:cs="Arial" w:eastAsia="Arial" w:hAnsi="Arial"/>
          <w:sz w:val="17"/>
          <w:szCs w:val="17"/>
          <w:color w:val="auto"/>
        </w:rPr>
        <w:t xml:space="preserve">15.1 </w:t>
      </w:r>
      <w:r>
        <w:rPr>
          <w:rFonts w:ascii="Arial" w:cs="Arial" w:eastAsia="Arial" w:hAnsi="Arial"/>
          <w:sz w:val="17"/>
          <w:szCs w:val="17"/>
          <w:u w:val="single" w:color="auto"/>
          <w:color w:val="auto"/>
        </w:rPr>
        <w:t>Withholding Requirements</w:t>
      </w:r>
      <w:r>
        <w:rPr>
          <w:rFonts w:ascii="Arial" w:cs="Arial" w:eastAsia="Arial" w:hAnsi="Arial"/>
          <w:sz w:val="17"/>
          <w:szCs w:val="17"/>
          <w:color w:val="auto"/>
        </w:rPr>
        <w:t>. Prior to the delivery of any Shares or cash pursuant to an Award (or exercise thereof) or such earlier time as any tax withholdings are due, the Company (or any of its Parent, Subsidiaries, or affiliates employing or retaining the services of a Participant, as applicable) will have the power and the right to deduct or withhold, or require a Participant to remit to the Company (or any of its Parent, Subsidiaries, or affiliates, as applicable) or a relevant tax authority, an amount sufficient to satisfy U.S. federal, state, local, non-U.S., and other taxes (including the Participant’s FICA obligation) required to be withheld or paid with respect to such Award (or exercise thereof).</w:t>
      </w:r>
    </w:p>
    <w:p>
      <w:pPr>
        <w:spacing w:after="0" w:line="176"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 xml:space="preserve">15.2 </w:t>
      </w:r>
      <w:r>
        <w:rPr>
          <w:rFonts w:ascii="Arial" w:cs="Arial" w:eastAsia="Arial" w:hAnsi="Arial"/>
          <w:sz w:val="17"/>
          <w:szCs w:val="17"/>
          <w:u w:val="single" w:color="auto"/>
          <w:color w:val="auto"/>
        </w:rPr>
        <w:t>Withholding Arrangements</w:t>
      </w:r>
      <w:r>
        <w:rPr>
          <w:rFonts w:ascii="Arial" w:cs="Arial" w:eastAsia="Arial" w:hAnsi="Arial"/>
          <w:sz w:val="17"/>
          <w:szCs w:val="17"/>
          <w:color w:val="auto"/>
        </w:rPr>
        <w:t>. The Administrator, in its sole discretion and pursuant to such procedures as it may specify from time to time, may permit a Participant to satisfy such tax liability or withholding obligation, in whole or in part by such methods as the Administrator shall determine, including, without limitation, (a) paying cash, (b) electing to have the Company withhold otherwise deliverable cash or Shares having a fair market value equal to the minimum statutory amount required to be withheld or such greater amount as the Administrator may determine if such amount would not have adverse accounting consequences, as the Administrator determines in its sole discretion, (c) delivering to the Company already-owned Shares having a fair market value equal to the statutory amount required to be withheld or such greater amount as the Administrator may determine, in each case, provided the delivery of such Shares will not result in any adverse accounting consequences, as the Administrator determines in its sole discretion, (d) selling a sufficient number of Shares otherwise deliverable to the Participant through such means as the Administrator may determine in its sole discretion (whether through a broker or otherwise) equal to the amount required to be withheld or paid, (e) such other consideration and method of payment for the meeting of tax liabilities or withholding obligations as the Administrator may determine to the extent permitted by Applicable Laws, or (f) any combination of the foregoing methods of payment. The amount of the withholding requirement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taxes are required to be withheld.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4" w:right="479" w:bottom="1440" w:gutter="0" w:footer="0" w:header="0"/>
        </w:sectPr>
      </w:pPr>
    </w:p>
    <w:bookmarkStart w:id="406" w:name="page407"/>
    <w:bookmarkEnd w:id="406"/>
    <w:p>
      <w:pPr>
        <w:ind w:firstLine="436"/>
        <w:spacing w:after="0" w:line="259" w:lineRule="auto"/>
        <w:tabs>
          <w:tab w:leader="none" w:pos="710"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Effect on Employment or Service</w:t>
      </w:r>
      <w:r>
        <w:rPr>
          <w:rFonts w:ascii="Arial" w:cs="Arial" w:eastAsia="Arial" w:hAnsi="Arial"/>
          <w:sz w:val="18"/>
          <w:szCs w:val="18"/>
          <w:color w:val="auto"/>
        </w:rPr>
        <w:t>. Neither the Plan nor any Award will confer upon a Participant any right with respect to continuing the Participant’s relationship as a Service Provider with the Company or its Subsidiaries or Parents, as applicable, nor will they interfere in any way with the Participant’s right or the right of the Company and its Subsidiaries or Parents, as applicable, to terminate such relationship at any time, with or without cause, to the extent permitted by Applicable Laws.</w:t>
      </w:r>
    </w:p>
    <w:p>
      <w:pPr>
        <w:spacing w:after="0" w:line="186" w:lineRule="exact"/>
        <w:rPr>
          <w:rFonts w:ascii="Arial" w:cs="Arial" w:eastAsia="Arial" w:hAnsi="Arial"/>
          <w:sz w:val="18"/>
          <w:szCs w:val="18"/>
          <w:color w:val="auto"/>
        </w:rPr>
      </w:pPr>
    </w:p>
    <w:p>
      <w:pPr>
        <w:ind w:right="140" w:firstLine="436"/>
        <w:spacing w:after="0" w:line="263" w:lineRule="auto"/>
        <w:tabs>
          <w:tab w:leader="none" w:pos="710"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t>Date of Grant</w:t>
      </w:r>
      <w:r>
        <w:rPr>
          <w:rFonts w:ascii="Arial" w:cs="Arial" w:eastAsia="Arial" w:hAnsi="Arial"/>
          <w:sz w:val="18"/>
          <w:szCs w:val="18"/>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83" w:lineRule="exact"/>
        <w:rPr>
          <w:rFonts w:ascii="Arial" w:cs="Arial" w:eastAsia="Arial" w:hAnsi="Arial"/>
          <w:sz w:val="18"/>
          <w:szCs w:val="18"/>
          <w:color w:val="auto"/>
        </w:rPr>
      </w:pPr>
    </w:p>
    <w:p>
      <w:pPr>
        <w:ind w:right="80" w:firstLine="436"/>
        <w:spacing w:after="0" w:line="301" w:lineRule="auto"/>
        <w:tabs>
          <w:tab w:leader="none" w:pos="710" w:val="left"/>
        </w:tabs>
        <w:numPr>
          <w:ilvl w:val="0"/>
          <w:numId w:val="278"/>
        </w:numPr>
        <w:rPr>
          <w:rFonts w:ascii="Arial" w:cs="Arial" w:eastAsia="Arial" w:hAnsi="Arial"/>
          <w:sz w:val="16"/>
          <w:szCs w:val="16"/>
          <w:color w:val="auto"/>
        </w:rPr>
      </w:pPr>
      <w:r>
        <w:rPr>
          <w:rFonts w:ascii="Arial" w:cs="Arial" w:eastAsia="Arial" w:hAnsi="Arial"/>
          <w:sz w:val="16"/>
          <w:szCs w:val="16"/>
          <w:u w:val="single" w:color="auto"/>
          <w:color w:val="auto"/>
        </w:rPr>
        <w:t>Term of Plan</w:t>
      </w:r>
      <w:r>
        <w:rPr>
          <w:rFonts w:ascii="Arial" w:cs="Arial" w:eastAsia="Arial" w:hAnsi="Arial"/>
          <w:sz w:val="16"/>
          <w:szCs w:val="16"/>
          <w:color w:val="auto"/>
        </w:rPr>
        <w:t>. Subject to Section 22 of the Plan, the Plan will become effective as of one business day prior to the Registration Date. The Plan will continue in effect until terminated under Section 19, but (a) no Options that qualify as incentive stock options within the meaning of Code Section 422 may be granted after ten (10) years from the earlier of the Board or stockholder approval of the Plan and (b) Section 3.2 relating to automatic share reserve increases will operate only until the ten (10) year anniversary of the earlier of the Board or stockholder approval of the Plan.</w:t>
      </w:r>
    </w:p>
    <w:p>
      <w:pPr>
        <w:spacing w:after="0" w:line="157" w:lineRule="exact"/>
        <w:rPr>
          <w:rFonts w:ascii="Arial" w:cs="Arial" w:eastAsia="Arial" w:hAnsi="Arial"/>
          <w:sz w:val="16"/>
          <w:szCs w:val="16"/>
          <w:color w:val="auto"/>
        </w:rPr>
      </w:pPr>
    </w:p>
    <w:p>
      <w:pPr>
        <w:ind w:left="700" w:hanging="264"/>
        <w:spacing w:after="0"/>
        <w:tabs>
          <w:tab w:leader="none" w:pos="700"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the Plan</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19.1 </w:t>
      </w: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 The Administrator may at any time amend, alter, suspend or terminate the Plan.</w:t>
      </w:r>
    </w:p>
    <w:p>
      <w:pPr>
        <w:spacing w:after="0" w:line="225"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 xml:space="preserve">19.2 </w:t>
      </w:r>
      <w:r>
        <w:rPr>
          <w:rFonts w:ascii="Arial" w:cs="Arial" w:eastAsia="Arial" w:hAnsi="Arial"/>
          <w:sz w:val="18"/>
          <w:szCs w:val="18"/>
          <w:u w:val="single" w:color="auto"/>
          <w:color w:val="auto"/>
        </w:rPr>
        <w:t>Stockholder Approval</w:t>
      </w:r>
      <w:r>
        <w:rPr>
          <w:rFonts w:ascii="Arial" w:cs="Arial" w:eastAsia="Arial" w:hAnsi="Arial"/>
          <w:sz w:val="18"/>
          <w:szCs w:val="18"/>
          <w:color w:val="auto"/>
        </w:rPr>
        <w:t>. The Company will obtain stockholder approval of any Plan amendment to the extent necessary and desirable to comply with Applicable Laws.</w:t>
      </w:r>
    </w:p>
    <w:p>
      <w:pPr>
        <w:spacing w:after="0" w:line="170" w:lineRule="exact"/>
        <w:rPr>
          <w:sz w:val="20"/>
          <w:szCs w:val="20"/>
          <w:color w:val="auto"/>
        </w:rPr>
      </w:pPr>
    </w:p>
    <w:p>
      <w:pPr>
        <w:ind w:right="340" w:firstLine="991"/>
        <w:spacing w:after="0" w:line="279" w:lineRule="auto"/>
        <w:rPr>
          <w:sz w:val="20"/>
          <w:szCs w:val="20"/>
          <w:color w:val="auto"/>
        </w:rPr>
      </w:pPr>
      <w:r>
        <w:rPr>
          <w:rFonts w:ascii="Arial" w:cs="Arial" w:eastAsia="Arial" w:hAnsi="Arial"/>
          <w:sz w:val="17"/>
          <w:szCs w:val="17"/>
          <w:color w:val="auto"/>
        </w:rPr>
        <w:t xml:space="preserve">19.3 </w:t>
      </w:r>
      <w:r>
        <w:rPr>
          <w:rFonts w:ascii="Arial" w:cs="Arial" w:eastAsia="Arial" w:hAnsi="Arial"/>
          <w:sz w:val="17"/>
          <w:szCs w:val="17"/>
          <w:u w:val="single" w:color="auto"/>
          <w:color w:val="auto"/>
        </w:rPr>
        <w:t>Effect of Amendment or Termination</w:t>
      </w:r>
      <w:r>
        <w:rPr>
          <w:rFonts w:ascii="Arial" w:cs="Arial" w:eastAsia="Arial" w:hAnsi="Arial"/>
          <w:sz w:val="17"/>
          <w:szCs w:val="17"/>
          <w:color w:val="auto"/>
        </w:rPr>
        <w:t>. No amendment, alteration, suspension or termination of the Plan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71" w:lineRule="exact"/>
        <w:rPr>
          <w:sz w:val="20"/>
          <w:szCs w:val="20"/>
          <w:color w:val="auto"/>
        </w:rPr>
      </w:pPr>
    </w:p>
    <w:p>
      <w:pPr>
        <w:ind w:left="700" w:hanging="264"/>
        <w:spacing w:after="0"/>
        <w:tabs>
          <w:tab w:leader="none" w:pos="700"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t>Conditions Upon Issuance of Shares</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u w:val="single" w:color="auto"/>
          <w:color w:val="auto"/>
        </w:rPr>
        <w:t>Legal Compliance</w:t>
      </w:r>
      <w:r>
        <w:rPr>
          <w:rFonts w:ascii="Arial" w:cs="Arial" w:eastAsia="Arial" w:hAnsi="Arial"/>
          <w:sz w:val="18"/>
          <w:szCs w:val="18"/>
          <w:color w:val="auto"/>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184" w:lineRule="exact"/>
        <w:rPr>
          <w:sz w:val="20"/>
          <w:szCs w:val="20"/>
          <w:color w:val="auto"/>
        </w:rPr>
      </w:pPr>
    </w:p>
    <w:p>
      <w:pPr>
        <w:ind w:right="60" w:firstLine="991"/>
        <w:spacing w:after="0" w:line="286" w:lineRule="auto"/>
        <w:rPr>
          <w:sz w:val="20"/>
          <w:szCs w:val="20"/>
          <w:color w:val="auto"/>
        </w:rPr>
      </w:pPr>
      <w:r>
        <w:rPr>
          <w:rFonts w:ascii="Arial" w:cs="Arial" w:eastAsia="Arial" w:hAnsi="Arial"/>
          <w:sz w:val="17"/>
          <w:szCs w:val="17"/>
          <w:color w:val="auto"/>
        </w:rPr>
        <w:t xml:space="preserve">20.2 </w:t>
      </w:r>
      <w:r>
        <w:rPr>
          <w:rFonts w:ascii="Arial" w:cs="Arial" w:eastAsia="Arial" w:hAnsi="Arial"/>
          <w:sz w:val="17"/>
          <w:szCs w:val="17"/>
          <w:u w:val="single" w:color="auto"/>
          <w:color w:val="auto"/>
        </w:rPr>
        <w:t>Investment Representations</w:t>
      </w:r>
      <w:r>
        <w:rPr>
          <w:rFonts w:ascii="Arial" w:cs="Arial" w:eastAsia="Arial" w:hAnsi="Arial"/>
          <w:sz w:val="17"/>
          <w:szCs w:val="17"/>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4" w:right="479" w:bottom="1440" w:gutter="0" w:footer="0" w:header="0"/>
        </w:sectPr>
      </w:pPr>
    </w:p>
    <w:bookmarkStart w:id="407" w:name="page408"/>
    <w:bookmarkEnd w:id="407"/>
    <w:p>
      <w:pPr>
        <w:ind w:right="20" w:firstLine="436"/>
        <w:spacing w:after="0" w:line="273" w:lineRule="auto"/>
        <w:tabs>
          <w:tab w:leader="none" w:pos="710" w:val="left"/>
        </w:tabs>
        <w:numPr>
          <w:ilvl w:val="0"/>
          <w:numId w:val="28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Inability to Obtain Authority</w:t>
      </w:r>
      <w:r>
        <w:rPr>
          <w:rFonts w:ascii="Arial" w:cs="Arial" w:eastAsia="Arial" w:hAnsi="Arial"/>
          <w:sz w:val="17"/>
          <w:szCs w:val="17"/>
          <w:color w:val="auto"/>
        </w:rPr>
        <w:t>. The inability of the Company to obtain authority from any regulatory body having jurisdiction or to complete or comply with the requirements of any registration or other qualification of the Shares under any U.S. state or federal law or non-U.S. law or under the rules and regulations of the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will relieve the Company of any liability in respect of the failure to issue or sell such Shares as to which such requisite authority, registration, qualification or rule compliance will not have been obtained.</w:t>
      </w:r>
    </w:p>
    <w:p>
      <w:pPr>
        <w:spacing w:after="0" w:line="177" w:lineRule="exact"/>
        <w:rPr>
          <w:rFonts w:ascii="Arial" w:cs="Arial" w:eastAsia="Arial" w:hAnsi="Arial"/>
          <w:sz w:val="17"/>
          <w:szCs w:val="17"/>
          <w:color w:val="auto"/>
        </w:rPr>
      </w:pPr>
    </w:p>
    <w:p>
      <w:pPr>
        <w:ind w:right="160" w:firstLine="436"/>
        <w:spacing w:after="0" w:line="342" w:lineRule="auto"/>
        <w:tabs>
          <w:tab w:leader="none" w:pos="710" w:val="left"/>
        </w:tabs>
        <w:numPr>
          <w:ilvl w:val="0"/>
          <w:numId w:val="280"/>
        </w:numPr>
        <w:rPr>
          <w:rFonts w:ascii="Arial" w:cs="Arial" w:eastAsia="Arial" w:hAnsi="Arial"/>
          <w:sz w:val="16"/>
          <w:szCs w:val="16"/>
          <w:color w:val="auto"/>
        </w:rPr>
      </w:pPr>
      <w:r>
        <w:rPr>
          <w:rFonts w:ascii="Arial" w:cs="Arial" w:eastAsia="Arial" w:hAnsi="Arial"/>
          <w:sz w:val="16"/>
          <w:szCs w:val="16"/>
          <w:u w:val="single" w:color="auto"/>
          <w:color w:val="auto"/>
        </w:rPr>
        <w:t>Stockholder Approval</w:t>
      </w:r>
      <w:r>
        <w:rPr>
          <w:rFonts w:ascii="Arial" w:cs="Arial" w:eastAsia="Arial" w:hAnsi="Arial"/>
          <w:sz w:val="16"/>
          <w:szCs w:val="16"/>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123" w:lineRule="exact"/>
        <w:rPr>
          <w:rFonts w:ascii="Arial" w:cs="Arial" w:eastAsia="Arial" w:hAnsi="Arial"/>
          <w:sz w:val="16"/>
          <w:szCs w:val="16"/>
          <w:color w:val="auto"/>
        </w:rPr>
      </w:pPr>
    </w:p>
    <w:p>
      <w:pPr>
        <w:ind w:firstLine="436"/>
        <w:spacing w:after="0" w:line="269" w:lineRule="auto"/>
        <w:tabs>
          <w:tab w:leader="none" w:pos="710" w:val="left"/>
        </w:tabs>
        <w:numPr>
          <w:ilvl w:val="0"/>
          <w:numId w:val="280"/>
        </w:numPr>
        <w:rPr>
          <w:rFonts w:ascii="Arial" w:cs="Arial" w:eastAsia="Arial" w:hAnsi="Arial"/>
          <w:sz w:val="17"/>
          <w:szCs w:val="17"/>
          <w:color w:val="auto"/>
        </w:rPr>
      </w:pPr>
      <w:r>
        <w:rPr>
          <w:rFonts w:ascii="Arial" w:cs="Arial" w:eastAsia="Arial" w:hAnsi="Arial"/>
          <w:sz w:val="17"/>
          <w:szCs w:val="17"/>
          <w:u w:val="single" w:color="auto"/>
          <w:color w:val="auto"/>
        </w:rPr>
        <w:t>Forfeiture Events</w:t>
      </w:r>
      <w:r>
        <w:rPr>
          <w:rFonts w:ascii="Arial" w:cs="Arial" w:eastAsia="Arial" w:hAnsi="Arial"/>
          <w:sz w:val="17"/>
          <w:szCs w:val="17"/>
          <w:color w:val="auto"/>
        </w:rPr>
        <w:t>. The Administrator may specify in an Award Agreement that the Participant’s rights, payments, and benefits with respect to an Award will be subject to the reduction, cancellation, forfeiture, recoupment, reimbursement, or reacquisition upon the occurrence of certain specified events, in addition to any otherwise applicable vesting or performance conditions of an Award. Notwithstanding any provisions to the contrary under this Plan, an Award shall be subject to the Company’s clawback policy as may be established and/or amended from time to time to comply with Applicable Laws (including without limitation pursuant to the listing standards of any national securities exchange or association on which the Company’s securities are listed or as may be required by the Dodd-Frank Wall Street Reform and Consumer Protection Act) (the “</w:t>
      </w:r>
      <w:r>
        <w:rPr>
          <w:rFonts w:ascii="Arial" w:cs="Arial" w:eastAsia="Arial" w:hAnsi="Arial"/>
          <w:sz w:val="17"/>
          <w:szCs w:val="17"/>
          <w:u w:val="single" w:color="auto"/>
          <w:color w:val="auto"/>
        </w:rPr>
        <w:t>Clawback Policy</w:t>
      </w:r>
      <w:r>
        <w:rPr>
          <w:rFonts w:ascii="Arial" w:cs="Arial" w:eastAsia="Arial" w:hAnsi="Arial"/>
          <w:sz w:val="17"/>
          <w:szCs w:val="17"/>
          <w:color w:val="auto"/>
        </w:rPr>
        <w:t>”). The Administrator may require a Participant to forfeit, return or reimburse the Company all or a portion of the Award and any amounts paid thereunder pursuant to the terms of the Clawback Policy or as necessary or appropriate to comply with Applicable Laws. Unless this Section 23 specifically is mentioned and waived in an Award Agreement or other document, no recovery of compensation under a Clawback Policy or otherwise will constitute an event that triggers or contributes to any right of a Participant to resign for “good reason” or “constructive termination” (or similar term) under any agreement with the Company or any Parent or Subsidiary of the Company.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408" w:name="page409"/>
    <w:bookmarkEnd w:id="40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TENAYA THERAPEUTICS,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2021 EQUITY INCENTIVE PLAN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 OPTION AGREEMENT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NOTICE OF STOCK OPTION GRANT</w:t>
      </w:r>
    </w:p>
    <w:p>
      <w:pPr>
        <w:spacing w:after="0" w:line="229" w:lineRule="exact"/>
        <w:rPr>
          <w:sz w:val="20"/>
          <w:szCs w:val="20"/>
          <w:color w:val="auto"/>
        </w:rPr>
      </w:pPr>
    </w:p>
    <w:p>
      <w:pPr>
        <w:jc w:val="both"/>
        <w:ind w:right="60" w:firstLine="440"/>
        <w:spacing w:after="0" w:line="259" w:lineRule="auto"/>
        <w:rPr>
          <w:sz w:val="20"/>
          <w:szCs w:val="20"/>
          <w:color w:val="auto"/>
        </w:rPr>
      </w:pPr>
      <w:r>
        <w:rPr>
          <w:rFonts w:ascii="Arial" w:cs="Arial" w:eastAsia="Arial" w:hAnsi="Arial"/>
          <w:sz w:val="18"/>
          <w:szCs w:val="18"/>
          <w:color w:val="auto"/>
        </w:rPr>
        <w:t>Unless otherwise defined herein, the terms defined in the Tenaya Therapeutics, Inc. 2021 Equity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shall have the same defined meanings in this Stock Option Agreement, which includes the Notice of Stock Option Grant (the “</w:t>
      </w:r>
      <w:r>
        <w:rPr>
          <w:rFonts w:ascii="Arial" w:cs="Arial" w:eastAsia="Arial" w:hAnsi="Arial"/>
          <w:sz w:val="18"/>
          <w:szCs w:val="18"/>
          <w:u w:val="single" w:color="auto"/>
          <w:color w:val="auto"/>
        </w:rPr>
        <w:t>Notice of Grant</w:t>
      </w:r>
      <w:r>
        <w:rPr>
          <w:rFonts w:ascii="Arial" w:cs="Arial" w:eastAsia="Arial" w:hAnsi="Arial"/>
          <w:sz w:val="18"/>
          <w:szCs w:val="18"/>
          <w:color w:val="auto"/>
        </w:rPr>
        <w:t xml:space="preserve">”), the Terms and Conditions of Stock Option Grant, attached hereto as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the Exercise Notice, attached hereto as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and all other exhibits, appendices, and addenda attached hereto (together, the “</w:t>
      </w:r>
      <w:r>
        <w:rPr>
          <w:rFonts w:ascii="Arial" w:cs="Arial" w:eastAsia="Arial" w:hAnsi="Arial"/>
          <w:sz w:val="18"/>
          <w:szCs w:val="18"/>
          <w:u w:val="single" w:color="auto"/>
          <w:color w:val="auto"/>
        </w:rPr>
        <w:t>Option Agreement</w:t>
      </w:r>
      <w:r>
        <w:rPr>
          <w:rFonts w:ascii="Arial" w:cs="Arial" w:eastAsia="Arial" w:hAnsi="Arial"/>
          <w:sz w:val="18"/>
          <w:szCs w:val="18"/>
          <w:color w:val="auto"/>
        </w:rPr>
        <w:t>”).</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Participant Name: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Address: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undersigned Participant has been granted an Option to purchase Common Stock of the Company, subject to the terms and conditions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 and this Option Agreement, as follows:</w:t>
      </w:r>
    </w:p>
    <w:p>
      <w:pPr>
        <w:sectPr>
          <w:pgSz w:w="11900" w:h="16838" w:orient="portrait"/>
          <w:cols w:equalWidth="0" w:num="1">
            <w:col w:w="10960"/>
          </w:cols>
          <w:pgMar w:left="440" w:top="270" w:right="499" w:bottom="1440" w:gutter="0" w:footer="0" w:header="0"/>
        </w:sectPr>
      </w:pPr>
    </w:p>
    <w:p>
      <w:pPr>
        <w:spacing w:after="0" w:line="23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Grant Number:</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of Grant:</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Vesting Commencement Date:</w:t>
      </w:r>
    </w:p>
    <w:p>
      <w:pPr>
        <w:spacing w:after="0" w:line="1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Exercise Price per Share:</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Total Number of Shares Granted:</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Exercise Price:</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Type of Option:</w:t>
      </w:r>
    </w:p>
    <w:p>
      <w:pPr>
        <w:spacing w:after="0" w:line="200" w:lineRule="exact"/>
        <w:rPr>
          <w:sz w:val="20"/>
          <w:szCs w:val="20"/>
          <w:color w:val="auto"/>
        </w:rPr>
      </w:pPr>
    </w:p>
    <w:p>
      <w:pPr>
        <w:spacing w:after="0" w:line="24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Term/Expiration Date: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-627380</wp:posOffset>
            </wp:positionV>
            <wp:extent cx="1885315"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2">
                      <a:extLst>
                        <a:ext uri="{28A0092B-C50C-407E-A947-70E740481C1C}"/>
                      </a:extLst>
                    </a:blip>
                    <a:srcRect/>
                    <a:stretch>
                      <a:fillRect/>
                    </a:stretch>
                  </pic:blipFill>
                  <pic:spPr bwMode="auto">
                    <a:xfrm>
                      <a:off x="0" y="0"/>
                      <a:ext cx="188531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-421640</wp:posOffset>
            </wp:positionV>
            <wp:extent cx="188531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3">
                      <a:extLst>
                        <a:ext uri="{28A0092B-C50C-407E-A947-70E740481C1C}"/>
                      </a:extLst>
                    </a:blip>
                    <a:srcRect/>
                    <a:stretch>
                      <a:fillRect/>
                    </a:stretch>
                  </pic:blipFill>
                  <pic:spPr bwMode="auto">
                    <a:xfrm>
                      <a:off x="0" y="0"/>
                      <a:ext cx="188531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-215900</wp:posOffset>
            </wp:positionV>
            <wp:extent cx="188531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4">
                      <a:extLst>
                        <a:ext uri="{28A0092B-C50C-407E-A947-70E740481C1C}"/>
                      </a:extLst>
                    </a:blip>
                    <a:srcRect/>
                    <a:stretch>
                      <a:fillRect/>
                    </a:stretch>
                  </pic:blipFill>
                  <pic:spPr bwMode="auto">
                    <a:xfrm>
                      <a:off x="0" y="0"/>
                      <a:ext cx="1885315" cy="8255"/>
                    </a:xfrm>
                    <a:prstGeom prst="rect">
                      <a:avLst/>
                    </a:prstGeom>
                    <a:noFill/>
                  </pic:spPr>
                </pic:pic>
              </a:graphicData>
            </a:graphic>
          </wp:anchor>
        </w:drawing>
        <w:drawing>
          <wp:anchor simplePos="0" relativeHeight="251657728" behindDoc="1" locked="0" layoutInCell="0" allowOverlap="1">
            <wp:simplePos x="0" y="0"/>
            <wp:positionH relativeFrom="column">
              <wp:posOffset>52705</wp:posOffset>
            </wp:positionH>
            <wp:positionV relativeFrom="paragraph">
              <wp:posOffset>-10160</wp:posOffset>
            </wp:positionV>
            <wp:extent cx="179959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5">
                      <a:extLst>
                        <a:ext uri="{28A0092B-C50C-407E-A947-70E740481C1C}"/>
                      </a:extLst>
                    </a:blip>
                    <a:srcRect/>
                    <a:stretch>
                      <a:fillRect/>
                    </a:stretch>
                  </pic:blipFill>
                  <pic:spPr bwMode="auto">
                    <a:xfrm>
                      <a:off x="0" y="0"/>
                      <a:ext cx="179959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194945</wp:posOffset>
            </wp:positionV>
            <wp:extent cx="188531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-10160</wp:posOffset>
            </wp:positionV>
            <wp:extent cx="179959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7">
                      <a:extLst>
                        <a:ext uri="{28A0092B-C50C-407E-A947-70E740481C1C}"/>
                      </a:extLst>
                    </a:blip>
                    <a:srcRect/>
                    <a:stretch>
                      <a:fillRect/>
                    </a:stretch>
                  </pic:blipFill>
                  <pic:spPr bwMode="auto">
                    <a:xfrm>
                      <a:off x="0" y="0"/>
                      <a:ext cx="179959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___ Incentive Stock Option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___ Nonstatutory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209550</wp:posOffset>
            </wp:positionV>
            <wp:extent cx="1885315"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8">
                      <a:extLst>
                        <a:ext uri="{28A0092B-C50C-407E-A947-70E740481C1C}"/>
                      </a:extLst>
                    </a:blip>
                    <a:srcRect/>
                    <a:stretch>
                      <a:fillRect/>
                    </a:stretch>
                  </pic:blipFill>
                  <pic:spPr bwMode="auto">
                    <a:xfrm>
                      <a:off x="0" y="0"/>
                      <a:ext cx="1885315" cy="8890"/>
                    </a:xfrm>
                    <a:prstGeom prst="rect">
                      <a:avLst/>
                    </a:prstGeom>
                    <a:noFill/>
                  </pic:spPr>
                </pic:pic>
              </a:graphicData>
            </a:graphic>
          </wp:anchor>
        </w:drawing>
      </w:r>
    </w:p>
    <w:p>
      <w:pPr>
        <w:spacing w:after="0" w:line="978" w:lineRule="exact"/>
        <w:rPr>
          <w:sz w:val="20"/>
          <w:szCs w:val="20"/>
          <w:color w:val="auto"/>
        </w:rPr>
      </w:pPr>
    </w:p>
    <w:p>
      <w:pPr>
        <w:sectPr>
          <w:pgSz w:w="11900" w:h="16838" w:orient="portrait"/>
          <w:cols w:equalWidth="0" w:num="2">
            <w:col w:w="5380" w:space="720"/>
            <w:col w:w="4860"/>
          </w:cols>
          <w:pgMar w:left="440" w:top="270" w:right="499" w:bottom="1440" w:gutter="0" w:footer="0" w:header="0"/>
          <w:type w:val="continuous"/>
        </w:sectPr>
      </w:pPr>
    </w:p>
    <w:p>
      <w:pPr>
        <w:spacing w:after="0" w:line="25" w:lineRule="exact"/>
        <w:rPr>
          <w:sz w:val="20"/>
          <w:szCs w:val="20"/>
          <w:color w:val="auto"/>
        </w:rPr>
      </w:pPr>
    </w:p>
    <w:p>
      <w:pPr>
        <w:jc w:val="both"/>
        <w:ind w:right="160" w:firstLine="440"/>
        <w:spacing w:after="0" w:line="263" w:lineRule="auto"/>
        <w:rPr>
          <w:sz w:val="20"/>
          <w:szCs w:val="20"/>
          <w:color w:val="auto"/>
        </w:rPr>
      </w:pPr>
      <w:r>
        <w:rPr>
          <w:rFonts w:ascii="Arial" w:cs="Arial" w:eastAsia="Arial" w:hAnsi="Arial"/>
          <w:sz w:val="18"/>
          <w:szCs w:val="18"/>
          <w:color w:val="auto"/>
        </w:rPr>
        <w:t>Subject to any acceleration provisions contained in the Plan, this Option Agreement or any other written agreement between Participant and the Company (or any Parent or Subsidiary of the Company, as applicable) governing the terms of this Option, this Option shall vest and be exercisable, in whole or in part, according to the following vesting schedule:</w:t>
      </w:r>
    </w:p>
    <w:p>
      <w:pPr>
        <w:spacing w:after="0" w:line="184"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Insert vesting schedule, e.g.:</w:t>
      </w:r>
      <w:r>
        <w:rPr>
          <w:rFonts w:ascii="Arial" w:cs="Arial" w:eastAsia="Arial" w:hAnsi="Arial"/>
          <w:sz w:val="16"/>
          <w:szCs w:val="16"/>
          <w:color w:val="auto"/>
        </w:rPr>
        <w:t xml:space="preserve"> Twenty-five percent (25%) of the Total Number of Shares Granted under the Option shall be scheduled to vest on the one (1) year anniversary of the Vesting Commencement Date, and one forty-eighth (1/48</w:t>
      </w:r>
      <w:r>
        <w:rPr>
          <w:rFonts w:ascii="Arial" w:cs="Arial" w:eastAsia="Arial" w:hAnsi="Arial"/>
          <w:sz w:val="13"/>
          <w:szCs w:val="13"/>
          <w:color w:val="auto"/>
        </w:rPr>
        <w:t>th</w:t>
      </w:r>
      <w:r>
        <w:rPr>
          <w:rFonts w:ascii="Arial" w:cs="Arial" w:eastAsia="Arial" w:hAnsi="Arial"/>
          <w:sz w:val="16"/>
          <w:szCs w:val="16"/>
          <w:color w:val="auto"/>
        </w:rPr>
        <w:t>) of the Total Number of Shares Granted under the Option shall be scheduled to vest each month thereafter on the same day of the month as the Vesting Commencement Date (and if there is no corresponding day in a particular month, on the last day of the month), subject to Participant continuing to be a Service Provider through each such date.]</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440" w:top="270" w:right="499" w:bottom="1440" w:gutter="0" w:footer="0" w:header="0"/>
          <w:type w:val="continuous"/>
        </w:sectPr>
      </w:pPr>
    </w:p>
    <w:bookmarkStart w:id="409" w:name="page410"/>
    <w:bookmarkEnd w:id="409"/>
    <w:p>
      <w:pPr>
        <w:ind w:left="44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 Period</w:t>
      </w:r>
      <w:r>
        <w:rPr>
          <w:rFonts w:ascii="Arial" w:cs="Arial" w:eastAsia="Arial" w:hAnsi="Arial"/>
          <w:sz w:val="18"/>
          <w:szCs w:val="18"/>
          <w:color w:val="auto"/>
        </w:rPr>
        <w:t>:</w:t>
      </w:r>
    </w:p>
    <w:p>
      <w:pPr>
        <w:spacing w:after="0" w:line="225"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This Option shall be exercisable, to the extent vested, for three (3) months after Participant ceases to be a Service Provider, unless such termination is due to Participant’s death or Disability, in which case this Option shall be exercisable, to the extent vested, for twelve (12) months after Participant ceases to be a Service Provider. Notwithstanding the foregoing sentence, in no event may this Option be exercised after the Term/Expiration Date as provided above and this Option may be subject to earlier termination as provided in Section 14 of the Plan.</w:t>
      </w:r>
    </w:p>
    <w:p>
      <w:pPr>
        <w:spacing w:after="0" w:line="171"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By Participant’s signature and the signature of the representative of the Company below, Participant and the Company agree that this Option is granted under and governed by the terms and conditions of the Plan and this Option Agreement, including the Terms and Conditions of Stock Option Grant,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Exercise Notice,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and all other exhibits, appendices and addenda attached hereto, all of which are made a part of this document. Participant acknowledges receipt of a copy of the Plan. Participant has reviewed the Plan and this Option Agreement in their entirety, has had an opportunity to obtain the advice of counsel prior to executing this Option Agreement and fully understands all provisions of the Plan and the Option Agreement. Participant hereby agrees to accept as binding, conclusive and final all decisions or interpretations of the Administrator upon any questions relating to the Plan or this Option Agreement. Participant further agrees to notify the Company upon any change in Participant’s residence address indicated below.</w:t>
      </w:r>
    </w:p>
    <w:p>
      <w:pPr>
        <w:spacing w:after="0" w:line="205"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PARTICIPANT</w:t>
      </w:r>
      <w:r>
        <w:rPr>
          <w:sz w:val="20"/>
          <w:szCs w:val="20"/>
          <w:color w:val="auto"/>
        </w:rPr>
        <w:tab/>
      </w:r>
      <w:r>
        <w:rPr>
          <w:rFonts w:ascii="Arial" w:cs="Arial" w:eastAsia="Arial" w:hAnsi="Arial"/>
          <w:sz w:val="18"/>
          <w:szCs w:val="18"/>
          <w:color w:val="auto"/>
        </w:rPr>
        <w:t>TENAYA THERAPEUTICS, INC.</w:t>
      </w:r>
    </w:p>
    <w:p>
      <w:pPr>
        <w:sectPr>
          <w:pgSz w:w="11900" w:h="16838" w:orient="portrait"/>
          <w:cols w:equalWidth="0" w:num="1">
            <w:col w:w="11000"/>
          </w:cols>
          <w:pgMar w:left="440" w:top="274" w:right="45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329184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0">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329184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1">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color w:val="auto"/>
        </w:rPr>
        <w:t>Residence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585470</wp:posOffset>
            </wp:positionV>
            <wp:extent cx="329184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2">
                      <a:extLst>
                        <a:ext uri="{28A0092B-C50C-407E-A947-70E740481C1C}"/>
                      </a:extLst>
                    </a:blip>
                    <a:srcRect/>
                    <a:stretch>
                      <a:fillRect/>
                    </a:stretch>
                  </pic:blipFill>
                  <pic:spPr bwMode="auto">
                    <a:xfrm>
                      <a:off x="0" y="0"/>
                      <a:ext cx="329184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311150</wp:posOffset>
            </wp:positionV>
            <wp:extent cx="329184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3">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jc w:val="center"/>
        <w:ind w:right="4460"/>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-115570</wp:posOffset>
            </wp:positionV>
            <wp:extent cx="335153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4340"/>
        <w:spacing w:after="0"/>
        <w:rPr>
          <w:sz w:val="20"/>
          <w:szCs w:val="20"/>
          <w:color w:val="auto"/>
        </w:rPr>
      </w:pPr>
      <w:r>
        <w:rPr>
          <w:rFonts w:ascii="Arial" w:cs="Arial" w:eastAsia="Arial" w:hAnsi="Arial"/>
          <w:sz w:val="16"/>
          <w:szCs w:val="16"/>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-115570</wp:posOffset>
            </wp:positionV>
            <wp:extent cx="335153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48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-123190</wp:posOffset>
            </wp:positionV>
            <wp:extent cx="335153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609" w:lineRule="exact"/>
        <w:rPr>
          <w:sz w:val="20"/>
          <w:szCs w:val="20"/>
          <w:color w:val="auto"/>
        </w:rPr>
      </w:pPr>
    </w:p>
    <w:p>
      <w:pPr>
        <w:sectPr>
          <w:pgSz w:w="11900" w:h="16838" w:orient="portrait"/>
          <w:cols w:equalWidth="0" w:num="2">
            <w:col w:w="5120" w:space="720"/>
            <w:col w:w="5160"/>
          </w:cols>
          <w:pgMar w:left="440" w:top="274"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000"/>
          </w:cols>
          <w:pgMar w:left="440" w:top="274" w:right="459" w:bottom="1440" w:gutter="0" w:footer="0" w:header="0"/>
          <w:type w:val="continuous"/>
        </w:sectPr>
      </w:pPr>
    </w:p>
    <w:bookmarkStart w:id="410" w:name="page411"/>
    <w:bookmarkEnd w:id="410"/>
    <w:p>
      <w:pPr>
        <w:jc w:val="center"/>
        <w:ind w:right="-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TENAYA THERAPEUTICS, INC.</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2021 EQUITY INCENTIVE PLAN</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STOCK OPTION AGREEMENT</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TERMS AND CONDITIONS OF STOCK OPTION GRANT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u w:val="single" w:color="auto"/>
          <w:color w:val="auto"/>
        </w:rPr>
        <w:t>Grant of Option</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57" w:lineRule="auto"/>
        <w:rPr>
          <w:sz w:val="20"/>
          <w:szCs w:val="20"/>
          <w:color w:val="auto"/>
        </w:rPr>
      </w:pPr>
      <w:r>
        <w:rPr>
          <w:rFonts w:ascii="Arial" w:cs="Arial" w:eastAsia="Arial" w:hAnsi="Arial"/>
          <w:sz w:val="18"/>
          <w:szCs w:val="18"/>
          <w:color w:val="auto"/>
        </w:rPr>
        <w:t>23.1.1 The Company hereby grants to the individual (“</w:t>
      </w:r>
      <w:r>
        <w:rPr>
          <w:rFonts w:ascii="Arial" w:cs="Arial" w:eastAsia="Arial" w:hAnsi="Arial"/>
          <w:sz w:val="18"/>
          <w:szCs w:val="18"/>
          <w:u w:val="single" w:color="auto"/>
          <w:color w:val="auto"/>
        </w:rPr>
        <w:t>Participant</w:t>
      </w:r>
      <w:r>
        <w:rPr>
          <w:rFonts w:ascii="Arial" w:cs="Arial" w:eastAsia="Arial" w:hAnsi="Arial"/>
          <w:sz w:val="18"/>
          <w:szCs w:val="18"/>
          <w:color w:val="auto"/>
        </w:rPr>
        <w:t>”) named in the Notice of Stock Option Grant of this Option Agreement (the “</w:t>
      </w:r>
      <w:r>
        <w:rPr>
          <w:rFonts w:ascii="Arial" w:cs="Arial" w:eastAsia="Arial" w:hAnsi="Arial"/>
          <w:sz w:val="18"/>
          <w:szCs w:val="18"/>
          <w:u w:val="single" w:color="auto"/>
          <w:color w:val="auto"/>
        </w:rPr>
        <w:t>Notice of Grant</w:t>
      </w:r>
      <w:r>
        <w:rPr>
          <w:rFonts w:ascii="Arial" w:cs="Arial" w:eastAsia="Arial" w:hAnsi="Arial"/>
          <w:sz w:val="18"/>
          <w:szCs w:val="18"/>
          <w:color w:val="auto"/>
        </w:rPr>
        <w:t>”), an option (the “</w:t>
      </w:r>
      <w:r>
        <w:rPr>
          <w:rFonts w:ascii="Arial" w:cs="Arial" w:eastAsia="Arial" w:hAnsi="Arial"/>
          <w:sz w:val="18"/>
          <w:szCs w:val="18"/>
          <w:u w:val="single" w:color="auto"/>
          <w:color w:val="auto"/>
        </w:rPr>
        <w:t>Option</w:t>
      </w:r>
      <w:r>
        <w:rPr>
          <w:rFonts w:ascii="Arial" w:cs="Arial" w:eastAsia="Arial" w:hAnsi="Arial"/>
          <w:sz w:val="18"/>
          <w:szCs w:val="18"/>
          <w:color w:val="auto"/>
        </w:rPr>
        <w:t>”) to purchase the number of Shares set forth in the Notice of Grant, at the exercise price per Share set forth in the Notice of Grant (the “</w:t>
      </w:r>
      <w:r>
        <w:rPr>
          <w:rFonts w:ascii="Arial" w:cs="Arial" w:eastAsia="Arial" w:hAnsi="Arial"/>
          <w:sz w:val="18"/>
          <w:szCs w:val="18"/>
          <w:u w:val="single" w:color="auto"/>
          <w:color w:val="auto"/>
        </w:rPr>
        <w:t>Exercise Price</w:t>
      </w:r>
      <w:r>
        <w:rPr>
          <w:rFonts w:ascii="Arial" w:cs="Arial" w:eastAsia="Arial" w:hAnsi="Arial"/>
          <w:sz w:val="18"/>
          <w:szCs w:val="18"/>
          <w:color w:val="auto"/>
        </w:rPr>
        <w:t>”), subject to all of the terms and conditions in this Option Agreement and the Plan, which is incorporated herein by reference. Subject to Section 19 of the Plan, in the event of a conflict between the terms and conditions of the Plan and this Option Agreement, the terms and conditions of the Plan shall prevail.</w:t>
      </w:r>
    </w:p>
    <w:p>
      <w:pPr>
        <w:spacing w:after="0" w:line="188" w:lineRule="exact"/>
        <w:rPr>
          <w:sz w:val="20"/>
          <w:szCs w:val="20"/>
          <w:color w:val="auto"/>
        </w:rPr>
      </w:pPr>
    </w:p>
    <w:p>
      <w:pPr>
        <w:ind w:right="60" w:firstLine="991"/>
        <w:spacing w:after="0" w:line="273" w:lineRule="auto"/>
        <w:rPr>
          <w:sz w:val="20"/>
          <w:szCs w:val="20"/>
          <w:color w:val="auto"/>
        </w:rPr>
      </w:pPr>
      <w:r>
        <w:rPr>
          <w:rFonts w:ascii="Arial" w:cs="Arial" w:eastAsia="Arial" w:hAnsi="Arial"/>
          <w:sz w:val="17"/>
          <w:szCs w:val="17"/>
          <w:color w:val="auto"/>
        </w:rPr>
        <w:t>23.1.2 For U.S. taxpayers, if designated in the Notice of Grant as an Incentive Stock Option (“</w:t>
      </w:r>
      <w:r>
        <w:rPr>
          <w:rFonts w:ascii="Arial" w:cs="Arial" w:eastAsia="Arial" w:hAnsi="Arial"/>
          <w:sz w:val="17"/>
          <w:szCs w:val="17"/>
          <w:u w:val="single" w:color="auto"/>
          <w:color w:val="auto"/>
        </w:rPr>
        <w:t>ISO</w:t>
      </w:r>
      <w:r>
        <w:rPr>
          <w:rFonts w:ascii="Arial" w:cs="Arial" w:eastAsia="Arial" w:hAnsi="Arial"/>
          <w:sz w:val="17"/>
          <w:szCs w:val="17"/>
          <w:color w:val="auto"/>
        </w:rPr>
        <w:t>”), this Option is intended to qualify as an Incentive Stock Option as defined in Section 422 of the Code. Nevertheless, to the extent that it exceeds the $100,000 rule of Code Section 422(d), this Option shall be treated as a Nonstatutory Stock Option (“</w:t>
      </w:r>
      <w:r>
        <w:rPr>
          <w:rFonts w:ascii="Arial" w:cs="Arial" w:eastAsia="Arial" w:hAnsi="Arial"/>
          <w:sz w:val="17"/>
          <w:szCs w:val="17"/>
          <w:u w:val="single" w:color="auto"/>
          <w:color w:val="auto"/>
        </w:rPr>
        <w:t>NSO</w:t>
      </w:r>
      <w:r>
        <w:rPr>
          <w:rFonts w:ascii="Arial" w:cs="Arial" w:eastAsia="Arial" w:hAnsi="Arial"/>
          <w:sz w:val="17"/>
          <w:szCs w:val="17"/>
          <w:color w:val="auto"/>
        </w:rPr>
        <w:t>”). Further, if for any reason this Option (or portion thereof) shall not qualify as an ISO, then, to the extent of such nonqualification, such Option (or portion thereof) shall be regarded as a NSO granted under the Plan. In no event shall the Administrator, the Company or any Parent or Subsidiary or any of their respective employees or directors have any liability to Participant (or any other person) due to the failure of the Option to qualify for any reason as an ISO.</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23.1.3 For non-U.S. taxpayers, the Option will be designated as an NSO.</w:t>
      </w:r>
    </w:p>
    <w:p>
      <w:pPr>
        <w:spacing w:after="0" w:line="117" w:lineRule="exact"/>
        <w:rPr>
          <w:sz w:val="20"/>
          <w:szCs w:val="20"/>
          <w:color w:val="auto"/>
        </w:rPr>
      </w:pPr>
    </w:p>
    <w:p>
      <w:pPr>
        <w:ind w:right="180" w:firstLine="440"/>
        <w:spacing w:after="0" w:line="275" w:lineRule="auto"/>
        <w:rPr>
          <w:sz w:val="20"/>
          <w:szCs w:val="20"/>
          <w:color w:val="auto"/>
        </w:rPr>
      </w:pPr>
      <w:r>
        <w:rPr>
          <w:rFonts w:ascii="Arial" w:cs="Arial" w:eastAsia="Arial" w:hAnsi="Arial"/>
          <w:sz w:val="17"/>
          <w:szCs w:val="17"/>
          <w:color w:val="auto"/>
        </w:rPr>
        <w:t xml:space="preserve">23.2 </w:t>
      </w:r>
      <w:r>
        <w:rPr>
          <w:rFonts w:ascii="Arial" w:cs="Arial" w:eastAsia="Arial" w:hAnsi="Arial"/>
          <w:sz w:val="17"/>
          <w:szCs w:val="17"/>
          <w:u w:val="single" w:color="auto"/>
          <w:color w:val="auto"/>
        </w:rPr>
        <w:t>Vesting Schedule</w:t>
      </w:r>
      <w:r>
        <w:rPr>
          <w:rFonts w:ascii="Arial" w:cs="Arial" w:eastAsia="Arial" w:hAnsi="Arial"/>
          <w:sz w:val="17"/>
          <w:szCs w:val="17"/>
          <w:color w:val="auto"/>
        </w:rPr>
        <w:t>. Except as provided in Section 3, the Option awarded by this Option Agreement will vest in accordance with the vesting provisions set forth in the Notice of Grant. Unless specifically provided otherwise in this Option Agreement or other written agreement between Participant and the Company or any Parent or Subsidiary of the Company, as applicable, Shares subject to this Option that are scheduled to vest on a certain date or upon the occurrence of a certain condition will not vest in accordance with any of the provisions of this Option Agreement, unless Participant will have been continuously a Service Provider from the Date of Grant until the date such vesting occurs.</w:t>
      </w:r>
    </w:p>
    <w:p>
      <w:pPr>
        <w:spacing w:after="0" w:line="176"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u w:val="single" w:color="auto"/>
          <w:color w:val="auto"/>
        </w:rPr>
        <w:t>Administrator Discretion</w:t>
      </w:r>
      <w:r>
        <w:rPr>
          <w:rFonts w:ascii="Arial" w:cs="Arial" w:eastAsia="Arial" w:hAnsi="Arial"/>
          <w:sz w:val="18"/>
          <w:szCs w:val="18"/>
          <w:color w:val="auto"/>
        </w:rPr>
        <w:t>. The Administrator, in its discretion, may accelerate the vesting of the balance, or some lesser portion of the balance, of the unvested Option at any time, subject to the terms of the Plan. If so accelerated, such Option will be considered as having vested as of the date specified by the Administrator.</w:t>
      </w:r>
    </w:p>
    <w:p>
      <w:pPr>
        <w:sectPr>
          <w:pgSz w:w="11900" w:h="16838" w:orient="portrait"/>
          <w:cols w:equalWidth="0" w:num="1">
            <w:col w:w="10920"/>
          </w:cols>
          <w:pgMar w:left="440" w:top="270" w:right="539" w:bottom="1440" w:gutter="0" w:footer="0" w:header="0"/>
        </w:sectPr>
      </w:pPr>
    </w:p>
    <w:bookmarkStart w:id="411" w:name="page412"/>
    <w:bookmarkEnd w:id="41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23.4 </w:t>
      </w: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225"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 xml:space="preserve">23.4.1 </w:t>
      </w:r>
      <w:r>
        <w:rPr>
          <w:rFonts w:ascii="Arial" w:cs="Arial" w:eastAsia="Arial" w:hAnsi="Arial"/>
          <w:sz w:val="18"/>
          <w:szCs w:val="18"/>
          <w:u w:val="single" w:color="auto"/>
          <w:color w:val="auto"/>
        </w:rPr>
        <w:t>Right to Exercise</w:t>
      </w:r>
      <w:r>
        <w:rPr>
          <w:rFonts w:ascii="Arial" w:cs="Arial" w:eastAsia="Arial" w:hAnsi="Arial"/>
          <w:sz w:val="18"/>
          <w:szCs w:val="18"/>
          <w:color w:val="auto"/>
        </w:rPr>
        <w:t>. This Option shall be exercisable during its term in accordance with the Vesting Schedule set out in the Notice of Grant and with the applicable provisions of the Plan and this Option Agreement.</w:t>
      </w:r>
    </w:p>
    <w:p>
      <w:pPr>
        <w:spacing w:after="0" w:line="170"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 xml:space="preserve">23.4.2 </w:t>
      </w:r>
      <w:r>
        <w:rPr>
          <w:rFonts w:ascii="Arial" w:cs="Arial" w:eastAsia="Arial" w:hAnsi="Arial"/>
          <w:sz w:val="17"/>
          <w:szCs w:val="17"/>
          <w:u w:val="single" w:color="auto"/>
          <w:color w:val="auto"/>
        </w:rPr>
        <w:t>Method of Exercise</w:t>
      </w:r>
      <w:r>
        <w:rPr>
          <w:rFonts w:ascii="Arial" w:cs="Arial" w:eastAsia="Arial" w:hAnsi="Arial"/>
          <w:sz w:val="17"/>
          <w:szCs w:val="17"/>
          <w:color w:val="auto"/>
        </w:rPr>
        <w:t>. This Option shall be exercisable by delivery of an exercise notice (the “</w:t>
      </w:r>
      <w:r>
        <w:rPr>
          <w:rFonts w:ascii="Arial" w:cs="Arial" w:eastAsia="Arial" w:hAnsi="Arial"/>
          <w:sz w:val="17"/>
          <w:szCs w:val="17"/>
          <w:u w:val="single" w:color="auto"/>
          <w:color w:val="auto"/>
        </w:rPr>
        <w:t>Exercise Notice</w:t>
      </w:r>
      <w:r>
        <w:rPr>
          <w:rFonts w:ascii="Arial" w:cs="Arial" w:eastAsia="Arial" w:hAnsi="Arial"/>
          <w:sz w:val="17"/>
          <w:szCs w:val="17"/>
          <w:color w:val="auto"/>
        </w:rPr>
        <w:t xml:space="preserve">”) in the form attached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to the Notice of Grant or in a manner and pursuant to such procedures as the Administrator may determine, which shall state the election to exercise the Option, the number of Shares with respect to which the Option is being exercised (the “</w:t>
      </w:r>
      <w:r>
        <w:rPr>
          <w:rFonts w:ascii="Arial" w:cs="Arial" w:eastAsia="Arial" w:hAnsi="Arial"/>
          <w:sz w:val="17"/>
          <w:szCs w:val="17"/>
          <w:u w:val="single" w:color="auto"/>
          <w:color w:val="auto"/>
        </w:rPr>
        <w:t>Exercised Shares</w:t>
      </w:r>
      <w:r>
        <w:rPr>
          <w:rFonts w:ascii="Arial" w:cs="Arial" w:eastAsia="Arial" w:hAnsi="Arial"/>
          <w:sz w:val="17"/>
          <w:szCs w:val="17"/>
          <w:color w:val="auto"/>
        </w:rPr>
        <w:t>”), and such other representations and agreements as may be required by the Company. The Exercise Notice shall be completed by Participant and delivered to the Company, accompanied by payment of the aggregate Exercise Price as to all Exercised Shares, together with any applicable Tax Obligations (as defined below). This Option shall be deemed to be exercised upon receipt by the Company of such fully executed Exercise Notice accompanied by the aggregate Exercise Price, together with any applicable Tax Obligations.</w:t>
      </w:r>
    </w:p>
    <w:p>
      <w:pPr>
        <w:spacing w:after="0" w:line="177" w:lineRule="exact"/>
        <w:rPr>
          <w:sz w:val="20"/>
          <w:szCs w:val="20"/>
          <w:color w:val="auto"/>
        </w:rPr>
      </w:pPr>
    </w:p>
    <w:p>
      <w:pPr>
        <w:ind w:right="360" w:firstLine="991"/>
        <w:spacing w:after="0" w:line="263" w:lineRule="auto"/>
        <w:rPr>
          <w:sz w:val="20"/>
          <w:szCs w:val="20"/>
          <w:color w:val="auto"/>
        </w:rPr>
      </w:pPr>
      <w:r>
        <w:rPr>
          <w:rFonts w:ascii="Arial" w:cs="Arial" w:eastAsia="Arial" w:hAnsi="Arial"/>
          <w:sz w:val="18"/>
          <w:szCs w:val="18"/>
          <w:color w:val="auto"/>
        </w:rPr>
        <w:t>No Shares shall be issued pursuant to the exercise of an Option unless such issuance and such exercise comply with Applicable Laws. Assuming such compliance, for income tax purposes the Shares shall be considered transferred to Participant on the date on which the Option is exercised with respect to such Shares.</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23.5 </w:t>
      </w:r>
      <w:r>
        <w:rPr>
          <w:rFonts w:ascii="Arial" w:cs="Arial" w:eastAsia="Arial" w:hAnsi="Arial"/>
          <w:sz w:val="16"/>
          <w:szCs w:val="16"/>
          <w:u w:val="single" w:color="auto"/>
          <w:color w:val="auto"/>
        </w:rPr>
        <w:t>Method of Payment</w:t>
      </w:r>
      <w:r>
        <w:rPr>
          <w:rFonts w:ascii="Arial" w:cs="Arial" w:eastAsia="Arial" w:hAnsi="Arial"/>
          <w:sz w:val="16"/>
          <w:szCs w:val="16"/>
          <w:color w:val="auto"/>
        </w:rPr>
        <w:t>. Payment of the aggregate Exercise Price shall be by any of the following, or a combination thereof, at the election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Participant:</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23.5.1 cash;</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23.5.2 check;</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23.5.3 consideration received by the Company under a formal cashless exercise program adopted by the Company in connection with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 or</w:t>
      </w:r>
    </w:p>
    <w:p>
      <w:pPr>
        <w:spacing w:after="0" w:line="211"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23.5.4 if Participant is a U.S. employee, surrender of other Shares which (i) shall be valued at its fair market value on the date of surrender, and (ii) must be owned free and clear of any liens, claims, encumbrances or security interests, if accepting such Shares, in the sole discretion of the Administrator, shall not result in any adverse accounting consequences to the Company.</w:t>
      </w:r>
    </w:p>
    <w:p>
      <w:pPr>
        <w:spacing w:after="0" w:line="184"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A non-U.S. resident’s methods of exercise may be restricted by the terms and conditions of any appendix to this Agreement for Participant’s country (including the Country Addendum, as defined below).</w:t>
      </w:r>
    </w:p>
    <w:p>
      <w:pPr>
        <w:spacing w:after="0" w:line="62" w:lineRule="exact"/>
        <w:rPr>
          <w:sz w:val="20"/>
          <w:szCs w:val="20"/>
          <w:color w:val="auto"/>
        </w:rPr>
      </w:pPr>
    </w:p>
    <w:p>
      <w:pPr>
        <w:ind w:right="660" w:firstLine="440"/>
        <w:spacing w:after="0" w:line="277" w:lineRule="auto"/>
        <w:rPr>
          <w:sz w:val="20"/>
          <w:szCs w:val="20"/>
          <w:color w:val="auto"/>
        </w:rPr>
      </w:pPr>
      <w:r>
        <w:rPr>
          <w:rFonts w:ascii="Arial" w:cs="Arial" w:eastAsia="Arial" w:hAnsi="Arial"/>
          <w:sz w:val="18"/>
          <w:szCs w:val="18"/>
          <w:color w:val="auto"/>
        </w:rPr>
        <w:t xml:space="preserve">23.6 </w:t>
      </w:r>
      <w:r>
        <w:rPr>
          <w:rFonts w:ascii="Arial" w:cs="Arial" w:eastAsia="Arial" w:hAnsi="Arial"/>
          <w:sz w:val="18"/>
          <w:szCs w:val="18"/>
          <w:u w:val="single" w:color="auto"/>
          <w:color w:val="auto"/>
        </w:rPr>
        <w:t>Non-Transferability of Option</w:t>
      </w:r>
      <w:r>
        <w:rPr>
          <w:rFonts w:ascii="Arial" w:cs="Arial" w:eastAsia="Arial" w:hAnsi="Arial"/>
          <w:sz w:val="18"/>
          <w:szCs w:val="18"/>
          <w:color w:val="auto"/>
        </w:rPr>
        <w:t>. This Option may not be transferred in any manner otherwise than by will or by the laws of descent or distribution and may be exercised during the lifetime of Participant only by Participant.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412" w:name="page413"/>
    <w:bookmarkEnd w:id="412"/>
    <w:p>
      <w:pPr>
        <w:ind w:right="3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23.7 </w:t>
      </w:r>
      <w:r>
        <w:rPr>
          <w:rFonts w:ascii="Arial" w:cs="Arial" w:eastAsia="Arial" w:hAnsi="Arial"/>
          <w:sz w:val="18"/>
          <w:szCs w:val="18"/>
          <w:u w:val="single" w:color="auto"/>
          <w:color w:val="auto"/>
        </w:rPr>
        <w:t>Term of Option</w:t>
      </w:r>
      <w:r>
        <w:rPr>
          <w:rFonts w:ascii="Arial" w:cs="Arial" w:eastAsia="Arial" w:hAnsi="Arial"/>
          <w:sz w:val="18"/>
          <w:szCs w:val="18"/>
          <w:color w:val="auto"/>
        </w:rPr>
        <w:t>. This Option may be exercised only within the term set out in the Notice of Grant, and may be exercised during such term only in accordance with the Plan and the terms of this Option Agreement.</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23.8 </w:t>
      </w:r>
      <w:r>
        <w:rPr>
          <w:rFonts w:ascii="Arial" w:cs="Arial" w:eastAsia="Arial" w:hAnsi="Arial"/>
          <w:sz w:val="18"/>
          <w:szCs w:val="18"/>
          <w:u w:val="single" w:color="auto"/>
          <w:color w:val="auto"/>
        </w:rPr>
        <w:t>Tax Obligations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85" w:lineRule="auto"/>
        <w:rPr>
          <w:sz w:val="20"/>
          <w:szCs w:val="20"/>
          <w:color w:val="auto"/>
        </w:rPr>
      </w:pPr>
      <w:r>
        <w:rPr>
          <w:rFonts w:ascii="Arial" w:cs="Arial" w:eastAsia="Arial" w:hAnsi="Arial"/>
          <w:sz w:val="16"/>
          <w:szCs w:val="16"/>
          <w:color w:val="auto"/>
        </w:rPr>
        <w:t xml:space="preserve">23.8.1 </w:t>
      </w:r>
      <w:r>
        <w:rPr>
          <w:rFonts w:ascii="Arial" w:cs="Arial" w:eastAsia="Arial" w:hAnsi="Arial"/>
          <w:sz w:val="16"/>
          <w:szCs w:val="16"/>
          <w:u w:val="single" w:color="auto"/>
          <w:color w:val="auto"/>
        </w:rPr>
        <w:t>Responsibility for Taxes</w:t>
      </w:r>
      <w:r>
        <w:rPr>
          <w:rFonts w:ascii="Arial" w:cs="Arial" w:eastAsia="Arial" w:hAnsi="Arial"/>
          <w:sz w:val="16"/>
          <w:szCs w:val="16"/>
          <w:color w:val="auto"/>
        </w:rPr>
        <w:t>. Participant acknowledges that, regardless of any action taken by the Company or, if different, Participant’s employer or any Parent or Subsidiary to which Participant is providing services (together, the “</w:t>
      </w:r>
      <w:r>
        <w:rPr>
          <w:rFonts w:ascii="Arial" w:cs="Arial" w:eastAsia="Arial" w:hAnsi="Arial"/>
          <w:sz w:val="16"/>
          <w:szCs w:val="16"/>
          <w:u w:val="single" w:color="auto"/>
          <w:color w:val="auto"/>
        </w:rPr>
        <w:t>Service Recipients</w:t>
      </w:r>
      <w:r>
        <w:rPr>
          <w:rFonts w:ascii="Arial" w:cs="Arial" w:eastAsia="Arial" w:hAnsi="Arial"/>
          <w:sz w:val="16"/>
          <w:szCs w:val="16"/>
          <w:color w:val="auto"/>
        </w:rPr>
        <w:t>”), the ultimate liability for any tax and/or social insurance liability obligations and requirements in connection with the Option, including, without limitation, (i) all federal, state, and local taxes (including Participant’s Federal Insurance Contributions Act (FICA) obligations)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exercise of the Option or sale of Shares, and (iii) any other Service Recipient taxes the responsibility for which Participant has, or has agreed to bear, with respect to the Option (or exercise thereof or issuance of Shares thereunder) (collectively, the “</w:t>
      </w:r>
      <w:r>
        <w:rPr>
          <w:rFonts w:ascii="Arial" w:cs="Arial" w:eastAsia="Arial" w:hAnsi="Arial"/>
          <w:sz w:val="16"/>
          <w:szCs w:val="16"/>
          <w:u w:val="single" w:color="auto"/>
          <w:color w:val="auto"/>
        </w:rPr>
        <w:t>Tax Obligations</w:t>
      </w:r>
      <w:r>
        <w:rPr>
          <w:rFonts w:ascii="Arial" w:cs="Arial" w:eastAsia="Arial" w:hAnsi="Arial"/>
          <w:sz w:val="16"/>
          <w:szCs w:val="16"/>
          <w:color w:val="auto"/>
        </w:rPr>
        <w:t>”),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Option, including, but not limited to, the grant, vesting or exercise of the Option, the subsequent sale of Shares acquired pursuant to such exercise and the receipt of any dividends or other distributions, and (B) makes any commitment to and is under any obligation to structure the terms of the grant or any aspect of the Option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applicable Service Recipient(s)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w:t>
      </w:r>
    </w:p>
    <w:p>
      <w:pPr>
        <w:spacing w:after="0" w:line="174" w:lineRule="exact"/>
        <w:rPr>
          <w:sz w:val="20"/>
          <w:szCs w:val="20"/>
          <w:color w:val="auto"/>
        </w:rPr>
      </w:pPr>
    </w:p>
    <w:p>
      <w:pPr>
        <w:ind w:right="20" w:firstLine="991"/>
        <w:spacing w:after="0" w:line="284" w:lineRule="auto"/>
        <w:rPr>
          <w:sz w:val="20"/>
          <w:szCs w:val="20"/>
          <w:color w:val="auto"/>
        </w:rPr>
      </w:pPr>
      <w:r>
        <w:rPr>
          <w:rFonts w:ascii="Arial" w:cs="Arial" w:eastAsia="Arial" w:hAnsi="Arial"/>
          <w:sz w:val="16"/>
          <w:szCs w:val="16"/>
          <w:color w:val="auto"/>
        </w:rPr>
        <w:t xml:space="preserve">23.8.2 </w:t>
      </w:r>
      <w:r>
        <w:rPr>
          <w:rFonts w:ascii="Arial" w:cs="Arial" w:eastAsia="Arial" w:hAnsi="Arial"/>
          <w:sz w:val="16"/>
          <w:szCs w:val="16"/>
          <w:u w:val="single" w:color="auto"/>
          <w:color w:val="auto"/>
        </w:rPr>
        <w:t>Tax Withholding</w:t>
      </w:r>
      <w:r>
        <w:rPr>
          <w:rFonts w:ascii="Arial" w:cs="Arial" w:eastAsia="Arial" w:hAnsi="Arial"/>
          <w:sz w:val="16"/>
          <w:szCs w:val="16"/>
          <w:color w:val="auto"/>
        </w:rPr>
        <w:t>. Pursuant to such procedures as the Administrator may specify from time to time, the applicable Service Recipient(s) will withhold the amount required to be withheld for the payment of Tax Obligations. The Administrator, in its sole discretion and pursuant to such procedures as it may specify from time to time, may permit Participant to satisfy such Tax Obligations, in whole or in part (without limitation), if permissible by applicable local law, by (i) paying cash, (ii) electing to have the Company withhold otherwise deliverable Shares having a fair market value equal to the minimum amount that is necessary to meet the withholding requirement for such Tax Obligations (or such greater amount as Participant may elect if permitted by the Administrator, if such greater amount would not result in adverse financial accounting consequences), (iii) having the amount of such Tax Obligations withheld from Participant’s wages or other cash compensation paid to Participant by the applicable Service Recipient(s), (iv) delivering to the Company Shares that Participant owns and that have vested with a fair market value equal to such Tax Obligations, 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(v) selling a sufficient number of such Shares otherwise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413" w:name="page414"/>
    <w:bookmarkEnd w:id="413"/>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deliverable to Participant through such means as the Company may determine in its sole discretion (whether through a broker or otherwise) equal to the minimum amount that is necessary to meet the withholding requirement for such Tax Obligations (or such greater amount as Participant may elect if permitted by the Administrator, if such greater amount would not result in adverse financial accounting consequences). To the extent determined appropriate by the Administrator in its discretion, the Administrator will have the right (but not the obligation) to satisfy any Tax Obligations by reducing the number of Shares otherwise deliverable to Participant.</w:t>
      </w:r>
    </w:p>
    <w:p>
      <w:pPr>
        <w:spacing w:after="0" w:line="188" w:lineRule="exact"/>
        <w:rPr>
          <w:sz w:val="20"/>
          <w:szCs w:val="20"/>
          <w:color w:val="auto"/>
        </w:rPr>
      </w:pPr>
    </w:p>
    <w:p>
      <w:pPr>
        <w:ind w:right="20" w:firstLine="991"/>
        <w:spacing w:after="0" w:line="279" w:lineRule="auto"/>
        <w:rPr>
          <w:sz w:val="20"/>
          <w:szCs w:val="20"/>
          <w:color w:val="auto"/>
        </w:rPr>
      </w:pPr>
      <w:r>
        <w:rPr>
          <w:rFonts w:ascii="Arial" w:cs="Arial" w:eastAsia="Arial" w:hAnsi="Arial"/>
          <w:sz w:val="17"/>
          <w:szCs w:val="17"/>
          <w:color w:val="auto"/>
        </w:rPr>
        <w:t xml:space="preserve">23.8.3 </w:t>
      </w:r>
      <w:r>
        <w:rPr>
          <w:rFonts w:ascii="Arial" w:cs="Arial" w:eastAsia="Arial" w:hAnsi="Arial"/>
          <w:sz w:val="17"/>
          <w:szCs w:val="17"/>
          <w:u w:val="single" w:color="auto"/>
          <w:color w:val="auto"/>
        </w:rPr>
        <w:t>Notice of Disqualifying Disposition of ISO Shares</w:t>
      </w:r>
      <w:r>
        <w:rPr>
          <w:rFonts w:ascii="Arial" w:cs="Arial" w:eastAsia="Arial" w:hAnsi="Arial"/>
          <w:sz w:val="17"/>
          <w:szCs w:val="17"/>
          <w:color w:val="auto"/>
        </w:rPr>
        <w:t>. If the Option granted to Participant herein is an ISO, and if Participant sells or otherwise disposes of any of the Shares acquired pursuant to the ISO on or before the later of (i) the date two (2) years after the Date of Grant, or (ii) the date one (1) year after the date of exercise, Participant shall immediately notify the Company in writing of such disposition. Participant agrees that Participant may be subject to income tax withholding by the Company on the compensation income recognized by Participant.</w:t>
      </w:r>
    </w:p>
    <w:p>
      <w:pPr>
        <w:spacing w:after="0" w:line="171"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 xml:space="preserve">23.8.4 </w:t>
      </w:r>
      <w:r>
        <w:rPr>
          <w:rFonts w:ascii="Arial" w:cs="Arial" w:eastAsia="Arial" w:hAnsi="Arial"/>
          <w:sz w:val="16"/>
          <w:szCs w:val="16"/>
          <w:u w:val="single" w:color="auto"/>
          <w:color w:val="auto"/>
        </w:rPr>
        <w:t>Section 409A.</w:t>
      </w:r>
      <w:r>
        <w:rPr>
          <w:rFonts w:ascii="Arial" w:cs="Arial" w:eastAsia="Arial" w:hAnsi="Arial"/>
          <w:sz w:val="16"/>
          <w:szCs w:val="16"/>
          <w:color w:val="auto"/>
        </w:rPr>
        <w:t xml:space="preserve"> Under Section 409A, a stock right (such as the Option) that vests after December 31, 2004 (or that vested on or prior to such date but which was materially modified after October 3, 2004), that was granted with a per share exercise price that is determined by the Internal Revenue Service (the “</w:t>
      </w:r>
      <w:r>
        <w:rPr>
          <w:rFonts w:ascii="Arial" w:cs="Arial" w:eastAsia="Arial" w:hAnsi="Arial"/>
          <w:sz w:val="16"/>
          <w:szCs w:val="16"/>
          <w:u w:val="single" w:color="auto"/>
          <w:color w:val="auto"/>
        </w:rPr>
        <w:t>IRS</w:t>
      </w:r>
      <w:r>
        <w:rPr>
          <w:rFonts w:ascii="Arial" w:cs="Arial" w:eastAsia="Arial" w:hAnsi="Arial"/>
          <w:sz w:val="16"/>
          <w:szCs w:val="16"/>
          <w:color w:val="auto"/>
        </w:rPr>
        <w:t>”) to be less than the fair market value of an underlying share on the date of grant (a “</w:t>
      </w:r>
      <w:r>
        <w:rPr>
          <w:rFonts w:ascii="Arial" w:cs="Arial" w:eastAsia="Arial" w:hAnsi="Arial"/>
          <w:sz w:val="16"/>
          <w:szCs w:val="16"/>
          <w:u w:val="single" w:color="auto"/>
          <w:color w:val="auto"/>
        </w:rPr>
        <w:t>discount option</w:t>
      </w:r>
      <w:r>
        <w:rPr>
          <w:rFonts w:ascii="Arial" w:cs="Arial" w:eastAsia="Arial" w:hAnsi="Arial"/>
          <w:sz w:val="16"/>
          <w:szCs w:val="16"/>
          <w:color w:val="auto"/>
        </w:rPr>
        <w:t>”) may be considered “deferred compensation.” A stock right that is a “discount option” may result in (i) income recognition by the recipient of the stock right prior to the exercise of the stock right, (ii) an additional twenty percent (20%) federal income tax, and (iii) potential penalty and interest charges. The “discount option” may also result in additional state income, penalty and interest tax to the recipient of the stock right.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shall be solely responsible for Participant’s costs related to such a determination. In no event will the Company or any of its Parent or Subsidiaries have any responsibility, liability, or obligation to reimburse, indemnify, or hold harmless Participant (or any other person) in respect of this Option or any other Awards, for any taxes, penalties or interest that may be imposed on, or other costs incurred by, Participant (or any other person) as a result of Section 409A.</w:t>
      </w:r>
    </w:p>
    <w:p>
      <w:pPr>
        <w:spacing w:after="0" w:line="60"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 xml:space="preserve">23.9 </w:t>
      </w:r>
      <w:r>
        <w:rPr>
          <w:rFonts w:ascii="Arial" w:cs="Arial" w:eastAsia="Arial" w:hAnsi="Arial"/>
          <w:sz w:val="17"/>
          <w:szCs w:val="17"/>
          <w:u w:val="single" w:color="auto"/>
          <w:color w:val="auto"/>
        </w:rPr>
        <w:t>Rights as Stockholder</w:t>
      </w:r>
      <w:r>
        <w:rPr>
          <w:rFonts w:ascii="Arial" w:cs="Arial" w:eastAsia="Arial" w:hAnsi="Arial"/>
          <w:sz w:val="17"/>
          <w:szCs w:val="17"/>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414" w:name="page415"/>
    <w:bookmarkEnd w:id="414"/>
    <w:p>
      <w:pPr>
        <w:ind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23.10 </w:t>
      </w:r>
      <w:r>
        <w:rPr>
          <w:rFonts w:ascii="Arial" w:cs="Arial" w:eastAsia="Arial" w:hAnsi="Arial"/>
          <w:sz w:val="18"/>
          <w:szCs w:val="18"/>
          <w:u w:val="single" w:color="auto"/>
          <w:color w:val="auto"/>
        </w:rPr>
        <w:t>Entire Agreement; Governing Law</w:t>
      </w:r>
      <w:r>
        <w:rPr>
          <w:rFonts w:ascii="Arial" w:cs="Arial" w:eastAsia="Arial" w:hAnsi="Arial"/>
          <w:sz w:val="18"/>
          <w:szCs w:val="18"/>
          <w:color w:val="auto"/>
        </w:rPr>
        <w:t>. The Plan is incorporated herein by reference. The Plan and this Option Agreement constitute the entire agreement of the parties with respect to the subject matter hereof and supersede in their entirety all prior undertakings and agreements of the Company and Participant with respect to the subject matter hereof, and may not be modified adversely to Participant’s interest except by means of a writing signed by the Company and Participant. This Option Agreement is governed by the internal substantive laws but not the choice of law rules of the State of California.</w:t>
      </w:r>
    </w:p>
    <w:p>
      <w:pPr>
        <w:spacing w:after="0" w:line="188" w:lineRule="exact"/>
        <w:rPr>
          <w:sz w:val="20"/>
          <w:szCs w:val="20"/>
          <w:color w:val="auto"/>
        </w:rPr>
      </w:pPr>
    </w:p>
    <w:p>
      <w:pPr>
        <w:ind w:right="20" w:firstLine="440"/>
        <w:spacing w:after="0" w:line="253" w:lineRule="auto"/>
        <w:rPr>
          <w:sz w:val="20"/>
          <w:szCs w:val="20"/>
          <w:color w:val="auto"/>
        </w:rPr>
      </w:pPr>
      <w:r>
        <w:rPr>
          <w:rFonts w:ascii="Arial" w:cs="Arial" w:eastAsia="Arial" w:hAnsi="Arial"/>
          <w:sz w:val="18"/>
          <w:szCs w:val="18"/>
          <w:color w:val="auto"/>
        </w:rPr>
        <w:t xml:space="preserve">23.11 </w:t>
      </w:r>
      <w:r>
        <w:rPr>
          <w:rFonts w:ascii="Arial" w:cs="Arial" w:eastAsia="Arial" w:hAnsi="Arial"/>
          <w:sz w:val="18"/>
          <w:szCs w:val="18"/>
          <w:u w:val="single" w:color="auto"/>
          <w:color w:val="auto"/>
        </w:rPr>
        <w:t>No Guarantee of Continued Service</w:t>
      </w:r>
      <w:r>
        <w:rPr>
          <w:rFonts w:ascii="Arial" w:cs="Arial" w:eastAsia="Arial" w:hAnsi="Arial"/>
          <w:sz w:val="18"/>
          <w:szCs w:val="18"/>
          <w:color w:val="auto"/>
        </w:rPr>
        <w:t>. PARTICIPANT ACKNOWLEDGES AND AGREES THAT THE VESTING OF SHARES PURSUANT TO THE VESTING SCHEDULE HEREOF IS EARNED ONLY BY CONTINUING AS A SERVICE PROVIDER, WHICH UNLESS PROVIDED OTHERWISE UNDER APPLICABLE LAWS IS AT THE WILL OF THE COMPANY (OR THE PARENT OR SUBSIDIARY EMPLOYING OR RETAINING PARTICIPANT) AND NOT THROUGH THE ACT OF BEING HIRED, BEING GRANTED THIS OPTION OR ACQUIRING SHARES HEREUNDER. PARTICIPANT FURTHER ACKNOWLEDGES AND AGREES THAT THIS OPTION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THE COMPANY (OR THE PARENT OR SUBSIDIARY EMPLOYING OR RETAINING PARTICIPANT) TO TERMINATE PARTICIPANT’S RELATIONSHIP AS A SERVICE PROVIDER, SUBJECT TO APPLICABLE LAW, WHICH TERMINATION, UNLESS PROVIDED OTHERWISE UNDER APPLICABLE LAW, MAY BE AT ANY TIME, WITH OR WITHOUT CAUSE.</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23.12 </w:t>
      </w:r>
      <w:r>
        <w:rPr>
          <w:rFonts w:ascii="Arial" w:cs="Arial" w:eastAsia="Arial" w:hAnsi="Arial"/>
          <w:sz w:val="18"/>
          <w:szCs w:val="18"/>
          <w:u w:val="single" w:color="auto"/>
          <w:color w:val="auto"/>
        </w:rPr>
        <w:t>Nature of Grant</w:t>
      </w:r>
      <w:r>
        <w:rPr>
          <w:rFonts w:ascii="Arial" w:cs="Arial" w:eastAsia="Arial" w:hAnsi="Arial"/>
          <w:sz w:val="18"/>
          <w:szCs w:val="18"/>
          <w:color w:val="auto"/>
        </w:rPr>
        <w:t>. In accepting the Option, Participant acknowledges, understands and agrees that:</w:t>
      </w:r>
    </w:p>
    <w:p>
      <w:pPr>
        <w:spacing w:after="0" w:line="225" w:lineRule="exact"/>
        <w:rPr>
          <w:sz w:val="20"/>
          <w:szCs w:val="20"/>
          <w:color w:val="auto"/>
        </w:rPr>
      </w:pPr>
    </w:p>
    <w:p>
      <w:pPr>
        <w:ind w:firstLine="987"/>
        <w:spacing w:after="0" w:line="277" w:lineRule="auto"/>
        <w:tabs>
          <w:tab w:leader="none" w:pos="1236"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grant of the Option is voluntary and occasional and does not create any contractual or other right to receive future grants of options, or benefits in lieu of options, even if options have been granted in the past;</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all decisions with respect to future option or other grants, if any, will be at the sole discretion of the Administrator;</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Participant is voluntarily participating in the Plan;</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Option and any Shares acquired under the Plan are not intended to replace any pension rights or compensation;</w:t>
      </w:r>
    </w:p>
    <w:p>
      <w:pPr>
        <w:spacing w:after="0" w:line="225" w:lineRule="exact"/>
        <w:rPr>
          <w:rFonts w:ascii="Arial" w:cs="Arial" w:eastAsia="Arial" w:hAnsi="Arial"/>
          <w:sz w:val="18"/>
          <w:szCs w:val="18"/>
          <w:color w:val="auto"/>
        </w:rPr>
      </w:pPr>
    </w:p>
    <w:p>
      <w:pPr>
        <w:jc w:val="both"/>
        <w:ind w:right="60" w:firstLine="987"/>
        <w:spacing w:after="0" w:line="263" w:lineRule="auto"/>
        <w:tabs>
          <w:tab w:leader="none" w:pos="1236"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Option and Shares acquired under the Plan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83" w:lineRule="exact"/>
        <w:rPr>
          <w:rFonts w:ascii="Arial" w:cs="Arial" w:eastAsia="Arial" w:hAnsi="Arial"/>
          <w:sz w:val="18"/>
          <w:szCs w:val="18"/>
          <w:color w:val="auto"/>
        </w:rPr>
      </w:pPr>
    </w:p>
    <w:p>
      <w:pPr>
        <w:ind w:left="1220" w:hanging="233"/>
        <w:spacing w:after="0"/>
        <w:tabs>
          <w:tab w:leader="none" w:pos="122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future value of the Shares underlying the Option is unknown, indeterminable, and cannot be predicted with certainty;</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if the underlying Shares do not increase in value, the Option will have no value;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415" w:name="page416"/>
    <w:bookmarkEnd w:id="415"/>
    <w:p>
      <w:pPr>
        <w:ind w:left="1240" w:hanging="253"/>
        <w:spacing w:after="0"/>
        <w:tabs>
          <w:tab w:leader="none" w:pos="1240" w:val="left"/>
        </w:tabs>
        <w:numPr>
          <w:ilvl w:val="0"/>
          <w:numId w:val="28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Participant exercises the Option and acquires Shares, the value of such Shares may increase or decrease in value, even below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Exercise Price;</w:t>
      </w:r>
    </w:p>
    <w:p>
      <w:pPr>
        <w:spacing w:after="0" w:line="210" w:lineRule="exact"/>
        <w:rPr>
          <w:rFonts w:ascii="Arial" w:cs="Arial" w:eastAsia="Arial" w:hAnsi="Arial"/>
          <w:sz w:val="16"/>
          <w:szCs w:val="16"/>
          <w:color w:val="auto"/>
        </w:rPr>
      </w:pPr>
    </w:p>
    <w:p>
      <w:pPr>
        <w:ind w:firstLine="987"/>
        <w:spacing w:after="0" w:line="268" w:lineRule="auto"/>
        <w:tabs>
          <w:tab w:leader="none" w:pos="1206" w:val="left"/>
        </w:tabs>
        <w:numPr>
          <w:ilvl w:val="0"/>
          <w:numId w:val="282"/>
        </w:numPr>
        <w:rPr>
          <w:rFonts w:ascii="Arial" w:cs="Arial" w:eastAsia="Arial" w:hAnsi="Arial"/>
          <w:sz w:val="17"/>
          <w:szCs w:val="17"/>
          <w:color w:val="auto"/>
        </w:rPr>
      </w:pPr>
      <w:r>
        <w:rPr>
          <w:rFonts w:ascii="Arial" w:cs="Arial" w:eastAsia="Arial" w:hAnsi="Arial"/>
          <w:sz w:val="17"/>
          <w:szCs w:val="17"/>
          <w:color w:val="auto"/>
        </w:rPr>
        <w:t>for purposes of the Option,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Option Agreement (including by reference in the Notice of Grant to other arrangements or contracts) or determined by the Administrator, (i) Participant’s right to vest in the Option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and (ii) the period (if any) during which Participant may exercise the Option after such termination of Participant’s engagement as a Service Provider will commence on the date Participant ceases to actively provide services and will not be extended by any notice period mandated under employment laws in the jurisdiction where Participant is employed or terms of Participant’s engagement agreement, if any; the Administrator shall have the exclusive discretion to determine when Participant is no longer actively providing services for purposes of this Option grant (including whether Participant may still be considered to be providing services while on a leave of absence and consistent with local law);</w:t>
      </w:r>
    </w:p>
    <w:p>
      <w:pPr>
        <w:spacing w:after="0" w:line="186" w:lineRule="exact"/>
        <w:rPr>
          <w:rFonts w:ascii="Arial" w:cs="Arial" w:eastAsia="Arial" w:hAnsi="Arial"/>
          <w:sz w:val="17"/>
          <w:szCs w:val="17"/>
          <w:color w:val="auto"/>
        </w:rPr>
      </w:pPr>
    </w:p>
    <w:p>
      <w:pPr>
        <w:jc w:val="both"/>
        <w:ind w:right="340" w:firstLine="987"/>
        <w:spacing w:after="0" w:line="263" w:lineRule="auto"/>
        <w:tabs>
          <w:tab w:leader="none" w:pos="1206" w:val="left"/>
        </w:tabs>
        <w:numPr>
          <w:ilvl w:val="0"/>
          <w:numId w:val="282"/>
        </w:numPr>
        <w:rPr>
          <w:rFonts w:ascii="Arial" w:cs="Arial" w:eastAsia="Arial" w:hAnsi="Arial"/>
          <w:sz w:val="18"/>
          <w:szCs w:val="18"/>
          <w:color w:val="auto"/>
        </w:rPr>
      </w:pPr>
      <w:r>
        <w:rPr>
          <w:rFonts w:ascii="Arial" w:cs="Arial" w:eastAsia="Arial" w:hAnsi="Arial"/>
          <w:sz w:val="18"/>
          <w:szCs w:val="18"/>
          <w:color w:val="auto"/>
        </w:rPr>
        <w:t>unless otherwise provided in the Plan or by the Administrator in its discretion, the Option and the benefits evidenced by this Option Agreement do not create any entitlement to have the Option or any such benefits transferred to, or assumed by, another company nor be exchanged, cashed out or substituted for, in connection with any corporate transaction affecting the Shares; and</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following provisions apply only if Participant is providing services outside the United States:</w:t>
      </w:r>
    </w:p>
    <w:p>
      <w:pPr>
        <w:spacing w:after="0" w:line="225" w:lineRule="exact"/>
        <w:rPr>
          <w:rFonts w:ascii="Arial" w:cs="Arial" w:eastAsia="Arial" w:hAnsi="Arial"/>
          <w:sz w:val="18"/>
          <w:szCs w:val="18"/>
          <w:color w:val="auto"/>
        </w:rPr>
      </w:pPr>
    </w:p>
    <w:p>
      <w:pPr>
        <w:ind w:left="1640" w:hanging="212"/>
        <w:spacing w:after="0"/>
        <w:tabs>
          <w:tab w:leader="none" w:pos="1640" w:val="left"/>
        </w:tabs>
        <w:numPr>
          <w:ilvl w:val="1"/>
          <w:numId w:val="282"/>
        </w:numPr>
        <w:rPr>
          <w:rFonts w:ascii="Arial" w:cs="Arial" w:eastAsia="Arial" w:hAnsi="Arial"/>
          <w:sz w:val="17"/>
          <w:szCs w:val="17"/>
          <w:color w:val="auto"/>
        </w:rPr>
      </w:pPr>
      <w:r>
        <w:rPr>
          <w:rFonts w:ascii="Arial" w:cs="Arial" w:eastAsia="Arial" w:hAnsi="Arial"/>
          <w:sz w:val="17"/>
          <w:szCs w:val="17"/>
          <w:color w:val="auto"/>
        </w:rPr>
        <w:t>the Option and the Shares subject to the Option are not part of normal or expected compensation or salary for any purpose;</w:t>
      </w:r>
    </w:p>
    <w:p>
      <w:pPr>
        <w:spacing w:after="0" w:line="236" w:lineRule="exact"/>
        <w:rPr>
          <w:rFonts w:ascii="Arial" w:cs="Arial" w:eastAsia="Arial" w:hAnsi="Arial"/>
          <w:sz w:val="17"/>
          <w:szCs w:val="17"/>
          <w:color w:val="auto"/>
        </w:rPr>
      </w:pPr>
    </w:p>
    <w:p>
      <w:pPr>
        <w:ind w:right="140" w:firstLine="1428"/>
        <w:spacing w:after="0" w:line="263" w:lineRule="auto"/>
        <w:tabs>
          <w:tab w:leader="none" w:pos="1697" w:val="left"/>
        </w:tabs>
        <w:numPr>
          <w:ilvl w:val="1"/>
          <w:numId w:val="282"/>
        </w:numPr>
        <w:rPr>
          <w:rFonts w:ascii="Arial" w:cs="Arial" w:eastAsia="Arial" w:hAnsi="Arial"/>
          <w:sz w:val="18"/>
          <w:szCs w:val="18"/>
          <w:color w:val="auto"/>
        </w:rPr>
      </w:pPr>
      <w:r>
        <w:rPr>
          <w:rFonts w:ascii="Arial" w:cs="Arial" w:eastAsia="Arial" w:hAnsi="Arial"/>
          <w:sz w:val="18"/>
          <w:szCs w:val="18"/>
          <w:color w:val="auto"/>
        </w:rPr>
        <w:t>Participant acknowledges and agrees that no Service Recipient shall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 and</w:t>
      </w:r>
    </w:p>
    <w:p>
      <w:pPr>
        <w:spacing w:after="0" w:line="183" w:lineRule="exact"/>
        <w:rPr>
          <w:rFonts w:ascii="Arial" w:cs="Arial" w:eastAsia="Arial" w:hAnsi="Arial"/>
          <w:sz w:val="18"/>
          <w:szCs w:val="18"/>
          <w:color w:val="auto"/>
        </w:rPr>
      </w:pPr>
    </w:p>
    <w:p>
      <w:pPr>
        <w:ind w:right="200" w:firstLine="1428"/>
        <w:spacing w:after="0" w:line="259" w:lineRule="auto"/>
        <w:tabs>
          <w:tab w:leader="none" w:pos="1747" w:val="left"/>
        </w:tabs>
        <w:numPr>
          <w:ilvl w:val="1"/>
          <w:numId w:val="282"/>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shall arise from forfeiture of the Option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Option to which</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416" w:name="page417"/>
    <w:bookmarkEnd w:id="416"/>
    <w:p>
      <w:pPr>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71"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 xml:space="preserve">23.13 </w:t>
      </w:r>
      <w:r>
        <w:rPr>
          <w:rFonts w:ascii="Arial" w:cs="Arial" w:eastAsia="Arial" w:hAnsi="Arial"/>
          <w:sz w:val="18"/>
          <w:szCs w:val="18"/>
          <w:u w:val="single" w:color="auto"/>
          <w:color w:val="auto"/>
        </w:rPr>
        <w:t>No Advice Regarding Grant</w:t>
      </w:r>
      <w:r>
        <w:rPr>
          <w:rFonts w:ascii="Arial" w:cs="Arial" w:eastAsia="Arial" w:hAnsi="Arial"/>
          <w:sz w:val="18"/>
          <w:szCs w:val="18"/>
          <w:color w:val="auto"/>
        </w:rPr>
        <w:t>. The Company is not providing any tax, legal or financial advice, nor is the Company making any recommendations regarding Participant’s participation in the Plan, or Participant’s acquisition or sale of the Shares underlying the Option. Participant is hereby advised to consult with his or her own personal tax, legal and financial advisers regarding his or her participation in the Plan before taking any action related to the Plan.</w:t>
      </w:r>
    </w:p>
    <w:p>
      <w:pPr>
        <w:spacing w:after="0" w:line="183" w:lineRule="exact"/>
        <w:rPr>
          <w:sz w:val="20"/>
          <w:szCs w:val="20"/>
          <w:color w:val="auto"/>
        </w:rPr>
      </w:pPr>
    </w:p>
    <w:p>
      <w:pPr>
        <w:jc w:val="both"/>
        <w:ind w:right="80" w:firstLine="440"/>
        <w:spacing w:after="0" w:line="314" w:lineRule="auto"/>
        <w:rPr>
          <w:sz w:val="20"/>
          <w:szCs w:val="20"/>
          <w:color w:val="auto"/>
        </w:rPr>
      </w:pPr>
      <w:r>
        <w:rPr>
          <w:rFonts w:ascii="Arial" w:cs="Arial" w:eastAsia="Arial" w:hAnsi="Arial"/>
          <w:sz w:val="16"/>
          <w:szCs w:val="16"/>
          <w:b w:val="1"/>
          <w:bCs w:val="1"/>
          <w:i w:val="1"/>
          <w:iCs w:val="1"/>
          <w:color w:val="auto"/>
        </w:rPr>
        <w:t xml:space="preserve">23.14 </w:t>
      </w:r>
      <w:r>
        <w:rPr>
          <w:rFonts w:ascii="Arial" w:cs="Arial" w:eastAsia="Arial" w:hAnsi="Arial"/>
          <w:sz w:val="16"/>
          <w:szCs w:val="16"/>
          <w:b w:val="1"/>
          <w:bCs w:val="1"/>
          <w:u w:val="single" w:color="auto"/>
          <w:color w:val="auto"/>
        </w:rPr>
        <w:t>Data Privacy</w:t>
      </w:r>
      <w:r>
        <w:rPr>
          <w:rFonts w:ascii="Arial" w:cs="Arial" w:eastAsia="Arial" w:hAnsi="Arial"/>
          <w:sz w:val="16"/>
          <w:szCs w:val="16"/>
          <w:b w:val="1"/>
          <w:bCs w:val="1"/>
          <w:i w:val="1"/>
          <w:iCs w:val="1"/>
          <w:color w:val="auto"/>
        </w:rPr>
        <w:t>. Participant hereby explicitly and unambiguously consents to the collection, use and transfer, in electronic or other form, of Participant’s personal data as described in this Option Agreement and any other Option grant materials by and among, as applicable, the Service Recipients for the exclusive purpose of implementing, administering and managing Participant’s participation in the Plan.</w:t>
      </w:r>
    </w:p>
    <w:p>
      <w:pPr>
        <w:spacing w:after="0" w:line="146"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b w:val="1"/>
          <w:bCs w:val="1"/>
          <w:i w:val="1"/>
          <w:iCs w:val="1"/>
          <w:color w:val="auto"/>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Options or any other entitlement to Shares awarded, canceled, exercised, vested, unvested or outstanding in Participant’s favor (“</w:t>
      </w:r>
      <w:r>
        <w:rPr>
          <w:rFonts w:ascii="Arial" w:cs="Arial" w:eastAsia="Arial" w:hAnsi="Arial"/>
          <w:sz w:val="18"/>
          <w:szCs w:val="18"/>
          <w:b w:val="1"/>
          <w:bCs w:val="1"/>
          <w:i w:val="1"/>
          <w:iCs w:val="1"/>
          <w:u w:val="single" w:color="auto"/>
          <w:color w:val="auto"/>
        </w:rPr>
        <w:t>Data</w:t>
      </w:r>
      <w:r>
        <w:rPr>
          <w:rFonts w:ascii="Arial" w:cs="Arial" w:eastAsia="Arial" w:hAnsi="Arial"/>
          <w:sz w:val="18"/>
          <w:szCs w:val="18"/>
          <w:b w:val="1"/>
          <w:bCs w:val="1"/>
          <w:i w:val="1"/>
          <w:iCs w:val="1"/>
          <w:color w:val="auto"/>
        </w:rPr>
        <w:t>”), for the exclusive purpose of implementing, administering and managing the Plan.</w:t>
      </w:r>
    </w:p>
    <w:p>
      <w:pPr>
        <w:spacing w:after="0" w:line="188" w:lineRule="exact"/>
        <w:rPr>
          <w:sz w:val="20"/>
          <w:szCs w:val="20"/>
          <w:color w:val="auto"/>
        </w:rPr>
      </w:pPr>
    </w:p>
    <w:p>
      <w:pPr>
        <w:ind w:firstLine="440"/>
        <w:spacing w:after="0" w:line="307" w:lineRule="auto"/>
        <w:rPr>
          <w:sz w:val="20"/>
          <w:szCs w:val="20"/>
          <w:color w:val="auto"/>
        </w:rPr>
      </w:pPr>
      <w:r>
        <w:rPr>
          <w:rFonts w:ascii="Arial" w:cs="Arial" w:eastAsia="Arial" w:hAnsi="Arial"/>
          <w:sz w:val="15"/>
          <w:szCs w:val="15"/>
          <w:b w:val="1"/>
          <w:bCs w:val="1"/>
          <w:i w:val="1"/>
          <w:iCs w:val="1"/>
          <w:color w:val="auto"/>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417" w:name="page418"/>
    <w:bookmarkEnd w:id="417"/>
    <w:p>
      <w:pPr>
        <w:ind w:right="260"/>
        <w:spacing w:after="0" w:line="296"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her consent, his or her status as a Service Provider and career with the Service Recipient will not be adversely affected. The only adverse consequence of refusing or withdrawing Participant’s consent is that the Company would not be able to grant Participant Options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161"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 xml:space="preserve">23.15 </w:t>
      </w:r>
      <w:r>
        <w:rPr>
          <w:rFonts w:ascii="Arial" w:cs="Arial" w:eastAsia="Arial" w:hAnsi="Arial"/>
          <w:sz w:val="18"/>
          <w:szCs w:val="18"/>
          <w:u w:val="single" w:color="auto"/>
          <w:color w:val="auto"/>
        </w:rPr>
        <w:t>Address for Notices</w:t>
      </w:r>
      <w:r>
        <w:rPr>
          <w:rFonts w:ascii="Arial" w:cs="Arial" w:eastAsia="Arial" w:hAnsi="Arial"/>
          <w:sz w:val="18"/>
          <w:szCs w:val="18"/>
          <w:color w:val="auto"/>
        </w:rPr>
        <w:t>. Any notice to be given to the Company under the terms of this Option Agreement will be addressed to the Company at Tenaya Therapeutics, Inc., 171 Oyster Point Boulevard South San Francisco, CA 94080, or at such other address as the Company may hereafter designate in writing.</w:t>
      </w:r>
    </w:p>
    <w:p>
      <w:pPr>
        <w:spacing w:after="0" w:line="184" w:lineRule="exact"/>
        <w:rPr>
          <w:sz w:val="20"/>
          <w:szCs w:val="20"/>
          <w:color w:val="auto"/>
        </w:rPr>
      </w:pPr>
    </w:p>
    <w:p>
      <w:pPr>
        <w:ind w:right="240" w:firstLine="440"/>
        <w:spacing w:after="0" w:line="279" w:lineRule="auto"/>
        <w:rPr>
          <w:sz w:val="20"/>
          <w:szCs w:val="20"/>
          <w:color w:val="auto"/>
        </w:rPr>
      </w:pPr>
      <w:r>
        <w:rPr>
          <w:rFonts w:ascii="Arial" w:cs="Arial" w:eastAsia="Arial" w:hAnsi="Arial"/>
          <w:sz w:val="17"/>
          <w:szCs w:val="17"/>
          <w:color w:val="auto"/>
        </w:rPr>
        <w:t xml:space="preserve">23.16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The Company may assign any of its rights under this Option Agreement to single or multiple assignees, and this Option Agreement shall inure to the benefit of the successors and assigns of the Company. Subject to the restriction on transfer herein set forth, this Option Agreement shall be binding upon the executors, administrators, heirs, successors and assigns of Participant. The rights and obligations of Participant under this Option Agreement may be assigned only with the prior written consent of the Company.</w:t>
      </w:r>
    </w:p>
    <w:p>
      <w:pPr>
        <w:spacing w:after="0" w:line="17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23.17 </w:t>
      </w:r>
      <w:r>
        <w:rPr>
          <w:rFonts w:ascii="Arial" w:cs="Arial" w:eastAsia="Arial" w:hAnsi="Arial"/>
          <w:sz w:val="17"/>
          <w:szCs w:val="17"/>
          <w:u w:val="single" w:color="auto"/>
          <w:color w:val="auto"/>
        </w:rPr>
        <w:t>Additional Conditions to Issuance of Stock</w:t>
      </w:r>
      <w:r>
        <w:rPr>
          <w:rFonts w:ascii="Arial" w:cs="Arial" w:eastAsia="Arial" w:hAnsi="Arial"/>
          <w:sz w:val="17"/>
          <w:szCs w:val="17"/>
          <w:color w:val="auto"/>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exercise of the Options or the purchase by, or issuance of Shares, to Participant (or his or her estate) hereunder, such exercise, purchase or issuance will not occur unless and until such listing, registration, qualification, rule compliance, clearance, consent or approval will have been completed, effected or obtained free of any conditions not acceptable to the Company. Subject to the terms of the Option Agreement and the Plan, the Company will not be required to issue any certificate or certificates for (or make any entry on the books of the Company or of a duly authorized transfer agent of the Company of) the Shares hereunder prior to the lapse of such reasonable period of time following the date of exercise of the Option as the Administrator may establish from time to time for reasons of administrative convenience.</w:t>
      </w:r>
    </w:p>
    <w:p>
      <w:pPr>
        <w:spacing w:after="0" w:line="185" w:lineRule="exact"/>
        <w:rPr>
          <w:sz w:val="20"/>
          <w:szCs w:val="20"/>
          <w:color w:val="auto"/>
        </w:rPr>
      </w:pPr>
    </w:p>
    <w:p>
      <w:pPr>
        <w:ind w:right="60" w:firstLine="440"/>
        <w:spacing w:after="0" w:line="308" w:lineRule="auto"/>
        <w:rPr>
          <w:sz w:val="20"/>
          <w:szCs w:val="20"/>
          <w:color w:val="auto"/>
        </w:rPr>
      </w:pPr>
      <w:r>
        <w:rPr>
          <w:rFonts w:ascii="Arial" w:cs="Arial" w:eastAsia="Arial" w:hAnsi="Arial"/>
          <w:sz w:val="17"/>
          <w:szCs w:val="17"/>
          <w:color w:val="auto"/>
        </w:rPr>
        <w:t xml:space="preserve">23.18 </w:t>
      </w:r>
      <w:r>
        <w:rPr>
          <w:rFonts w:ascii="Arial" w:cs="Arial" w:eastAsia="Arial" w:hAnsi="Arial"/>
          <w:sz w:val="17"/>
          <w:szCs w:val="17"/>
          <w:u w:val="single" w:color="auto"/>
          <w:color w:val="auto"/>
        </w:rPr>
        <w:t>Language</w:t>
      </w:r>
      <w:r>
        <w:rPr>
          <w:rFonts w:ascii="Arial" w:cs="Arial" w:eastAsia="Arial" w:hAnsi="Arial"/>
          <w:sz w:val="17"/>
          <w:szCs w:val="17"/>
          <w:color w:val="auto"/>
        </w:rPr>
        <w:t>. If Participant has received this Option Agreement or any other document related to the Plan translated into a language other than English and if the meaning of the translated version is different than the English version, the English version will control.</w:t>
      </w:r>
    </w:p>
    <w:p>
      <w:pPr>
        <w:spacing w:after="0" w:line="146"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 xml:space="preserve">23.19 </w:t>
      </w:r>
      <w:r>
        <w:rPr>
          <w:rFonts w:ascii="Arial" w:cs="Arial" w:eastAsia="Arial" w:hAnsi="Arial"/>
          <w:sz w:val="18"/>
          <w:szCs w:val="18"/>
          <w:u w:val="single" w:color="auto"/>
          <w:color w:val="auto"/>
        </w:rPr>
        <w:t>Interpretation</w:t>
      </w:r>
      <w:r>
        <w:rPr>
          <w:rFonts w:ascii="Arial" w:cs="Arial" w:eastAsia="Arial" w:hAnsi="Arial"/>
          <w:sz w:val="18"/>
          <w:szCs w:val="18"/>
          <w:color w:val="auto"/>
        </w:rPr>
        <w:t>. The Administrator will have the power to interpret the Plan and this Option Agreement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418" w:name="page419"/>
    <w:bookmarkEnd w:id="418"/>
    <w:p>
      <w:pPr>
        <w:ind w:right="1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Option Agreement.</w:t>
      </w:r>
    </w:p>
    <w:p>
      <w:pPr>
        <w:spacing w:after="0" w:line="184"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 xml:space="preserve">23.20 </w:t>
      </w:r>
      <w:r>
        <w:rPr>
          <w:rFonts w:ascii="Arial" w:cs="Arial" w:eastAsia="Arial" w:hAnsi="Arial"/>
          <w:sz w:val="17"/>
          <w:szCs w:val="17"/>
          <w:u w:val="single" w:color="auto"/>
          <w:color w:val="auto"/>
        </w:rPr>
        <w:t>Electronic Delivery and Acceptance</w:t>
      </w:r>
      <w:r>
        <w:rPr>
          <w:rFonts w:ascii="Arial" w:cs="Arial" w:eastAsia="Arial" w:hAnsi="Arial"/>
          <w:sz w:val="17"/>
          <w:szCs w:val="17"/>
          <w:color w:val="auto"/>
        </w:rPr>
        <w:t>. The Company may, in its sole discretion, decide to deliver any documents related to the Option awarded under the Plan or future options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71"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 xml:space="preserve">23.21 </w:t>
      </w:r>
      <w:r>
        <w:rPr>
          <w:rFonts w:ascii="Arial" w:cs="Arial" w:eastAsia="Arial" w:hAnsi="Arial"/>
          <w:sz w:val="18"/>
          <w:szCs w:val="18"/>
          <w:u w:val="single" w:color="auto"/>
          <w:color w:val="auto"/>
        </w:rPr>
        <w:t>Captions</w:t>
      </w:r>
      <w:r>
        <w:rPr>
          <w:rFonts w:ascii="Arial" w:cs="Arial" w:eastAsia="Arial" w:hAnsi="Arial"/>
          <w:sz w:val="18"/>
          <w:szCs w:val="18"/>
          <w:color w:val="auto"/>
        </w:rPr>
        <w:t>. Captions provided herein are for convenience only and are not to serve as a basis for interpretation or construction of this Option Agreement.</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23.22 </w:t>
      </w:r>
      <w:r>
        <w:rPr>
          <w:rFonts w:ascii="Arial" w:cs="Arial" w:eastAsia="Arial" w:hAnsi="Arial"/>
          <w:sz w:val="18"/>
          <w:szCs w:val="18"/>
          <w:u w:val="single" w:color="auto"/>
          <w:color w:val="auto"/>
        </w:rPr>
        <w:t>Option Agreement Severable</w:t>
      </w:r>
      <w:r>
        <w:rPr>
          <w:rFonts w:ascii="Arial" w:cs="Arial" w:eastAsia="Arial" w:hAnsi="Arial"/>
          <w:sz w:val="18"/>
          <w:szCs w:val="18"/>
          <w:color w:val="auto"/>
        </w:rPr>
        <w:t>. In the event that any provision in this Option Agreement will be held invalid or unenforceable, such provision will be severable from, and such invalidity or unenforceability will not be construed to have any effect on, the remaining provisions of this Option Agreement.</w:t>
      </w:r>
    </w:p>
    <w:p>
      <w:pPr>
        <w:spacing w:after="0" w:line="184"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 xml:space="preserve">23.23 </w:t>
      </w:r>
      <w:r>
        <w:rPr>
          <w:rFonts w:ascii="Arial" w:cs="Arial" w:eastAsia="Arial" w:hAnsi="Arial"/>
          <w:sz w:val="18"/>
          <w:szCs w:val="18"/>
          <w:u w:val="single" w:color="auto"/>
          <w:color w:val="auto"/>
        </w:rPr>
        <w:t>Amendment, Suspension or Termination of the Plan</w:t>
      </w:r>
      <w:r>
        <w:rPr>
          <w:rFonts w:ascii="Arial" w:cs="Arial" w:eastAsia="Arial" w:hAnsi="Arial"/>
          <w:sz w:val="18"/>
          <w:szCs w:val="18"/>
          <w:color w:val="auto"/>
        </w:rPr>
        <w:t>. By accepting this Option, Participant expressly warrants that he or she has received an Option under the Plan, and has received, read and understood a description of the Plan. Participant understands that the Plan is discretionary in nature and may be amended, suspended or terminated by the Administrator at any time.</w:t>
      </w:r>
    </w:p>
    <w:p>
      <w:pPr>
        <w:spacing w:after="0" w:line="184"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 xml:space="preserve">23.24 </w:t>
      </w:r>
      <w:r>
        <w:rPr>
          <w:rFonts w:ascii="Arial" w:cs="Arial" w:eastAsia="Arial" w:hAnsi="Arial"/>
          <w:sz w:val="18"/>
          <w:szCs w:val="18"/>
          <w:u w:val="single" w:color="auto"/>
          <w:color w:val="auto"/>
        </w:rPr>
        <w:t>Country Addendum</w:t>
      </w:r>
      <w:r>
        <w:rPr>
          <w:rFonts w:ascii="Arial" w:cs="Arial" w:eastAsia="Arial" w:hAnsi="Arial"/>
          <w:sz w:val="18"/>
          <w:szCs w:val="18"/>
          <w:color w:val="auto"/>
        </w:rPr>
        <w:t>. Notwithstanding any provisions in this Option Agreement, this Option shall be subject to any special terms and conditions set forth in an appendix (if any) to this Option Agreement for any country whose laws are applicable to Participant and this Option (as determined by the Administrator in its sole discretion) (the “</w:t>
      </w:r>
      <w:r>
        <w:rPr>
          <w:rFonts w:ascii="Arial" w:cs="Arial" w:eastAsia="Arial" w:hAnsi="Arial"/>
          <w:sz w:val="18"/>
          <w:szCs w:val="18"/>
          <w:u w:val="single" w:color="auto"/>
          <w:color w:val="auto"/>
        </w:rPr>
        <w:t>Country Addendum</w:t>
      </w:r>
      <w:r>
        <w:rPr>
          <w:rFonts w:ascii="Arial" w:cs="Arial" w:eastAsia="Arial" w:hAnsi="Arial"/>
          <w:sz w:val="18"/>
          <w:szCs w:val="18"/>
          <w:color w:val="auto"/>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(if any) constitutes a part of this Option Agreement.</w:t>
      </w:r>
    </w:p>
    <w:p>
      <w:pPr>
        <w:spacing w:after="0" w:line="192" w:lineRule="exact"/>
        <w:rPr>
          <w:sz w:val="20"/>
          <w:szCs w:val="20"/>
          <w:color w:val="auto"/>
        </w:rPr>
      </w:pPr>
    </w:p>
    <w:p>
      <w:pPr>
        <w:ind w:right="100" w:firstLine="440"/>
        <w:spacing w:after="0" w:line="254" w:lineRule="auto"/>
        <w:rPr>
          <w:sz w:val="20"/>
          <w:szCs w:val="20"/>
          <w:color w:val="auto"/>
        </w:rPr>
      </w:pPr>
      <w:r>
        <w:rPr>
          <w:rFonts w:ascii="Arial" w:cs="Arial" w:eastAsia="Arial" w:hAnsi="Arial"/>
          <w:sz w:val="18"/>
          <w:szCs w:val="18"/>
          <w:color w:val="auto"/>
        </w:rPr>
        <w:t xml:space="preserve">23.25 </w:t>
      </w:r>
      <w:r>
        <w:rPr>
          <w:rFonts w:ascii="Arial" w:cs="Arial" w:eastAsia="Arial" w:hAnsi="Arial"/>
          <w:sz w:val="18"/>
          <w:szCs w:val="18"/>
          <w:u w:val="single" w:color="auto"/>
          <w:color w:val="auto"/>
        </w:rPr>
        <w:t>Modifications to the Option Agreement</w:t>
      </w:r>
      <w:r>
        <w:rPr>
          <w:rFonts w:ascii="Arial" w:cs="Arial" w:eastAsia="Arial" w:hAnsi="Arial"/>
          <w:sz w:val="18"/>
          <w:szCs w:val="18"/>
          <w:color w:val="auto"/>
        </w:rPr>
        <w:t>. This Option Agreement constitutes the entire understanding of the parties on the subjects covered. Participant expressly warrants that he or she is not accepting this Option Agreement in reliance on any promises, representations, or inducements other than those contained herein. Modifications to this Option Agreement or the Plan can be made only in an express written contract executed by a duly authorized officer of the Company. Notwithstanding anything to the contrary in the Plan or this Option Agreement, the Company reserves the right to revise this Option Agreement as it deems necessary or advisable, in its sole discretion and without the consent of Participant, to comply with Code Section 409A or to otherwise avoid imposition of any additional tax or income recognition under Section 409A of the Code in connection with the Option.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419" w:name="page420"/>
    <w:bookmarkEnd w:id="419"/>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23.26 </w:t>
      </w:r>
      <w:r>
        <w:rPr>
          <w:rFonts w:ascii="Arial" w:cs="Arial" w:eastAsia="Arial" w:hAnsi="Arial"/>
          <w:sz w:val="18"/>
          <w:szCs w:val="18"/>
          <w:u w:val="single" w:color="auto"/>
          <w:color w:val="auto"/>
        </w:rPr>
        <w:t>No Waiver</w:t>
      </w:r>
      <w:r>
        <w:rPr>
          <w:rFonts w:ascii="Arial" w:cs="Arial" w:eastAsia="Arial" w:hAnsi="Arial"/>
          <w:sz w:val="18"/>
          <w:szCs w:val="18"/>
          <w:color w:val="auto"/>
        </w:rPr>
        <w:t>. Either party’s failure to enforce any provision or provisions of this Option Agreement shall not in any way be construed as a waiver of any such provision or provisions, nor prevent that party from thereafter enforcing each and every other provision of this Option Agreement. The rights granted both parties herein are cumulative and shall not constitute a waiver of either party’s right to assert all other legal remedies available to it under the circumstances.</w:t>
      </w:r>
    </w:p>
    <w:p>
      <w:pPr>
        <w:spacing w:after="0" w:line="187"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 xml:space="preserve">23.27 </w:t>
      </w:r>
      <w:r>
        <w:rPr>
          <w:rFonts w:ascii="Arial" w:cs="Arial" w:eastAsia="Arial" w:hAnsi="Arial"/>
          <w:sz w:val="18"/>
          <w:szCs w:val="18"/>
          <w:u w:val="single" w:color="auto"/>
          <w:color w:val="auto"/>
        </w:rPr>
        <w:t>Tax Consequences</w:t>
      </w:r>
      <w:r>
        <w:rPr>
          <w:rFonts w:ascii="Arial" w:cs="Arial" w:eastAsia="Arial" w:hAnsi="Arial"/>
          <w:sz w:val="18"/>
          <w:szCs w:val="18"/>
          <w:color w:val="auto"/>
        </w:rPr>
        <w:t>. Participant has reviewed with his or her own tax advisers the U.S. federal, state, local and non-U.S. tax consequences of this investment and the transactions contemplated by this Option Agreement. With respect to such matters, Participant relies solely on such advisers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Option Agreement.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420" w:name="page421"/>
    <w:bookmarkEnd w:id="420"/>
    <w:p>
      <w:pPr>
        <w:jc w:val="center"/>
        <w:ind w:right="-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TENAYA THERAPEUTICS,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2021 EQUITY INCENTIVE PLAN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STOCK OPTION AGREEMENT</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EXERCISE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Tenaya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171 Oyster Point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94080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Stock Administration</w:t>
      </w:r>
    </w:p>
    <w:p>
      <w:pPr>
        <w:spacing w:after="0" w:line="211" w:lineRule="exact"/>
        <w:rPr>
          <w:sz w:val="20"/>
          <w:szCs w:val="20"/>
          <w:color w:val="auto"/>
        </w:rPr>
      </w:pPr>
    </w:p>
    <w:p>
      <w:pPr>
        <w:ind w:firstLine="436"/>
        <w:spacing w:after="0" w:line="293" w:lineRule="auto"/>
        <w:tabs>
          <w:tab w:leader="none" w:pos="620" w:val="left"/>
        </w:tabs>
        <w:numPr>
          <w:ilvl w:val="0"/>
          <w:numId w:val="283"/>
        </w:numPr>
        <w:rPr>
          <w:rFonts w:ascii="Arial" w:cs="Arial" w:eastAsia="Arial" w:hAnsi="Arial"/>
          <w:sz w:val="16"/>
          <w:szCs w:val="16"/>
          <w:color w:val="auto"/>
        </w:rPr>
      </w:pPr>
      <w:r>
        <w:rPr>
          <w:rFonts w:ascii="Arial" w:cs="Arial" w:eastAsia="Arial" w:hAnsi="Arial"/>
          <w:sz w:val="16"/>
          <w:szCs w:val="16"/>
          <w:u w:val="single" w:color="auto"/>
          <w:color w:val="auto"/>
        </w:rPr>
        <w:t>Exercise of Option</w:t>
      </w:r>
      <w:r>
        <w:rPr>
          <w:rFonts w:ascii="Arial" w:cs="Arial" w:eastAsia="Arial" w:hAnsi="Arial"/>
          <w:sz w:val="16"/>
          <w:szCs w:val="16"/>
          <w:color w:val="auto"/>
        </w:rPr>
        <w:t>. Effective as of today, ________________, ____, the undersigned (“</w:t>
      </w:r>
      <w:r>
        <w:rPr>
          <w:rFonts w:ascii="Arial" w:cs="Arial" w:eastAsia="Arial" w:hAnsi="Arial"/>
          <w:sz w:val="16"/>
          <w:szCs w:val="16"/>
          <w:u w:val="single" w:color="auto"/>
          <w:color w:val="auto"/>
        </w:rPr>
        <w:t>Participant</w:t>
      </w:r>
      <w:r>
        <w:rPr>
          <w:rFonts w:ascii="Arial" w:cs="Arial" w:eastAsia="Arial" w:hAnsi="Arial"/>
          <w:sz w:val="16"/>
          <w:szCs w:val="16"/>
          <w:color w:val="auto"/>
        </w:rPr>
        <w:t>”) hereby elects to exercise Participant’s option (the “</w:t>
      </w:r>
      <w:r>
        <w:rPr>
          <w:rFonts w:ascii="Arial" w:cs="Arial" w:eastAsia="Arial" w:hAnsi="Arial"/>
          <w:sz w:val="16"/>
          <w:szCs w:val="16"/>
          <w:u w:val="single" w:color="auto"/>
          <w:color w:val="auto"/>
        </w:rPr>
        <w:t>Option</w:t>
      </w:r>
      <w:r>
        <w:rPr>
          <w:rFonts w:ascii="Arial" w:cs="Arial" w:eastAsia="Arial" w:hAnsi="Arial"/>
          <w:sz w:val="16"/>
          <w:szCs w:val="16"/>
          <w:color w:val="auto"/>
        </w:rPr>
        <w:t>”) to purchase ________________ shares of the Common Stock (the “Shares”) of Tenaya Therapeutics, Inc. (the “</w:t>
      </w:r>
      <w:r>
        <w:rPr>
          <w:rFonts w:ascii="Arial" w:cs="Arial" w:eastAsia="Arial" w:hAnsi="Arial"/>
          <w:sz w:val="16"/>
          <w:szCs w:val="16"/>
          <w:u w:val="single" w:color="auto"/>
          <w:color w:val="auto"/>
        </w:rPr>
        <w:t>Company</w:t>
      </w:r>
      <w:r>
        <w:rPr>
          <w:rFonts w:ascii="Arial" w:cs="Arial" w:eastAsia="Arial" w:hAnsi="Arial"/>
          <w:sz w:val="16"/>
          <w:szCs w:val="16"/>
          <w:color w:val="auto"/>
        </w:rPr>
        <w:t>”) under and pursuant to the 2021 Equity Incentive Plan (the “</w:t>
      </w:r>
      <w:r>
        <w:rPr>
          <w:rFonts w:ascii="Arial" w:cs="Arial" w:eastAsia="Arial" w:hAnsi="Arial"/>
          <w:sz w:val="16"/>
          <w:szCs w:val="16"/>
          <w:u w:val="single" w:color="auto"/>
          <w:color w:val="auto"/>
        </w:rPr>
        <w:t>Plan</w:t>
      </w:r>
      <w:r>
        <w:rPr>
          <w:rFonts w:ascii="Arial" w:cs="Arial" w:eastAsia="Arial" w:hAnsi="Arial"/>
          <w:sz w:val="16"/>
          <w:szCs w:val="16"/>
          <w:color w:val="auto"/>
        </w:rPr>
        <w:t xml:space="preserve">”) and the Stock Option Agreement dated ______________, _____, including the Notice of Stock Option Grant, and the Terms and Conditions of Stock Option Grant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thereto and other exhibits, appendices and addenda attached thereto (the “</w:t>
      </w:r>
      <w:r>
        <w:rPr>
          <w:rFonts w:ascii="Arial" w:cs="Arial" w:eastAsia="Arial" w:hAnsi="Arial"/>
          <w:sz w:val="16"/>
          <w:szCs w:val="16"/>
          <w:u w:val="single" w:color="auto"/>
          <w:color w:val="auto"/>
        </w:rPr>
        <w:t>Option Agreement</w:t>
      </w:r>
      <w:r>
        <w:rPr>
          <w:rFonts w:ascii="Arial" w:cs="Arial" w:eastAsia="Arial" w:hAnsi="Arial"/>
          <w:sz w:val="16"/>
          <w:szCs w:val="16"/>
          <w:color w:val="auto"/>
        </w:rPr>
        <w:t>”). Unless otherwise defined herein, capitalized terms used in this Exercise Notice will be ascribed the same defined meanings as set forth in the Option Agreement (or the Plan or other written agreement as specified in the Option Agreement).</w:t>
      </w:r>
    </w:p>
    <w:p>
      <w:pPr>
        <w:spacing w:after="0" w:line="164" w:lineRule="exact"/>
        <w:rPr>
          <w:rFonts w:ascii="Arial" w:cs="Arial" w:eastAsia="Arial" w:hAnsi="Arial"/>
          <w:sz w:val="16"/>
          <w:szCs w:val="16"/>
          <w:color w:val="auto"/>
        </w:rPr>
      </w:pPr>
    </w:p>
    <w:p>
      <w:pPr>
        <w:ind w:right="80" w:firstLine="436"/>
        <w:spacing w:after="0" w:line="277" w:lineRule="auto"/>
        <w:tabs>
          <w:tab w:leader="none" w:pos="620"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Delivery of Payment</w:t>
      </w:r>
      <w:r>
        <w:rPr>
          <w:rFonts w:ascii="Arial" w:cs="Arial" w:eastAsia="Arial" w:hAnsi="Arial"/>
          <w:sz w:val="18"/>
          <w:szCs w:val="18"/>
          <w:color w:val="auto"/>
        </w:rPr>
        <w:t>. Participant herewith delivers to the Company the full purchase price of the Shares, as set forth in the Option Agreement, and any Tax Obligations to be paid in connection with the exercise of the Option.</w:t>
      </w:r>
    </w:p>
    <w:p>
      <w:pPr>
        <w:spacing w:after="0" w:line="170" w:lineRule="exact"/>
        <w:rPr>
          <w:rFonts w:ascii="Arial" w:cs="Arial" w:eastAsia="Arial" w:hAnsi="Arial"/>
          <w:sz w:val="18"/>
          <w:szCs w:val="18"/>
          <w:color w:val="auto"/>
        </w:rPr>
      </w:pPr>
    </w:p>
    <w:p>
      <w:pPr>
        <w:ind w:right="20" w:firstLine="436"/>
        <w:spacing w:after="0" w:line="277" w:lineRule="auto"/>
        <w:tabs>
          <w:tab w:leader="none" w:pos="620"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Representations of Participant</w:t>
      </w:r>
      <w:r>
        <w:rPr>
          <w:rFonts w:ascii="Arial" w:cs="Arial" w:eastAsia="Arial" w:hAnsi="Arial"/>
          <w:sz w:val="18"/>
          <w:szCs w:val="18"/>
          <w:color w:val="auto"/>
        </w:rPr>
        <w:t>. Participant acknowledges that Participant has received, read and understood the Plan and the Option Agreement and agrees to abide by and be bound by their terms and conditions.</w:t>
      </w:r>
    </w:p>
    <w:p>
      <w:pPr>
        <w:spacing w:after="0" w:line="170" w:lineRule="exact"/>
        <w:rPr>
          <w:rFonts w:ascii="Arial" w:cs="Arial" w:eastAsia="Arial" w:hAnsi="Arial"/>
          <w:sz w:val="18"/>
          <w:szCs w:val="18"/>
          <w:color w:val="auto"/>
        </w:rPr>
      </w:pPr>
    </w:p>
    <w:p>
      <w:pPr>
        <w:ind w:right="60" w:firstLine="436"/>
        <w:spacing w:after="0" w:line="275" w:lineRule="auto"/>
        <w:tabs>
          <w:tab w:leader="none" w:pos="620" w:val="left"/>
        </w:tabs>
        <w:numPr>
          <w:ilvl w:val="0"/>
          <w:numId w:val="283"/>
        </w:numPr>
        <w:rPr>
          <w:rFonts w:ascii="Arial" w:cs="Arial" w:eastAsia="Arial" w:hAnsi="Arial"/>
          <w:sz w:val="17"/>
          <w:szCs w:val="17"/>
          <w:color w:val="auto"/>
        </w:rPr>
      </w:pPr>
      <w:r>
        <w:rPr>
          <w:rFonts w:ascii="Arial" w:cs="Arial" w:eastAsia="Arial" w:hAnsi="Arial"/>
          <w:sz w:val="17"/>
          <w:szCs w:val="17"/>
          <w:u w:val="single" w:color="auto"/>
          <w:color w:val="auto"/>
        </w:rPr>
        <w:t>Rights as Stockholder</w:t>
      </w:r>
      <w:r>
        <w:rPr>
          <w:rFonts w:ascii="Arial" w:cs="Arial" w:eastAsia="Arial" w:hAnsi="Arial"/>
          <w:sz w:val="17"/>
          <w:szCs w:val="17"/>
          <w:color w:val="auto"/>
        </w:rPr>
        <w:t>. Until the issuance of the Shares (as evidenced by the appropriate entry on the books of the Company or of a duly authorized transfer agent of the Company), no right to vote or receive dividends or any other rights as a stockholder shall exist with respect to the Common Stock subject to the Option, notwithstanding the exercise of the Option. The Shares so acquired shall be issued to Participant as soon as practicable after the Option is exercised in accordance with the Option Agreement. No adjustment shall be made for a dividend or other right for which the record date is prior to the date of issuance except as provided in Section 14 of the Plan.</w:t>
      </w:r>
    </w:p>
    <w:p>
      <w:pPr>
        <w:spacing w:after="0" w:line="176" w:lineRule="exact"/>
        <w:rPr>
          <w:rFonts w:ascii="Arial" w:cs="Arial" w:eastAsia="Arial" w:hAnsi="Arial"/>
          <w:sz w:val="17"/>
          <w:szCs w:val="17"/>
          <w:color w:val="auto"/>
        </w:rPr>
      </w:pPr>
    </w:p>
    <w:p>
      <w:pPr>
        <w:ind w:right="140" w:firstLine="436"/>
        <w:spacing w:after="0" w:line="286" w:lineRule="auto"/>
        <w:tabs>
          <w:tab w:leader="none" w:pos="620" w:val="left"/>
        </w:tabs>
        <w:numPr>
          <w:ilvl w:val="0"/>
          <w:numId w:val="283"/>
        </w:numPr>
        <w:rPr>
          <w:rFonts w:ascii="Arial" w:cs="Arial" w:eastAsia="Arial" w:hAnsi="Arial"/>
          <w:sz w:val="17"/>
          <w:szCs w:val="17"/>
          <w:color w:val="auto"/>
        </w:rPr>
      </w:pPr>
      <w:r>
        <w:rPr>
          <w:rFonts w:ascii="Arial" w:cs="Arial" w:eastAsia="Arial" w:hAnsi="Arial"/>
          <w:sz w:val="17"/>
          <w:szCs w:val="17"/>
          <w:u w:val="single" w:color="auto"/>
          <w:color w:val="auto"/>
        </w:rPr>
        <w:t>Tax Consultation</w:t>
      </w:r>
      <w:r>
        <w:rPr>
          <w:rFonts w:ascii="Arial" w:cs="Arial" w:eastAsia="Arial" w:hAnsi="Arial"/>
          <w:sz w:val="17"/>
          <w:szCs w:val="17"/>
          <w:color w:val="auto"/>
        </w:rPr>
        <w:t>. Participant understands that Participant may suffer adverse tax consequences as a result of Participant’s purchase or disposition of the Shares. Participant represents that Participant has consulted with any tax consultants Participant deems advisable in connection with the purchase or disposition of the Shares and that Participant is not relying on the Company for any tax advice.</w:t>
      </w:r>
    </w:p>
    <w:p>
      <w:pPr>
        <w:sectPr>
          <w:pgSz w:w="11900" w:h="16838" w:orient="portrait"/>
          <w:cols w:equalWidth="0" w:num="1">
            <w:col w:w="10940"/>
          </w:cols>
          <w:pgMar w:left="440" w:top="270" w:right="519" w:bottom="1440" w:gutter="0" w:footer="0" w:header="0"/>
        </w:sectPr>
      </w:pPr>
    </w:p>
    <w:bookmarkStart w:id="421" w:name="page422"/>
    <w:bookmarkEnd w:id="421"/>
    <w:p>
      <w:pPr>
        <w:ind w:right="20" w:firstLine="436"/>
        <w:spacing w:after="0" w:line="263" w:lineRule="auto"/>
        <w:tabs>
          <w:tab w:leader="none" w:pos="620"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Interpretation</w:t>
      </w:r>
      <w:r>
        <w:rPr>
          <w:rFonts w:ascii="Arial" w:cs="Arial" w:eastAsia="Arial" w:hAnsi="Arial"/>
          <w:sz w:val="18"/>
          <w:szCs w:val="18"/>
          <w:color w:val="auto"/>
        </w:rPr>
        <w:t>. Any dispute regarding the interpretation of this Exercise Notice shall be submitted by Participant or by the Company forthwith to the Administrator, which shall review such dispute at its next regular meeting. The resolution of such a dispute by the Administrator shall be final and binding on all parties to the maximum extent permitted by law.</w:t>
      </w:r>
    </w:p>
    <w:p>
      <w:pPr>
        <w:spacing w:after="0" w:line="183" w:lineRule="exact"/>
        <w:rPr>
          <w:rFonts w:ascii="Arial" w:cs="Arial" w:eastAsia="Arial" w:hAnsi="Arial"/>
          <w:sz w:val="18"/>
          <w:szCs w:val="18"/>
          <w:color w:val="auto"/>
        </w:rPr>
      </w:pPr>
    </w:p>
    <w:p>
      <w:pPr>
        <w:ind w:right="180" w:firstLine="436"/>
        <w:spacing w:after="0" w:line="263" w:lineRule="auto"/>
        <w:tabs>
          <w:tab w:leader="none" w:pos="620"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Governing Law; Severability</w:t>
      </w:r>
      <w:r>
        <w:rPr>
          <w:rFonts w:ascii="Arial" w:cs="Arial" w:eastAsia="Arial" w:hAnsi="Arial"/>
          <w:sz w:val="18"/>
          <w:szCs w:val="18"/>
          <w:color w:val="auto"/>
        </w:rPr>
        <w:t>. This Exercise Notice is governed by the internal substantive laws, but not the choice of law rules, of California. In the event that any provision hereof becomes or is declared by a court of competent jurisdiction to be illegal, unenforceable or void, this Exercise Notice shall continue in full force and effect.</w:t>
      </w:r>
    </w:p>
    <w:p>
      <w:pPr>
        <w:spacing w:after="0" w:line="183" w:lineRule="exact"/>
        <w:rPr>
          <w:rFonts w:ascii="Arial" w:cs="Arial" w:eastAsia="Arial" w:hAnsi="Arial"/>
          <w:sz w:val="18"/>
          <w:szCs w:val="18"/>
          <w:color w:val="auto"/>
        </w:rPr>
      </w:pPr>
    </w:p>
    <w:p>
      <w:pPr>
        <w:ind w:right="40" w:firstLine="436"/>
        <w:spacing w:after="0" w:line="257" w:lineRule="auto"/>
        <w:tabs>
          <w:tab w:leader="none" w:pos="620"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The Plan and Option Agreement are incorporated herein by reference. The Plan and the Option Agreement (including this Exercise Notice and any exhibits, appendices, and addenda attached to the Notice of Stock Option Grant of the Option Agreement) constitute the entire agreement of the parties with respect to the subject matter hereof and supersede in their entirety all prior undertakings and agreements of the Company and Participant with respect to the subject matter hereof, and may not be modified adversely to Participant’s interest except by means of a writing signed by the Company and Participant.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Submitted by:</w:t>
            </w:r>
          </w:p>
        </w:tc>
        <w:tc>
          <w:tcPr>
            <w:tcW w:w="5280" w:type="dxa"/>
            <w:vAlign w:val="bottom"/>
          </w:tcPr>
          <w:p>
            <w:pPr>
              <w:ind w:left="100"/>
              <w:spacing w:after="0"/>
              <w:rPr>
                <w:sz w:val="20"/>
                <w:szCs w:val="20"/>
                <w:color w:val="auto"/>
              </w:rPr>
            </w:pPr>
            <w:r>
              <w:rPr>
                <w:rFonts w:ascii="Arial" w:cs="Arial" w:eastAsia="Arial" w:hAnsi="Arial"/>
                <w:sz w:val="18"/>
                <w:szCs w:val="18"/>
                <w:color w:val="auto"/>
              </w:rPr>
              <w:t>Accepted by:</w:t>
            </w:r>
          </w:p>
        </w:tc>
        <w:tc>
          <w:tcPr>
            <w:tcW w:w="0" w:type="dxa"/>
            <w:vAlign w:val="bottom"/>
          </w:tcPr>
          <w:p>
            <w:pPr>
              <w:spacing w:after="0"/>
              <w:rPr>
                <w:sz w:val="1"/>
                <w:szCs w:val="1"/>
                <w:color w:val="auto"/>
              </w:rPr>
            </w:pP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PARTICIPANT</w:t>
            </w:r>
          </w:p>
        </w:tc>
        <w:tc>
          <w:tcPr>
            <w:tcW w:w="5280" w:type="dxa"/>
            <w:vAlign w:val="bottom"/>
          </w:tcPr>
          <w:p>
            <w:pPr>
              <w:ind w:left="100"/>
              <w:spacing w:after="0"/>
              <w:rPr>
                <w:sz w:val="20"/>
                <w:szCs w:val="20"/>
                <w:color w:val="auto"/>
              </w:rPr>
            </w:pPr>
            <w:r>
              <w:rPr>
                <w:rFonts w:ascii="Arial" w:cs="Arial" w:eastAsia="Arial" w:hAnsi="Arial"/>
                <w:sz w:val="18"/>
                <w:szCs w:val="18"/>
                <w:color w:val="auto"/>
              </w:rPr>
              <w:t>TENAYA THERAPEUTICS, INC.</w:t>
            </w:r>
          </w:p>
        </w:tc>
        <w:tc>
          <w:tcPr>
            <w:tcW w:w="0" w:type="dxa"/>
            <w:vAlign w:val="bottom"/>
          </w:tcPr>
          <w:p>
            <w:pPr>
              <w:spacing w:after="0"/>
              <w:rPr>
                <w:sz w:val="1"/>
                <w:szCs w:val="1"/>
                <w:color w:val="auto"/>
              </w:rPr>
            </w:pPr>
          </w:p>
        </w:tc>
      </w:tr>
      <w:tr>
        <w:trPr>
          <w:trHeight w:val="473"/>
        </w:trPr>
        <w:tc>
          <w:tcPr>
            <w:tcW w:w="5180" w:type="dxa"/>
            <w:vAlign w:val="bottom"/>
            <w:tcBorders>
              <w:bottom w:val="single" w:sz="8" w:color="auto"/>
            </w:tcBorders>
          </w:tcPr>
          <w:p>
            <w:pPr>
              <w:spacing w:after="0"/>
              <w:rPr>
                <w:sz w:val="24"/>
                <w:szCs w:val="24"/>
                <w:color w:val="auto"/>
              </w:rPr>
            </w:pPr>
          </w:p>
        </w:tc>
        <w:tc>
          <w:tcPr>
            <w:tcW w:w="560" w:type="dxa"/>
            <w:vAlign w:val="bottom"/>
            <w:vMerge w:val="restart"/>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180" w:type="dxa"/>
            <w:vAlign w:val="bottom"/>
          </w:tcPr>
          <w:p>
            <w:pPr>
              <w:spacing w:after="0"/>
              <w:rPr>
                <w:sz w:val="20"/>
                <w:szCs w:val="20"/>
                <w:color w:val="auto"/>
              </w:rPr>
            </w:pPr>
            <w:r>
              <w:rPr>
                <w:rFonts w:ascii="Arial" w:cs="Arial" w:eastAsia="Arial" w:hAnsi="Arial"/>
                <w:sz w:val="18"/>
                <w:szCs w:val="18"/>
                <w:color w:val="auto"/>
              </w:rPr>
              <w:t>Signature</w:t>
            </w:r>
          </w:p>
        </w:tc>
        <w:tc>
          <w:tcPr>
            <w:tcW w:w="560" w:type="dxa"/>
            <w:vAlign w:val="bottom"/>
            <w:vMerge w:val="continue"/>
          </w:tcPr>
          <w:p>
            <w:pPr>
              <w:spacing w:after="0"/>
              <w:rPr>
                <w:sz w:val="19"/>
                <w:szCs w:val="19"/>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02"/>
        </w:trPr>
        <w:tc>
          <w:tcPr>
            <w:tcW w:w="5180" w:type="dxa"/>
            <w:vAlign w:val="bottom"/>
            <w:tcBorders>
              <w:bottom w:val="single" w:sz="8" w:color="auto"/>
            </w:tcBorders>
          </w:tcPr>
          <w:p>
            <w:pPr>
              <w:spacing w:after="0"/>
              <w:rPr>
                <w:sz w:val="17"/>
                <w:szCs w:val="17"/>
                <w:color w:val="auto"/>
              </w:rPr>
            </w:pPr>
          </w:p>
        </w:tc>
        <w:tc>
          <w:tcPr>
            <w:tcW w:w="560" w:type="dxa"/>
            <w:vAlign w:val="bottom"/>
            <w:vMerge w:val="restart"/>
          </w:tcPr>
          <w:p>
            <w:pPr>
              <w:spacing w:after="0"/>
              <w:rPr>
                <w:sz w:val="17"/>
                <w:szCs w:val="17"/>
                <w:color w:val="auto"/>
              </w:rPr>
            </w:pPr>
          </w:p>
        </w:tc>
        <w:tc>
          <w:tcPr>
            <w:tcW w:w="5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180" w:type="dxa"/>
            <w:vAlign w:val="bottom"/>
          </w:tcPr>
          <w:p>
            <w:pPr>
              <w:spacing w:after="0"/>
              <w:rPr>
                <w:sz w:val="20"/>
                <w:szCs w:val="20"/>
                <w:color w:val="auto"/>
              </w:rPr>
            </w:pPr>
            <w:r>
              <w:rPr>
                <w:rFonts w:ascii="Arial" w:cs="Arial" w:eastAsia="Arial" w:hAnsi="Arial"/>
                <w:sz w:val="18"/>
                <w:szCs w:val="18"/>
                <w:color w:val="auto"/>
              </w:rPr>
              <w:t>Print Name</w:t>
            </w:r>
          </w:p>
        </w:tc>
        <w:tc>
          <w:tcPr>
            <w:tcW w:w="560" w:type="dxa"/>
            <w:vAlign w:val="bottom"/>
            <w:vMerge w:val="continue"/>
          </w:tcPr>
          <w:p>
            <w:pPr>
              <w:spacing w:after="0"/>
              <w:rPr>
                <w:sz w:val="19"/>
                <w:szCs w:val="19"/>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Print Name</w:t>
            </w:r>
          </w:p>
        </w:tc>
        <w:tc>
          <w:tcPr>
            <w:tcW w:w="0" w:type="dxa"/>
            <w:vAlign w:val="bottom"/>
          </w:tcPr>
          <w:p>
            <w:pPr>
              <w:spacing w:after="0"/>
              <w:rPr>
                <w:sz w:val="1"/>
                <w:szCs w:val="1"/>
                <w:color w:val="auto"/>
              </w:rPr>
            </w:pPr>
          </w:p>
        </w:tc>
      </w:tr>
      <w:tr>
        <w:trPr>
          <w:trHeight w:val="242"/>
        </w:trPr>
        <w:tc>
          <w:tcPr>
            <w:tcW w:w="5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431"/>
        </w:trPr>
        <w:tc>
          <w:tcPr>
            <w:tcW w:w="574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5280" w:type="dxa"/>
            <w:vAlign w:val="bottom"/>
          </w:tcPr>
          <w:p>
            <w:pPr>
              <w:ind w:left="100"/>
              <w:spacing w:after="0"/>
              <w:rPr>
                <w:sz w:val="20"/>
                <w:szCs w:val="20"/>
                <w:color w:val="auto"/>
              </w:rPr>
            </w:pPr>
            <w:r>
              <w:rPr>
                <w:rFonts w:ascii="Arial" w:cs="Arial" w:eastAsia="Arial" w:hAnsi="Arial"/>
                <w:sz w:val="18"/>
                <w:szCs w:val="18"/>
                <w:color w:val="auto"/>
              </w:rPr>
              <w:t>Address:</w:t>
            </w:r>
          </w:p>
        </w:tc>
        <w:tc>
          <w:tcPr>
            <w:tcW w:w="0" w:type="dxa"/>
            <w:vAlign w:val="bottom"/>
          </w:tcPr>
          <w:p>
            <w:pPr>
              <w:spacing w:after="0"/>
              <w:rPr>
                <w:sz w:val="1"/>
                <w:szCs w:val="1"/>
                <w:color w:val="auto"/>
              </w:rPr>
            </w:pPr>
          </w:p>
        </w:tc>
      </w:tr>
      <w:tr>
        <w:trPr>
          <w:trHeight w:val="365"/>
        </w:trPr>
        <w:tc>
          <w:tcPr>
            <w:tcW w:w="518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180" w:type="dxa"/>
            <w:vAlign w:val="bottom"/>
            <w:tcBorders>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5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Date Received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422" w:name="page423"/>
    <w:bookmarkEnd w:id="422"/>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TENAYA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2021 EQUITY INCENTIVE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COUNTRY ADDENDUM TO STOCK OPTION AGREEMENT</w:t>
      </w:r>
    </w:p>
    <w:p>
      <w:pPr>
        <w:spacing w:after="0" w:line="229"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Unless otherwise defined herein, capitalized terms used in this Country Addendum to Stock Option Agreement (the “</w:t>
      </w:r>
      <w:r>
        <w:rPr>
          <w:rFonts w:ascii="Arial" w:cs="Arial" w:eastAsia="Arial" w:hAnsi="Arial"/>
          <w:sz w:val="18"/>
          <w:szCs w:val="18"/>
          <w:u w:val="single" w:color="auto"/>
          <w:color w:val="auto"/>
        </w:rPr>
        <w:t>Country Addendum</w:t>
      </w:r>
      <w:r>
        <w:rPr>
          <w:rFonts w:ascii="Arial" w:cs="Arial" w:eastAsia="Arial" w:hAnsi="Arial"/>
          <w:sz w:val="18"/>
          <w:szCs w:val="18"/>
          <w:color w:val="auto"/>
        </w:rPr>
        <w:t>”) will be ascribed the same defined meanings as set forth in the Option Agreement of which this Country Addendum forms a part (or the Plan or other written agreement as specified in the Option Agreement).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7"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This Country Addendum includes additional terms and conditions that govern this Option awarded to Participant under the Plan if he or she resides and/or works in one of the countries listed below. If Participant is a citizen or resident (or is considered as such for local law purposes) of a country other than the country in which Participant is currently residing and/or working, or if Participant relocates to another country after the Options is granted, the Company, in its discretion, shall determine to what extent the terms and conditions contained herein shall apply to Participant.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7" w:lineRule="exact"/>
        <w:rPr>
          <w:sz w:val="20"/>
          <w:szCs w:val="20"/>
          <w:color w:val="auto"/>
        </w:rPr>
      </w:pPr>
    </w:p>
    <w:p>
      <w:pPr>
        <w:ind w:right="60" w:firstLine="440"/>
        <w:spacing w:after="0" w:line="287" w:lineRule="auto"/>
        <w:rPr>
          <w:sz w:val="20"/>
          <w:szCs w:val="20"/>
          <w:color w:val="auto"/>
        </w:rPr>
      </w:pPr>
      <w:r>
        <w:rPr>
          <w:rFonts w:ascii="Arial" w:cs="Arial" w:eastAsia="Arial" w:hAnsi="Arial"/>
          <w:sz w:val="16"/>
          <w:szCs w:val="16"/>
          <w:color w:val="auto"/>
        </w:rPr>
        <w:t>This Country Addendum also may include information regarding exchange controls and certain other issues of which Participant should be aware with respect to participation in the Plan. The information is based on the securities, exchange control, and other Applicable Laws in effect in the respective countries as of [______], 2021. Such Applicable Laws often are complex and change frequently. As a result, the Company strongly</w:t>
      </w:r>
    </w:p>
    <w:p>
      <w:pPr>
        <w:spacing w:after="0" w:line="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recommends that Participant not rely on the information in this Country Addendum as the only source of information relating to the consequences of Participant’s participation in the Plan because the information may be out of date at the time Participant vests in or exercises the Option or sells Shares acquired under the Plan.</w:t>
      </w:r>
    </w:p>
    <w:p>
      <w:pPr>
        <w:spacing w:after="0" w:line="190"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In addition, the information contained in this Country Addendum is general in nature and may not apply to Participant’s particular situation, and the Company is not in a position to assure Participant of a particular result. Participant should seek appropriate professional advice as to how the Applicable Laws in Participant’s country may apply to his or her situation.</w:t>
      </w:r>
    </w:p>
    <w:p>
      <w:pPr>
        <w:spacing w:after="0" w:line="184"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Finally, if Participant is a citizen or resident of a country other than the one in which Participant currently is residing and/or working, transfers residence and/or employment to another country after this Option is awarded, or is considered a resident of another country for local law purposes, the information in this Country Addendum may not apply to Participant in the same manner.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0" w:right="479" w:bottom="1440" w:gutter="0" w:footer="0" w:header="0"/>
        </w:sectPr>
      </w:pPr>
    </w:p>
    <w:bookmarkStart w:id="423" w:name="page424"/>
    <w:bookmarkEnd w:id="423"/>
    <w:p>
      <w:pPr>
        <w:jc w:val="right"/>
        <w:spacing w:after="0"/>
        <w:rPr>
          <w:sz w:val="20"/>
          <w:szCs w:val="20"/>
          <w:color w:val="auto"/>
        </w:rPr>
      </w:pPr>
      <w:r>
        <w:rPr>
          <w:rFonts w:ascii="Arial" w:cs="Arial" w:eastAsia="Arial" w:hAnsi="Arial"/>
          <w:sz w:val="18"/>
          <w:szCs w:val="18"/>
          <w:b w:val="1"/>
          <w:bCs w:val="1"/>
          <w:color w:val="auto"/>
        </w:rPr>
        <w:t>Exhibit 10.4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TENAYA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EMPLOYEE STOCK PURCHASE PLAN</w:t>
      </w:r>
    </w:p>
    <w:p>
      <w:pPr>
        <w:spacing w:after="0" w:line="229" w:lineRule="exact"/>
        <w:rPr>
          <w:sz w:val="20"/>
          <w:szCs w:val="20"/>
          <w:color w:val="auto"/>
        </w:rPr>
      </w:pPr>
    </w:p>
    <w:p>
      <w:pPr>
        <w:ind w:right="40" w:firstLine="436"/>
        <w:spacing w:after="0" w:line="283" w:lineRule="auto"/>
        <w:tabs>
          <w:tab w:leader="none" w:pos="620" w:val="left"/>
        </w:tabs>
        <w:numPr>
          <w:ilvl w:val="0"/>
          <w:numId w:val="285"/>
        </w:numPr>
        <w:rPr>
          <w:rFonts w:ascii="Arial" w:cs="Arial" w:eastAsia="Arial" w:hAnsi="Arial"/>
          <w:sz w:val="16"/>
          <w:szCs w:val="16"/>
          <w:color w:val="auto"/>
        </w:rPr>
      </w:pPr>
      <w:r>
        <w:rPr>
          <w:rFonts w:ascii="Arial" w:cs="Arial" w:eastAsia="Arial" w:hAnsi="Arial"/>
          <w:sz w:val="16"/>
          <w:szCs w:val="16"/>
          <w:u w:val="single" w:color="auto"/>
          <w:color w:val="auto"/>
        </w:rPr>
        <w:t>Purpose</w:t>
      </w:r>
      <w:r>
        <w:rPr>
          <w:rFonts w:ascii="Arial" w:cs="Arial" w:eastAsia="Arial" w:hAnsi="Arial"/>
          <w:sz w:val="16"/>
          <w:szCs w:val="16"/>
          <w:color w:val="auto"/>
        </w:rPr>
        <w:t>. The purpose of the Plan is to provide employees of the Company and its Designated Companies with an opportunity to purchase Common Stock through accumulated Contributions. The Company intends for the Plan to have two components: a component that is intended to qualify as an “employee stock purchase plan” under Code Section 423 (the “</w:t>
      </w:r>
      <w:r>
        <w:rPr>
          <w:rFonts w:ascii="Arial" w:cs="Arial" w:eastAsia="Arial" w:hAnsi="Arial"/>
          <w:sz w:val="16"/>
          <w:szCs w:val="16"/>
          <w:u w:val="single" w:color="auto"/>
          <w:color w:val="auto"/>
        </w:rPr>
        <w:t>423 Component</w:t>
      </w:r>
      <w:r>
        <w:rPr>
          <w:rFonts w:ascii="Arial" w:cs="Arial" w:eastAsia="Arial" w:hAnsi="Arial"/>
          <w:sz w:val="16"/>
          <w:szCs w:val="16"/>
          <w:color w:val="auto"/>
        </w:rPr>
        <w:t>”) and a component that is not intended to qualify as an “employee stock purchase plan” under Code Section 423 (the “</w:t>
      </w:r>
      <w:r>
        <w:rPr>
          <w:rFonts w:ascii="Arial" w:cs="Arial" w:eastAsia="Arial" w:hAnsi="Arial"/>
          <w:sz w:val="16"/>
          <w:szCs w:val="16"/>
          <w:u w:val="single" w:color="auto"/>
          <w:color w:val="auto"/>
        </w:rPr>
        <w:t>Non-423 Component</w:t>
      </w:r>
      <w:r>
        <w:rPr>
          <w:rFonts w:ascii="Arial" w:cs="Arial" w:eastAsia="Arial" w:hAnsi="Arial"/>
          <w:sz w:val="16"/>
          <w:szCs w:val="16"/>
          <w:color w:val="auto"/>
        </w:rPr>
        <w:t>”). The provisions of the 423 Component, accordingly, will be construed so as to extend and limit Plan participation in a uniform and nondiscriminatory basis consistent with the requirements of Code Section 423. In addition, this Plan authorizes the grant of an option to purchase shares of Common Stock under the Non-423 Component that does not qualify as an “employee stock purchase plan” under Code Section 423; an option granted under the Non-423 Component will provide for substantially the same benefits as an option granted under the 423 Component, except that a Non-423 Component option may include features necessary to comply with applicable non-U.S. laws pursuant to rules, procedures or sub-plans adopted by the Administrator. Except as otherwise provided herein or by the Administrator, the</w:t>
      </w:r>
    </w:p>
    <w:p>
      <w:pPr>
        <w:spacing w:after="0" w:line="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Non-423 Component will operate and be administered in the same manner as the 423 Component.</w:t>
      </w:r>
    </w:p>
    <w:p>
      <w:pPr>
        <w:spacing w:after="0" w:line="210" w:lineRule="exact"/>
        <w:rPr>
          <w:rFonts w:ascii="Arial" w:cs="Arial" w:eastAsia="Arial" w:hAnsi="Arial"/>
          <w:sz w:val="16"/>
          <w:szCs w:val="16"/>
          <w:color w:val="auto"/>
        </w:rPr>
      </w:pPr>
    </w:p>
    <w:p>
      <w:pPr>
        <w:ind w:left="620" w:hanging="184"/>
        <w:spacing w:after="0"/>
        <w:tabs>
          <w:tab w:leader="none" w:pos="620" w:val="left"/>
        </w:tabs>
        <w:numPr>
          <w:ilvl w:val="0"/>
          <w:numId w:val="28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Administrator</w:t>
      </w:r>
      <w:r>
        <w:rPr>
          <w:rFonts w:ascii="Arial" w:cs="Arial" w:eastAsia="Arial" w:hAnsi="Arial"/>
          <w:sz w:val="18"/>
          <w:szCs w:val="18"/>
          <w:color w:val="auto"/>
        </w:rPr>
        <w:t>” means the Board or any Committee designated by the Board to administer the Plan pursuant to Section 4.</w:t>
      </w:r>
    </w:p>
    <w:p>
      <w:pPr>
        <w:spacing w:after="0" w:line="225"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where options are, or will be, granted under the Plan.</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2.3 “</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occurrence of any of the following events:</w:t>
      </w:r>
    </w:p>
    <w:p>
      <w:pPr>
        <w:spacing w:after="0" w:line="117" w:lineRule="exact"/>
        <w:rPr>
          <w:sz w:val="20"/>
          <w:szCs w:val="20"/>
          <w:color w:val="auto"/>
        </w:rPr>
      </w:pPr>
    </w:p>
    <w:p>
      <w:pPr>
        <w:ind w:right="20" w:firstLine="1428"/>
        <w:spacing w:after="0" w:line="272" w:lineRule="auto"/>
        <w:tabs>
          <w:tab w:leader="none" w:pos="1677" w:val="left"/>
        </w:tabs>
        <w:numPr>
          <w:ilvl w:val="0"/>
          <w:numId w:val="286"/>
        </w:numPr>
        <w:rPr>
          <w:rFonts w:ascii="Arial" w:cs="Arial" w:eastAsia="Arial" w:hAnsi="Arial"/>
          <w:sz w:val="17"/>
          <w:szCs w:val="17"/>
          <w:color w:val="auto"/>
        </w:rPr>
      </w:pPr>
      <w:r>
        <w:rPr>
          <w:rFonts w:ascii="Arial" w:cs="Arial" w:eastAsia="Arial" w:hAnsi="Arial"/>
          <w:sz w:val="17"/>
          <w:szCs w:val="17"/>
          <w:u w:val="single" w:color="auto"/>
          <w:color w:val="auto"/>
        </w:rPr>
        <w:t>Change in Ownership of the Company</w:t>
      </w:r>
      <w:r>
        <w:rPr>
          <w:rFonts w:ascii="Arial" w:cs="Arial" w:eastAsia="Arial" w:hAnsi="Arial"/>
          <w:sz w:val="17"/>
          <w:szCs w:val="17"/>
          <w:color w:val="auto"/>
        </w:rPr>
        <w:t>. A change in the ownership of the Company which occurs on the date that any one person, or more than one person acting as a group (“</w:t>
      </w:r>
      <w:r>
        <w:rPr>
          <w:rFonts w:ascii="Arial" w:cs="Arial" w:eastAsia="Arial" w:hAnsi="Arial"/>
          <w:sz w:val="17"/>
          <w:szCs w:val="17"/>
          <w:u w:val="single" w:color="auto"/>
          <w:color w:val="auto"/>
        </w:rPr>
        <w:t>Person</w:t>
      </w:r>
      <w:r>
        <w:rPr>
          <w:rFonts w:ascii="Arial" w:cs="Arial" w:eastAsia="Arial" w:hAnsi="Arial"/>
          <w:sz w:val="17"/>
          <w:szCs w:val="17"/>
          <w:color w:val="auto"/>
        </w:rPr>
        <w:t>”),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w:t>
      </w:r>
    </w:p>
    <w:p>
      <w:pPr>
        <w:sectPr>
          <w:pgSz w:w="11900" w:h="16838" w:orient="portrait"/>
          <w:cols w:equalWidth="0" w:num="1">
            <w:col w:w="11020"/>
          </w:cols>
          <w:pgMar w:left="440" w:top="121" w:right="439" w:bottom="1440" w:gutter="0" w:footer="0" w:header="0"/>
        </w:sectPr>
      </w:pPr>
    </w:p>
    <w:bookmarkStart w:id="424" w:name="page425"/>
    <w:bookmarkEnd w:id="424"/>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(a).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92" w:lineRule="exact"/>
        <w:rPr>
          <w:sz w:val="20"/>
          <w:szCs w:val="20"/>
          <w:color w:val="auto"/>
        </w:rPr>
      </w:pPr>
    </w:p>
    <w:p>
      <w:pPr>
        <w:jc w:val="both"/>
        <w:ind w:right="40" w:firstLine="1428"/>
        <w:spacing w:after="0" w:line="275" w:lineRule="auto"/>
        <w:tabs>
          <w:tab w:leader="none" w:pos="1687" w:val="left"/>
        </w:tabs>
        <w:numPr>
          <w:ilvl w:val="0"/>
          <w:numId w:val="287"/>
        </w:numPr>
        <w:rPr>
          <w:rFonts w:ascii="Arial" w:cs="Arial" w:eastAsia="Arial" w:hAnsi="Arial"/>
          <w:sz w:val="17"/>
          <w:szCs w:val="17"/>
          <w:color w:val="auto"/>
        </w:rPr>
      </w:pPr>
      <w:r>
        <w:rPr>
          <w:rFonts w:ascii="Arial" w:cs="Arial" w:eastAsia="Arial" w:hAnsi="Arial"/>
          <w:sz w:val="17"/>
          <w:szCs w:val="17"/>
          <w:u w:val="single" w:color="auto"/>
          <w:color w:val="auto"/>
        </w:rPr>
        <w:t>Change in Effective Control of the Company</w:t>
      </w:r>
      <w:r>
        <w:rPr>
          <w:rFonts w:ascii="Arial" w:cs="Arial" w:eastAsia="Arial" w:hAnsi="Arial"/>
          <w:sz w:val="17"/>
          <w:szCs w:val="17"/>
          <w:color w:val="auto"/>
        </w:rPr>
        <w:t>. If the Company has a class of securities 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spacing w:after="0" w:line="176" w:lineRule="exact"/>
        <w:rPr>
          <w:rFonts w:ascii="Arial" w:cs="Arial" w:eastAsia="Arial" w:hAnsi="Arial"/>
          <w:sz w:val="17"/>
          <w:szCs w:val="17"/>
          <w:color w:val="auto"/>
        </w:rPr>
      </w:pPr>
    </w:p>
    <w:p>
      <w:pPr>
        <w:jc w:val="both"/>
        <w:ind w:firstLine="1428"/>
        <w:spacing w:after="0" w:line="287" w:lineRule="auto"/>
        <w:tabs>
          <w:tab w:leader="none" w:pos="1677" w:val="left"/>
        </w:tabs>
        <w:numPr>
          <w:ilvl w:val="0"/>
          <w:numId w:val="287"/>
        </w:numPr>
        <w:rPr>
          <w:rFonts w:ascii="Arial" w:cs="Arial" w:eastAsia="Arial" w:hAnsi="Arial"/>
          <w:sz w:val="16"/>
          <w:szCs w:val="16"/>
          <w:color w:val="auto"/>
        </w:rPr>
      </w:pPr>
      <w:r>
        <w:rPr>
          <w:rFonts w:ascii="Arial" w:cs="Arial" w:eastAsia="Arial" w:hAnsi="Arial"/>
          <w:sz w:val="16"/>
          <w:szCs w:val="16"/>
          <w:u w:val="single" w:color="auto"/>
          <w:color w:val="auto"/>
        </w:rPr>
        <w:t>Change in Ownership of a Substantial Portion of the Company’s Assets</w:t>
      </w:r>
      <w:r>
        <w:rPr>
          <w:rFonts w:ascii="Arial" w:cs="Arial" w:eastAsia="Arial" w:hAnsi="Arial"/>
          <w:sz w:val="16"/>
          <w:szCs w:val="16"/>
          <w:color w:val="auto"/>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w:t>
      </w:r>
    </w:p>
    <w:p>
      <w:pPr>
        <w:spacing w:after="0" w:line="2" w:lineRule="exact"/>
        <w:rPr>
          <w:rFonts w:ascii="Arial" w:cs="Arial" w:eastAsia="Arial" w:hAnsi="Arial"/>
          <w:sz w:val="16"/>
          <w:szCs w:val="16"/>
          <w:color w:val="auto"/>
        </w:rPr>
      </w:pPr>
    </w:p>
    <w:p>
      <w:pPr>
        <w:ind w:right="40"/>
        <w:spacing w:after="0" w:line="268" w:lineRule="auto"/>
        <w:rPr>
          <w:rFonts w:ascii="Arial" w:cs="Arial" w:eastAsia="Arial" w:hAnsi="Arial"/>
          <w:sz w:val="16"/>
          <w:szCs w:val="16"/>
          <w:color w:val="auto"/>
        </w:rPr>
      </w:pPr>
      <w:r>
        <w:rPr>
          <w:rFonts w:ascii="Arial" w:cs="Arial" w:eastAsia="Arial" w:hAnsi="Arial"/>
          <w:sz w:val="17"/>
          <w:szCs w:val="17"/>
          <w:color w:val="auto"/>
        </w:rPr>
        <w:t>(50%)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spacing w:after="0" w:line="181" w:lineRule="exact"/>
        <w:rPr>
          <w:sz w:val="20"/>
          <w:szCs w:val="20"/>
          <w:color w:val="auto"/>
        </w:rPr>
      </w:pPr>
    </w:p>
    <w:p>
      <w:pPr>
        <w:ind w:right="280" w:firstLine="991"/>
        <w:spacing w:after="0" w:line="277" w:lineRule="auto"/>
        <w:rPr>
          <w:sz w:val="20"/>
          <w:szCs w:val="20"/>
          <w:color w:val="auto"/>
        </w:rPr>
      </w:pPr>
      <w:r>
        <w:rPr>
          <w:rFonts w:ascii="Arial" w:cs="Arial" w:eastAsia="Arial" w:hAnsi="Arial"/>
          <w:sz w:val="18"/>
          <w:szCs w:val="18"/>
          <w:color w:val="auto"/>
        </w:rPr>
        <w:t>For purposes of this Section 2.4, persons will be considered to be acting as a group if they are owners of a corporation that enters into a merger, consolidation, purchase or acquisition of stock, or similar business transaction with the Company.</w:t>
      </w:r>
    </w:p>
    <w:p>
      <w:pPr>
        <w:spacing w:after="0" w:line="170"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Notwithstanding the foregoing, a transaction will not be deemed a Change in Control unless the transaction qualifies as a change in control event within the meaning of Section 409A.</w:t>
      </w:r>
    </w:p>
    <w:p>
      <w:pPr>
        <w:spacing w:after="0" w:line="170" w:lineRule="exact"/>
        <w:rPr>
          <w:sz w:val="20"/>
          <w:szCs w:val="20"/>
          <w:color w:val="auto"/>
        </w:rPr>
      </w:pPr>
    </w:p>
    <w:p>
      <w:pPr>
        <w:ind w:right="600" w:firstLine="991"/>
        <w:spacing w:after="0" w:line="263" w:lineRule="auto"/>
        <w:rPr>
          <w:sz w:val="20"/>
          <w:szCs w:val="20"/>
          <w:color w:val="auto"/>
        </w:rPr>
      </w:pPr>
      <w:r>
        <w:rPr>
          <w:rFonts w:ascii="Arial" w:cs="Arial" w:eastAsia="Arial" w:hAnsi="Arial"/>
          <w:sz w:val="18"/>
          <w:szCs w:val="18"/>
          <w:color w:val="auto"/>
        </w:rPr>
        <w:t>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425" w:name="page426"/>
    <w:bookmarkEnd w:id="425"/>
    <w:p>
      <w:pPr>
        <w:ind w:right="140" w:firstLine="991"/>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2.5 “</w:t>
      </w:r>
      <w:r>
        <w:rPr>
          <w:rFonts w:ascii="Arial" w:cs="Arial" w:eastAsia="Arial" w:hAnsi="Arial"/>
          <w:sz w:val="16"/>
          <w:szCs w:val="16"/>
          <w:u w:val="single" w:color="auto"/>
          <w:color w:val="auto"/>
        </w:rPr>
        <w:t>Code</w:t>
      </w:r>
      <w:r>
        <w:rPr>
          <w:rFonts w:ascii="Arial" w:cs="Arial" w:eastAsia="Arial" w:hAnsi="Arial"/>
          <w:sz w:val="16"/>
          <w:szCs w:val="16"/>
          <w:color w:val="auto"/>
        </w:rPr>
        <w:t>” 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Committee</w:t>
      </w:r>
      <w:r>
        <w:rPr>
          <w:rFonts w:ascii="Arial" w:cs="Arial" w:eastAsia="Arial" w:hAnsi="Arial"/>
          <w:sz w:val="18"/>
          <w:szCs w:val="18"/>
          <w:color w:val="auto"/>
        </w:rPr>
        <w:t>” means a committee of the Board appointed in accordance with Section 4 hereof.</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2.7 “</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2.8 “</w:t>
      </w:r>
      <w:r>
        <w:rPr>
          <w:rFonts w:ascii="Arial" w:cs="Arial" w:eastAsia="Arial" w:hAnsi="Arial"/>
          <w:sz w:val="18"/>
          <w:szCs w:val="18"/>
          <w:u w:val="single" w:color="auto"/>
          <w:color w:val="auto"/>
        </w:rPr>
        <w:t>Company</w:t>
      </w:r>
      <w:r>
        <w:rPr>
          <w:rFonts w:ascii="Arial" w:cs="Arial" w:eastAsia="Arial" w:hAnsi="Arial"/>
          <w:sz w:val="18"/>
          <w:szCs w:val="18"/>
          <w:color w:val="auto"/>
        </w:rPr>
        <w:t>” means Tenaya Therapeutics, Inc., a Delaware corporation, or any successor thereto.</w:t>
      </w:r>
    </w:p>
    <w:p>
      <w:pPr>
        <w:spacing w:after="0" w:line="225"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Compensation</w:t>
      </w:r>
      <w:r>
        <w:rPr>
          <w:rFonts w:ascii="Arial" w:cs="Arial" w:eastAsia="Arial" w:hAnsi="Arial"/>
          <w:sz w:val="18"/>
          <w:szCs w:val="18"/>
          <w:color w:val="auto"/>
        </w:rPr>
        <w:t>” means a measure to be determined by the Administrator. The Administrator, in its discretion, may, on a uniform and nondiscriminatory basis, establish a different definition of Compensation for a subsequent Offering Period.</w:t>
      </w:r>
    </w:p>
    <w:p>
      <w:pPr>
        <w:spacing w:after="0" w:line="170" w:lineRule="exact"/>
        <w:rPr>
          <w:sz w:val="20"/>
          <w:szCs w:val="20"/>
          <w:color w:val="auto"/>
        </w:rPr>
      </w:pPr>
    </w:p>
    <w:p>
      <w:pPr>
        <w:ind w:right="720" w:firstLine="991"/>
        <w:spacing w:after="0" w:line="277" w:lineRule="auto"/>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Contributions</w:t>
      </w:r>
      <w:r>
        <w:rPr>
          <w:rFonts w:ascii="Arial" w:cs="Arial" w:eastAsia="Arial" w:hAnsi="Arial"/>
          <w:sz w:val="18"/>
          <w:szCs w:val="18"/>
          <w:color w:val="auto"/>
        </w:rPr>
        <w:t>” means the payroll deductions and other additional payments that the Company may permit to be made by a Participant to fund the exercise of options granted pursuant to the Plan.</w:t>
      </w:r>
    </w:p>
    <w:p>
      <w:pPr>
        <w:spacing w:after="0" w:line="170"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Designated Company</w:t>
      </w:r>
      <w:r>
        <w:rPr>
          <w:rFonts w:ascii="Arial" w:cs="Arial" w:eastAsia="Arial" w:hAnsi="Arial"/>
          <w:sz w:val="18"/>
          <w:szCs w:val="18"/>
          <w:color w:val="auto"/>
        </w:rPr>
        <w:t>” means any Subsidiary or affiliate of the Company that has been designated by the Administrator from time to time in its sole discretion as eligible to participate in the Plan. For purposes of the 423 Component, only the Company and its Subsidiaries may be Designated Companies, provided, however that at any given time, a Subsidiary or affiliate of the Company that is a Designated Company under the 423 Component will not be a Designated Company under the Non-423 Component.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225" w:lineRule="exact"/>
        <w:rPr>
          <w:sz w:val="20"/>
          <w:szCs w:val="20"/>
          <w:color w:val="auto"/>
        </w:rPr>
      </w:pPr>
    </w:p>
    <w:p>
      <w:pPr>
        <w:ind w:firstLine="991"/>
        <w:spacing w:after="0" w:line="289" w:lineRule="auto"/>
        <w:rPr>
          <w:sz w:val="20"/>
          <w:szCs w:val="20"/>
          <w:color w:val="auto"/>
        </w:rPr>
      </w:pPr>
      <w:r>
        <w:rPr>
          <w:rFonts w:ascii="Arial" w:cs="Arial" w:eastAsia="Arial" w:hAnsi="Arial"/>
          <w:sz w:val="16"/>
          <w:szCs w:val="16"/>
          <w:color w:val="auto"/>
        </w:rPr>
        <w:t>2.13 “</w:t>
      </w:r>
      <w:r>
        <w:rPr>
          <w:rFonts w:ascii="Arial" w:cs="Arial" w:eastAsia="Arial" w:hAnsi="Arial"/>
          <w:sz w:val="16"/>
          <w:szCs w:val="16"/>
          <w:u w:val="single" w:color="auto"/>
          <w:color w:val="auto"/>
        </w:rPr>
        <w:t>Eligible Employee</w:t>
      </w:r>
      <w:r>
        <w:rPr>
          <w:rFonts w:ascii="Arial" w:cs="Arial" w:eastAsia="Arial" w:hAnsi="Arial"/>
          <w:sz w:val="16"/>
          <w:szCs w:val="16"/>
          <w:color w:val="auto"/>
        </w:rPr>
        <w:t>” means any individual who is a common law employee providing services to the Company or a Designated Company and is customarily employed for at least twenty (20) hours per week and more than five (5) months in any calendar year by the Employer, or any lesser number of hours per week and/or number of months in any calendar year established by the Administrator (if required under Applicable Laws) for purposes of any separate Offering or for Participants in the Non-423 Component. For purposes of the Plan, the employment relationship will be treated as continuing intact while the individual is on sick leave or other leave of absence that the Employer approves or is legally protected under Applicable Laws with respect to the Participant’s participation in the Plan. Where the period of leave exceeds three (3) months and the individual’s right to reemployment is not guaranteed either by statute or by contract, the employment relationship will be deemed to have terminated three (3) months and one (1) day following the commencement of such leave. The Administrator, in its discretion, from time to time may, prior to an Enrollment Date for all options to be granted on such Enrollment Date in an Offering, determine (for each Offering</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4" w:right="499" w:bottom="1440" w:gutter="0" w:footer="0" w:header="0"/>
        </w:sectPr>
      </w:pPr>
    </w:p>
    <w:bookmarkStart w:id="426" w:name="page427"/>
    <w:bookmarkEnd w:id="426"/>
    <w:p>
      <w:pPr>
        <w:jc w:val="both"/>
        <w:ind w:right="10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 the 423 Component, on a uniform and nondiscriminatory basis or as otherwise permitted by U.S. Treasury Regulations Section 1.423-2) that the definition of Eligible Employee will or will not include an individual if he or she: (a) has not completed at least two (2) years of service since his or her last hire date (or such lesser period of time as may be determined by the Administrator in its discretion), (b) customarily works not more than</w:t>
      </w:r>
    </w:p>
    <w:p>
      <w:pPr>
        <w:spacing w:after="0" w:line="2"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twenty (20) hours per week (or such lesser period of time as may be determined by the Administrator in its discretion), (c) customarily works not more than five (5) months per calendar year (or such lesser period of time as may be determined by the Administrator in its discretion), (d) is a highly compensated employee within the meaning of Code Section 414(q), or (e) is a highly compensated employee within the meaning of Code</w:t>
      </w:r>
    </w:p>
    <w:p>
      <w:pPr>
        <w:jc w:val="both"/>
        <w:ind w:right="180"/>
        <w:spacing w:after="0" w:line="281" w:lineRule="auto"/>
        <w:rPr>
          <w:sz w:val="20"/>
          <w:szCs w:val="20"/>
          <w:color w:val="auto"/>
        </w:rPr>
      </w:pPr>
      <w:r>
        <w:rPr>
          <w:rFonts w:ascii="Arial" w:cs="Arial" w:eastAsia="Arial" w:hAnsi="Arial"/>
          <w:sz w:val="16"/>
          <w:szCs w:val="16"/>
          <w:color w:val="auto"/>
        </w:rPr>
        <w:t>Section 414(q) with compensation above a certain level or is an officer or subject to the disclosure requirements of Section 16(a) of the Exchange Act, provided the exclusion is applied with respect to each Offering under the 423 Component in an identical manner to all highly compensated individuals of the Employer whose employees are participating in that Offering. Each exclusion will be applied with respect to an Offering under the</w:t>
      </w:r>
    </w:p>
    <w:p>
      <w:pPr>
        <w:spacing w:after="0" w:line="2"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423 Component in a manner complying with U.S. Treasury Regulations Section 1.423-2(e)(2)(ii). Such exclusions may be applied with respect to an Offering under the Non-423 Component without regard to the limitations of U.S. Treasury Regulations Section 1.423-2.</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2.14 “</w:t>
      </w:r>
      <w:r>
        <w:rPr>
          <w:rFonts w:ascii="Arial" w:cs="Arial" w:eastAsia="Arial" w:hAnsi="Arial"/>
          <w:sz w:val="18"/>
          <w:szCs w:val="18"/>
          <w:u w:val="single" w:color="auto"/>
          <w:color w:val="auto"/>
        </w:rPr>
        <w:t>Employer</w:t>
      </w:r>
      <w:r>
        <w:rPr>
          <w:rFonts w:ascii="Arial" w:cs="Arial" w:eastAsia="Arial" w:hAnsi="Arial"/>
          <w:sz w:val="18"/>
          <w:szCs w:val="18"/>
          <w:color w:val="auto"/>
        </w:rPr>
        <w:t>” means the employer of the applicable Eligible Employee(s).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Enrollment Date</w:t>
      </w:r>
      <w:r>
        <w:rPr>
          <w:rFonts w:ascii="Arial" w:cs="Arial" w:eastAsia="Arial" w:hAnsi="Arial"/>
          <w:sz w:val="18"/>
          <w:szCs w:val="18"/>
          <w:color w:val="auto"/>
        </w:rPr>
        <w:t>” means the first Trading Day of each Offering Period.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2.16 “</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U.S. Securities Exchange Act of 1934, as amended, including the rules and regulations promulgated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thereunder.</w:t>
      </w:r>
    </w:p>
    <w:p>
      <w:pPr>
        <w:spacing w:after="0" w:line="211"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2.17 “</w:t>
      </w:r>
      <w:r>
        <w:rPr>
          <w:rFonts w:ascii="Arial" w:cs="Arial" w:eastAsia="Arial" w:hAnsi="Arial"/>
          <w:sz w:val="18"/>
          <w:szCs w:val="18"/>
          <w:u w:val="single" w:color="auto"/>
          <w:color w:val="auto"/>
        </w:rPr>
        <w:t>Exercise Date</w:t>
      </w:r>
      <w:r>
        <w:rPr>
          <w:rFonts w:ascii="Arial" w:cs="Arial" w:eastAsia="Arial" w:hAnsi="Arial"/>
          <w:sz w:val="18"/>
          <w:szCs w:val="18"/>
          <w:color w:val="auto"/>
        </w:rPr>
        <w:t>” means such dates on which each outstanding option granted under the Plan will be exercised (except if the Plan has been terminated), as may be determined by the Administrator, in its sole discretion and on a uniform and nondiscriminatory basis from time to time prior to an Enrollment Date for all options to be granted on such Enrollment Date.</w:t>
      </w:r>
    </w:p>
    <w:p>
      <w:pPr>
        <w:spacing w:after="0" w:line="184"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2.18 “</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of any date and unless the Administrator determines otherwise, the value of a share of Common Stock determined as follows:</w:t>
      </w:r>
    </w:p>
    <w:p>
      <w:pPr>
        <w:spacing w:after="0" w:line="62" w:lineRule="exact"/>
        <w:rPr>
          <w:sz w:val="20"/>
          <w:szCs w:val="20"/>
          <w:color w:val="auto"/>
        </w:rPr>
      </w:pPr>
    </w:p>
    <w:p>
      <w:pPr>
        <w:ind w:right="40" w:firstLine="1428"/>
        <w:spacing w:after="0" w:line="257" w:lineRule="auto"/>
        <w:tabs>
          <w:tab w:leader="none" w:pos="1677" w:val="left"/>
        </w:tabs>
        <w:numPr>
          <w:ilvl w:val="0"/>
          <w:numId w:val="288"/>
        </w:numPr>
        <w:rPr>
          <w:rFonts w:ascii="Arial" w:cs="Arial" w:eastAsia="Arial" w:hAnsi="Arial"/>
          <w:sz w:val="18"/>
          <w:szCs w:val="18"/>
          <w:color w:val="auto"/>
        </w:rPr>
      </w:pPr>
      <w:r>
        <w:rPr>
          <w:rFonts w:ascii="Arial" w:cs="Arial" w:eastAsia="Arial" w:hAnsi="Arial"/>
          <w:sz w:val="18"/>
          <w:szCs w:val="18"/>
          <w:color w:val="auto"/>
        </w:rPr>
        <w:t xml:space="preserve">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date of determination, as reported in </w:t>
      </w:r>
      <w:r>
        <w:rPr>
          <w:rFonts w:ascii="Arial" w:cs="Arial" w:eastAsia="Arial" w:hAnsi="Arial"/>
          <w:sz w:val="18"/>
          <w:szCs w:val="18"/>
          <w:i w:val="1"/>
          <w:iCs w:val="1"/>
          <w:color w:val="auto"/>
        </w:rPr>
        <w:t>The Wall Street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Journal </w:t>
      </w:r>
      <w:r>
        <w:rPr>
          <w:rFonts w:ascii="Arial" w:cs="Arial" w:eastAsia="Arial" w:hAnsi="Arial"/>
          <w:sz w:val="18"/>
          <w:szCs w:val="18"/>
          <w:color w:val="auto"/>
        </w:rPr>
        <w:t>or such other source as the Administrator deems reliable;</w:t>
      </w:r>
    </w:p>
    <w:p>
      <w:pPr>
        <w:spacing w:after="0" w:line="187" w:lineRule="exact"/>
        <w:rPr>
          <w:rFonts w:ascii="Arial" w:cs="Arial" w:eastAsia="Arial" w:hAnsi="Arial"/>
          <w:sz w:val="18"/>
          <w:szCs w:val="18"/>
          <w:color w:val="auto"/>
        </w:rPr>
      </w:pPr>
    </w:p>
    <w:p>
      <w:pPr>
        <w:ind w:right="20" w:firstLine="1428"/>
        <w:spacing w:after="0" w:line="259" w:lineRule="auto"/>
        <w:tabs>
          <w:tab w:leader="none" w:pos="1687" w:val="left"/>
        </w:tabs>
        <w:numPr>
          <w:ilvl w:val="0"/>
          <w:numId w:val="288"/>
        </w:numPr>
        <w:rPr>
          <w:rFonts w:ascii="Arial" w:cs="Arial" w:eastAsia="Arial" w:hAnsi="Arial"/>
          <w:sz w:val="18"/>
          <w:szCs w:val="18"/>
          <w:color w:val="auto"/>
        </w:rPr>
      </w:pPr>
      <w:r>
        <w:rPr>
          <w:rFonts w:ascii="Arial" w:cs="Arial" w:eastAsia="Arial" w:hAnsi="Arial"/>
          <w:sz w:val="18"/>
          <w:szCs w:val="18"/>
          <w:color w:val="auto"/>
        </w:rPr>
        <w:t xml:space="preserve">If the Common Stock is regularly quoted by a recognized securities dealer but selling prices are not reported, the Fair Market Value of a share of Common Stock will be the mean between the high bid and low asked prices for the Common Stock on the day of determination (or if no bids and asks were reported on that date, as applicable, on the last Trading Day such bids and asks were reported), as reported in </w:t>
      </w:r>
      <w:r>
        <w:rPr>
          <w:rFonts w:ascii="Arial" w:cs="Arial" w:eastAsia="Arial" w:hAnsi="Arial"/>
          <w:sz w:val="18"/>
          <w:szCs w:val="18"/>
          <w:i w:val="1"/>
          <w:iCs w:val="1"/>
          <w:color w:val="auto"/>
        </w:rPr>
        <w:t>The Wall Street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Journal </w:t>
      </w:r>
      <w:r>
        <w:rPr>
          <w:rFonts w:ascii="Arial" w:cs="Arial" w:eastAsia="Arial" w:hAnsi="Arial"/>
          <w:sz w:val="18"/>
          <w:szCs w:val="18"/>
          <w:color w:val="auto"/>
        </w:rPr>
        <w:t>or such other source as the Administrator deems reliable;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427" w:name="page428"/>
    <w:bookmarkEnd w:id="427"/>
    <w:p>
      <w:pPr>
        <w:jc w:val="both"/>
        <w:ind w:right="40" w:firstLine="1428"/>
        <w:spacing w:after="0" w:line="263" w:lineRule="auto"/>
        <w:tabs>
          <w:tab w:leader="none" w:pos="1677" w:val="left"/>
        </w:tabs>
        <w:numPr>
          <w:ilvl w:val="0"/>
          <w:numId w:val="2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the Enrollment Date of the first Offering Period under the Plan, the Fair Market Value will be the initial price to the public as set forth in the final prospectus included within the registration statement on Form S-1 filed with the Securities and Exchange Commission for the initial public offering of the Common Stock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or</w:t>
      </w:r>
    </w:p>
    <w:p>
      <w:pPr>
        <w:spacing w:after="0" w:line="183" w:lineRule="exact"/>
        <w:rPr>
          <w:rFonts w:ascii="Arial" w:cs="Arial" w:eastAsia="Arial" w:hAnsi="Arial"/>
          <w:sz w:val="18"/>
          <w:szCs w:val="18"/>
          <w:color w:val="auto"/>
        </w:rPr>
      </w:pPr>
    </w:p>
    <w:p>
      <w:pPr>
        <w:ind w:left="1680" w:hanging="252"/>
        <w:spacing w:after="0"/>
        <w:tabs>
          <w:tab w:leader="none" w:pos="168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In the absence of an established market for the Common Stock, the Fair Market Value will be determined in good faith by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Administrator.</w:t>
      </w:r>
    </w:p>
    <w:p>
      <w:pPr>
        <w:spacing w:after="0" w:line="211" w:lineRule="exact"/>
        <w:rPr>
          <w:sz w:val="20"/>
          <w:szCs w:val="20"/>
          <w:color w:val="auto"/>
        </w:rPr>
      </w:pPr>
    </w:p>
    <w:p>
      <w:pPr>
        <w:ind w:right="760" w:firstLine="991"/>
        <w:spacing w:after="0" w:line="277" w:lineRule="auto"/>
        <w:rPr>
          <w:sz w:val="20"/>
          <w:szCs w:val="20"/>
          <w:color w:val="auto"/>
        </w:rPr>
      </w:pPr>
      <w:r>
        <w:rPr>
          <w:rFonts w:ascii="Arial" w:cs="Arial" w:eastAsia="Arial" w:hAnsi="Arial"/>
          <w:sz w:val="18"/>
          <w:szCs w:val="18"/>
          <w:color w:val="auto"/>
        </w:rPr>
        <w:t>The determination of fair market value for purposes of tax withholding may be made in the Administrator’s discretion subject to Applicable Laws and is not required to be consistent with the determination of Fair Market Value for other purposes.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2.19 “</w:t>
      </w:r>
      <w:r>
        <w:rPr>
          <w:rFonts w:ascii="Arial" w:cs="Arial" w:eastAsia="Arial" w:hAnsi="Arial"/>
          <w:sz w:val="18"/>
          <w:szCs w:val="18"/>
          <w:u w:val="single" w:color="auto"/>
          <w:color w:val="auto"/>
        </w:rPr>
        <w:t>Fiscal Year</w:t>
      </w:r>
      <w:r>
        <w:rPr>
          <w:rFonts w:ascii="Arial" w:cs="Arial" w:eastAsia="Arial" w:hAnsi="Arial"/>
          <w:sz w:val="18"/>
          <w:szCs w:val="18"/>
          <w:color w:val="auto"/>
        </w:rPr>
        <w:t>” means the fiscal year of the Company.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2.20 “</w:t>
      </w:r>
      <w:r>
        <w:rPr>
          <w:rFonts w:ascii="Arial" w:cs="Arial" w:eastAsia="Arial" w:hAnsi="Arial"/>
          <w:sz w:val="18"/>
          <w:szCs w:val="18"/>
          <w:u w:val="single" w:color="auto"/>
          <w:color w:val="auto"/>
        </w:rPr>
        <w:t>New Exercise Date</w:t>
      </w:r>
      <w:r>
        <w:rPr>
          <w:rFonts w:ascii="Arial" w:cs="Arial" w:eastAsia="Arial" w:hAnsi="Arial"/>
          <w:sz w:val="18"/>
          <w:szCs w:val="18"/>
          <w:color w:val="auto"/>
        </w:rPr>
        <w:t>” means a new Exercise Date if the Administrator shortens any Offering Period then in progress.</w:t>
      </w:r>
    </w:p>
    <w:p>
      <w:pPr>
        <w:spacing w:after="0" w:line="225" w:lineRule="exact"/>
        <w:rPr>
          <w:sz w:val="20"/>
          <w:szCs w:val="20"/>
          <w:color w:val="auto"/>
        </w:rPr>
      </w:pPr>
    </w:p>
    <w:p>
      <w:pPr>
        <w:ind w:right="340" w:firstLine="991"/>
        <w:spacing w:after="0" w:line="286" w:lineRule="auto"/>
        <w:rPr>
          <w:sz w:val="20"/>
          <w:szCs w:val="20"/>
          <w:color w:val="auto"/>
        </w:rPr>
      </w:pPr>
      <w:r>
        <w:rPr>
          <w:rFonts w:ascii="Arial" w:cs="Arial" w:eastAsia="Arial" w:hAnsi="Arial"/>
          <w:sz w:val="16"/>
          <w:szCs w:val="16"/>
          <w:color w:val="auto"/>
        </w:rPr>
        <w:t>2.21 “</w:t>
      </w:r>
      <w:r>
        <w:rPr>
          <w:rFonts w:ascii="Arial" w:cs="Arial" w:eastAsia="Arial" w:hAnsi="Arial"/>
          <w:sz w:val="16"/>
          <w:szCs w:val="16"/>
          <w:u w:val="single" w:color="auto"/>
          <w:color w:val="auto"/>
        </w:rPr>
        <w:t>Offering</w:t>
      </w:r>
      <w:r>
        <w:rPr>
          <w:rFonts w:ascii="Arial" w:cs="Arial" w:eastAsia="Arial" w:hAnsi="Arial"/>
          <w:sz w:val="16"/>
          <w:szCs w:val="16"/>
          <w:color w:val="auto"/>
        </w:rPr>
        <w:t>” means an offer under the Plan of an option that may be exercised during an Offering Period as further described in Section 6. For purposes of the Plan, the Administrator may designate separate Offerings under the Plan (the terms of which need not be identical) in which Eligible Employees of one or more Employers will participate, even if the dates of the applicable Offering Periods of each such Offering are identical and the provisions of the Plan will separately apply to each Offering. To the extent permitted by U.S. Treasury Regulations</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Section 1.423-2(a)(1), the terms of each Offering need not be identical provided that the terms of the Plan and an Offering together satisfy U.S. Treasury Regulations Section 1.423-2(a)(2) and (a)(3).</w:t>
      </w:r>
    </w:p>
    <w:p>
      <w:pPr>
        <w:spacing w:after="0" w:line="185" w:lineRule="exact"/>
        <w:rPr>
          <w:sz w:val="20"/>
          <w:szCs w:val="20"/>
          <w:color w:val="auto"/>
        </w:rPr>
      </w:pPr>
    </w:p>
    <w:p>
      <w:pPr>
        <w:ind w:right="640" w:firstLine="991"/>
        <w:spacing w:after="0" w:line="308" w:lineRule="auto"/>
        <w:rPr>
          <w:sz w:val="20"/>
          <w:szCs w:val="20"/>
          <w:color w:val="auto"/>
        </w:rPr>
      </w:pPr>
      <w:r>
        <w:rPr>
          <w:rFonts w:ascii="Arial" w:cs="Arial" w:eastAsia="Arial" w:hAnsi="Arial"/>
          <w:sz w:val="17"/>
          <w:szCs w:val="17"/>
          <w:color w:val="auto"/>
        </w:rPr>
        <w:t>2.22 “</w:t>
      </w:r>
      <w:r>
        <w:rPr>
          <w:rFonts w:ascii="Arial" w:cs="Arial" w:eastAsia="Arial" w:hAnsi="Arial"/>
          <w:sz w:val="17"/>
          <w:szCs w:val="17"/>
          <w:u w:val="single" w:color="auto"/>
          <w:color w:val="auto"/>
        </w:rPr>
        <w:t>Offering Periods</w:t>
      </w:r>
      <w:r>
        <w:rPr>
          <w:rFonts w:ascii="Arial" w:cs="Arial" w:eastAsia="Arial" w:hAnsi="Arial"/>
          <w:sz w:val="17"/>
          <w:szCs w:val="17"/>
          <w:color w:val="auto"/>
        </w:rPr>
        <w:t>” means certain periods during with shares of Common Stock may be purchased under the Plan that will be determined by the Administrator. The duration and timing of Offering Periods may be changed pursuant to Sections 6, 18 and 27.</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2.23 “</w:t>
      </w:r>
      <w:r>
        <w:rPr>
          <w:rFonts w:ascii="Arial" w:cs="Arial" w:eastAsia="Arial" w:hAnsi="Arial"/>
          <w:sz w:val="18"/>
          <w:szCs w:val="18"/>
          <w:u w:val="single" w:color="auto"/>
          <w:color w:val="auto"/>
        </w:rPr>
        <w:t>Parent</w:t>
      </w:r>
      <w:r>
        <w:rPr>
          <w:rFonts w:ascii="Arial" w:cs="Arial" w:eastAsia="Arial" w:hAnsi="Arial"/>
          <w:sz w:val="18"/>
          <w:szCs w:val="18"/>
          <w:color w:val="auto"/>
        </w:rPr>
        <w:t>” means a “</w:t>
      </w:r>
      <w:r>
        <w:rPr>
          <w:rFonts w:ascii="Arial" w:cs="Arial" w:eastAsia="Arial" w:hAnsi="Arial"/>
          <w:sz w:val="18"/>
          <w:szCs w:val="18"/>
          <w:u w:val="single" w:color="auto"/>
          <w:color w:val="auto"/>
        </w:rPr>
        <w:t>parent corporation,</w:t>
      </w:r>
      <w:r>
        <w:rPr>
          <w:rFonts w:ascii="Arial" w:cs="Arial" w:eastAsia="Arial" w:hAnsi="Arial"/>
          <w:sz w:val="18"/>
          <w:szCs w:val="18"/>
          <w:color w:val="auto"/>
        </w:rPr>
        <w:t>” whether now or hereafter existing, as defined in Code Section 424(e).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2.24 “</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Eligible Employee that participates in the Plan.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2.25 “</w:t>
      </w:r>
      <w:r>
        <w:rPr>
          <w:rFonts w:ascii="Arial" w:cs="Arial" w:eastAsia="Arial" w:hAnsi="Arial"/>
          <w:sz w:val="18"/>
          <w:szCs w:val="18"/>
          <w:u w:val="single" w:color="auto"/>
          <w:color w:val="auto"/>
        </w:rPr>
        <w:t>Plan</w:t>
      </w:r>
      <w:r>
        <w:rPr>
          <w:rFonts w:ascii="Arial" w:cs="Arial" w:eastAsia="Arial" w:hAnsi="Arial"/>
          <w:sz w:val="18"/>
          <w:szCs w:val="18"/>
          <w:color w:val="auto"/>
        </w:rPr>
        <w:t>” means this Tenaya Therapeutics, Inc. 2021 Employee Stock Purchase Plan.</w:t>
      </w:r>
    </w:p>
    <w:p>
      <w:pPr>
        <w:spacing w:after="0" w:line="225" w:lineRule="exact"/>
        <w:rPr>
          <w:sz w:val="20"/>
          <w:szCs w:val="20"/>
          <w:color w:val="auto"/>
        </w:rPr>
      </w:pPr>
    </w:p>
    <w:p>
      <w:pPr>
        <w:ind w:right="80" w:firstLine="991"/>
        <w:spacing w:after="0" w:line="296" w:lineRule="auto"/>
        <w:rPr>
          <w:sz w:val="20"/>
          <w:szCs w:val="20"/>
          <w:color w:val="auto"/>
        </w:rPr>
      </w:pPr>
      <w:r>
        <w:rPr>
          <w:rFonts w:ascii="Arial" w:cs="Arial" w:eastAsia="Arial" w:hAnsi="Arial"/>
          <w:sz w:val="16"/>
          <w:szCs w:val="16"/>
          <w:color w:val="auto"/>
        </w:rPr>
        <w:t>2.26 “</w:t>
      </w:r>
      <w:r>
        <w:rPr>
          <w:rFonts w:ascii="Arial" w:cs="Arial" w:eastAsia="Arial" w:hAnsi="Arial"/>
          <w:sz w:val="16"/>
          <w:szCs w:val="16"/>
          <w:u w:val="single" w:color="auto"/>
          <w:color w:val="auto"/>
        </w:rPr>
        <w:t>Purchase Period</w:t>
      </w:r>
      <w:r>
        <w:rPr>
          <w:rFonts w:ascii="Arial" w:cs="Arial" w:eastAsia="Arial" w:hAnsi="Arial"/>
          <w:sz w:val="16"/>
          <w:szCs w:val="16"/>
          <w:color w:val="auto"/>
        </w:rPr>
        <w:t>” means the period, as determined by the Administrator in its discretion on a uniform and nondiscriminatory basis, commencing on the Enrollment Date and ending with the next Exercise Date, except that if the Administrator determines that more than one Purchase Period should occur within an Offering Period, subsequent Purchase Periods within such Offering Period commence after one Exercise Date and end with the next Exercise Date at such time or times as the Administrator determines prior to the commencement of the applicable Offering Period. Unless otherwise determined by the Administrator, a Purchase Period shall have the same duration as the Offering Period.</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428" w:name="page429"/>
    <w:bookmarkEnd w:id="428"/>
    <w:p>
      <w:pPr>
        <w:ind w:firstLine="991"/>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2.27 “</w:t>
      </w:r>
      <w:r>
        <w:rPr>
          <w:rFonts w:ascii="Arial" w:cs="Arial" w:eastAsia="Arial" w:hAnsi="Arial"/>
          <w:sz w:val="16"/>
          <w:szCs w:val="16"/>
          <w:u w:val="single" w:color="auto"/>
          <w:color w:val="auto"/>
        </w:rPr>
        <w:t>Purchase Price</w:t>
      </w:r>
      <w:r>
        <w:rPr>
          <w:rFonts w:ascii="Arial" w:cs="Arial" w:eastAsia="Arial" w:hAnsi="Arial"/>
          <w:sz w:val="16"/>
          <w:szCs w:val="16"/>
          <w:color w:val="auto"/>
        </w:rPr>
        <w:t>” means the price per share of Common Stock purchased under any option granted under the Plan as determined by the Administrator from time to time, in its discretion and on a uniform and nondiscriminatory basis for all options to be granted on an Enrollment Date. However, in no event will the Purchase Price be less than eighty-five percent (85%) of the lower of the Fair Market Value of a share of Common Stock on the Enrollment Date or the Fair Market Value of a share of Common Stock on the Exercise Date and at all times in compliance with Code Section 423 (or any successor rule or provision or any other Applicable Law, regulation or stock exchange rule) or pursuant to Section 18.</w:t>
      </w:r>
    </w:p>
    <w:p>
      <w:pPr>
        <w:spacing w:after="0" w:line="161"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2.28 “</w:t>
      </w:r>
      <w:r>
        <w:rPr>
          <w:rFonts w:ascii="Arial" w:cs="Arial" w:eastAsia="Arial" w:hAnsi="Arial"/>
          <w:sz w:val="18"/>
          <w:szCs w:val="18"/>
          <w:u w:val="single" w:color="auto"/>
          <w:color w:val="auto"/>
        </w:rPr>
        <w:t>Registration Date</w:t>
      </w:r>
      <w:r>
        <w:rPr>
          <w:rFonts w:ascii="Arial" w:cs="Arial" w:eastAsia="Arial" w:hAnsi="Arial"/>
          <w:sz w:val="18"/>
          <w:szCs w:val="18"/>
          <w:color w:val="auto"/>
        </w:rPr>
        <w:t>” means the effective date of the first registration statement that is filed by the Company and declared effective pursuant to Section 12(b) of the Exchange Act, with respect to any class of the Company’s securities.</w:t>
      </w:r>
    </w:p>
    <w:p>
      <w:pPr>
        <w:spacing w:after="0" w:line="170"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2.29 “</w:t>
      </w:r>
      <w:r>
        <w:rPr>
          <w:rFonts w:ascii="Arial" w:cs="Arial" w:eastAsia="Arial" w:hAnsi="Arial"/>
          <w:sz w:val="18"/>
          <w:szCs w:val="18"/>
          <w:u w:val="single" w:color="auto"/>
          <w:color w:val="auto"/>
        </w:rPr>
        <w:t>Section 409A</w:t>
      </w:r>
      <w:r>
        <w:rPr>
          <w:rFonts w:ascii="Arial" w:cs="Arial" w:eastAsia="Arial" w:hAnsi="Arial"/>
          <w:sz w:val="18"/>
          <w:szCs w:val="18"/>
          <w:color w:val="auto"/>
        </w:rPr>
        <w:t>” means Code Section 409A and the U.S. Treasury Regulations and guidance thereunder, and any applicable state law equivalent, as each may be promulgated, amended or modified from time to time.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2.30 “</w:t>
      </w:r>
      <w:r>
        <w:rPr>
          <w:rFonts w:ascii="Arial" w:cs="Arial" w:eastAsia="Arial" w:hAnsi="Arial"/>
          <w:sz w:val="18"/>
          <w:szCs w:val="18"/>
          <w:u w:val="single" w:color="auto"/>
          <w:color w:val="auto"/>
        </w:rPr>
        <w:t>Subsidiary</w:t>
      </w:r>
      <w:r>
        <w:rPr>
          <w:rFonts w:ascii="Arial" w:cs="Arial" w:eastAsia="Arial" w:hAnsi="Arial"/>
          <w:sz w:val="18"/>
          <w:szCs w:val="18"/>
          <w:color w:val="auto"/>
        </w:rPr>
        <w:t>” means a “subsidiary corporation,” whether now or hereafter existing, as defined in Code Section 424(f).</w:t>
      </w:r>
    </w:p>
    <w:p>
      <w:pPr>
        <w:spacing w:after="0" w:line="225" w:lineRule="exact"/>
        <w:rPr>
          <w:sz w:val="20"/>
          <w:szCs w:val="20"/>
          <w:color w:val="auto"/>
        </w:rPr>
      </w:pPr>
    </w:p>
    <w:p>
      <w:pPr>
        <w:ind w:right="100" w:firstLine="991"/>
        <w:spacing w:after="0" w:line="342" w:lineRule="auto"/>
        <w:rPr>
          <w:sz w:val="20"/>
          <w:szCs w:val="20"/>
          <w:color w:val="auto"/>
        </w:rPr>
      </w:pPr>
      <w:r>
        <w:rPr>
          <w:rFonts w:ascii="Arial" w:cs="Arial" w:eastAsia="Arial" w:hAnsi="Arial"/>
          <w:sz w:val="16"/>
          <w:szCs w:val="16"/>
          <w:color w:val="auto"/>
        </w:rPr>
        <w:t>2.31 “</w:t>
      </w:r>
      <w:r>
        <w:rPr>
          <w:rFonts w:ascii="Arial" w:cs="Arial" w:eastAsia="Arial" w:hAnsi="Arial"/>
          <w:sz w:val="16"/>
          <w:szCs w:val="16"/>
          <w:u w:val="single" w:color="auto"/>
          <w:color w:val="auto"/>
        </w:rPr>
        <w:t>Trading Day</w:t>
      </w:r>
      <w:r>
        <w:rPr>
          <w:rFonts w:ascii="Arial" w:cs="Arial" w:eastAsia="Arial" w:hAnsi="Arial"/>
          <w:sz w:val="16"/>
          <w:szCs w:val="16"/>
          <w:color w:val="auto"/>
        </w:rPr>
        <w:t>” means a day that the primary stock exchange, national market system, or other trading platform, as applicable, upon which the Common Stock is listed (or otherwise trades regularly, as determined by the Administrator, in its sole discretion) is open for trading.</w:t>
      </w:r>
    </w:p>
    <w:p>
      <w:pPr>
        <w:spacing w:after="0" w:line="124" w:lineRule="exact"/>
        <w:rPr>
          <w:sz w:val="20"/>
          <w:szCs w:val="20"/>
          <w:color w:val="auto"/>
        </w:rPr>
      </w:pPr>
    </w:p>
    <w:p>
      <w:pPr>
        <w:jc w:val="both"/>
        <w:ind w:right="40" w:firstLine="991"/>
        <w:spacing w:after="0" w:line="263" w:lineRule="auto"/>
        <w:rPr>
          <w:sz w:val="20"/>
          <w:szCs w:val="20"/>
          <w:color w:val="auto"/>
        </w:rPr>
      </w:pPr>
      <w:r>
        <w:rPr>
          <w:rFonts w:ascii="Arial" w:cs="Arial" w:eastAsia="Arial" w:hAnsi="Arial"/>
          <w:sz w:val="18"/>
          <w:szCs w:val="18"/>
          <w:color w:val="auto"/>
        </w:rPr>
        <w:t>2.32 “</w:t>
      </w:r>
      <w:r>
        <w:rPr>
          <w:rFonts w:ascii="Arial" w:cs="Arial" w:eastAsia="Arial" w:hAnsi="Arial"/>
          <w:sz w:val="18"/>
          <w:szCs w:val="18"/>
          <w:u w:val="single" w:color="auto"/>
          <w:color w:val="auto"/>
        </w:rPr>
        <w:t>U.S. Treasury Regulations</w:t>
      </w:r>
      <w:r>
        <w:rPr>
          <w:rFonts w:ascii="Arial" w:cs="Arial" w:eastAsia="Arial" w:hAnsi="Arial"/>
          <w:sz w:val="18"/>
          <w:szCs w:val="18"/>
          <w:color w:val="auto"/>
        </w:rPr>
        <w:t>” 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w:t>
      </w:r>
    </w:p>
    <w:p>
      <w:pPr>
        <w:spacing w:after="0" w:line="184" w:lineRule="exact"/>
        <w:rPr>
          <w:sz w:val="20"/>
          <w:szCs w:val="20"/>
          <w:color w:val="auto"/>
        </w:rPr>
      </w:pPr>
    </w:p>
    <w:p>
      <w:pPr>
        <w:ind w:left="620" w:hanging="184"/>
        <w:spacing w:after="0"/>
        <w:tabs>
          <w:tab w:leader="none" w:pos="620" w:val="left"/>
        </w:tabs>
        <w:numPr>
          <w:ilvl w:val="0"/>
          <w:numId w:val="290"/>
        </w:numPr>
        <w:rPr>
          <w:rFonts w:ascii="Arial" w:cs="Arial" w:eastAsia="Arial" w:hAnsi="Arial"/>
          <w:sz w:val="18"/>
          <w:szCs w:val="18"/>
          <w:color w:val="auto"/>
        </w:rPr>
      </w:pPr>
      <w:r>
        <w:rPr>
          <w:rFonts w:ascii="Arial" w:cs="Arial" w:eastAsia="Arial" w:hAnsi="Arial"/>
          <w:sz w:val="18"/>
          <w:szCs w:val="18"/>
          <w:u w:val="single" w:color="auto"/>
          <w:color w:val="auto"/>
        </w:rPr>
        <w:t>Stock</w:t>
      </w:r>
      <w:r>
        <w:rPr>
          <w:rFonts w:ascii="Arial" w:cs="Arial" w:eastAsia="Arial" w:hAnsi="Arial"/>
          <w:sz w:val="18"/>
          <w:szCs w:val="18"/>
          <w:color w:val="auto"/>
        </w:rPr>
        <w:t>.</w:t>
      </w:r>
    </w:p>
    <w:p>
      <w:pPr>
        <w:spacing w:after="0" w:line="225" w:lineRule="exact"/>
        <w:rPr>
          <w:sz w:val="20"/>
          <w:szCs w:val="20"/>
          <w:color w:val="auto"/>
        </w:rPr>
      </w:pPr>
    </w:p>
    <w:p>
      <w:pPr>
        <w:ind w:right="60" w:firstLine="991"/>
        <w:spacing w:after="0" w:line="342"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Stock Subject to the Plan</w:t>
      </w:r>
      <w:r>
        <w:rPr>
          <w:rFonts w:ascii="Arial" w:cs="Arial" w:eastAsia="Arial" w:hAnsi="Arial"/>
          <w:sz w:val="16"/>
          <w:szCs w:val="16"/>
          <w:color w:val="auto"/>
        </w:rPr>
        <w:t>. Subject to adjustment upon changes in capitalization of the Company as provided in Section 17 hereof, the maximum number of shares of Common Stock that will be made available for sale under the Plan will be equal to 800,000 shares of Common Stock.</w:t>
      </w:r>
    </w:p>
    <w:p>
      <w:pPr>
        <w:spacing w:after="0" w:line="124"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Automatic Share Reserve Increase</w:t>
      </w:r>
      <w:r>
        <w:rPr>
          <w:rFonts w:ascii="Arial" w:cs="Arial" w:eastAsia="Arial" w:hAnsi="Arial"/>
          <w:sz w:val="18"/>
          <w:szCs w:val="18"/>
          <w:color w:val="auto"/>
        </w:rPr>
        <w:t>. Subject to adjustment upon changes in capitalization of the Company as provided in Section 17 hereof, the number of shares of Common Stock available for issuance under the Plan will be increased on the first day of each Fiscal Year beginning with the 2022 Fiscal Year in an amount equal to the least of (a) 800,000 shares of Common Stock, (b) one percent (1%) of the outstanding shares of Common Stock on the last day of the immediately preceding Fiscal Year, or (c) such number of shares of Common Stock determined by the Board no later than the last day of the immediately preceding Fiscal Year. The shares of Common Stock may be authorized, but unissued, or reacquired Common Stock.</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440" w:top="274" w:right="559" w:bottom="1440" w:gutter="0" w:footer="0" w:header="0"/>
        </w:sectPr>
      </w:pPr>
    </w:p>
    <w:bookmarkStart w:id="429" w:name="page430"/>
    <w:bookmarkEnd w:id="429"/>
    <w:p>
      <w:pPr>
        <w:ind w:right="260" w:firstLine="436"/>
        <w:spacing w:after="0" w:line="277" w:lineRule="auto"/>
        <w:tabs>
          <w:tab w:leader="none" w:pos="620" w:val="left"/>
        </w:tabs>
        <w:numPr>
          <w:ilvl w:val="0"/>
          <w:numId w:val="29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Administration</w:t>
      </w:r>
      <w:r>
        <w:rPr>
          <w:rFonts w:ascii="Arial" w:cs="Arial" w:eastAsia="Arial" w:hAnsi="Arial"/>
          <w:sz w:val="18"/>
          <w:szCs w:val="18"/>
          <w:color w:val="auto"/>
        </w:rPr>
        <w:t>. The Plan will be administered by the Board or a Committee appointed by the Board, which Committee will be constituted to comply with Applicable Laws. The Administrator will have full and exclusive discretionary authority to</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construe, interpret and apply the terms of the Plan,</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delegate ministerial duties to any of the Company’s employees,</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designate separate Offerings under the Plan,</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designate Subsidiaries and affiliates as participating in the 423 Component or Non-423 Component,</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determine eligibility,</w:t>
      </w:r>
    </w:p>
    <w:p>
      <w:pPr>
        <w:spacing w:after="0" w:line="225" w:lineRule="exact"/>
        <w:rPr>
          <w:rFonts w:ascii="Arial" w:cs="Arial" w:eastAsia="Arial" w:hAnsi="Arial"/>
          <w:sz w:val="18"/>
          <w:szCs w:val="18"/>
          <w:color w:val="auto"/>
        </w:rPr>
      </w:pPr>
    </w:p>
    <w:p>
      <w:pPr>
        <w:ind w:left="1220" w:hanging="233"/>
        <w:spacing w:after="0"/>
        <w:tabs>
          <w:tab w:leader="none" w:pos="122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adjudicate all disputed claims filed under the Plan, and</w:t>
      </w:r>
    </w:p>
    <w:p>
      <w:pPr>
        <w:spacing w:after="0" w:line="225" w:lineRule="exact"/>
        <w:rPr>
          <w:rFonts w:ascii="Arial" w:cs="Arial" w:eastAsia="Arial" w:hAnsi="Arial"/>
          <w:sz w:val="18"/>
          <w:szCs w:val="18"/>
          <w:color w:val="auto"/>
        </w:rPr>
      </w:pPr>
    </w:p>
    <w:p>
      <w:pPr>
        <w:ind w:right="40" w:firstLine="987"/>
        <w:spacing w:after="0" w:line="254" w:lineRule="auto"/>
        <w:tabs>
          <w:tab w:leader="none" w:pos="1246" w:val="left"/>
        </w:tabs>
        <w:numPr>
          <w:ilvl w:val="1"/>
          <w:numId w:val="291"/>
        </w:numPr>
        <w:rPr>
          <w:rFonts w:ascii="Arial" w:cs="Arial" w:eastAsia="Arial" w:hAnsi="Arial"/>
          <w:sz w:val="18"/>
          <w:szCs w:val="18"/>
          <w:color w:val="auto"/>
        </w:rPr>
      </w:pPr>
      <w:r>
        <w:rPr>
          <w:rFonts w:ascii="Arial" w:cs="Arial" w:eastAsia="Arial" w:hAnsi="Arial"/>
          <w:sz w:val="18"/>
          <w:szCs w:val="18"/>
          <w:color w:val="auto"/>
        </w:rPr>
        <w:t>establish such procedures that it deems necessary or advisable for the administration of the Plan (including, without limitation, to adopt such procedures, sub-plans, and appendices to the enrollment agreement as are necessary or appropriate to permit the participation in the Plan by employees who are foreign nationals or employed outside the U.S., the terms of which sub-plans and appendices may take precedence over other provisions of this Plan, with the exception of Section 3 hereof, but unless otherwise superseded by the terms of such sub-plan or appendix, the provisions of this Plan will govern the operation of such sub-plan or appendix). Unless otherwise determined by the Administrator, the Eligible Employees eligible to participate in each sub-plan will participate in a separate Offering under the 423 Component, or if the terms would not qualify under the 423 Component, in the Non-423 Component, in either case unless such designation would cause the 423 Component to violate the requirements of Code Section 423.</w:t>
      </w:r>
    </w:p>
    <w:p>
      <w:pPr>
        <w:spacing w:after="0" w:line="192" w:lineRule="exact"/>
        <w:rPr>
          <w:sz w:val="20"/>
          <w:szCs w:val="20"/>
          <w:color w:val="auto"/>
        </w:rPr>
      </w:pPr>
    </w:p>
    <w:p>
      <w:pPr>
        <w:ind w:right="20" w:firstLine="991"/>
        <w:spacing w:after="0" w:line="271" w:lineRule="auto"/>
        <w:rPr>
          <w:sz w:val="20"/>
          <w:szCs w:val="20"/>
          <w:color w:val="auto"/>
        </w:rPr>
      </w:pPr>
      <w:r>
        <w:rPr>
          <w:rFonts w:ascii="Arial" w:cs="Arial" w:eastAsia="Arial" w:hAnsi="Arial"/>
          <w:sz w:val="17"/>
          <w:szCs w:val="17"/>
          <w:color w:val="auto"/>
        </w:rPr>
        <w:t>Without limiting the generality of the foregoing, the Administrator is specifically authorized to adopt rules and procedures regarding eligibility to participate, the definition of Compensation, handling of Contributions, making of Contributions to the Plan (including, without 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stock certificates that vary with applicable local requirements. The Administrator also is authorized to determine that, to the extent permitted by U.S. Treasury Regulations Section 1.423-2(f), the terms of an option granted under the Plan or an Offering to citizens or residents of a non-U.S. jurisdiction will be less favorable than the terms of options granted under the Plan or the same Offering to employees resident solely in the U.S. Every finding, decision and determination made by the Administrator will, to the full extent permitted by law, be final and binding upon all parties.</w:t>
      </w:r>
    </w:p>
    <w:p>
      <w:pPr>
        <w:spacing w:after="0" w:line="178" w:lineRule="exact"/>
        <w:rPr>
          <w:sz w:val="20"/>
          <w:szCs w:val="20"/>
          <w:color w:val="auto"/>
        </w:rPr>
      </w:pPr>
    </w:p>
    <w:p>
      <w:pPr>
        <w:ind w:left="620" w:hanging="184"/>
        <w:spacing w:after="0"/>
        <w:tabs>
          <w:tab w:leader="none" w:pos="620" w:val="left"/>
        </w:tabs>
        <w:numPr>
          <w:ilvl w:val="0"/>
          <w:numId w:val="292"/>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Generally</w:t>
      </w:r>
      <w:r>
        <w:rPr>
          <w:rFonts w:ascii="Arial" w:cs="Arial" w:eastAsia="Arial" w:hAnsi="Arial"/>
          <w:sz w:val="18"/>
          <w:szCs w:val="18"/>
          <w:color w:val="auto"/>
        </w:rPr>
        <w:t>. Any individual who is an Eligible Employee on a given Enrollment Date will be eligible to participate in the Plan, subject to the requirements of Section 7.</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430" w:name="page431"/>
    <w:bookmarkEnd w:id="430"/>
    <w:p>
      <w:pPr>
        <w:ind w:left="4" w:right="80" w:firstLine="99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5.2 </w:t>
      </w:r>
      <w:r>
        <w:rPr>
          <w:rFonts w:ascii="Arial" w:cs="Arial" w:eastAsia="Arial" w:hAnsi="Arial"/>
          <w:sz w:val="18"/>
          <w:szCs w:val="18"/>
          <w:u w:val="single" w:color="auto"/>
          <w:color w:val="auto"/>
        </w:rPr>
        <w:t>Non-U.S. Employees</w:t>
      </w:r>
      <w:r>
        <w:rPr>
          <w:rFonts w:ascii="Arial" w:cs="Arial" w:eastAsia="Arial" w:hAnsi="Arial"/>
          <w:sz w:val="18"/>
          <w:szCs w:val="18"/>
          <w:color w:val="auto"/>
        </w:rPr>
        <w:t>. Eligible Employees who are citizens or residents of a non-U.S. jurisdiction (without regard to whether they also are citizens or residents of the United States or resident aliens (within the meaning of Code Section 7701(b)(1)(A))) may be excluded from participation in the Plan or an Offering if the participation of such Eligible Employees is prohibited under the laws of the applicable jurisdiction or if complying with the laws of the applicable jurisdiction would cause the Plan or an Offering to violate Code Section 423. In the case of the Non-423 Component, an Eligible Employee may be excluded from participation in the Plan or an Offering if the Administrator has determined that participation of such Eligible Employee is not advisable or practicable.</w:t>
      </w:r>
    </w:p>
    <w:p>
      <w:pPr>
        <w:spacing w:after="0" w:line="192" w:lineRule="exact"/>
        <w:rPr>
          <w:sz w:val="20"/>
          <w:szCs w:val="20"/>
          <w:color w:val="auto"/>
        </w:rPr>
      </w:pPr>
    </w:p>
    <w:p>
      <w:pPr>
        <w:ind w:left="984"/>
        <w:spacing w:after="0"/>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Limitations</w:t>
      </w:r>
      <w:r>
        <w:rPr>
          <w:rFonts w:ascii="Arial" w:cs="Arial" w:eastAsia="Arial" w:hAnsi="Arial"/>
          <w:sz w:val="16"/>
          <w:szCs w:val="16"/>
          <w:color w:val="auto"/>
        </w:rPr>
        <w:t>. Any provisions of the Plan to the contrary notwithstanding, no Eligible Employee will be granted an option under the Plan</w:t>
      </w:r>
    </w:p>
    <w:p>
      <w:pPr>
        <w:spacing w:after="0" w:line="46" w:lineRule="exact"/>
        <w:rPr>
          <w:sz w:val="20"/>
          <w:szCs w:val="20"/>
          <w:color w:val="auto"/>
        </w:rPr>
      </w:pPr>
    </w:p>
    <w:p>
      <w:pPr>
        <w:ind w:left="4" w:right="60" w:hanging="4"/>
        <w:spacing w:after="0" w:line="288" w:lineRule="auto"/>
        <w:tabs>
          <w:tab w:leader="none" w:pos="249" w:val="left"/>
        </w:tabs>
        <w:numPr>
          <w:ilvl w:val="0"/>
          <w:numId w:val="293"/>
        </w:numPr>
        <w:rPr>
          <w:rFonts w:ascii="Arial" w:cs="Arial" w:eastAsia="Arial" w:hAnsi="Arial"/>
          <w:sz w:val="16"/>
          <w:szCs w:val="16"/>
          <w:color w:val="auto"/>
        </w:rPr>
      </w:pPr>
      <w:r>
        <w:rPr>
          <w:rFonts w:ascii="Arial" w:cs="Arial" w:eastAsia="Arial" w:hAnsi="Arial"/>
          <w:sz w:val="16"/>
          <w:szCs w:val="16"/>
          <w:color w:val="auto"/>
        </w:rPr>
        <w:t>to the extent that, immediately after the grant, such Eligible Employee (or any other person whose stock would be attributed to such Eligible Employee pursuant to Code Section 424(d)) would own capital stock of the Company or any Parent or Subsidiary of the Company and/or hold outstanding options to purchase such stock possessing five percent (5%) or more of the total combined voting power or value of all classes of the capital stock of the Company or of any Parent or Subsidiary of the Company, or (b) to the extent that his or her rights to purchase stock under all employee stock purchase plans (as defined in Code Section 423) of the Company or any Parent or Subsidiary of the Company accrues at a rate, which exceeds twenty-five thousand dollars ($25,000) worth of stock (determined at the Fair Market Value of the stock at the time such option is granted) for each calendar year in which such option is outstanding at any time, as determined in accordance with Code Section 423 and the regulations thereunder.</w:t>
      </w:r>
    </w:p>
    <w:p>
      <w:pPr>
        <w:spacing w:after="0" w:line="168" w:lineRule="exact"/>
        <w:rPr>
          <w:rFonts w:ascii="Arial" w:cs="Arial" w:eastAsia="Arial" w:hAnsi="Arial"/>
          <w:sz w:val="16"/>
          <w:szCs w:val="16"/>
          <w:color w:val="auto"/>
        </w:rPr>
      </w:pPr>
    </w:p>
    <w:p>
      <w:pPr>
        <w:ind w:left="4" w:right="20" w:firstLine="436"/>
        <w:spacing w:after="0" w:line="257" w:lineRule="auto"/>
        <w:tabs>
          <w:tab w:leader="none" w:pos="624" w:val="left"/>
        </w:tabs>
        <w:numPr>
          <w:ilvl w:val="1"/>
          <w:numId w:val="293"/>
        </w:numPr>
        <w:rPr>
          <w:rFonts w:ascii="Arial" w:cs="Arial" w:eastAsia="Arial" w:hAnsi="Arial"/>
          <w:sz w:val="18"/>
          <w:szCs w:val="18"/>
          <w:color w:val="auto"/>
        </w:rPr>
      </w:pPr>
      <w:r>
        <w:rPr>
          <w:rFonts w:ascii="Arial" w:cs="Arial" w:eastAsia="Arial" w:hAnsi="Arial"/>
          <w:sz w:val="18"/>
          <w:szCs w:val="18"/>
          <w:u w:val="single" w:color="auto"/>
          <w:color w:val="auto"/>
        </w:rPr>
        <w:t>Offering Periods</w:t>
      </w:r>
      <w:r>
        <w:rPr>
          <w:rFonts w:ascii="Arial" w:cs="Arial" w:eastAsia="Arial" w:hAnsi="Arial"/>
          <w:sz w:val="18"/>
          <w:szCs w:val="18"/>
          <w:color w:val="auto"/>
        </w:rPr>
        <w:t>. Offering Periods will be periods, as will be determined by the Administrator from time to time, in its discretion and on a uniform and nondiscriminatory basis, prior to an Enrollment Date for all options to be granted on such Enrollment Date. The Administrator will have the power to change the duration of Offering Periods (including the commencement dates thereof) with respect to future Offerings without stockholder approval if such change is announced prior to the scheduled beginning of the Offering Period to be affected thereafter; provided, however, that no Offering Period may last more than twenty-seven (27) months.</w:t>
      </w:r>
    </w:p>
    <w:p>
      <w:pPr>
        <w:spacing w:after="0" w:line="187" w:lineRule="exact"/>
        <w:rPr>
          <w:rFonts w:ascii="Arial" w:cs="Arial" w:eastAsia="Arial" w:hAnsi="Arial"/>
          <w:sz w:val="18"/>
          <w:szCs w:val="18"/>
          <w:color w:val="auto"/>
        </w:rPr>
      </w:pPr>
    </w:p>
    <w:p>
      <w:pPr>
        <w:ind w:left="4" w:firstLine="436"/>
        <w:spacing w:after="0" w:line="259" w:lineRule="auto"/>
        <w:tabs>
          <w:tab w:leader="none" w:pos="624" w:val="left"/>
        </w:tabs>
        <w:numPr>
          <w:ilvl w:val="1"/>
          <w:numId w:val="293"/>
        </w:numPr>
        <w:rPr>
          <w:rFonts w:ascii="Arial" w:cs="Arial" w:eastAsia="Arial" w:hAnsi="Arial"/>
          <w:sz w:val="18"/>
          <w:szCs w:val="18"/>
          <w:color w:val="auto"/>
        </w:rPr>
      </w:pPr>
      <w:r>
        <w:rPr>
          <w:rFonts w:ascii="Arial" w:cs="Arial" w:eastAsia="Arial" w:hAnsi="Arial"/>
          <w:sz w:val="18"/>
          <w:szCs w:val="18"/>
          <w:u w:val="single" w:color="auto"/>
          <w:color w:val="auto"/>
        </w:rPr>
        <w:t>Participation</w:t>
      </w:r>
      <w:r>
        <w:rPr>
          <w:rFonts w:ascii="Arial" w:cs="Arial" w:eastAsia="Arial" w:hAnsi="Arial"/>
          <w:sz w:val="18"/>
          <w:szCs w:val="18"/>
          <w:color w:val="auto"/>
        </w:rPr>
        <w:t>. An Eligible Employee may participate in the Plan pursuant to Section 5.1 by (a) submitting to the Company’s stock administration office (or its designee), a properly completed subscription agreement authorizing Contributions in the form provided by the Administrator for such purpose, or (b) following an electronic or other enrollment procedure determined by the Administrator, in either case, on or before a date determined by the Administrator prior to an applicable Enrollment Date.</w:t>
      </w:r>
    </w:p>
    <w:p>
      <w:pPr>
        <w:spacing w:after="0" w:line="186" w:lineRule="exact"/>
        <w:rPr>
          <w:rFonts w:ascii="Arial" w:cs="Arial" w:eastAsia="Arial" w:hAnsi="Arial"/>
          <w:sz w:val="18"/>
          <w:szCs w:val="18"/>
          <w:color w:val="auto"/>
        </w:rPr>
      </w:pPr>
    </w:p>
    <w:p>
      <w:pPr>
        <w:ind w:left="624" w:hanging="184"/>
        <w:spacing w:after="0"/>
        <w:tabs>
          <w:tab w:leader="none" w:pos="624" w:val="left"/>
        </w:tabs>
        <w:numPr>
          <w:ilvl w:val="1"/>
          <w:numId w:val="293"/>
        </w:numPr>
        <w:rPr>
          <w:rFonts w:ascii="Arial" w:cs="Arial" w:eastAsia="Arial" w:hAnsi="Arial"/>
          <w:sz w:val="18"/>
          <w:szCs w:val="18"/>
          <w:color w:val="auto"/>
        </w:rPr>
      </w:pPr>
      <w:r>
        <w:rPr>
          <w:rFonts w:ascii="Arial" w:cs="Arial" w:eastAsia="Arial" w:hAnsi="Arial"/>
          <w:sz w:val="18"/>
          <w:szCs w:val="18"/>
          <w:u w:val="single" w:color="auto"/>
          <w:color w:val="auto"/>
        </w:rPr>
        <w:t>Contributions</w:t>
      </w:r>
      <w:r>
        <w:rPr>
          <w:rFonts w:ascii="Arial" w:cs="Arial" w:eastAsia="Arial" w:hAnsi="Arial"/>
          <w:sz w:val="18"/>
          <w:szCs w:val="18"/>
          <w:color w:val="auto"/>
        </w:rPr>
        <w:t>.</w:t>
      </w:r>
    </w:p>
    <w:p>
      <w:pPr>
        <w:spacing w:after="0" w:line="225" w:lineRule="exact"/>
        <w:rPr>
          <w:sz w:val="20"/>
          <w:szCs w:val="20"/>
          <w:color w:val="auto"/>
        </w:rPr>
      </w:pPr>
    </w:p>
    <w:p>
      <w:pPr>
        <w:ind w:left="4" w:right="80" w:firstLine="991"/>
        <w:spacing w:after="0" w:line="25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Contribution Amounts</w:t>
      </w:r>
      <w:r>
        <w:rPr>
          <w:rFonts w:ascii="Arial" w:cs="Arial" w:eastAsia="Arial" w:hAnsi="Arial"/>
          <w:sz w:val="18"/>
          <w:szCs w:val="18"/>
          <w:color w:val="auto"/>
        </w:rPr>
        <w:t>. At the time a Participant enrolls in the Plan pursuant to Section 7, he or she will elect to have Contributions (in the form of payroll deductions or otherwise, to the extent permitted by the Administrator) made on each pay day during the Offering Period in an amount not exceeding fifteen percent (15%) of the Compensation, which he or she receives on each pay day during the Offering Period; provided, however, that should a pay day occur on an Exercise Date, a Participant will have any Contributions made on such day applied to his or her account under the then-current Purchase Period or Offering Period.</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4"/>
          </w:cols>
          <w:pgMar w:left="436" w:top="274" w:right="439" w:bottom="1440" w:gutter="0" w:footer="0" w:header="0"/>
        </w:sectPr>
      </w:pPr>
    </w:p>
    <w:bookmarkStart w:id="431" w:name="page432"/>
    <w:bookmarkEnd w:id="431"/>
    <w:p>
      <w:pPr>
        <w:ind w:right="60" w:firstLine="991"/>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8.2 </w:t>
      </w:r>
      <w:r>
        <w:rPr>
          <w:rFonts w:ascii="Arial" w:cs="Arial" w:eastAsia="Arial" w:hAnsi="Arial"/>
          <w:sz w:val="16"/>
          <w:szCs w:val="16"/>
          <w:u w:val="single" w:color="auto"/>
          <w:color w:val="auto"/>
        </w:rPr>
        <w:t>Contribution Methods</w:t>
      </w:r>
      <w:r>
        <w:rPr>
          <w:rFonts w:ascii="Arial" w:cs="Arial" w:eastAsia="Arial" w:hAnsi="Arial"/>
          <w:sz w:val="16"/>
          <w:szCs w:val="16"/>
          <w:color w:val="auto"/>
        </w:rPr>
        <w:t>. The Administrator, in its sole discretion, may permit all Participants in a specified Offering to contribute amounts to the Plan through payment by cash, check or other means set forth in the subscription agreement prior to each Exercise Date of each Offering Period. A Participant’s subscription agreement will remain in effect for successive Offering Periods unless terminated as provided in Section 12 hereof.</w:t>
      </w:r>
    </w:p>
    <w:p>
      <w:pPr>
        <w:spacing w:after="0" w:line="149" w:lineRule="exact"/>
        <w:rPr>
          <w:sz w:val="20"/>
          <w:szCs w:val="20"/>
          <w:color w:val="auto"/>
        </w:rPr>
      </w:pPr>
    </w:p>
    <w:p>
      <w:pPr>
        <w:ind w:right="20" w:firstLine="1428"/>
        <w:spacing w:after="0" w:line="279" w:lineRule="auto"/>
        <w:tabs>
          <w:tab w:leader="none" w:pos="1677" w:val="left"/>
        </w:tabs>
        <w:numPr>
          <w:ilvl w:val="0"/>
          <w:numId w:val="294"/>
        </w:numPr>
        <w:rPr>
          <w:rFonts w:ascii="Arial" w:cs="Arial" w:eastAsia="Arial" w:hAnsi="Arial"/>
          <w:sz w:val="17"/>
          <w:szCs w:val="17"/>
          <w:color w:val="auto"/>
        </w:rPr>
      </w:pPr>
      <w:r>
        <w:rPr>
          <w:rFonts w:ascii="Arial" w:cs="Arial" w:eastAsia="Arial" w:hAnsi="Arial"/>
          <w:sz w:val="17"/>
          <w:szCs w:val="17"/>
          <w:color w:val="auto"/>
        </w:rPr>
        <w:t>In the event Contributions are made in the form of payroll deductions, such payroll deductions for a Participant will commence on the first pay day following the Enrollment Date and will end on the last pay day on or prior to the last Exercise Date of such Offering Period to which such authorization is applicable, unless sooner terminated by the Participant as provided in Section 12 hereof; provided, however, that for the first Offering Period, payroll deductions will commence on the first pay day on or following the end of the Enrollment Window.</w:t>
      </w:r>
    </w:p>
    <w:p>
      <w:pPr>
        <w:spacing w:after="0" w:line="171" w:lineRule="exact"/>
        <w:rPr>
          <w:rFonts w:ascii="Arial" w:cs="Arial" w:eastAsia="Arial" w:hAnsi="Arial"/>
          <w:sz w:val="17"/>
          <w:szCs w:val="17"/>
          <w:color w:val="auto"/>
        </w:rPr>
      </w:pPr>
    </w:p>
    <w:p>
      <w:pPr>
        <w:ind w:right="160" w:firstLine="1428"/>
        <w:spacing w:after="0" w:line="277" w:lineRule="auto"/>
        <w:tabs>
          <w:tab w:leader="none" w:pos="1687"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All Contributions made for a Participant will be credited to his or her account under the Plan and Contributions will be made in whole percentages of his or her Compensation only. A Participant may not make any additional payments into such account.</w:t>
      </w:r>
    </w:p>
    <w:p>
      <w:pPr>
        <w:spacing w:after="0" w:line="170" w:lineRule="exact"/>
        <w:rPr>
          <w:sz w:val="20"/>
          <w:szCs w:val="20"/>
          <w:color w:val="auto"/>
        </w:rPr>
      </w:pPr>
    </w:p>
    <w:p>
      <w:pPr>
        <w:ind w:right="40" w:firstLine="991"/>
        <w:spacing w:after="0" w:line="271"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Participant Changes to Contributions</w:t>
      </w:r>
      <w:r>
        <w:rPr>
          <w:rFonts w:ascii="Arial" w:cs="Arial" w:eastAsia="Arial" w:hAnsi="Arial"/>
          <w:sz w:val="17"/>
          <w:szCs w:val="17"/>
          <w:color w:val="auto"/>
        </w:rPr>
        <w:t>. A Participant may discontinue his or her participation in the Plan as provided under Section 12. Until and unless determined otherwise by the Administrator, in its sole discretion, during any Offering Period, a Participant may not increase the rate of his or her Contributions and may decrease the rate of his or her Contributions only one (1) time, provided that such decrease is to a Contribution rate of zero percent (0%). In addition, until and unless determined otherwise by the Administrator, in its sole discretion, during any Offering Period, a Participant may increase or decrease the rate of his or her Contributions (as a whole percent to a rate between zero percent (0%) and the maximum percentage specified in Section 8.1), which Contribution rate adjustment will become effective upon the commencement of the next Offering Period and remain in effect for subsequent Offering Periods and, except as set forth in the immediately preceding sentence, any such adjustment will not affect the Contribution rate for any ongoing Offering Period.</w:t>
      </w:r>
    </w:p>
    <w:p>
      <w:pPr>
        <w:spacing w:after="0" w:line="178" w:lineRule="exact"/>
        <w:rPr>
          <w:sz w:val="20"/>
          <w:szCs w:val="20"/>
          <w:color w:val="auto"/>
        </w:rPr>
      </w:pPr>
    </w:p>
    <w:p>
      <w:pPr>
        <w:ind w:firstLine="1428"/>
        <w:spacing w:after="0" w:line="254" w:lineRule="auto"/>
        <w:tabs>
          <w:tab w:leader="none" w:pos="1677" w:val="left"/>
        </w:tabs>
        <w:numPr>
          <w:ilvl w:val="0"/>
          <w:numId w:val="295"/>
        </w:numPr>
        <w:rPr>
          <w:rFonts w:ascii="Arial" w:cs="Arial" w:eastAsia="Arial" w:hAnsi="Arial"/>
          <w:sz w:val="18"/>
          <w:szCs w:val="18"/>
          <w:color w:val="auto"/>
        </w:rPr>
      </w:pPr>
      <w:r>
        <w:rPr>
          <w:rFonts w:ascii="Arial" w:cs="Arial" w:eastAsia="Arial" w:hAnsi="Arial"/>
          <w:sz w:val="18"/>
          <w:szCs w:val="18"/>
          <w:color w:val="auto"/>
        </w:rPr>
        <w:t>A Participant may make a Contribution rate adjustment pursuant to this Section 8.3 by (A) properly completing and submitting to the Company’s stock administration office (or its designee), a new subscription agreement authorizing the change in Contribution rate in the form provided by the Administrator for such purpose, or (B) following an electronic or other procedure prescribed by the Administrator, in either case, on or before a date determined by the Administrator prior to (x) the scheduled beginning of the Offering Period to be affected or (y) an applicable Exercise Date, as applicable. If a Participant has not followed such procedures to change the rate of Contributions, the rate of his or her Contributions will continue at the originally elected rate throughout the Offering Period and future Offering Periods (unless the Participant’s participation is terminated as provided in Sections 12 or 13).</w:t>
      </w:r>
    </w:p>
    <w:p>
      <w:pPr>
        <w:spacing w:after="0" w:line="194" w:lineRule="exact"/>
        <w:rPr>
          <w:rFonts w:ascii="Arial" w:cs="Arial" w:eastAsia="Arial" w:hAnsi="Arial"/>
          <w:sz w:val="18"/>
          <w:szCs w:val="18"/>
          <w:color w:val="auto"/>
        </w:rPr>
      </w:pPr>
    </w:p>
    <w:p>
      <w:pPr>
        <w:ind w:right="20" w:firstLine="1428"/>
        <w:spacing w:after="0" w:line="286" w:lineRule="auto"/>
        <w:tabs>
          <w:tab w:leader="none" w:pos="1687" w:val="left"/>
        </w:tabs>
        <w:numPr>
          <w:ilvl w:val="0"/>
          <w:numId w:val="295"/>
        </w:numPr>
        <w:rPr>
          <w:rFonts w:ascii="Arial" w:cs="Arial" w:eastAsia="Arial" w:hAnsi="Arial"/>
          <w:sz w:val="17"/>
          <w:szCs w:val="17"/>
          <w:color w:val="auto"/>
        </w:rPr>
      </w:pPr>
      <w:r>
        <w:rPr>
          <w:rFonts w:ascii="Arial" w:cs="Arial" w:eastAsia="Arial" w:hAnsi="Arial"/>
          <w:sz w:val="17"/>
          <w:szCs w:val="17"/>
          <w:color w:val="auto"/>
        </w:rPr>
        <w:t>The Administrator may, in its sole discretion, limit or amend the nature and/or number of Contribution rate changes (including to permit, prohibit and/or limit increases and/or decreases to rate changes) that may be made by Participants during any Purchase Period or Offering Period, and may establish such other conditions or limitations as it deems appropriate for Plan administration.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432" w:name="page433"/>
    <w:bookmarkEnd w:id="432"/>
    <w:p>
      <w:pPr>
        <w:jc w:val="both"/>
        <w:ind w:right="220" w:firstLine="1428"/>
        <w:spacing w:after="0" w:line="263" w:lineRule="auto"/>
        <w:tabs>
          <w:tab w:leader="none" w:pos="1677" w:val="left"/>
        </w:tabs>
        <w:numPr>
          <w:ilvl w:val="0"/>
          <w:numId w:val="2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change in Contribution rate made pursuant to this Section 8.3 will be effective as of the first full payroll period following five (5) business days after the date on which the change is made by the Participant (unless the Administrator, in its sole discretion, elects to process a given change in Contribution rate earlier).</w:t>
      </w:r>
    </w:p>
    <w:p>
      <w:pPr>
        <w:spacing w:after="0" w:line="184" w:lineRule="exact"/>
        <w:rPr>
          <w:sz w:val="20"/>
          <w:szCs w:val="20"/>
          <w:color w:val="auto"/>
        </w:rPr>
      </w:pPr>
    </w:p>
    <w:p>
      <w:pPr>
        <w:ind w:right="40" w:firstLine="991"/>
        <w:spacing w:after="0" w:line="255"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Other Contribution Changes</w:t>
      </w:r>
      <w:r>
        <w:rPr>
          <w:rFonts w:ascii="Arial" w:cs="Arial" w:eastAsia="Arial" w:hAnsi="Arial"/>
          <w:sz w:val="18"/>
          <w:szCs w:val="18"/>
          <w:color w:val="auto"/>
        </w:rPr>
        <w:t>. Notwithstanding the foregoing, to the extent necessary to comply with Code Section 423(b)(8) and Section 5.3 hereof (which generally limit participation in an Offering Period pursuant to certain Applicable Laws), a Participant’s Contributions may be decreased to zero percent (0%) by the Administrator at any time during an Offering Period (or a Purchase Period, as applicable). Subject to Code Section 423(b)(8) and Section 5.3 hereof, Contributions will recommence at the rate originally elected by the Participant effective as of the beginning of the first Offering Period (or Purchase Period, as applicable) scheduled to end in the following calendar year, unless the Participant’s participation has terminated as provided in Sections 12 or 13.</w:t>
      </w:r>
    </w:p>
    <w:p>
      <w:pPr>
        <w:spacing w:after="0" w:line="192"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Cash Contributions</w:t>
      </w:r>
      <w:r>
        <w:rPr>
          <w:rFonts w:ascii="Arial" w:cs="Arial" w:eastAsia="Arial" w:hAnsi="Arial"/>
          <w:sz w:val="18"/>
          <w:szCs w:val="18"/>
          <w:color w:val="auto"/>
        </w:rPr>
        <w:t>. Notwithstanding any provisions to the contrary in the Plan, the Administrator may allow Participants to participate in the Plan via cash contributions instead of payroll deductions if (a) payroll deductions are not permitted or advisable under Applicable Laws, (b) the Administrator determines that cash contributions are permissible for Participants participating in the 423 Component and/or (c) the Participants are participating in the Non-423 Component.</w:t>
      </w:r>
    </w:p>
    <w:p>
      <w:pPr>
        <w:spacing w:after="0" w:line="187"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u w:val="single" w:color="auto"/>
          <w:color w:val="auto"/>
        </w:rPr>
        <w:t>Tax Withholdings</w:t>
      </w:r>
      <w:r>
        <w:rPr>
          <w:rFonts w:ascii="Arial" w:cs="Arial" w:eastAsia="Arial" w:hAnsi="Arial"/>
          <w:sz w:val="17"/>
          <w:szCs w:val="17"/>
          <w:color w:val="auto"/>
        </w:rPr>
        <w:t>. At the time the option is exercised, in whole or in part, or at the time some or all of the Common Stock issued under the Plan is disposed of (or at any other time that a taxable event related to the Plan occurs), the Participant must make adequate provision for the Company’s or Employer’s federal, state, local or any other tax liability payable to any authority including taxes imposed by jurisdictions outside of the U.S., national insurance, social security or other tax withholding or payment on account obligations, if any, which arise upon the exercise of the option or the disposition of the Common Stock (or any other time that a taxable event related to the Plan occurs). At any time, the Company or the Employer may, but will not be obligated to, withhold from the Participant’s compensation the amount necessary for the Company or the Employer to meet applicable withholding obligations, including any withholding required to make available to the Company or the Employer any tax deductions or benefits attributable to the sale or early disposition of Common Stock by the Eligible Employee. In addition, the Company or the Employer may, but will not be obligated to, withhold from the proceeds of the sale of Common Stock or use any other method of withholding the Company or the Employer deems appropriate to the extent permitted by U.S. Treasury Regulations Section 1.423-2(f).</w:t>
      </w:r>
    </w:p>
    <w:p>
      <w:pPr>
        <w:spacing w:after="0" w:line="185" w:lineRule="exact"/>
        <w:rPr>
          <w:sz w:val="20"/>
          <w:szCs w:val="20"/>
          <w:color w:val="auto"/>
        </w:rPr>
      </w:pPr>
    </w:p>
    <w:p>
      <w:pPr>
        <w:ind w:right="40" w:firstLine="991"/>
        <w:spacing w:after="0" w:line="285" w:lineRule="auto"/>
        <w:rPr>
          <w:sz w:val="20"/>
          <w:szCs w:val="20"/>
          <w:color w:val="auto"/>
        </w:rPr>
      </w:pPr>
      <w:r>
        <w:rPr>
          <w:rFonts w:ascii="Arial" w:cs="Arial" w:eastAsia="Arial" w:hAnsi="Arial"/>
          <w:sz w:val="16"/>
          <w:szCs w:val="16"/>
          <w:color w:val="auto"/>
        </w:rPr>
        <w:t xml:space="preserve">8.7 </w:t>
      </w:r>
      <w:r>
        <w:rPr>
          <w:rFonts w:ascii="Arial" w:cs="Arial" w:eastAsia="Arial" w:hAnsi="Arial"/>
          <w:sz w:val="16"/>
          <w:szCs w:val="16"/>
          <w:u w:val="single" w:color="auto"/>
          <w:color w:val="auto"/>
        </w:rPr>
        <w:t>Use of Funds</w:t>
      </w:r>
      <w:r>
        <w:rPr>
          <w:rFonts w:ascii="Arial" w:cs="Arial" w:eastAsia="Arial" w:hAnsi="Arial"/>
          <w:sz w:val="16"/>
          <w:szCs w:val="16"/>
          <w:color w:val="auto"/>
        </w:rPr>
        <w:t>. The Company may use all Contributions received or held by it under the Plan for any corporate purpose, and the Company will not be obligated to segregate such Contributions except under Offerings or for Participants in the Non-423 Component for which Applicable Laws require that Contributions to the Plan by Participants be segregated from the Company’s general corporate funds and/or deposited with an independent third party, provided that, if such segregation or deposit with an independent third party is required by Applicable Laws, it will apply to all Participants in the relevant Offering under the 423 Component, except to the extent otherwise permitted by U.S. Treasury Regulations</w:t>
      </w:r>
    </w:p>
    <w:p>
      <w:pPr>
        <w:spacing w:after="0" w:line="2" w:lineRule="exact"/>
        <w:rPr>
          <w:sz w:val="20"/>
          <w:szCs w:val="20"/>
          <w:color w:val="auto"/>
        </w:rPr>
      </w:pPr>
    </w:p>
    <w:p>
      <w:pPr>
        <w:jc w:val="center"/>
        <w:ind w:right="60"/>
        <w:spacing w:after="0" w:line="433" w:lineRule="auto"/>
        <w:rPr>
          <w:sz w:val="20"/>
          <w:szCs w:val="20"/>
          <w:color w:val="auto"/>
        </w:rPr>
      </w:pPr>
      <w:r>
        <w:rPr>
          <w:rFonts w:ascii="Arial" w:cs="Arial" w:eastAsia="Arial" w:hAnsi="Arial"/>
          <w:sz w:val="18"/>
          <w:szCs w:val="18"/>
          <w:color w:val="auto"/>
        </w:rPr>
        <w:t>Section 1.423-2(f). Until shares of Common Stock are issued, Participants will have only the rights of an unsecured creditor with respect to such shares. -10-</w:t>
      </w:r>
    </w:p>
    <w:p>
      <w:pPr>
        <w:sectPr>
          <w:pgSz w:w="11900" w:h="16838" w:orient="portrait"/>
          <w:cols w:equalWidth="0" w:num="1">
            <w:col w:w="11000"/>
          </w:cols>
          <w:pgMar w:left="440" w:top="274" w:right="459" w:bottom="1440" w:gutter="0" w:footer="0" w:header="0"/>
        </w:sectPr>
      </w:pPr>
    </w:p>
    <w:bookmarkStart w:id="433" w:name="page434"/>
    <w:bookmarkEnd w:id="433"/>
    <w:p>
      <w:pPr>
        <w:jc w:val="both"/>
        <w:ind w:right="40" w:firstLine="436"/>
        <w:spacing w:after="0" w:line="259" w:lineRule="auto"/>
        <w:tabs>
          <w:tab w:leader="none" w:pos="620" w:val="left"/>
        </w:tabs>
        <w:numPr>
          <w:ilvl w:val="0"/>
          <w:numId w:val="29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Grant of Option</w:t>
      </w:r>
      <w:r>
        <w:rPr>
          <w:rFonts w:ascii="Arial" w:cs="Arial" w:eastAsia="Arial" w:hAnsi="Arial"/>
          <w:sz w:val="18"/>
          <w:szCs w:val="18"/>
          <w:color w:val="auto"/>
        </w:rPr>
        <w:t>. On the Enrollment Date of each Offering Period, each Eligible Employee participating in such Offering Period will be granted an option to purchase on each Exercise Date during such Offering Period (at the applicable Purchase Price) up to a number of shares of Common Stock determined by dividing such Eligible Employee’s Contributions accumulated prior to such Exercise Date and retained in the Eligible Employee’s account as of the Exercise Date by the applicable Purchase Price.</w:t>
      </w:r>
    </w:p>
    <w:p>
      <w:pPr>
        <w:spacing w:after="0" w:line="187"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Certain Option Limits</w:t>
      </w:r>
      <w:r>
        <w:rPr>
          <w:rFonts w:ascii="Arial" w:cs="Arial" w:eastAsia="Arial" w:hAnsi="Arial"/>
          <w:sz w:val="17"/>
          <w:szCs w:val="17"/>
          <w:color w:val="auto"/>
        </w:rPr>
        <w:t>. In no event will an Eligible Employee be permitted to purchase during each Offering Period more than a maximum number of shares of Common Stock to be determined by the Administrator (subject to any adjustment pursuant to Section 17), and provided further that such purchase will be subject to the limitations set forth in Sections 3 and 5.3 and in the subscription agreement. For future Offering Periods, the Administrator, in its absolute discretion, may increase or decrease the maximum number of shares of Common Stock that an Eligible Employee may purchase during each Purchase Period or Offering Period, as applicable.</w:t>
      </w:r>
    </w:p>
    <w:p>
      <w:pPr>
        <w:spacing w:after="0" w:line="176"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Option Receipt</w:t>
      </w:r>
      <w:r>
        <w:rPr>
          <w:rFonts w:ascii="Arial" w:cs="Arial" w:eastAsia="Arial" w:hAnsi="Arial"/>
          <w:sz w:val="18"/>
          <w:szCs w:val="18"/>
          <w:color w:val="auto"/>
        </w:rPr>
        <w:t>. The Eligible Employee may accept the grant of such option submitting a properly completed subscription agreement in accordance with the requirements of Section 7.</w:t>
      </w:r>
    </w:p>
    <w:p>
      <w:pPr>
        <w:spacing w:after="0" w:line="170"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Option Term</w:t>
      </w:r>
      <w:r>
        <w:rPr>
          <w:rFonts w:ascii="Arial" w:cs="Arial" w:eastAsia="Arial" w:hAnsi="Arial"/>
          <w:sz w:val="18"/>
          <w:szCs w:val="18"/>
          <w:color w:val="auto"/>
        </w:rPr>
        <w:t>. Exercise of the option will occur as provided in Section 10, unless the Participant’s participation has terminated pursuant to Sections 12 or 13. The option will expire on the last day of the Offering Period.</w:t>
      </w:r>
    </w:p>
    <w:p>
      <w:pPr>
        <w:spacing w:after="0" w:line="170" w:lineRule="exact"/>
        <w:rPr>
          <w:sz w:val="20"/>
          <w:szCs w:val="20"/>
          <w:color w:val="auto"/>
        </w:rPr>
      </w:pPr>
    </w:p>
    <w:p>
      <w:pPr>
        <w:ind w:left="700" w:hanging="264"/>
        <w:spacing w:after="0"/>
        <w:tabs>
          <w:tab w:leader="none" w:pos="700" w:val="left"/>
        </w:tabs>
        <w:numPr>
          <w:ilvl w:val="0"/>
          <w:numId w:val="298"/>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Automatic Exercise</w:t>
      </w:r>
      <w:r>
        <w:rPr>
          <w:rFonts w:ascii="Arial" w:cs="Arial" w:eastAsia="Arial" w:hAnsi="Arial"/>
          <w:sz w:val="18"/>
          <w:szCs w:val="18"/>
          <w:color w:val="auto"/>
        </w:rPr>
        <w:t>. Unless a Participant’s participation in the Plan has terminated as provided in Sections 12 and 13, his or her option for the purchase of shares of Common Stock will be exercised automatically on the Exercise Date, and the maximum number of full shares subject to the option will be purchased for such Participant at the applicable Purchase Price with the accumulated Contributions from his or her account. No fractional shares of Common Stock will be purchased; any Contributions accumulated in a Participant’s account, which are not sufficient to purchase a full share will be retained in the Participant’s account for the subsequent Purchase Period or Offering Period, as applicable, subject to earlier withdrawal by the Participant as provided in Sections 12 or 13. Any other funds left over in a Participant’s account after the Exercise Date will be returned to the Participant. During a Participant’s lifetime, a Participant’s option to purchase shares of Common Stock hereunder is exercisable only by him or her.</w:t>
      </w:r>
    </w:p>
    <w:p>
      <w:pPr>
        <w:spacing w:after="0" w:line="192" w:lineRule="exact"/>
        <w:rPr>
          <w:sz w:val="20"/>
          <w:szCs w:val="20"/>
          <w:color w:val="auto"/>
        </w:rPr>
      </w:pPr>
    </w:p>
    <w:p>
      <w:pPr>
        <w:ind w:right="220" w:firstLine="991"/>
        <w:spacing w:after="0" w:line="259"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Pro Rata Allocations</w:t>
      </w:r>
      <w:r>
        <w:rPr>
          <w:rFonts w:ascii="Arial" w:cs="Arial" w:eastAsia="Arial" w:hAnsi="Arial"/>
          <w:sz w:val="18"/>
          <w:szCs w:val="18"/>
          <w:color w:val="auto"/>
        </w:rPr>
        <w:t>. If the Administrator determines that, on a given Exercise Date, the number of shares of Common Stock with respect to which options are to be exercised may exceed (a) the number of shares of Common Stock that were available for sale under the Plan on the Enrollment Date of the applicable Offering Period, or (b) the number of shares of Common Stock available for sale under the Plan on such Exercise Date, the Administrator may in its sole discretion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434" w:name="page435"/>
    <w:bookmarkEnd w:id="434"/>
    <w:p>
      <w:pPr>
        <w:ind w:left="4" w:hanging="4"/>
        <w:spacing w:after="0" w:line="253" w:lineRule="auto"/>
        <w:tabs>
          <w:tab w:leader="none" w:pos="259" w:val="left"/>
        </w:tabs>
        <w:numPr>
          <w:ilvl w:val="0"/>
          <w:numId w:val="2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continue all Offering Periods then in effect or (y)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terminate any or all Offering Periods then in effect pursuant to Section 18. The Company may make a pro rata allocation of the shares of Common Stock available on the Enrollment Date of any applicable Offering Period pursuant to the preceding sentence, notwithstanding any authorization of additional shares of Common Stock for issuance under the Plan by the Company’s stockholders subsequent to such Enrollment Date.</w:t>
      </w:r>
    </w:p>
    <w:p>
      <w:pPr>
        <w:spacing w:after="0" w:line="196" w:lineRule="exact"/>
        <w:rPr>
          <w:rFonts w:ascii="Arial" w:cs="Arial" w:eastAsia="Arial" w:hAnsi="Arial"/>
          <w:sz w:val="18"/>
          <w:szCs w:val="18"/>
          <w:color w:val="auto"/>
        </w:rPr>
      </w:pPr>
    </w:p>
    <w:p>
      <w:pPr>
        <w:ind w:left="4" w:right="40" w:firstLine="436"/>
        <w:spacing w:after="0" w:line="271" w:lineRule="auto"/>
        <w:tabs>
          <w:tab w:leader="none" w:pos="707" w:val="left"/>
        </w:tabs>
        <w:numPr>
          <w:ilvl w:val="1"/>
          <w:numId w:val="299"/>
        </w:numPr>
        <w:rPr>
          <w:rFonts w:ascii="Arial" w:cs="Arial" w:eastAsia="Arial" w:hAnsi="Arial"/>
          <w:sz w:val="17"/>
          <w:szCs w:val="17"/>
          <w:color w:val="auto"/>
        </w:rPr>
      </w:pPr>
      <w:r>
        <w:rPr>
          <w:rFonts w:ascii="Arial" w:cs="Arial" w:eastAsia="Arial" w:hAnsi="Arial"/>
          <w:sz w:val="17"/>
          <w:szCs w:val="17"/>
          <w:u w:val="single" w:color="auto"/>
          <w:color w:val="auto"/>
        </w:rPr>
        <w:t>Delivery</w:t>
      </w:r>
      <w:r>
        <w:rPr>
          <w:rFonts w:ascii="Arial" w:cs="Arial" w:eastAsia="Arial" w:hAnsi="Arial"/>
          <w:sz w:val="17"/>
          <w:szCs w:val="17"/>
          <w:color w:val="auto"/>
        </w:rPr>
        <w:t>. As soon as reasonably practicable after each Exercise Date on which a purchase of shares of Common Stock occurs, the Company will arrange the delivery to each Participant of the shares purchased upon exercise of his or her option in a form determined by the Administrator (in its sole discretion) and pursuant to rules established by the Administrator. The Company may permit or require that shares be deposited directly with a broker designated by the Company or with a trustee or designated agent of the Company, and the Company may utilize electronic or automated methods of share transfer. The Company may require that shares be retained with such broker, trustee or agent for a designated period of time and/or may establish other procedures to permit tracking of disqualifying dispositions or other dispositions of such shares. No Participant will have any voting, dividend, or other stockholder rights with respect to shares of Common Stock subject to any option granted under the Plan until such shares have been purchased and delivered to the Participant as provided in this Section 11.</w:t>
      </w:r>
    </w:p>
    <w:p>
      <w:pPr>
        <w:spacing w:after="0" w:line="178" w:lineRule="exact"/>
        <w:rPr>
          <w:rFonts w:ascii="Arial" w:cs="Arial" w:eastAsia="Arial" w:hAnsi="Arial"/>
          <w:sz w:val="17"/>
          <w:szCs w:val="17"/>
          <w:color w:val="auto"/>
        </w:rPr>
      </w:pPr>
    </w:p>
    <w:p>
      <w:pPr>
        <w:ind w:left="704" w:hanging="264"/>
        <w:spacing w:after="0"/>
        <w:tabs>
          <w:tab w:leader="none" w:pos="704" w:val="left"/>
        </w:tabs>
        <w:numPr>
          <w:ilvl w:val="1"/>
          <w:numId w:val="299"/>
        </w:numPr>
        <w:rPr>
          <w:rFonts w:ascii="Arial" w:cs="Arial" w:eastAsia="Arial" w:hAnsi="Arial"/>
          <w:sz w:val="18"/>
          <w:szCs w:val="18"/>
          <w:color w:val="auto"/>
        </w:rPr>
      </w:pPr>
      <w:r>
        <w:rPr>
          <w:rFonts w:ascii="Arial" w:cs="Arial" w:eastAsia="Arial" w:hAnsi="Arial"/>
          <w:sz w:val="18"/>
          <w:szCs w:val="18"/>
          <w:u w:val="single" w:color="auto"/>
          <w:color w:val="auto"/>
        </w:rPr>
        <w:t>Withdrawal</w:t>
      </w:r>
      <w:r>
        <w:rPr>
          <w:rFonts w:ascii="Arial" w:cs="Arial" w:eastAsia="Arial" w:hAnsi="Arial"/>
          <w:sz w:val="18"/>
          <w:szCs w:val="18"/>
          <w:color w:val="auto"/>
        </w:rPr>
        <w:t>.</w:t>
      </w:r>
    </w:p>
    <w:p>
      <w:pPr>
        <w:spacing w:after="0" w:line="225" w:lineRule="exact"/>
        <w:rPr>
          <w:sz w:val="20"/>
          <w:szCs w:val="20"/>
          <w:color w:val="auto"/>
        </w:rPr>
      </w:pPr>
    </w:p>
    <w:p>
      <w:pPr>
        <w:ind w:left="4" w:right="40" w:firstLine="991"/>
        <w:spacing w:after="0" w:line="289"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Withdrawal Procedures</w:t>
      </w:r>
      <w:r>
        <w:rPr>
          <w:rFonts w:ascii="Arial" w:cs="Arial" w:eastAsia="Arial" w:hAnsi="Arial"/>
          <w:sz w:val="16"/>
          <w:szCs w:val="16"/>
          <w:color w:val="auto"/>
        </w:rPr>
        <w:t xml:space="preserve">. A Participant may withdraw all but not less than all the Contributions credited to his or her account and not yet used to exercise his or her option under the Plan at any time by (a) submitting to the Company’s stock administration office (or its designee) a written notice of withdrawal in the form determined by the Administrator for such purpose (which may be similar to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or (b) following an electronic or other withdrawal procedure determined by the Administrator. The Administrator may set forth a deadline of when a withdrawal must occur to be effective prior to a given Exercise Date in accordance with policies it may approve from time to time. All of the Participant’s Contributions credited to his or her account will be paid to such Participant as soon as administratively practicable after receipt of notice of withdrawal and such Participant’s option for the Offering Period will be automatically terminated, and no further Contributions for the purchase of shares will be made for such Offering Period. If a Participant withdraws from an Offering Period, Contributions will not resume at the beginning of the succeeding Offering Period, unless the Participant re-enrolls in the Plan in accordance with the provisions of Section 7.</w:t>
      </w:r>
    </w:p>
    <w:p>
      <w:pPr>
        <w:spacing w:after="0" w:line="166" w:lineRule="exact"/>
        <w:rPr>
          <w:sz w:val="20"/>
          <w:szCs w:val="20"/>
          <w:color w:val="auto"/>
        </w:rPr>
      </w:pPr>
    </w:p>
    <w:p>
      <w:pPr>
        <w:ind w:left="4" w:right="260" w:firstLine="991"/>
        <w:spacing w:after="0" w:line="263"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No Effect on Future Participation</w:t>
      </w:r>
      <w:r>
        <w:rPr>
          <w:rFonts w:ascii="Arial" w:cs="Arial" w:eastAsia="Arial" w:hAnsi="Arial"/>
          <w:sz w:val="18"/>
          <w:szCs w:val="18"/>
          <w:color w:val="auto"/>
        </w:rPr>
        <w:t>. A Participant’s withdrawal from an Offering Period will not have any effect upon his or her eligibility to participate in any similar plan that may hereafter be adopted by the Company or in succeeding Offering Periods that commence after the termination of the Offering Period from which the Participant withdraws.</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435" w:name="page436"/>
    <w:bookmarkEnd w:id="435"/>
    <w:p>
      <w:pPr>
        <w:ind w:firstLine="436"/>
        <w:spacing w:after="0" w:line="288" w:lineRule="auto"/>
        <w:tabs>
          <w:tab w:leader="none" w:pos="710" w:val="left"/>
        </w:tabs>
        <w:numPr>
          <w:ilvl w:val="0"/>
          <w:numId w:val="30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 of Employment</w:t>
      </w:r>
      <w:r>
        <w:rPr>
          <w:rFonts w:ascii="Arial" w:cs="Arial" w:eastAsia="Arial" w:hAnsi="Arial"/>
          <w:sz w:val="16"/>
          <w:szCs w:val="16"/>
          <w:color w:val="auto"/>
        </w:rPr>
        <w:t>. Upon a Participant’s ceasing to be an Eligible Employee, for any reason, he or she will be deemed to have elected to withdraw from the Plan and the Contributions credited to such Participant’s account during the Offering Period but not yet used to purchase shares of Common Stock under the Plan will be returned to such Participant, or, in the case of his or her death, to the person or persons entitled thereto, and such Participant’s option will be automatically terminated. Unless determined otherwise by the Administrator in a manner that, with respect to an Offering under the 423 Component, is permitted by, and compliant with, Code Section 423, a Participant whose employment transfers between entities through a termination with an immediate rehire (with no break in service) by the Company or a Designated Company will not be treated as terminated under the Plan; however, if a Participant transfers from an Offering under the 423 Component to the Non-423 Component, the exercise of the option will be qualified under the 423 Component only to the extent it complies with Code Section 423; further, no Participant will be deemed to switch from an Offering under the Non-423 Component to an Offering under the 423 Component or vice versa unless (and then only to the extent) such switch would not cause the 423 Component or any option thereunder to fail to comply with Code Section 423.</w:t>
      </w:r>
    </w:p>
    <w:p>
      <w:pPr>
        <w:spacing w:after="0" w:line="168" w:lineRule="exact"/>
        <w:rPr>
          <w:rFonts w:ascii="Arial" w:cs="Arial" w:eastAsia="Arial" w:hAnsi="Arial"/>
          <w:sz w:val="16"/>
          <w:szCs w:val="16"/>
          <w:color w:val="auto"/>
        </w:rPr>
      </w:pPr>
    </w:p>
    <w:p>
      <w:pPr>
        <w:ind w:right="20" w:firstLine="436"/>
        <w:spacing w:after="0" w:line="287" w:lineRule="auto"/>
        <w:tabs>
          <w:tab w:leader="none" w:pos="710" w:val="left"/>
        </w:tabs>
        <w:numPr>
          <w:ilvl w:val="0"/>
          <w:numId w:val="300"/>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The Plan is intended to be exempt from the application of Section 409A, and, to the extent not exempt, is intended to comply with Section 409A and any ambiguities herein will be interpreted to so be exempt from, or comply with, Section 409A. In furtherance of the foregoing and notwithstanding any provision in the Plan to the contrary, if the Administrator determines that an option granted under the Plan may be subject to Section 409A or that any provision in the Plan would cause an option under the Plan to be subject to Section 409A, the Administrator may amend the terms of the Plan and/or of an outstanding option granted under the Plan, or take such other action the Administrator determines is necessary or appropriate, in each case, without the Participant’s consent, to exempt any outstanding option or future option that may be granted under the Plan from or to allow any such options to comply with Section 409A, but only to the extent any such amendments or action by the Administrator would not violate Section 409A. Notwithstanding the foregoing, the Company and any of its Parent or Subsidiaries will have no liability, obligation or responsibility to reimburse, indemnify, or hold harmless a Participant or any other party if the option to purchase Common Stock under the Plan that is intended to be exempt from or compliant with Section 409A is not so exempt or compliant or for any action taken by the Administrator with respect thereto. The Company makes no representation that the option to purchase Common Stock under the Plan is compliant with Section 409A.</w:t>
      </w:r>
    </w:p>
    <w:p>
      <w:pPr>
        <w:spacing w:after="0" w:line="171" w:lineRule="exact"/>
        <w:rPr>
          <w:rFonts w:ascii="Arial" w:cs="Arial" w:eastAsia="Arial" w:hAnsi="Arial"/>
          <w:sz w:val="16"/>
          <w:szCs w:val="16"/>
          <w:color w:val="auto"/>
        </w:rPr>
      </w:pPr>
    </w:p>
    <w:p>
      <w:pPr>
        <w:ind w:firstLine="436"/>
        <w:spacing w:after="0" w:line="257" w:lineRule="auto"/>
        <w:tabs>
          <w:tab w:leader="none" w:pos="710"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Until the shares of Common Stock are issued (as evidenced by the appropriate entry on the books of the Company or of a duly authorized transfer agent of the Company), a Participant will have only the rights of an unsecured creditor with respect to such shares, and no right to vote or receive dividends or any other rights as a stockholder will exist with respect to such shares. Shares of Common Stock to be delivered to a Participant under the Plan will be registered in the name of the Participant or, if so required under Applicable Laws, in the name of the Participant and his or her spouse.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436" w:name="page437"/>
    <w:bookmarkEnd w:id="436"/>
    <w:p>
      <w:pPr>
        <w:ind w:right="160" w:firstLine="436"/>
        <w:spacing w:after="0" w:line="301" w:lineRule="auto"/>
        <w:tabs>
          <w:tab w:leader="none" w:pos="710" w:val="left"/>
        </w:tabs>
        <w:numPr>
          <w:ilvl w:val="0"/>
          <w:numId w:val="30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Transferability</w:t>
      </w:r>
      <w:r>
        <w:rPr>
          <w:rFonts w:ascii="Arial" w:cs="Arial" w:eastAsia="Arial" w:hAnsi="Arial"/>
          <w:sz w:val="16"/>
          <w:szCs w:val="16"/>
          <w:color w:val="auto"/>
        </w:rPr>
        <w:t>. Neither Contributions credited to a Participant’s account nor any rights with regard to the exercise of an option or to receive shares of Common Stock under the Plan may be assigned, transferred, pledged or otherwise disposed of in any way (other than by will or the laws of descent and distribution) by the Participant. Any such attempt at assignment, transfer, pledge or other disposition will be without effect, except that the Company may treat such act as an election to withdraw funds from an Offering Period in accordance with Section 12 hereof.</w:t>
      </w:r>
    </w:p>
    <w:p>
      <w:pPr>
        <w:spacing w:after="0" w:line="157" w:lineRule="exact"/>
        <w:rPr>
          <w:rFonts w:ascii="Arial" w:cs="Arial" w:eastAsia="Arial" w:hAnsi="Arial"/>
          <w:sz w:val="16"/>
          <w:szCs w:val="16"/>
          <w:color w:val="auto"/>
        </w:rPr>
      </w:pPr>
    </w:p>
    <w:p>
      <w:pPr>
        <w:ind w:left="700" w:hanging="264"/>
        <w:spacing w:after="0"/>
        <w:tabs>
          <w:tab w:leader="none" w:pos="700"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Adjustments, Dissolution, Liquidation, Merger or Change in Control</w:t>
      </w:r>
      <w:r>
        <w:rPr>
          <w:rFonts w:ascii="Arial" w:cs="Arial" w:eastAsia="Arial" w:hAnsi="Arial"/>
          <w:sz w:val="18"/>
          <w:szCs w:val="18"/>
          <w:color w:val="auto"/>
        </w:rPr>
        <w:t>.</w:t>
      </w:r>
    </w:p>
    <w:p>
      <w:pPr>
        <w:spacing w:after="0" w:line="225" w:lineRule="exact"/>
        <w:rPr>
          <w:sz w:val="20"/>
          <w:szCs w:val="20"/>
          <w:color w:val="auto"/>
        </w:rPr>
      </w:pPr>
    </w:p>
    <w:p>
      <w:pPr>
        <w:ind w:right="160" w:firstLine="991"/>
        <w:spacing w:after="0" w:line="272" w:lineRule="auto"/>
        <w:rPr>
          <w:sz w:val="20"/>
          <w:szCs w:val="20"/>
          <w:color w:val="auto"/>
        </w:rPr>
      </w:pPr>
      <w:r>
        <w:rPr>
          <w:rFonts w:ascii="Arial" w:cs="Arial" w:eastAsia="Arial" w:hAnsi="Arial"/>
          <w:sz w:val="17"/>
          <w:szCs w:val="17"/>
          <w:color w:val="auto"/>
        </w:rPr>
        <w:t xml:space="preserve">17.1 </w:t>
      </w:r>
      <w:r>
        <w:rPr>
          <w:rFonts w:ascii="Arial" w:cs="Arial" w:eastAsia="Arial" w:hAnsi="Arial"/>
          <w:sz w:val="17"/>
          <w:szCs w:val="17"/>
          <w:u w:val="single" w:color="auto"/>
          <w:color w:val="auto"/>
        </w:rPr>
        <w:t>Adjustments</w:t>
      </w:r>
      <w:r>
        <w:rPr>
          <w:rFonts w:ascii="Arial" w:cs="Arial" w:eastAsia="Arial" w:hAnsi="Arial"/>
          <w:sz w:val="17"/>
          <w:szCs w:val="17"/>
          <w:color w:val="auto"/>
        </w:rPr>
        <w:t>. In the event that any dividend or other distribution (whether in the form of cash, Common Stock, other securities, or other property), recapitalization, stock split, reverse stock split, reorganization, merger, consolidation, split-up, spin-off, combination, reclassification, repurchase, or exchange of Common Stock or other securities of the Company, or other change in the corporate structure of the Company affecting the Common Stock occurs (other than any ordinary dividends or other ordinary distributions), the Administrator, in order to prevent diminution or enlargement of the benefits or potential benefits intended to be made available under the Plan, will adjust the number and class of Common Stock that may be delivered under the Plan, the Purchase Price per share, the class and the number of shares of Common Stock covered by each option under the Plan that has not yet been exercised, and the numerical share limits of Sections 3 and 9.1.</w:t>
      </w:r>
    </w:p>
    <w:p>
      <w:pPr>
        <w:spacing w:after="0" w:line="177" w:lineRule="exact"/>
        <w:rPr>
          <w:sz w:val="20"/>
          <w:szCs w:val="20"/>
          <w:color w:val="auto"/>
        </w:rPr>
      </w:pPr>
    </w:p>
    <w:p>
      <w:pPr>
        <w:ind w:right="200" w:firstLine="991"/>
        <w:spacing w:after="0" w:line="293" w:lineRule="auto"/>
        <w:rPr>
          <w:sz w:val="20"/>
          <w:szCs w:val="20"/>
          <w:color w:val="auto"/>
        </w:rPr>
      </w:pPr>
      <w:r>
        <w:rPr>
          <w:rFonts w:ascii="Arial" w:cs="Arial" w:eastAsia="Arial" w:hAnsi="Arial"/>
          <w:sz w:val="16"/>
          <w:szCs w:val="16"/>
          <w:color w:val="auto"/>
        </w:rPr>
        <w:t xml:space="preserve">17.2 </w:t>
      </w:r>
      <w:r>
        <w:rPr>
          <w:rFonts w:ascii="Arial" w:cs="Arial" w:eastAsia="Arial" w:hAnsi="Arial"/>
          <w:sz w:val="16"/>
          <w:szCs w:val="16"/>
          <w:u w:val="single" w:color="auto"/>
          <w:color w:val="auto"/>
        </w:rPr>
        <w:t>Dissolution or Liquidation</w:t>
      </w:r>
      <w:r>
        <w:rPr>
          <w:rFonts w:ascii="Arial" w:cs="Arial" w:eastAsia="Arial" w:hAnsi="Arial"/>
          <w:sz w:val="16"/>
          <w:szCs w:val="16"/>
          <w:color w:val="auto"/>
        </w:rPr>
        <w:t>. In the event of the proposed dissolution or liquidation of the Company, any Offering Period then in progress will be shortened by setting a New Exercise Date, and will 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12 hereof.</w:t>
      </w:r>
    </w:p>
    <w:p>
      <w:pPr>
        <w:spacing w:after="0" w:line="164"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 xml:space="preserve">17.3 </w:t>
      </w:r>
      <w:r>
        <w:rPr>
          <w:rFonts w:ascii="Arial" w:cs="Arial" w:eastAsia="Arial" w:hAnsi="Arial"/>
          <w:sz w:val="18"/>
          <w:szCs w:val="18"/>
          <w:u w:val="single" w:color="auto"/>
          <w:color w:val="auto"/>
        </w:rPr>
        <w:t>Merger or Change in Control</w:t>
      </w:r>
      <w:r>
        <w:rPr>
          <w:rFonts w:ascii="Arial" w:cs="Arial" w:eastAsia="Arial" w:hAnsi="Arial"/>
          <w:sz w:val="18"/>
          <w:szCs w:val="18"/>
          <w:color w:val="auto"/>
        </w:rPr>
        <w:t>. In the event of a merger of the Company with or into another corporation or other entity or Change in Control, each outstanding option will be assumed or an equivalent option substituted by the successor corporation or a Parent or Subsidiary of the successor corporation. In the event that the successor corporation refuses to assume or substitute for the option, the Offering Period with respect to which such option relates will be shortened by setting a New Exercise Date on which such Offering Period will end. The New Exercise Date will occur before the date of the Company’s proposed merger or Change in Control.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12 hereof.</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437" w:name="page438"/>
    <w:bookmarkEnd w:id="437"/>
    <w:p>
      <w:pPr>
        <w:ind w:left="700" w:hanging="264"/>
        <w:spacing w:after="0"/>
        <w:tabs>
          <w:tab w:leader="none" w:pos="700"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 or Termination</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 xml:space="preserve">18.1 </w:t>
      </w:r>
      <w:r>
        <w:rPr>
          <w:rFonts w:ascii="Arial" w:cs="Arial" w:eastAsia="Arial" w:hAnsi="Arial"/>
          <w:sz w:val="16"/>
          <w:szCs w:val="16"/>
          <w:u w:val="single" w:color="auto"/>
          <w:color w:val="auto"/>
        </w:rPr>
        <w:t>Amendment, Suspension, Termination</w:t>
      </w:r>
      <w:r>
        <w:rPr>
          <w:rFonts w:ascii="Arial" w:cs="Arial" w:eastAsia="Arial" w:hAnsi="Arial"/>
          <w:sz w:val="16"/>
          <w:szCs w:val="16"/>
          <w:color w:val="auto"/>
        </w:rPr>
        <w:t>. The Administrator, in its sole discretion, may amend, suspend, or terminate the Plan, or any part thereof, at any time and for any reason. If the Plan is terminated, the Administrator, in its discretion, may elect to terminate all outstanding Offering Periods either immediately or upon completion of the purchase of shares of Common Stock on the next Exercise Date (which may be sooner than originally scheduled, if determined by the Administrator in its discretion), or may elect to permit Offering Periods to expire in accordance with their terms (and subject to any adjustment pursuant to Section 17). If the Offering Periods are terminated prior to expiration, all amounts then credited to Participants’ accounts that have not been used to purchase shares of Common Stock will be returned to the Participants (without interest thereon, except as otherwise required under Applicable Laws, as further set forth in Section 22 hereof) as soon as administratively practicable.</w:t>
      </w:r>
    </w:p>
    <w:p>
      <w:pPr>
        <w:spacing w:after="0" w:line="166" w:lineRule="exact"/>
        <w:rPr>
          <w:sz w:val="20"/>
          <w:szCs w:val="20"/>
          <w:color w:val="auto"/>
        </w:rPr>
      </w:pPr>
    </w:p>
    <w:p>
      <w:pPr>
        <w:ind w:right="60" w:firstLine="991"/>
        <w:spacing w:after="0" w:line="291" w:lineRule="auto"/>
        <w:rPr>
          <w:sz w:val="20"/>
          <w:szCs w:val="20"/>
          <w:color w:val="auto"/>
        </w:rPr>
      </w:pPr>
      <w:r>
        <w:rPr>
          <w:rFonts w:ascii="Arial" w:cs="Arial" w:eastAsia="Arial" w:hAnsi="Arial"/>
          <w:sz w:val="16"/>
          <w:szCs w:val="16"/>
          <w:color w:val="auto"/>
        </w:rPr>
        <w:t xml:space="preserve">18.2 </w:t>
      </w:r>
      <w:r>
        <w:rPr>
          <w:rFonts w:ascii="Arial" w:cs="Arial" w:eastAsia="Arial" w:hAnsi="Arial"/>
          <w:sz w:val="16"/>
          <w:szCs w:val="16"/>
          <w:u w:val="single" w:color="auto"/>
          <w:color w:val="auto"/>
        </w:rPr>
        <w:t>Certain Administrator Changes</w:t>
      </w:r>
      <w:r>
        <w:rPr>
          <w:rFonts w:ascii="Arial" w:cs="Arial" w:eastAsia="Arial" w:hAnsi="Arial"/>
          <w:sz w:val="16"/>
          <w:szCs w:val="16"/>
          <w:color w:val="auto"/>
        </w:rPr>
        <w:t>. Without stockholder consent and without limiting Section 18.1, the Administrator will be entitled to change the Offering Periods and any Purchase Periods, designate separate Offerings, limit the frequency and/or number of changes in the amount withheld during an Offering Period, establish the exchange rate applicable to amounts withheld in a currency other than U.S. dollars, permit Contributions in excess of the amount designated by a Participant in order to adjust for delays or mistakes in the Company’s processing of properly completed Contribution elections, establish reasonable waiting and adjustment periods and/or accounting and crediting procedures to ensure that amounts applied toward the purchase of Common Stock for each Participant properly correspond with Contribution amounts, and establish such other limitations or procedures as the Administrator determines in its sole discretion advisable that are consistent with the Plan.</w:t>
      </w:r>
    </w:p>
    <w:p>
      <w:pPr>
        <w:spacing w:after="0" w:line="166" w:lineRule="exact"/>
        <w:rPr>
          <w:sz w:val="20"/>
          <w:szCs w:val="20"/>
          <w:color w:val="auto"/>
        </w:rPr>
      </w:pPr>
    </w:p>
    <w:p>
      <w:pPr>
        <w:ind w:right="280" w:firstLine="991"/>
        <w:spacing w:after="0" w:line="286" w:lineRule="auto"/>
        <w:rPr>
          <w:sz w:val="20"/>
          <w:szCs w:val="20"/>
          <w:color w:val="auto"/>
        </w:rPr>
      </w:pPr>
      <w:r>
        <w:rPr>
          <w:rFonts w:ascii="Arial" w:cs="Arial" w:eastAsia="Arial" w:hAnsi="Arial"/>
          <w:sz w:val="17"/>
          <w:szCs w:val="17"/>
          <w:color w:val="auto"/>
        </w:rPr>
        <w:t xml:space="preserve">18.3 </w:t>
      </w:r>
      <w:r>
        <w:rPr>
          <w:rFonts w:ascii="Arial" w:cs="Arial" w:eastAsia="Arial" w:hAnsi="Arial"/>
          <w:sz w:val="17"/>
          <w:szCs w:val="17"/>
          <w:u w:val="single" w:color="auto"/>
          <w:color w:val="auto"/>
        </w:rPr>
        <w:t>Changes Due to Accounting Consequences</w:t>
      </w:r>
      <w:r>
        <w:rPr>
          <w:rFonts w:ascii="Arial" w:cs="Arial" w:eastAsia="Arial" w:hAnsi="Arial"/>
          <w:sz w:val="17"/>
          <w:szCs w:val="17"/>
          <w:color w:val="auto"/>
        </w:rPr>
        <w:t>. 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w:t>
      </w:r>
    </w:p>
    <w:p>
      <w:pPr>
        <w:spacing w:after="0" w:line="57" w:lineRule="exact"/>
        <w:rPr>
          <w:sz w:val="20"/>
          <w:szCs w:val="20"/>
          <w:color w:val="auto"/>
        </w:rPr>
      </w:pPr>
    </w:p>
    <w:p>
      <w:pPr>
        <w:ind w:right="420" w:firstLine="1428"/>
        <w:spacing w:after="0" w:line="308" w:lineRule="auto"/>
        <w:tabs>
          <w:tab w:leader="none" w:pos="1677" w:val="left"/>
        </w:tabs>
        <w:numPr>
          <w:ilvl w:val="0"/>
          <w:numId w:val="303"/>
        </w:numPr>
        <w:rPr>
          <w:rFonts w:ascii="Arial" w:cs="Arial" w:eastAsia="Arial" w:hAnsi="Arial"/>
          <w:sz w:val="17"/>
          <w:szCs w:val="17"/>
          <w:color w:val="auto"/>
        </w:rPr>
      </w:pPr>
      <w:r>
        <w:rPr>
          <w:rFonts w:ascii="Arial" w:cs="Arial" w:eastAsia="Arial" w:hAnsi="Arial"/>
          <w:sz w:val="17"/>
          <w:szCs w:val="17"/>
          <w:color w:val="auto"/>
        </w:rPr>
        <w:t>amending the Plan to conform with the safe harbor definition under the Financial Accounting Standards Board Accounting Standards Codification Topic 718 (or any successor thereto), including with respect to an Offering Period underway at the time;</w:t>
      </w:r>
    </w:p>
    <w:p>
      <w:pPr>
        <w:spacing w:after="0" w:line="146" w:lineRule="exact"/>
        <w:rPr>
          <w:rFonts w:ascii="Arial" w:cs="Arial" w:eastAsia="Arial" w:hAnsi="Arial"/>
          <w:sz w:val="17"/>
          <w:szCs w:val="17"/>
          <w:color w:val="auto"/>
        </w:rPr>
      </w:pPr>
    </w:p>
    <w:p>
      <w:pPr>
        <w:ind w:firstLine="1428"/>
        <w:spacing w:after="0" w:line="277" w:lineRule="auto"/>
        <w:tabs>
          <w:tab w:leader="none" w:pos="1687"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altering the Purchase Price for any Purchase Period or Offering Period including a Purchase Period or Offering Period underway at the time of the change in Purchase Price;</w:t>
      </w:r>
    </w:p>
    <w:p>
      <w:pPr>
        <w:spacing w:after="0" w:line="170" w:lineRule="exact"/>
        <w:rPr>
          <w:rFonts w:ascii="Arial" w:cs="Arial" w:eastAsia="Arial" w:hAnsi="Arial"/>
          <w:sz w:val="18"/>
          <w:szCs w:val="18"/>
          <w:color w:val="auto"/>
        </w:rPr>
      </w:pPr>
    </w:p>
    <w:p>
      <w:pPr>
        <w:ind w:right="360" w:firstLine="1428"/>
        <w:spacing w:after="0" w:line="277" w:lineRule="auto"/>
        <w:tabs>
          <w:tab w:leader="none" w:pos="1677" w:val="left"/>
        </w:tabs>
        <w:numPr>
          <w:ilvl w:val="0"/>
          <w:numId w:val="303"/>
        </w:numPr>
        <w:rPr>
          <w:rFonts w:ascii="Arial" w:cs="Arial" w:eastAsia="Arial" w:hAnsi="Arial"/>
          <w:sz w:val="18"/>
          <w:szCs w:val="18"/>
          <w:color w:val="auto"/>
        </w:rPr>
      </w:pPr>
      <w:r>
        <w:rPr>
          <w:rFonts w:ascii="Arial" w:cs="Arial" w:eastAsia="Arial" w:hAnsi="Arial"/>
          <w:sz w:val="18"/>
          <w:szCs w:val="18"/>
          <w:color w:val="auto"/>
        </w:rPr>
        <w:t>shortening any Purchase Period or Offering Period by setting a New Exercise Date, including a Purchase Period or Offering Period underway at the time of the Administrator action;</w:t>
      </w:r>
    </w:p>
    <w:p>
      <w:pPr>
        <w:spacing w:after="0" w:line="170" w:lineRule="exact"/>
        <w:rPr>
          <w:rFonts w:ascii="Arial" w:cs="Arial" w:eastAsia="Arial" w:hAnsi="Arial"/>
          <w:sz w:val="18"/>
          <w:szCs w:val="18"/>
          <w:color w:val="auto"/>
        </w:rPr>
      </w:pPr>
    </w:p>
    <w:p>
      <w:pPr>
        <w:ind w:left="1680" w:hanging="252"/>
        <w:spacing w:after="0"/>
        <w:tabs>
          <w:tab w:leader="none" w:pos="16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reducing the maximum percentage of Compensation a Participant may elect to set aside as Contributions; and</w:t>
      </w:r>
    </w:p>
    <w:p>
      <w:pPr>
        <w:spacing w:after="0" w:line="225" w:lineRule="exact"/>
        <w:rPr>
          <w:rFonts w:ascii="Arial" w:cs="Arial" w:eastAsia="Arial" w:hAnsi="Arial"/>
          <w:sz w:val="18"/>
          <w:szCs w:val="18"/>
          <w:color w:val="auto"/>
        </w:rPr>
      </w:pPr>
    </w:p>
    <w:p>
      <w:pPr>
        <w:ind w:left="1680" w:hanging="252"/>
        <w:spacing w:after="0"/>
        <w:tabs>
          <w:tab w:leader="none" w:pos="1680" w:val="left"/>
        </w:tabs>
        <w:numPr>
          <w:ilvl w:val="0"/>
          <w:numId w:val="303"/>
        </w:numPr>
        <w:rPr>
          <w:rFonts w:ascii="Arial" w:cs="Arial" w:eastAsia="Arial" w:hAnsi="Arial"/>
          <w:sz w:val="16"/>
          <w:szCs w:val="16"/>
          <w:color w:val="auto"/>
        </w:rPr>
      </w:pPr>
      <w:r>
        <w:rPr>
          <w:rFonts w:ascii="Arial" w:cs="Arial" w:eastAsia="Arial" w:hAnsi="Arial"/>
          <w:sz w:val="16"/>
          <w:szCs w:val="16"/>
          <w:color w:val="auto"/>
        </w:rPr>
        <w:t>reducing the maximum number of shares of Common Stock a Participant may purchase during any Purchase Period or Offering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Period.</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440" w:top="274" w:right="519" w:bottom="1440" w:gutter="0" w:footer="0" w:header="0"/>
        </w:sectPr>
      </w:pPr>
    </w:p>
    <w:bookmarkStart w:id="438" w:name="page439"/>
    <w:bookmarkEnd w:id="43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modifications or amendments will not require stockholder approval or the consent of any Plan Participants.</w:t>
      </w:r>
    </w:p>
    <w:p>
      <w:pPr>
        <w:spacing w:after="0" w:line="225" w:lineRule="exact"/>
        <w:rPr>
          <w:sz w:val="20"/>
          <w:szCs w:val="20"/>
          <w:color w:val="auto"/>
        </w:rPr>
      </w:pPr>
    </w:p>
    <w:p>
      <w:pPr>
        <w:ind w:left="700" w:hanging="264"/>
        <w:spacing w:after="0"/>
        <w:tabs>
          <w:tab w:leader="none" w:pos="700" w:val="left"/>
        </w:tabs>
        <w:numPr>
          <w:ilvl w:val="0"/>
          <w:numId w:val="304"/>
        </w:numPr>
        <w:rPr>
          <w:rFonts w:ascii="Arial" w:cs="Arial" w:eastAsia="Arial" w:hAnsi="Arial"/>
          <w:sz w:val="18"/>
          <w:szCs w:val="18"/>
          <w:color w:val="auto"/>
        </w:rPr>
      </w:pPr>
      <w:r>
        <w:rPr>
          <w:rFonts w:ascii="Arial" w:cs="Arial" w:eastAsia="Arial" w:hAnsi="Arial"/>
          <w:sz w:val="18"/>
          <w:szCs w:val="18"/>
          <w:u w:val="single" w:color="auto"/>
          <w:color w:val="auto"/>
        </w:rPr>
        <w:t>Conditions Upon Issuance of Shares</w:t>
      </w:r>
      <w:r>
        <w:rPr>
          <w:rFonts w:ascii="Arial" w:cs="Arial" w:eastAsia="Arial" w:hAnsi="Arial"/>
          <w:sz w:val="18"/>
          <w:szCs w:val="18"/>
          <w:color w:val="auto"/>
        </w:rPr>
        <w:t>.</w:t>
      </w:r>
    </w:p>
    <w:p>
      <w:pPr>
        <w:spacing w:after="0" w:line="225" w:lineRule="exact"/>
        <w:rPr>
          <w:sz w:val="20"/>
          <w:szCs w:val="20"/>
          <w:color w:val="auto"/>
        </w:rPr>
      </w:pPr>
    </w:p>
    <w:p>
      <w:pPr>
        <w:jc w:val="both"/>
        <w:ind w:right="220" w:firstLine="991"/>
        <w:spacing w:after="0" w:line="263" w:lineRule="auto"/>
        <w:rPr>
          <w:sz w:val="20"/>
          <w:szCs w:val="20"/>
          <w:color w:val="auto"/>
        </w:rPr>
      </w:pPr>
      <w:r>
        <w:rPr>
          <w:rFonts w:ascii="Arial" w:cs="Arial" w:eastAsia="Arial" w:hAnsi="Arial"/>
          <w:sz w:val="18"/>
          <w:szCs w:val="18"/>
          <w:color w:val="auto"/>
        </w:rPr>
        <w:t xml:space="preserve">19.1 </w:t>
      </w:r>
      <w:r>
        <w:rPr>
          <w:rFonts w:ascii="Arial" w:cs="Arial" w:eastAsia="Arial" w:hAnsi="Arial"/>
          <w:sz w:val="18"/>
          <w:szCs w:val="18"/>
          <w:u w:val="single" w:color="auto"/>
          <w:color w:val="auto"/>
        </w:rPr>
        <w:t>Legal Compliance</w:t>
      </w:r>
      <w:r>
        <w:rPr>
          <w:rFonts w:ascii="Arial" w:cs="Arial" w:eastAsia="Arial" w:hAnsi="Arial"/>
          <w:sz w:val="18"/>
          <w:szCs w:val="18"/>
          <w:color w:val="auto"/>
        </w:rPr>
        <w:t>. Shares of Common Stock will not be issued with respect to an option unless the exercise of such option and the issuance and delivery of such shares pursuant thereto will comply with Applicable Laws and will be further subject to the approval of counsel for the Company with respect to such compliance.</w:t>
      </w:r>
    </w:p>
    <w:p>
      <w:pPr>
        <w:spacing w:after="0" w:line="184" w:lineRule="exact"/>
        <w:rPr>
          <w:sz w:val="20"/>
          <w:szCs w:val="20"/>
          <w:color w:val="auto"/>
        </w:rPr>
      </w:pPr>
    </w:p>
    <w:p>
      <w:pPr>
        <w:ind w:firstLine="991"/>
        <w:spacing w:after="0" w:line="286" w:lineRule="auto"/>
        <w:rPr>
          <w:sz w:val="20"/>
          <w:szCs w:val="20"/>
          <w:color w:val="auto"/>
        </w:rPr>
      </w:pPr>
      <w:r>
        <w:rPr>
          <w:rFonts w:ascii="Arial" w:cs="Arial" w:eastAsia="Arial" w:hAnsi="Arial"/>
          <w:sz w:val="17"/>
          <w:szCs w:val="17"/>
          <w:color w:val="auto"/>
        </w:rPr>
        <w:t xml:space="preserve">19.2 </w:t>
      </w:r>
      <w:r>
        <w:rPr>
          <w:rFonts w:ascii="Arial" w:cs="Arial" w:eastAsia="Arial" w:hAnsi="Arial"/>
          <w:sz w:val="17"/>
          <w:szCs w:val="17"/>
          <w:u w:val="single" w:color="auto"/>
          <w:color w:val="auto"/>
        </w:rPr>
        <w:t>Investment Representations</w:t>
      </w:r>
      <w:r>
        <w:rPr>
          <w:rFonts w:ascii="Arial" w:cs="Arial" w:eastAsia="Arial" w:hAnsi="Arial"/>
          <w:sz w:val="17"/>
          <w:szCs w:val="17"/>
          <w:color w:val="auto"/>
        </w:rPr>
        <w:t>.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65" w:lineRule="exact"/>
        <w:rPr>
          <w:sz w:val="20"/>
          <w:szCs w:val="20"/>
          <w:color w:val="auto"/>
        </w:rPr>
      </w:pPr>
    </w:p>
    <w:p>
      <w:pPr>
        <w:ind w:right="40" w:firstLine="436"/>
        <w:spacing w:after="0" w:line="259" w:lineRule="auto"/>
        <w:tabs>
          <w:tab w:leader="none" w:pos="710" w:val="left"/>
        </w:tabs>
        <w:numPr>
          <w:ilvl w:val="0"/>
          <w:numId w:val="305"/>
        </w:numPr>
        <w:rPr>
          <w:rFonts w:ascii="Arial" w:cs="Arial" w:eastAsia="Arial" w:hAnsi="Arial"/>
          <w:sz w:val="18"/>
          <w:szCs w:val="18"/>
          <w:color w:val="auto"/>
        </w:rPr>
      </w:pPr>
      <w:r>
        <w:rPr>
          <w:rFonts w:ascii="Arial" w:cs="Arial" w:eastAsia="Arial" w:hAnsi="Arial"/>
          <w:sz w:val="18"/>
          <w:szCs w:val="18"/>
          <w:u w:val="single" w:color="auto"/>
          <w:color w:val="auto"/>
        </w:rPr>
        <w:t>Term of Plan</w:t>
      </w:r>
      <w:r>
        <w:rPr>
          <w:rFonts w:ascii="Arial" w:cs="Arial" w:eastAsia="Arial" w:hAnsi="Arial"/>
          <w:sz w:val="18"/>
          <w:szCs w:val="18"/>
          <w:color w:val="auto"/>
        </w:rPr>
        <w:t>. The Plan will become effective upon the later to occur of (a) its adoption by the Board or (b) the business day immediately prior to the Registration Date. It will continue in effect for a term of twenty (20) years, unless sooner terminated under Section 18, provided that Section 3.2 relating to automatic share reserve increases will operate only until the ten (10) year anniversary of the earlier of the Board or stockholder approval of the Plan.</w:t>
      </w:r>
    </w:p>
    <w:p>
      <w:pPr>
        <w:spacing w:after="0" w:line="186" w:lineRule="exact"/>
        <w:rPr>
          <w:rFonts w:ascii="Arial" w:cs="Arial" w:eastAsia="Arial" w:hAnsi="Arial"/>
          <w:sz w:val="18"/>
          <w:szCs w:val="18"/>
          <w:color w:val="auto"/>
        </w:rPr>
      </w:pPr>
    </w:p>
    <w:p>
      <w:pPr>
        <w:ind w:right="160" w:firstLine="436"/>
        <w:spacing w:after="0" w:line="342" w:lineRule="auto"/>
        <w:tabs>
          <w:tab w:leader="none" w:pos="710" w:val="left"/>
        </w:tabs>
        <w:numPr>
          <w:ilvl w:val="0"/>
          <w:numId w:val="305"/>
        </w:numPr>
        <w:rPr>
          <w:rFonts w:ascii="Arial" w:cs="Arial" w:eastAsia="Arial" w:hAnsi="Arial"/>
          <w:sz w:val="16"/>
          <w:szCs w:val="16"/>
          <w:color w:val="auto"/>
        </w:rPr>
      </w:pPr>
      <w:r>
        <w:rPr>
          <w:rFonts w:ascii="Arial" w:cs="Arial" w:eastAsia="Arial" w:hAnsi="Arial"/>
          <w:sz w:val="16"/>
          <w:szCs w:val="16"/>
          <w:u w:val="single" w:color="auto"/>
          <w:color w:val="auto"/>
        </w:rPr>
        <w:t>Stockholder Approval</w:t>
      </w:r>
      <w:r>
        <w:rPr>
          <w:rFonts w:ascii="Arial" w:cs="Arial" w:eastAsia="Arial" w:hAnsi="Arial"/>
          <w:sz w:val="16"/>
          <w:szCs w:val="16"/>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123" w:lineRule="exact"/>
        <w:rPr>
          <w:rFonts w:ascii="Arial" w:cs="Arial" w:eastAsia="Arial" w:hAnsi="Arial"/>
          <w:sz w:val="16"/>
          <w:szCs w:val="16"/>
          <w:color w:val="auto"/>
        </w:rPr>
      </w:pPr>
    </w:p>
    <w:p>
      <w:pPr>
        <w:ind w:firstLine="436"/>
        <w:spacing w:after="0" w:line="286" w:lineRule="auto"/>
        <w:tabs>
          <w:tab w:leader="none" w:pos="710" w:val="left"/>
        </w:tabs>
        <w:numPr>
          <w:ilvl w:val="0"/>
          <w:numId w:val="305"/>
        </w:numPr>
        <w:rPr>
          <w:rFonts w:ascii="Arial" w:cs="Arial" w:eastAsia="Arial" w:hAnsi="Arial"/>
          <w:sz w:val="17"/>
          <w:szCs w:val="17"/>
          <w:color w:val="auto"/>
        </w:rPr>
      </w:pPr>
      <w:r>
        <w:rPr>
          <w:rFonts w:ascii="Arial" w:cs="Arial" w:eastAsia="Arial" w:hAnsi="Arial"/>
          <w:sz w:val="17"/>
          <w:szCs w:val="17"/>
          <w:u w:val="single" w:color="auto"/>
          <w:color w:val="auto"/>
        </w:rPr>
        <w:t>Interest</w:t>
      </w:r>
      <w:r>
        <w:rPr>
          <w:rFonts w:ascii="Arial" w:cs="Arial" w:eastAsia="Arial" w:hAnsi="Arial"/>
          <w:sz w:val="17"/>
          <w:szCs w:val="17"/>
          <w:color w:val="auto"/>
        </w:rPr>
        <w:t>. No interest will accrue on the Contributions of a participant in the Plan, except as may be required by Applicable Laws, as determined by the Company, and if so required by the laws of a particular jurisdiction, will apply, with respect to Offerings under the 423 Component, to all Participants in the relevant Offering, except to the extent otherwise permitted by U.S. Treasury Regulations Section 1.423-2(f).</w:t>
      </w:r>
    </w:p>
    <w:p>
      <w:pPr>
        <w:spacing w:after="0" w:line="165" w:lineRule="exact"/>
        <w:rPr>
          <w:rFonts w:ascii="Arial" w:cs="Arial" w:eastAsia="Arial" w:hAnsi="Arial"/>
          <w:sz w:val="17"/>
          <w:szCs w:val="17"/>
          <w:color w:val="auto"/>
        </w:rPr>
      </w:pPr>
    </w:p>
    <w:p>
      <w:pPr>
        <w:ind w:right="60" w:firstLine="436"/>
        <w:spacing w:after="0" w:line="259" w:lineRule="auto"/>
        <w:tabs>
          <w:tab w:leader="none" w:pos="710" w:val="left"/>
        </w:tabs>
        <w:numPr>
          <w:ilvl w:val="0"/>
          <w:numId w:val="305"/>
        </w:numPr>
        <w:rPr>
          <w:rFonts w:ascii="Arial" w:cs="Arial" w:eastAsia="Arial" w:hAnsi="Arial"/>
          <w:sz w:val="18"/>
          <w:szCs w:val="18"/>
          <w:color w:val="auto"/>
        </w:rPr>
      </w:pPr>
      <w:r>
        <w:rPr>
          <w:rFonts w:ascii="Arial" w:cs="Arial" w:eastAsia="Arial" w:hAnsi="Arial"/>
          <w:sz w:val="18"/>
          <w:szCs w:val="18"/>
          <w:u w:val="single" w:color="auto"/>
          <w:color w:val="auto"/>
        </w:rPr>
        <w:t>No Effect on Employment</w:t>
      </w:r>
      <w:r>
        <w:rPr>
          <w:rFonts w:ascii="Arial" w:cs="Arial" w:eastAsia="Arial" w:hAnsi="Arial"/>
          <w:sz w:val="18"/>
          <w:szCs w:val="18"/>
          <w:color w:val="auto"/>
        </w:rPr>
        <w:t>. Neither the Plan nor any option under the Plan will confer upon any Participant any right with respect to continuing the Participant’s employment with the Company or its Subsidiaries or Parents, as applicable, nor will they interfere in any way with the Participant’s right or the right of the Company and its Subsidiaries or Parents, as applicable, to terminate such employment relationship at any time, free from any liability or any claim under the Plan.</w:t>
      </w:r>
    </w:p>
    <w:p>
      <w:pPr>
        <w:spacing w:after="0" w:line="186" w:lineRule="exact"/>
        <w:rPr>
          <w:rFonts w:ascii="Arial" w:cs="Arial" w:eastAsia="Arial" w:hAnsi="Arial"/>
          <w:sz w:val="18"/>
          <w:szCs w:val="18"/>
          <w:color w:val="auto"/>
        </w:rPr>
      </w:pPr>
    </w:p>
    <w:p>
      <w:pPr>
        <w:jc w:val="both"/>
        <w:ind w:right="160" w:firstLine="436"/>
        <w:spacing w:after="0" w:line="263" w:lineRule="auto"/>
        <w:tabs>
          <w:tab w:leader="none" w:pos="710" w:val="left"/>
        </w:tabs>
        <w:numPr>
          <w:ilvl w:val="0"/>
          <w:numId w:val="305"/>
        </w:numPr>
        <w:rPr>
          <w:rFonts w:ascii="Arial" w:cs="Arial" w:eastAsia="Arial" w:hAnsi="Arial"/>
          <w:sz w:val="18"/>
          <w:szCs w:val="18"/>
          <w:color w:val="auto"/>
        </w:rPr>
      </w:pPr>
      <w:r>
        <w:rPr>
          <w:rFonts w:ascii="Arial" w:cs="Arial" w:eastAsia="Arial" w:hAnsi="Arial"/>
          <w:sz w:val="18"/>
          <w:szCs w:val="18"/>
          <w:u w:val="single" w:color="auto"/>
          <w:color w:val="auto"/>
        </w:rPr>
        <w:t>Reports</w:t>
      </w:r>
      <w:r>
        <w:rPr>
          <w:rFonts w:ascii="Arial" w:cs="Arial" w:eastAsia="Arial" w:hAnsi="Arial"/>
          <w:sz w:val="18"/>
          <w:szCs w:val="18"/>
          <w:color w:val="auto"/>
        </w:rPr>
        <w:t>. Individual accounts will be maintained for each Participant in the Plan. Statements of account will be given to participating Eligible Employees at least annually, which statements will set forth the amounts of Contributions, the Purchase Price, the number of shares of Common Stock purchased and the remaining cash balance, if any.</w:t>
      </w:r>
    </w:p>
    <w:p>
      <w:pPr>
        <w:spacing w:after="0" w:line="183" w:lineRule="exact"/>
        <w:rPr>
          <w:rFonts w:ascii="Arial" w:cs="Arial" w:eastAsia="Arial" w:hAnsi="Arial"/>
          <w:sz w:val="18"/>
          <w:szCs w:val="18"/>
          <w:color w:val="auto"/>
        </w:rPr>
      </w:pPr>
    </w:p>
    <w:p>
      <w:pPr>
        <w:ind w:right="180" w:firstLine="436"/>
        <w:spacing w:after="0" w:line="263" w:lineRule="auto"/>
        <w:tabs>
          <w:tab w:leader="none" w:pos="710" w:val="left"/>
        </w:tabs>
        <w:numPr>
          <w:ilvl w:val="0"/>
          <w:numId w:val="30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or other communications by a Participant to the Company under or in connection with the Plan will be deemed to have been duly given when received in the form and manner specified by the Company at the location, or by the person, designated by the Company for the receipt thereof.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439" w:name="page440"/>
    <w:bookmarkEnd w:id="439"/>
    <w:p>
      <w:pPr>
        <w:ind w:left="700" w:hanging="264"/>
        <w:spacing w:after="0"/>
        <w:tabs>
          <w:tab w:leader="none" w:pos="700" w:val="left"/>
        </w:tabs>
        <w:numPr>
          <w:ilvl w:val="0"/>
          <w:numId w:val="30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Legal Construction</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342" w:lineRule="auto"/>
        <w:rPr>
          <w:sz w:val="20"/>
          <w:szCs w:val="20"/>
          <w:color w:val="auto"/>
        </w:rPr>
      </w:pPr>
      <w:r>
        <w:rPr>
          <w:rFonts w:ascii="Arial" w:cs="Arial" w:eastAsia="Arial" w:hAnsi="Arial"/>
          <w:sz w:val="16"/>
          <w:szCs w:val="16"/>
          <w:color w:val="auto"/>
        </w:rPr>
        <w:t xml:space="preserve">26.1 </w:t>
      </w:r>
      <w:r>
        <w:rPr>
          <w:rFonts w:ascii="Arial" w:cs="Arial" w:eastAsia="Arial" w:hAnsi="Arial"/>
          <w:sz w:val="16"/>
          <w:szCs w:val="16"/>
          <w:u w:val="single" w:color="auto"/>
          <w:color w:val="auto"/>
        </w:rPr>
        <w:t>Gender and Number</w:t>
      </w:r>
      <w:r>
        <w:rPr>
          <w:rFonts w:ascii="Arial" w:cs="Arial" w:eastAsia="Arial" w:hAnsi="Arial"/>
          <w:sz w:val="16"/>
          <w:szCs w:val="16"/>
          <w:color w:val="auto"/>
        </w:rPr>
        <w:t>. Except where otherwise indicated by the context, any feminine term used herein also will include the masculine and any masculine term used herein also will include the feminine; the plural will include the singular and the singular will include the plural.</w:t>
      </w:r>
    </w:p>
    <w:p>
      <w:pPr>
        <w:spacing w:after="0" w:line="124" w:lineRule="exact"/>
        <w:rPr>
          <w:sz w:val="20"/>
          <w:szCs w:val="20"/>
          <w:color w:val="auto"/>
        </w:rPr>
      </w:pPr>
    </w:p>
    <w:p>
      <w:pPr>
        <w:jc w:val="both"/>
        <w:ind w:right="300" w:firstLine="991"/>
        <w:spacing w:after="0" w:line="311" w:lineRule="auto"/>
        <w:rPr>
          <w:sz w:val="20"/>
          <w:szCs w:val="20"/>
          <w:color w:val="auto"/>
        </w:rPr>
      </w:pPr>
      <w:r>
        <w:rPr>
          <w:rFonts w:ascii="Arial" w:cs="Arial" w:eastAsia="Arial" w:hAnsi="Arial"/>
          <w:sz w:val="16"/>
          <w:szCs w:val="16"/>
          <w:color w:val="auto"/>
        </w:rPr>
        <w:t xml:space="preserve">26.2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the Plan is or becomes or is deemed to be invalid, illegal, or unenforceable for any reason in any jurisdiction or as to any Participant, such invalidity, illegality, or unenforceability will not affect the remaining parts of the Plan, and the Plan will be construed and enforced as to such jurisdiction or Participant as if the invalid, illegal, or unenforceable provision had not been included.</w:t>
      </w:r>
    </w:p>
    <w:p>
      <w:pPr>
        <w:spacing w:after="0" w:line="149" w:lineRule="exact"/>
        <w:rPr>
          <w:sz w:val="20"/>
          <w:szCs w:val="20"/>
          <w:color w:val="auto"/>
        </w:rPr>
      </w:pPr>
    </w:p>
    <w:p>
      <w:pPr>
        <w:ind w:right="400" w:firstLine="991"/>
        <w:spacing w:after="0" w:line="277" w:lineRule="auto"/>
        <w:rPr>
          <w:sz w:val="20"/>
          <w:szCs w:val="20"/>
          <w:color w:val="auto"/>
        </w:rPr>
      </w:pPr>
      <w:r>
        <w:rPr>
          <w:rFonts w:ascii="Arial" w:cs="Arial" w:eastAsia="Arial" w:hAnsi="Arial"/>
          <w:sz w:val="18"/>
          <w:szCs w:val="18"/>
          <w:color w:val="auto"/>
        </w:rPr>
        <w:t xml:space="preserve">26.3 </w:t>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will be governed by, and construed in accordance with, the laws of the State of Delaware, but without regard to its conflict of law provisions.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26.4 </w:t>
      </w:r>
      <w:r>
        <w:rPr>
          <w:rFonts w:ascii="Arial" w:cs="Arial" w:eastAsia="Arial" w:hAnsi="Arial"/>
          <w:sz w:val="18"/>
          <w:szCs w:val="18"/>
          <w:u w:val="single" w:color="auto"/>
          <w:color w:val="auto"/>
        </w:rPr>
        <w:t>Headings</w:t>
      </w:r>
      <w:r>
        <w:rPr>
          <w:rFonts w:ascii="Arial" w:cs="Arial" w:eastAsia="Arial" w:hAnsi="Arial"/>
          <w:sz w:val="18"/>
          <w:szCs w:val="18"/>
          <w:color w:val="auto"/>
        </w:rPr>
        <w:t>. Headings are provided herein for convenience only, and will not serve as a basis for interpretation of the Plan.</w:t>
      </w:r>
    </w:p>
    <w:p>
      <w:pPr>
        <w:spacing w:after="0" w:line="225" w:lineRule="exact"/>
        <w:rPr>
          <w:sz w:val="20"/>
          <w:szCs w:val="20"/>
          <w:color w:val="auto"/>
        </w:rPr>
      </w:pPr>
    </w:p>
    <w:p>
      <w:pPr>
        <w:ind w:left="700" w:hanging="264"/>
        <w:spacing w:after="0"/>
        <w:tabs>
          <w:tab w:leader="none" w:pos="700" w:val="left"/>
        </w:tabs>
        <w:numPr>
          <w:ilvl w:val="0"/>
          <w:numId w:val="307"/>
        </w:numPr>
        <w:rPr>
          <w:rFonts w:ascii="Arial" w:cs="Arial" w:eastAsia="Arial" w:hAnsi="Arial"/>
          <w:sz w:val="16"/>
          <w:szCs w:val="16"/>
          <w:color w:val="auto"/>
        </w:rPr>
      </w:pPr>
      <w:r>
        <w:rPr>
          <w:rFonts w:ascii="Arial" w:cs="Arial" w:eastAsia="Arial" w:hAnsi="Arial"/>
          <w:sz w:val="16"/>
          <w:szCs w:val="16"/>
          <w:u w:val="single" w:color="auto"/>
          <w:color w:val="auto"/>
        </w:rPr>
        <w:t>Compliance with Applicable Laws</w:t>
      </w:r>
      <w:r>
        <w:rPr>
          <w:rFonts w:ascii="Arial" w:cs="Arial" w:eastAsia="Arial" w:hAnsi="Arial"/>
          <w:sz w:val="16"/>
          <w:szCs w:val="16"/>
          <w:color w:val="auto"/>
        </w:rPr>
        <w:t>. The terms of this Plan are intended to comply with all Applicable Laws and will be construed accordingly.</w:t>
      </w:r>
    </w:p>
    <w:p>
      <w:pPr>
        <w:spacing w:after="0" w:line="248" w:lineRule="exact"/>
        <w:rPr>
          <w:rFonts w:ascii="Arial" w:cs="Arial" w:eastAsia="Arial" w:hAnsi="Arial"/>
          <w:sz w:val="16"/>
          <w:szCs w:val="16"/>
          <w:color w:val="auto"/>
        </w:rPr>
      </w:pPr>
    </w:p>
    <w:p>
      <w:pPr>
        <w:ind w:firstLine="436"/>
        <w:spacing w:after="0" w:line="255" w:lineRule="auto"/>
        <w:tabs>
          <w:tab w:leader="none" w:pos="710"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Automatic Transfer to Low Price Offering Period</w:t>
      </w:r>
      <w:r>
        <w:rPr>
          <w:rFonts w:ascii="Arial" w:cs="Arial" w:eastAsia="Arial" w:hAnsi="Arial"/>
          <w:sz w:val="18"/>
          <w:szCs w:val="18"/>
          <w:color w:val="auto"/>
        </w:rPr>
        <w:t>. Unless determined otherwise by the Administrator, this Section 28 applies to an Offering Period to the extent such Offering Period provides for more than one (1) Exercise Date within such Offering Period. To the extent permitted by Applicable Laws, if the Fair Market Value of a share of Common Stock on any Exercise Date in an Offering Period is less than the Fair Market Value of a share of Common Stock on the Enrollment Date of such Offering Period, then all Participants in such Offering Period will be withdrawn automatically from such Offering Period immediately after the exercise of their option on such Exercise Date and automatically re-enrolled in the immediately following Offering Period as of the first day thereof.</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4" w:right="479" w:bottom="1440" w:gutter="0" w:footer="0" w:header="0"/>
        </w:sectPr>
      </w:pPr>
    </w:p>
    <w:bookmarkStart w:id="440" w:name="page441"/>
    <w:bookmarkEnd w:id="440"/>
    <w:tbl>
      <w:tblPr>
        <w:tblLayout w:type="fixed"/>
        <w:tblInd w:w="0" w:type="dxa"/>
        <w:tblCellMar>
          <w:top w:w="0" w:type="dxa"/>
          <w:left w:w="0" w:type="dxa"/>
          <w:bottom w:w="0" w:type="dxa"/>
          <w:right w:w="0" w:type="dxa"/>
        </w:tblCellMar>
      </w:tblPr>
      <w:tr>
        <w:trPr>
          <w:trHeight w:val="207"/>
        </w:trPr>
        <w:tc>
          <w:tcPr>
            <w:tcW w:w="3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980" w:type="dxa"/>
            <w:vAlign w:val="bottom"/>
            <w:gridSpan w:val="2"/>
          </w:tcPr>
          <w:p>
            <w:pPr>
              <w:jc w:val="center"/>
              <w:ind w:right="4970"/>
              <w:spacing w:after="0"/>
              <w:rPr>
                <w:sz w:val="20"/>
                <w:szCs w:val="20"/>
                <w:color w:val="auto"/>
              </w:rPr>
            </w:pPr>
            <w:r>
              <w:rPr>
                <w:rFonts w:ascii="Arial" w:cs="Arial" w:eastAsia="Arial" w:hAnsi="Arial"/>
                <w:sz w:val="18"/>
                <w:szCs w:val="18"/>
                <w:b w:val="1"/>
                <w:bCs w:val="1"/>
                <w:color w:val="auto"/>
              </w:rPr>
              <w:t>EXHIBIT A</w:t>
            </w:r>
          </w:p>
        </w:tc>
      </w:tr>
      <w:tr>
        <w:trPr>
          <w:trHeight w:val="20"/>
        </w:trPr>
        <w:tc>
          <w:tcPr>
            <w:tcW w:w="3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r>
      <w:tr>
        <w:trPr>
          <w:trHeight w:val="453"/>
        </w:trPr>
        <w:tc>
          <w:tcPr>
            <w:tcW w:w="3320" w:type="dxa"/>
            <w:vAlign w:val="bottom"/>
          </w:tcPr>
          <w:p>
            <w:pPr>
              <w:spacing w:after="0"/>
              <w:rPr>
                <w:sz w:val="24"/>
                <w:szCs w:val="24"/>
                <w:color w:val="auto"/>
              </w:rPr>
            </w:pPr>
          </w:p>
        </w:tc>
        <w:tc>
          <w:tcPr>
            <w:tcW w:w="7700" w:type="dxa"/>
            <w:vAlign w:val="bottom"/>
            <w:gridSpan w:val="3"/>
          </w:tcPr>
          <w:p>
            <w:pPr>
              <w:jc w:val="center"/>
              <w:ind w:right="3230"/>
              <w:spacing w:after="0"/>
              <w:rPr>
                <w:sz w:val="20"/>
                <w:szCs w:val="20"/>
                <w:color w:val="auto"/>
              </w:rPr>
            </w:pPr>
            <w:r>
              <w:rPr>
                <w:rFonts w:ascii="Arial" w:cs="Arial" w:eastAsia="Arial" w:hAnsi="Arial"/>
                <w:sz w:val="18"/>
                <w:szCs w:val="18"/>
                <w:b w:val="1"/>
                <w:bCs w:val="1"/>
                <w:color w:val="auto"/>
              </w:rPr>
              <w:t>TENAYA THERAPEUTICS, INC.</w:t>
            </w:r>
          </w:p>
        </w:tc>
      </w:tr>
      <w:tr>
        <w:trPr>
          <w:trHeight w:val="432"/>
        </w:trPr>
        <w:tc>
          <w:tcPr>
            <w:tcW w:w="3320" w:type="dxa"/>
            <w:vAlign w:val="bottom"/>
          </w:tcPr>
          <w:p>
            <w:pPr>
              <w:spacing w:after="0"/>
              <w:rPr>
                <w:sz w:val="24"/>
                <w:szCs w:val="24"/>
                <w:color w:val="auto"/>
              </w:rPr>
            </w:pPr>
          </w:p>
        </w:tc>
        <w:tc>
          <w:tcPr>
            <w:tcW w:w="7700" w:type="dxa"/>
            <w:vAlign w:val="bottom"/>
            <w:gridSpan w:val="3"/>
          </w:tcPr>
          <w:p>
            <w:pPr>
              <w:jc w:val="center"/>
              <w:ind w:right="3250"/>
              <w:spacing w:after="0"/>
              <w:rPr>
                <w:sz w:val="20"/>
                <w:szCs w:val="20"/>
                <w:color w:val="auto"/>
              </w:rPr>
            </w:pPr>
            <w:r>
              <w:rPr>
                <w:rFonts w:ascii="Arial" w:cs="Arial" w:eastAsia="Arial" w:hAnsi="Arial"/>
                <w:sz w:val="18"/>
                <w:szCs w:val="18"/>
                <w:b w:val="1"/>
                <w:bCs w:val="1"/>
                <w:color w:val="auto"/>
                <w:w w:val="98"/>
              </w:rPr>
              <w:t>2021 EMPLOYEE STOCK PURCHASE PLAN</w:t>
            </w:r>
          </w:p>
        </w:tc>
      </w:tr>
      <w:tr>
        <w:trPr>
          <w:trHeight w:val="432"/>
        </w:trPr>
        <w:tc>
          <w:tcPr>
            <w:tcW w:w="3320" w:type="dxa"/>
            <w:vAlign w:val="bottom"/>
          </w:tcPr>
          <w:p>
            <w:pPr>
              <w:spacing w:after="0"/>
              <w:rPr>
                <w:sz w:val="24"/>
                <w:szCs w:val="24"/>
                <w:color w:val="auto"/>
              </w:rPr>
            </w:pPr>
          </w:p>
        </w:tc>
        <w:tc>
          <w:tcPr>
            <w:tcW w:w="7700" w:type="dxa"/>
            <w:vAlign w:val="bottom"/>
            <w:gridSpan w:val="3"/>
          </w:tcPr>
          <w:p>
            <w:pPr>
              <w:jc w:val="center"/>
              <w:ind w:right="3230"/>
              <w:spacing w:after="0"/>
              <w:rPr>
                <w:sz w:val="20"/>
                <w:szCs w:val="20"/>
                <w:color w:val="auto"/>
              </w:rPr>
            </w:pPr>
            <w:r>
              <w:rPr>
                <w:rFonts w:ascii="Arial" w:cs="Arial" w:eastAsia="Arial" w:hAnsi="Arial"/>
                <w:sz w:val="18"/>
                <w:szCs w:val="18"/>
                <w:b w:val="1"/>
                <w:bCs w:val="1"/>
                <w:color w:val="auto"/>
              </w:rPr>
              <w:t>SUBSCRIPTION AGREEMENT</w:t>
            </w:r>
          </w:p>
        </w:tc>
      </w:tr>
      <w:tr>
        <w:trPr>
          <w:trHeight w:val="459"/>
        </w:trPr>
        <w:tc>
          <w:tcPr>
            <w:tcW w:w="3320" w:type="dxa"/>
            <w:vAlign w:val="bottom"/>
          </w:tcPr>
          <w:p>
            <w:pPr>
              <w:spacing w:after="0"/>
              <w:rPr>
                <w:sz w:val="20"/>
                <w:szCs w:val="20"/>
                <w:color w:val="auto"/>
              </w:rPr>
            </w:pPr>
            <w:r>
              <w:rPr>
                <w:rFonts w:ascii="Arial" w:cs="Arial" w:eastAsia="Arial" w:hAnsi="Arial"/>
                <w:sz w:val="18"/>
                <w:szCs w:val="18"/>
                <w:color w:val="auto"/>
              </w:rPr>
              <w:t>_____ Original Application</w:t>
            </w:r>
          </w:p>
        </w:tc>
        <w:tc>
          <w:tcPr>
            <w:tcW w:w="1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60" w:type="dxa"/>
            <w:vAlign w:val="bottom"/>
          </w:tcPr>
          <w:p>
            <w:pPr>
              <w:ind w:left="2420"/>
              <w:spacing w:after="0"/>
              <w:rPr>
                <w:sz w:val="20"/>
                <w:szCs w:val="20"/>
                <w:color w:val="auto"/>
              </w:rPr>
            </w:pPr>
            <w:r>
              <w:rPr>
                <w:rFonts w:ascii="Arial" w:cs="Arial" w:eastAsia="Arial" w:hAnsi="Arial"/>
                <w:sz w:val="18"/>
                <w:szCs w:val="18"/>
                <w:color w:val="auto"/>
                <w:w w:val="91"/>
              </w:rPr>
              <w:t>Offering Date: _________________</w:t>
            </w:r>
          </w:p>
        </w:tc>
      </w:tr>
      <w:tr>
        <w:trPr>
          <w:trHeight w:val="432"/>
        </w:trPr>
        <w:tc>
          <w:tcPr>
            <w:tcW w:w="3320" w:type="dxa"/>
            <w:vAlign w:val="bottom"/>
          </w:tcPr>
          <w:p>
            <w:pPr>
              <w:spacing w:after="0"/>
              <w:rPr>
                <w:sz w:val="20"/>
                <w:szCs w:val="20"/>
                <w:color w:val="auto"/>
              </w:rPr>
            </w:pPr>
            <w:r>
              <w:rPr>
                <w:rFonts w:ascii="Arial" w:cs="Arial" w:eastAsia="Arial" w:hAnsi="Arial"/>
                <w:sz w:val="18"/>
                <w:szCs w:val="18"/>
                <w:color w:val="auto"/>
              </w:rPr>
              <w:t>_____ Change in Payroll Deduction Rate</w:t>
            </w:r>
          </w:p>
        </w:tc>
        <w:tc>
          <w:tcPr>
            <w:tcW w:w="1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60" w:type="dxa"/>
            <w:vAlign w:val="bottom"/>
          </w:tcPr>
          <w:p>
            <w:pPr>
              <w:spacing w:after="0"/>
              <w:rPr>
                <w:sz w:val="24"/>
                <w:szCs w:val="24"/>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right="40" w:firstLine="436"/>
        <w:spacing w:after="0" w:line="263" w:lineRule="auto"/>
        <w:tabs>
          <w:tab w:leader="none" w:pos="62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____________________ hereby elects to participate in the Tenaya Therapeutics, Inc. 2021 Employee Stock Purchase Plan (the “</w:t>
      </w:r>
      <w:r>
        <w:rPr>
          <w:rFonts w:ascii="Arial" w:cs="Arial" w:eastAsia="Arial" w:hAnsi="Arial"/>
          <w:sz w:val="18"/>
          <w:szCs w:val="18"/>
          <w:u w:val="single" w:color="auto"/>
          <w:color w:val="auto"/>
        </w:rPr>
        <w:t>Plan</w:t>
      </w:r>
      <w:r>
        <w:rPr>
          <w:rFonts w:ascii="Arial" w:cs="Arial" w:eastAsia="Arial" w:hAnsi="Arial"/>
          <w:sz w:val="18"/>
          <w:szCs w:val="18"/>
          <w:color w:val="auto"/>
        </w:rPr>
        <w:t>”) and subscribes to purchase shares of the Company’s Common Stock in accordance with this Subscription Agreement and the Plan. Any capitalized terms not specifically defined in this Subscription Agreement will have the meaning ascribed to them under the Plan.</w:t>
      </w:r>
    </w:p>
    <w:p>
      <w:pPr>
        <w:spacing w:after="0" w:line="183" w:lineRule="exact"/>
        <w:rPr>
          <w:rFonts w:ascii="Arial" w:cs="Arial" w:eastAsia="Arial" w:hAnsi="Arial"/>
          <w:sz w:val="18"/>
          <w:szCs w:val="18"/>
          <w:color w:val="auto"/>
        </w:rPr>
      </w:pPr>
    </w:p>
    <w:p>
      <w:pPr>
        <w:ind w:right="40" w:firstLine="436"/>
        <w:spacing w:after="0" w:line="296" w:lineRule="auto"/>
        <w:tabs>
          <w:tab w:leader="none" w:pos="620" w:val="left"/>
        </w:tabs>
        <w:numPr>
          <w:ilvl w:val="0"/>
          <w:numId w:val="308"/>
        </w:numPr>
        <w:rPr>
          <w:rFonts w:ascii="Arial" w:cs="Arial" w:eastAsia="Arial" w:hAnsi="Arial"/>
          <w:sz w:val="16"/>
          <w:szCs w:val="16"/>
          <w:color w:val="auto"/>
        </w:rPr>
      </w:pPr>
      <w:r>
        <w:rPr>
          <w:rFonts w:ascii="Arial" w:cs="Arial" w:eastAsia="Arial" w:hAnsi="Arial"/>
          <w:sz w:val="16"/>
          <w:szCs w:val="16"/>
          <w:color w:val="auto"/>
        </w:rPr>
        <w:t>I hereby authorize and consent to payroll deductions from each paycheck in the amount of ____% of my Compensation on each payday (from 0% to 15%) during the Offering Period in accordance with the Plan. (Please note that no fractional percentages are permitted.) I understand that only my first, one election to decrease the rate of my payroll deductions may be applied with respect to an ongoing Offering Period in accordance with the terms of the Plan, and any subsequent election to decrease the rate of my payroll deductions during the same Offering Period, and any election to increase the rate of my payroll deductions during any Offering Period, will not be applied to the ongoing Offering Period.</w:t>
      </w:r>
    </w:p>
    <w:p>
      <w:pPr>
        <w:spacing w:after="0" w:line="161" w:lineRule="exact"/>
        <w:rPr>
          <w:rFonts w:ascii="Arial" w:cs="Arial" w:eastAsia="Arial" w:hAnsi="Arial"/>
          <w:sz w:val="16"/>
          <w:szCs w:val="16"/>
          <w:color w:val="auto"/>
        </w:rPr>
      </w:pPr>
    </w:p>
    <w:p>
      <w:pPr>
        <w:ind w:right="20" w:firstLine="436"/>
        <w:spacing w:after="0" w:line="279" w:lineRule="auto"/>
        <w:tabs>
          <w:tab w:leader="none" w:pos="620" w:val="left"/>
        </w:tabs>
        <w:numPr>
          <w:ilvl w:val="0"/>
          <w:numId w:val="308"/>
        </w:numPr>
        <w:rPr>
          <w:rFonts w:ascii="Arial" w:cs="Arial" w:eastAsia="Arial" w:hAnsi="Arial"/>
          <w:sz w:val="17"/>
          <w:szCs w:val="17"/>
          <w:color w:val="auto"/>
        </w:rPr>
      </w:pPr>
      <w:r>
        <w:rPr>
          <w:rFonts w:ascii="Arial" w:cs="Arial" w:eastAsia="Arial" w:hAnsi="Arial"/>
          <w:sz w:val="17"/>
          <w:szCs w:val="17"/>
          <w:color w:val="auto"/>
        </w:rPr>
        <w:t>I understand that said payroll deductions will be accumulated for the purchase of shares of Common Stock at the applicable Purchase Price determined in accordance with the Plan. I understand that if I do not withdraw from an Offering Period, any accumulated payroll deductions will be used to automatically exercise my option and purchase Common Stock under the Plan. I further understand that if I am outside of the U.S., my payroll deductions will be converted to U.S. dollars at an exchange rate selected by the Company on the purchase date.</w:t>
      </w:r>
    </w:p>
    <w:p>
      <w:pPr>
        <w:spacing w:after="0" w:line="171" w:lineRule="exact"/>
        <w:rPr>
          <w:rFonts w:ascii="Arial" w:cs="Arial" w:eastAsia="Arial" w:hAnsi="Arial"/>
          <w:sz w:val="17"/>
          <w:szCs w:val="17"/>
          <w:color w:val="auto"/>
        </w:rPr>
      </w:pPr>
    </w:p>
    <w:p>
      <w:pPr>
        <w:ind w:right="280" w:firstLine="436"/>
        <w:spacing w:after="0" w:line="277" w:lineRule="auto"/>
        <w:tabs>
          <w:tab w:leader="none" w:pos="62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I have received a copy of the complete Plan and its accompanying prospectus. I understand that my participation in the Plan is in all respects subject to the terms of the Plan.</w:t>
      </w:r>
    </w:p>
    <w:p>
      <w:pPr>
        <w:spacing w:after="0" w:line="170" w:lineRule="exact"/>
        <w:rPr>
          <w:rFonts w:ascii="Arial" w:cs="Arial" w:eastAsia="Arial" w:hAnsi="Arial"/>
          <w:sz w:val="18"/>
          <w:szCs w:val="18"/>
          <w:color w:val="auto"/>
        </w:rPr>
      </w:pPr>
    </w:p>
    <w:p>
      <w:pPr>
        <w:ind w:right="200" w:firstLine="436"/>
        <w:spacing w:after="0" w:line="277" w:lineRule="auto"/>
        <w:tabs>
          <w:tab w:leader="none" w:pos="62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Shares of Common Stock purchased for me under the Plan should be issued in the name(s) of _____________ (Eligible Employee or Eligible Employee and spouse only).</w:t>
      </w:r>
    </w:p>
    <w:p>
      <w:pPr>
        <w:spacing w:after="0" w:line="170" w:lineRule="exact"/>
        <w:rPr>
          <w:rFonts w:ascii="Arial" w:cs="Arial" w:eastAsia="Arial" w:hAnsi="Arial"/>
          <w:sz w:val="18"/>
          <w:szCs w:val="18"/>
          <w:color w:val="auto"/>
        </w:rPr>
      </w:pPr>
    </w:p>
    <w:p>
      <w:pPr>
        <w:ind w:right="200" w:firstLine="436"/>
        <w:spacing w:after="0" w:line="263" w:lineRule="auto"/>
        <w:tabs>
          <w:tab w:leader="none" w:pos="62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If I am a U.S. taxpayer, I understand that if I dispose of any shares received by me pursuant to the Plan within two (2) years after the Offering Date (the first day of the Offering Period during which I purchased such shares) or one (1) year after the Exercise Date, I will be treated for federal income tax purposes as having received ordinary income at the time of such disposition in an</w:t>
      </w:r>
    </w:p>
    <w:p>
      <w:pPr>
        <w:sectPr>
          <w:pgSz w:w="11900" w:h="16838" w:orient="portrait"/>
          <w:cols w:equalWidth="0" w:num="1">
            <w:col w:w="11020"/>
          </w:cols>
          <w:pgMar w:left="440" w:top="256" w:right="439" w:bottom="1440" w:gutter="0" w:footer="0" w:header="0"/>
        </w:sectPr>
      </w:pPr>
    </w:p>
    <w:bookmarkStart w:id="441" w:name="page442"/>
    <w:bookmarkEnd w:id="441"/>
    <w:p>
      <w:pPr>
        <w:ind w:left="4"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amount equal to the excess of the fair market value of the shares at the time such shares were purchased by me over the price that I paid for the shares. </w:t>
      </w:r>
      <w:r>
        <w:rPr>
          <w:rFonts w:ascii="Arial" w:cs="Arial" w:eastAsia="Arial" w:hAnsi="Arial"/>
          <w:sz w:val="17"/>
          <w:szCs w:val="17"/>
          <w:u w:val="single" w:color="auto"/>
          <w:color w:val="auto"/>
        </w:rPr>
        <w:t>I</w:t>
      </w:r>
      <w:r>
        <w:rPr>
          <w:rFonts w:ascii="Arial" w:cs="Arial" w:eastAsia="Arial" w:hAnsi="Arial"/>
          <w:sz w:val="17"/>
          <w:szCs w:val="17"/>
          <w:color w:val="auto"/>
        </w:rPr>
        <w:t xml:space="preserve"> </w:t>
      </w:r>
      <w:r>
        <w:rPr>
          <w:rFonts w:ascii="Arial" w:cs="Arial" w:eastAsia="Arial" w:hAnsi="Arial"/>
          <w:sz w:val="17"/>
          <w:szCs w:val="17"/>
          <w:u w:val="single" w:color="auto"/>
          <w:color w:val="auto"/>
        </w:rPr>
        <w:t>hereby agree to notify the Company in writing within thirty (30) days after the date of any disposition of my shares and I will make adequate provision for federal, state or other tax withholding obligations, if any, which arise upon the disposition of the Common Stock</w:t>
      </w:r>
      <w:r>
        <w:rPr>
          <w:rFonts w:ascii="Arial" w:cs="Arial" w:eastAsia="Arial" w:hAnsi="Arial"/>
          <w:sz w:val="17"/>
          <w:szCs w:val="17"/>
          <w:color w:val="auto"/>
        </w:rPr>
        <w:t>. The Company may, but will not be obligated to, withhold from my compensation the amount necessary to meet any applicable withholding obligation including any withholding necessary to make available to the Company any tax deductions or benefits attributable to sale or early disposition of Common Stock by me. If I dispose of such shares at any time after the expiration of the two (2) year and one (1) year holding periods, I understand that I will be treated for federal income tax purposes as having received income only at the time of such disposition, and that such income will be taxed as ordinary income only to the extent of an amount equal to the lesser of (a) the excess of the fair market value of the shares at the time of such disposition over the purchase price which I paid for the shares, or (b) fifteen percent (15%) of the fair market value of the shares on the first day of the Offering Period. The remainder of the gain, if any, recognized on such disposition will be taxed as capital gain.</w:t>
      </w:r>
    </w:p>
    <w:p>
      <w:pPr>
        <w:spacing w:after="0" w:line="185" w:lineRule="exact"/>
        <w:rPr>
          <w:sz w:val="20"/>
          <w:szCs w:val="20"/>
          <w:color w:val="auto"/>
        </w:rPr>
      </w:pPr>
    </w:p>
    <w:p>
      <w:pPr>
        <w:ind w:left="4" w:firstLine="436"/>
        <w:spacing w:after="0" w:line="284" w:lineRule="auto"/>
        <w:tabs>
          <w:tab w:leader="none" w:pos="624" w:val="left"/>
        </w:tabs>
        <w:numPr>
          <w:ilvl w:val="1"/>
          <w:numId w:val="309"/>
        </w:numPr>
        <w:rPr>
          <w:rFonts w:ascii="Arial" w:cs="Arial" w:eastAsia="Arial" w:hAnsi="Arial"/>
          <w:sz w:val="16"/>
          <w:szCs w:val="16"/>
          <w:color w:val="auto"/>
        </w:rPr>
      </w:pPr>
      <w:r>
        <w:rPr>
          <w:rFonts w:ascii="Arial" w:cs="Arial" w:eastAsia="Arial" w:hAnsi="Arial"/>
          <w:sz w:val="16"/>
          <w:szCs w:val="16"/>
          <w:color w:val="auto"/>
        </w:rPr>
        <w:t>For employees that may be subject to tax in non U.S. jurisdictions, I acknowledge and agree that, regardless of any action taken by the Company or any Designated Company with respect to any or all income tax, social security, social insurances, National Insurance Contributions, payroll tax, fringe benefit, or other tax-related items related to my participation in the Plan and legally applicable to me including, without limitation, in connection with the grant of such options, the purchase or sale of shares of Common Stock acquired under the Plan and/or the receipt of any dividends on such shares (“</w:t>
      </w:r>
      <w:r>
        <w:rPr>
          <w:rFonts w:ascii="Arial" w:cs="Arial" w:eastAsia="Arial" w:hAnsi="Arial"/>
          <w:sz w:val="16"/>
          <w:szCs w:val="16"/>
          <w:u w:val="single" w:color="auto"/>
          <w:color w:val="auto"/>
        </w:rPr>
        <w:t>Tax-Related Items</w:t>
      </w:r>
      <w:r>
        <w:rPr>
          <w:rFonts w:ascii="Arial" w:cs="Arial" w:eastAsia="Arial" w:hAnsi="Arial"/>
          <w:sz w:val="16"/>
          <w:szCs w:val="16"/>
          <w:color w:val="auto"/>
        </w:rPr>
        <w:t>”), the ultimate liability for all Tax-Related Items is and remains my responsibility and may exceed the amount actually withheld by the Company or a Designated Company. Furthermore, I acknowledge that the Company and/or any Designated Company (a) make no representations or undertakings regarding the treatment of any Tax-Related Items in connection with any aspect of the options under the Plan and</w:t>
      </w:r>
    </w:p>
    <w:p>
      <w:pPr>
        <w:spacing w:after="0" w:line="2" w:lineRule="exact"/>
        <w:rPr>
          <w:rFonts w:ascii="Arial" w:cs="Arial" w:eastAsia="Arial" w:hAnsi="Arial"/>
          <w:sz w:val="16"/>
          <w:szCs w:val="16"/>
          <w:color w:val="auto"/>
        </w:rPr>
      </w:pPr>
    </w:p>
    <w:p>
      <w:pPr>
        <w:ind w:left="4" w:right="80" w:hanging="4"/>
        <w:spacing w:after="0" w:line="295" w:lineRule="auto"/>
        <w:tabs>
          <w:tab w:leader="none" w:pos="259" w:val="left"/>
        </w:tabs>
        <w:numPr>
          <w:ilvl w:val="0"/>
          <w:numId w:val="310"/>
        </w:numPr>
        <w:rPr>
          <w:rFonts w:ascii="Arial" w:cs="Arial" w:eastAsia="Arial" w:hAnsi="Arial"/>
          <w:sz w:val="16"/>
          <w:szCs w:val="16"/>
          <w:color w:val="auto"/>
        </w:rPr>
      </w:pPr>
      <w:r>
        <w:rPr>
          <w:rFonts w:ascii="Arial" w:cs="Arial" w:eastAsia="Arial" w:hAnsi="Arial"/>
          <w:sz w:val="16"/>
          <w:szCs w:val="16"/>
          <w:color w:val="auto"/>
        </w:rPr>
        <w:t>do not commit to and are under no obligation to structure the terms of the grant of options or any aspect of my participation in the Plan to reduce or eliminate my liability for Tax-Related Items or achieve any particular tax result. Further, if I have become subject to tax in more than one jurisdiction between the date of my enrollment and the date of any relevant taxable or tax withholding event, as applicable, I acknowledge that the Company and/or the Employer (or former employer, as applicable) may be required to withhold or account for Tax-Related Items in more than one jurisdiction.</w:t>
      </w:r>
    </w:p>
    <w:p>
      <w:pPr>
        <w:spacing w:after="0" w:line="161" w:lineRule="exact"/>
        <w:rPr>
          <w:sz w:val="20"/>
          <w:szCs w:val="20"/>
          <w:color w:val="auto"/>
        </w:rPr>
      </w:pPr>
    </w:p>
    <w:p>
      <w:pPr>
        <w:ind w:left="4" w:right="80" w:firstLine="440"/>
        <w:spacing w:after="0" w:line="255" w:lineRule="auto"/>
        <w:rPr>
          <w:sz w:val="20"/>
          <w:szCs w:val="20"/>
          <w:color w:val="auto"/>
        </w:rPr>
      </w:pPr>
      <w:r>
        <w:rPr>
          <w:rFonts w:ascii="Arial" w:cs="Arial" w:eastAsia="Arial" w:hAnsi="Arial"/>
          <w:sz w:val="18"/>
          <w:szCs w:val="18"/>
          <w:color w:val="auto"/>
        </w:rPr>
        <w:t>Prior to the purchase of shares of Common Stock under the Plan or any other relevant taxable or tax withholding event, as applicable, I agree to make adequate arrangements satisfactory to the Company and/or the applicable Designated Company to satisfy all Tax-Related Items. In this regard, I authorize the Company and/or the applicable Designated Company, or their respective agents, at their discretion, to satisfy any applicable withholding obligations with regard to all Tax-Related Items by one or a combination of the following: (a) withholding from my wages or Compensation paid to me by the Company and/or the applicable Designated Company; or (b) withholding from proceeds of the sale of the shares of Common Stock purchased under the Plan either through a voluntary sale or</w:t>
      </w:r>
    </w:p>
    <w:p>
      <w:pPr>
        <w:spacing w:after="0" w:line="12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4" w:right="479" w:bottom="1440" w:gutter="0" w:footer="0" w:header="0"/>
        </w:sectPr>
      </w:pPr>
    </w:p>
    <w:bookmarkStart w:id="442" w:name="page443"/>
    <w:bookmarkEnd w:id="442"/>
    <w:p>
      <w:pPr>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through a mandatory sale arranged by the Company (on my behalf pursuant to this authorization). Depending on the withholding method, the Company may withhold or account for Tax-Related Items by considering applicable maximum withholding rates, in which case I will receive a refund of any over-withheld amount in cash and will have no entitlement to the Common Stock equivalent.</w:t>
      </w:r>
    </w:p>
    <w:p>
      <w:pPr>
        <w:spacing w:after="0" w:line="184"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Finally, I agree to pay to the Company or the applicable Designated Company any amount of Tax-Related Items that the Company or the applicable Designated Company may be required to withhold as a result of my participation in the Plan that cannot be satisfied by the means previously described. The Company may refuse to purchase shares of Common Stock under the Plan on my behalf and/or refuse to issue or deliver the shares or the proceeds of the sale of shares if I fail to comply with my obligations in connection with the Tax-Related Items.</w:t>
      </w:r>
    </w:p>
    <w:p>
      <w:pPr>
        <w:spacing w:after="0" w:line="171" w:lineRule="exact"/>
        <w:rPr>
          <w:sz w:val="20"/>
          <w:szCs w:val="20"/>
          <w:color w:val="auto"/>
        </w:rPr>
      </w:pPr>
    </w:p>
    <w:p>
      <w:pPr>
        <w:ind w:left="620" w:hanging="184"/>
        <w:spacing w:after="0"/>
        <w:tabs>
          <w:tab w:leader="none" w:pos="62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By electing to participate in the Plan, I acknowledge, understand and agree that:</w:t>
      </w:r>
    </w:p>
    <w:p>
      <w:pPr>
        <w:spacing w:after="0" w:line="117" w:lineRule="exact"/>
        <w:rPr>
          <w:rFonts w:ascii="Arial" w:cs="Arial" w:eastAsia="Arial" w:hAnsi="Arial"/>
          <w:sz w:val="18"/>
          <w:szCs w:val="18"/>
          <w:color w:val="auto"/>
        </w:rPr>
      </w:pPr>
    </w:p>
    <w:p>
      <w:pPr>
        <w:ind w:right="620" w:firstLine="987"/>
        <w:spacing w:after="0" w:line="277" w:lineRule="auto"/>
        <w:tabs>
          <w:tab w:leader="none" w:pos="1236" w:val="left"/>
        </w:tabs>
        <w:numPr>
          <w:ilvl w:val="1"/>
          <w:numId w:val="311"/>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to the extent provided for in the Plan;</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all decisions with respect to future grants under the Plan, if applicable, will be at the sole discretion of the Company;</w:t>
      </w:r>
    </w:p>
    <w:p>
      <w:pPr>
        <w:spacing w:after="0" w:line="225" w:lineRule="exact"/>
        <w:rPr>
          <w:rFonts w:ascii="Arial" w:cs="Arial" w:eastAsia="Arial" w:hAnsi="Arial"/>
          <w:sz w:val="18"/>
          <w:szCs w:val="18"/>
          <w:color w:val="auto"/>
        </w:rPr>
      </w:pPr>
    </w:p>
    <w:p>
      <w:pPr>
        <w:ind w:right="100" w:firstLine="987"/>
        <w:spacing w:after="0" w:line="263" w:lineRule="auto"/>
        <w:tabs>
          <w:tab w:leader="none" w:pos="1236" w:val="left"/>
        </w:tabs>
        <w:numPr>
          <w:ilvl w:val="1"/>
          <w:numId w:val="311"/>
        </w:numPr>
        <w:rPr>
          <w:rFonts w:ascii="Arial" w:cs="Arial" w:eastAsia="Arial" w:hAnsi="Arial"/>
          <w:sz w:val="18"/>
          <w:szCs w:val="18"/>
          <w:color w:val="auto"/>
        </w:rPr>
      </w:pPr>
      <w:r>
        <w:rPr>
          <w:rFonts w:ascii="Arial" w:cs="Arial" w:eastAsia="Arial" w:hAnsi="Arial"/>
          <w:sz w:val="18"/>
          <w:szCs w:val="18"/>
          <w:color w:val="auto"/>
        </w:rPr>
        <w:t>the grant of options under the Plan will not create a right to employment or be interpreted as forming or amending an employment or service contract with the Company, or any Designated Company, and will not interfere with the ability of the Company or any Designated Company, as applicable, to terminate my employment (if any);</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I am voluntarily participating in the Plan;</w:t>
      </w:r>
    </w:p>
    <w:p>
      <w:pPr>
        <w:spacing w:after="0" w:line="225" w:lineRule="exact"/>
        <w:rPr>
          <w:rFonts w:ascii="Arial" w:cs="Arial" w:eastAsia="Arial" w:hAnsi="Arial"/>
          <w:sz w:val="18"/>
          <w:szCs w:val="18"/>
          <w:color w:val="auto"/>
        </w:rPr>
      </w:pPr>
    </w:p>
    <w:p>
      <w:pPr>
        <w:ind w:right="260" w:firstLine="987"/>
        <w:spacing w:after="0" w:line="277" w:lineRule="auto"/>
        <w:tabs>
          <w:tab w:leader="none" w:pos="1236" w:val="left"/>
        </w:tabs>
        <w:numPr>
          <w:ilvl w:val="1"/>
          <w:numId w:val="311"/>
        </w:numPr>
        <w:rPr>
          <w:rFonts w:ascii="Arial" w:cs="Arial" w:eastAsia="Arial" w:hAnsi="Arial"/>
          <w:sz w:val="18"/>
          <w:szCs w:val="18"/>
          <w:color w:val="auto"/>
        </w:rPr>
      </w:pPr>
      <w:r>
        <w:rPr>
          <w:rFonts w:ascii="Arial" w:cs="Arial" w:eastAsia="Arial" w:hAnsi="Arial"/>
          <w:sz w:val="18"/>
          <w:szCs w:val="18"/>
          <w:color w:val="auto"/>
        </w:rPr>
        <w:t>the options granted under the Plan and the shares of Common Stock underlying such options, and the income and value of same, are not intended to replace any pension rights or compensation;</w:t>
      </w:r>
    </w:p>
    <w:p>
      <w:pPr>
        <w:spacing w:after="0" w:line="170" w:lineRule="exact"/>
        <w:rPr>
          <w:rFonts w:ascii="Arial" w:cs="Arial" w:eastAsia="Arial" w:hAnsi="Arial"/>
          <w:sz w:val="18"/>
          <w:szCs w:val="18"/>
          <w:color w:val="auto"/>
        </w:rPr>
      </w:pPr>
    </w:p>
    <w:p>
      <w:pPr>
        <w:ind w:firstLine="987"/>
        <w:spacing w:after="0" w:line="286" w:lineRule="auto"/>
        <w:tabs>
          <w:tab w:leader="none" w:pos="1216" w:val="left"/>
        </w:tabs>
        <w:numPr>
          <w:ilvl w:val="1"/>
          <w:numId w:val="311"/>
        </w:numPr>
        <w:rPr>
          <w:rFonts w:ascii="Arial" w:cs="Arial" w:eastAsia="Arial" w:hAnsi="Arial"/>
          <w:sz w:val="17"/>
          <w:szCs w:val="17"/>
          <w:color w:val="auto"/>
        </w:rPr>
      </w:pPr>
      <w:r>
        <w:rPr>
          <w:rFonts w:ascii="Arial" w:cs="Arial" w:eastAsia="Arial" w:hAnsi="Arial"/>
          <w:sz w:val="17"/>
          <w:szCs w:val="17"/>
          <w:color w:val="auto"/>
        </w:rPr>
        <w:t>the options granted under the Plan and the shares of Common Stock underlying such options, and the income and value of same, are not part of my normal or expected compensation for any purpose, including, but not limited to, calculating any severance, resignation, termination, redundancy, dismissal, end-of-service payments, bonuses, long-service awards, pension or retirement benefits or similar payments;</w:t>
      </w:r>
    </w:p>
    <w:p>
      <w:pPr>
        <w:spacing w:after="0" w:line="165" w:lineRule="exact"/>
        <w:rPr>
          <w:rFonts w:ascii="Arial" w:cs="Arial" w:eastAsia="Arial" w:hAnsi="Arial"/>
          <w:sz w:val="17"/>
          <w:szCs w:val="17"/>
          <w:color w:val="auto"/>
        </w:rPr>
      </w:pPr>
    </w:p>
    <w:p>
      <w:pPr>
        <w:ind w:left="1240" w:hanging="253"/>
        <w:spacing w:after="0"/>
        <w:tabs>
          <w:tab w:leader="none" w:pos="1240" w:val="left"/>
        </w:tabs>
        <w:numPr>
          <w:ilvl w:val="1"/>
          <w:numId w:val="311"/>
        </w:numPr>
        <w:rPr>
          <w:rFonts w:ascii="Arial" w:cs="Arial" w:eastAsia="Arial" w:hAnsi="Arial"/>
          <w:sz w:val="17"/>
          <w:szCs w:val="17"/>
          <w:color w:val="auto"/>
        </w:rPr>
      </w:pPr>
      <w:r>
        <w:rPr>
          <w:rFonts w:ascii="Arial" w:cs="Arial" w:eastAsia="Arial" w:hAnsi="Arial"/>
          <w:sz w:val="17"/>
          <w:szCs w:val="17"/>
          <w:color w:val="auto"/>
        </w:rPr>
        <w:t>the future value of the shares of Common Stock offered under the Plan is unknown, indeterminable and cannot be predicted with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certainty;</w:t>
      </w:r>
    </w:p>
    <w:p>
      <w:pPr>
        <w:spacing w:after="0" w:line="210" w:lineRule="exact"/>
        <w:rPr>
          <w:rFonts w:ascii="Arial" w:cs="Arial" w:eastAsia="Arial" w:hAnsi="Arial"/>
          <w:sz w:val="17"/>
          <w:szCs w:val="17"/>
          <w:color w:val="auto"/>
        </w:rPr>
      </w:pPr>
    </w:p>
    <w:p>
      <w:pPr>
        <w:ind w:left="1240" w:hanging="253"/>
        <w:spacing w:after="0"/>
        <w:tabs>
          <w:tab w:leader="none" w:pos="1240" w:val="left"/>
        </w:tabs>
        <w:numPr>
          <w:ilvl w:val="1"/>
          <w:numId w:val="311"/>
        </w:numPr>
        <w:rPr>
          <w:rFonts w:ascii="Arial" w:cs="Arial" w:eastAsia="Arial" w:hAnsi="Arial"/>
          <w:sz w:val="17"/>
          <w:szCs w:val="17"/>
          <w:color w:val="auto"/>
        </w:rPr>
      </w:pPr>
      <w:r>
        <w:rPr>
          <w:rFonts w:ascii="Arial" w:cs="Arial" w:eastAsia="Arial" w:hAnsi="Arial"/>
          <w:sz w:val="17"/>
          <w:szCs w:val="17"/>
          <w:color w:val="auto"/>
        </w:rPr>
        <w:t>the shares of Common Stock that I acquire under the Plan may increase or decrease in value, even below the Purchase Price;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443" w:name="page444"/>
    <w:bookmarkEnd w:id="443"/>
    <w:p>
      <w:pPr>
        <w:ind w:right="80" w:firstLine="987"/>
        <w:spacing w:after="0" w:line="291" w:lineRule="auto"/>
        <w:tabs>
          <w:tab w:leader="none" w:pos="1206" w:val="left"/>
        </w:tabs>
        <w:numPr>
          <w:ilvl w:val="1"/>
          <w:numId w:val="3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claim or entitlement to compensation or damages will arise from the forfeiture of options granted to me under the Plan as a result of the termination of my status as an Eligible Employee (for any reason whatsoever, and whether or not later found to be invalid or in breach of employment laws in the jurisdiction where I am employed or the terms of my employment agreement, if any) and, in consideration of the grant of options under the Plan to which I am otherwise not entitled, I irrevocably agree never to institute a claim against the Company, or any Designated Company, waive my ability, if any, to bring such claim, and release the Company, and any Designated Company from any such claim that may arise; if, notwithstanding the foregoing, any such claim is allowed by a court of competent jurisdiction, I will be deemed irrevocably to have agreed to not to pursue such claim and agree to execute any and all documents necessary to request dismissal or withdrawal of such claim; and</w:t>
      </w:r>
    </w:p>
    <w:p>
      <w:pPr>
        <w:spacing w:after="0" w:line="166" w:lineRule="exact"/>
        <w:rPr>
          <w:rFonts w:ascii="Arial" w:cs="Arial" w:eastAsia="Arial" w:hAnsi="Arial"/>
          <w:sz w:val="16"/>
          <w:szCs w:val="16"/>
          <w:color w:val="auto"/>
        </w:rPr>
      </w:pPr>
    </w:p>
    <w:p>
      <w:pPr>
        <w:ind w:firstLine="987"/>
        <w:spacing w:after="0" w:line="271" w:lineRule="auto"/>
        <w:tabs>
          <w:tab w:leader="none" w:pos="1206" w:val="left"/>
        </w:tabs>
        <w:numPr>
          <w:ilvl w:val="1"/>
          <w:numId w:val="312"/>
        </w:numPr>
        <w:rPr>
          <w:rFonts w:ascii="Arial" w:cs="Arial" w:eastAsia="Arial" w:hAnsi="Arial"/>
          <w:sz w:val="17"/>
          <w:szCs w:val="17"/>
          <w:color w:val="auto"/>
        </w:rPr>
      </w:pPr>
      <w:r>
        <w:rPr>
          <w:rFonts w:ascii="Arial" w:cs="Arial" w:eastAsia="Arial" w:hAnsi="Arial"/>
          <w:sz w:val="17"/>
          <w:szCs w:val="17"/>
          <w:color w:val="auto"/>
        </w:rPr>
        <w:t>in the event of the termination of my status as an Eligible Employee (for any reason whatsoever, whether or not later found to be invalid or in breach of employment laws in the jurisdiction where I am employed or the terms of my employment agreement, if any), my right to participate in the Plan and any options granted to me under the Plan, if any, will terminate effective as of the date that I am no longer actively employed by the Company or one of its Designated Companies and, in any event, will not be extended by any notice period mandated under the employment laws in the jurisdiction in which I am employed or the terms of my employment agreement, if any (</w:t>
      </w:r>
      <w:r>
        <w:rPr>
          <w:rFonts w:ascii="Arial" w:cs="Arial" w:eastAsia="Arial" w:hAnsi="Arial"/>
          <w:sz w:val="17"/>
          <w:szCs w:val="17"/>
          <w:i w:val="1"/>
          <w:iCs w:val="1"/>
          <w:color w:val="auto"/>
        </w:rPr>
        <w:t>e.g.</w:t>
      </w:r>
      <w:r>
        <w:rPr>
          <w:rFonts w:ascii="Arial" w:cs="Arial" w:eastAsia="Arial" w:hAnsi="Arial"/>
          <w:sz w:val="17"/>
          <w:szCs w:val="17"/>
          <w:color w:val="auto"/>
        </w:rPr>
        <w:t>, active employment would not include a period of “</w:t>
      </w:r>
      <w:r>
        <w:rPr>
          <w:rFonts w:ascii="Arial" w:cs="Arial" w:eastAsia="Arial" w:hAnsi="Arial"/>
          <w:sz w:val="17"/>
          <w:szCs w:val="17"/>
          <w:u w:val="single" w:color="auto"/>
          <w:color w:val="auto"/>
        </w:rPr>
        <w:t>garden</w:t>
      </w:r>
      <w:r>
        <w:rPr>
          <w:rFonts w:ascii="Arial" w:cs="Arial" w:eastAsia="Arial" w:hAnsi="Arial"/>
          <w:sz w:val="17"/>
          <w:szCs w:val="17"/>
          <w:color w:val="auto"/>
        </w:rPr>
        <w:t xml:space="preserve"> </w:t>
      </w:r>
      <w:r>
        <w:rPr>
          <w:rFonts w:ascii="Arial" w:cs="Arial" w:eastAsia="Arial" w:hAnsi="Arial"/>
          <w:sz w:val="17"/>
          <w:szCs w:val="17"/>
          <w:u w:val="single" w:color="auto"/>
          <w:color w:val="auto"/>
        </w:rPr>
        <w:t>leave</w:t>
      </w:r>
      <w:r>
        <w:rPr>
          <w:rFonts w:ascii="Arial" w:cs="Arial" w:eastAsia="Arial" w:hAnsi="Arial"/>
          <w:sz w:val="17"/>
          <w:szCs w:val="17"/>
          <w:color w:val="auto"/>
        </w:rPr>
        <w:t>” or similar period pursuant to the employment laws in the jurisdiction in which I am employed or the terms of my employment agreement, if any); the Company will have the exclusive discretion to determine when I am no longer actively employed for purposes of my participation in the Plan (including whether I may still be considered to be actively employed while on a leave of absence).</w:t>
      </w:r>
    </w:p>
    <w:p>
      <w:pPr>
        <w:spacing w:after="0" w:line="178" w:lineRule="exact"/>
        <w:rPr>
          <w:rFonts w:ascii="Arial" w:cs="Arial" w:eastAsia="Arial" w:hAnsi="Arial"/>
          <w:sz w:val="17"/>
          <w:szCs w:val="17"/>
          <w:color w:val="auto"/>
        </w:rPr>
      </w:pPr>
    </w:p>
    <w:p>
      <w:pPr>
        <w:ind w:firstLine="436"/>
        <w:spacing w:after="0" w:line="269" w:lineRule="auto"/>
        <w:tabs>
          <w:tab w:leader="none" w:pos="620" w:val="left"/>
        </w:tabs>
        <w:numPr>
          <w:ilvl w:val="0"/>
          <w:numId w:val="313"/>
        </w:numPr>
        <w:rPr>
          <w:rFonts w:ascii="Arial" w:cs="Arial" w:eastAsia="Arial" w:hAnsi="Arial"/>
          <w:sz w:val="17"/>
          <w:szCs w:val="17"/>
          <w:i w:val="1"/>
          <w:iCs w:val="1"/>
          <w:color w:val="auto"/>
        </w:rPr>
      </w:pPr>
      <w:r>
        <w:rPr>
          <w:rFonts w:ascii="Arial" w:cs="Arial" w:eastAsia="Arial" w:hAnsi="Arial"/>
          <w:sz w:val="17"/>
          <w:szCs w:val="17"/>
          <w:i w:val="1"/>
          <w:iCs w:val="1"/>
          <w:color w:val="auto"/>
        </w:rPr>
        <w:t>I understand that the Company and/or any Designated Company may collect, where permissible under applicable law certain personal information about me, including, but not limited to, my name, home address and telephone number, date of birth, social insurance number or other identification number, salary, nationality, job title, any shares of Common Stock or directorships held in the Company, details of all options granted under the Plan or any other entitlement to shares of Common Stock awarded, canceled, exercised, vested, unvested or outstanding in my favor (“</w:t>
      </w:r>
      <w:r>
        <w:rPr>
          <w:rFonts w:ascii="Arial" w:cs="Arial" w:eastAsia="Arial" w:hAnsi="Arial"/>
          <w:sz w:val="17"/>
          <w:szCs w:val="17"/>
          <w:i w:val="1"/>
          <w:iCs w:val="1"/>
          <w:u w:val="single" w:color="auto"/>
          <w:color w:val="auto"/>
        </w:rPr>
        <w:t>Data</w:t>
      </w:r>
      <w:r>
        <w:rPr>
          <w:rFonts w:ascii="Arial" w:cs="Arial" w:eastAsia="Arial" w:hAnsi="Arial"/>
          <w:sz w:val="17"/>
          <w:szCs w:val="17"/>
          <w:i w:val="1"/>
          <w:iCs w:val="1"/>
          <w:color w:val="auto"/>
        </w:rPr>
        <w:t>”), for the exclusive purpose of implementing, administering and managing the Plan. I understand that Company may transfer my Data to the United States, which is not considered by the European Commission to have data protection laws equivalent to the laws in my country. I understand that the Company will transfer my Data to its designated broker, or such other stock plan service provider as may be selected by the Company in the future, which is assisting the Company with the implementation, administration and management of the Plan. I understand that the recipients of the Data may be located in the United States or elsewhere, and that a recipient’s country of operation (e.g., the United States) may have different, including less stringent, data privacy laws that the European Commission or my jurisdiction does not consider to be equivalent to the protections in my country. I understand that I may request a list with the names and addresses of any potential recipients of the Data by contacting my local human resources representative. I authorize the Company, the Company’s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444" w:name="page445"/>
    <w:bookmarkEnd w:id="444"/>
    <w:p>
      <w:pPr>
        <w:spacing w:after="0" w:line="269"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designated broker and any other possible recipients which may assist the Company with implementing, administering and managing the Plan to receive, possess, use, retain and transfer the Data, in electronic or other form, for the sole purpose of implementing, administering and managing my participation in the Plan. I understand that Data will be held only as long as is necessary to implement, administer and manage my participation in the Plan. I understand that that I may, at any time, view Data, request additional information about the storage and processing of Data, require any necessary amendments to Data or refuse or withdraw the consents herein, in any case without cost, by contacting in writing my local human resources representative. Further, I understand that I am providing the consents herein on a purely voluntary basis. If I do not consent, or if I later seek to revoke my consent, my employment status or career with the Company or any Designated Company will not be adversely affected; the only adverse consequence of refusing or withdrawing my consent is that the Company would not be able to grant me options under the Plan or other equity awards, or administer or maintain such awards. Therefore, I understand that refusing or withdrawing my consent may affect my ability to participate in the Plan. For more information on the consequences of my refusal to consent or withdrawal of consent, I understand that I may contact my local human resources representative.</w:t>
      </w:r>
    </w:p>
    <w:p>
      <w:pPr>
        <w:spacing w:after="0" w:line="74"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i w:val="1"/>
          <w:iCs w:val="1"/>
          <w:color w:val="auto"/>
        </w:rPr>
        <w:t>If I am an employee outside the U.S., I understand that in accordance with applicable law, I have the right to access, and to request a copy of, the Data held about me. I also understand that I have the right to discontinue the collection, processing, or use of my Data, or supplement, correct, or request deletion of my Data. To exercise my rights, I may contact my local human resources representative.</w:t>
      </w:r>
    </w:p>
    <w:p>
      <w:pPr>
        <w:spacing w:after="0" w:line="292"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i w:val="1"/>
          <w:iCs w:val="1"/>
          <w:color w:val="auto"/>
        </w:rPr>
        <w:t>I hereby explicitly and unambiguously consent to the collection, use and transfer, in electronic or other form, of my personal data as described herein and any other Plan materials by and among, as applicable, the Company and its Subsidiaries for the exclusive purpose of implementing, administering and managing my participation in the Plan. I understand that my consent will be sought and obtained for any processing or transfer of my data for any purpose other than as described in the enrollment form and any other plan materials.</w:t>
      </w:r>
    </w:p>
    <w:p>
      <w:pPr>
        <w:spacing w:after="0" w:line="187" w:lineRule="exact"/>
        <w:rPr>
          <w:sz w:val="20"/>
          <w:szCs w:val="20"/>
          <w:color w:val="auto"/>
        </w:rPr>
      </w:pPr>
    </w:p>
    <w:p>
      <w:pPr>
        <w:ind w:right="240" w:firstLine="436"/>
        <w:spacing w:after="0" w:line="308" w:lineRule="auto"/>
        <w:tabs>
          <w:tab w:leader="none" w:pos="710" w:val="left"/>
        </w:tabs>
        <w:numPr>
          <w:ilvl w:val="0"/>
          <w:numId w:val="314"/>
        </w:numPr>
        <w:rPr>
          <w:rFonts w:ascii="Arial" w:cs="Arial" w:eastAsia="Arial" w:hAnsi="Arial"/>
          <w:sz w:val="17"/>
          <w:szCs w:val="17"/>
          <w:color w:val="auto"/>
        </w:rPr>
      </w:pPr>
      <w:r>
        <w:rPr>
          <w:rFonts w:ascii="Arial" w:cs="Arial" w:eastAsia="Arial" w:hAnsi="Arial"/>
          <w:sz w:val="17"/>
          <w:szCs w:val="17"/>
          <w:color w:val="auto"/>
        </w:rPr>
        <w:t>If I have received the Subscription Agreement or any other document related to the Plan translated into a language other than English and if the meaning of the translated version is different than the English version, the English version will control, subject to applicable laws.</w:t>
      </w:r>
    </w:p>
    <w:p>
      <w:pPr>
        <w:spacing w:after="0" w:line="146" w:lineRule="exact"/>
        <w:rPr>
          <w:rFonts w:ascii="Arial" w:cs="Arial" w:eastAsia="Arial" w:hAnsi="Arial"/>
          <w:sz w:val="17"/>
          <w:szCs w:val="17"/>
          <w:color w:val="auto"/>
        </w:rPr>
      </w:pPr>
    </w:p>
    <w:p>
      <w:pPr>
        <w:ind w:right="420" w:firstLine="436"/>
        <w:spacing w:after="0" w:line="342" w:lineRule="auto"/>
        <w:tabs>
          <w:tab w:leader="none" w:pos="704" w:val="left"/>
        </w:tabs>
        <w:numPr>
          <w:ilvl w:val="0"/>
          <w:numId w:val="314"/>
        </w:numPr>
        <w:rPr>
          <w:rFonts w:ascii="Arial" w:cs="Arial" w:eastAsia="Arial" w:hAnsi="Arial"/>
          <w:sz w:val="16"/>
          <w:szCs w:val="16"/>
          <w:color w:val="auto"/>
        </w:rPr>
      </w:pPr>
      <w:r>
        <w:rPr>
          <w:rFonts w:ascii="Arial" w:cs="Arial" w:eastAsia="Arial" w:hAnsi="Arial"/>
          <w:sz w:val="16"/>
          <w:szCs w:val="16"/>
          <w:color w:val="auto"/>
        </w:rPr>
        <w:t>The provisions of the Subscription Agreement and these appendices are severable and if any one or more provisions are determined to be illegal or otherwise unenforceable, in whole or in part, the remaining provisions nevertheless will be binding and enforceable.</w:t>
      </w:r>
    </w:p>
    <w:p>
      <w:pPr>
        <w:spacing w:after="0" w:line="123" w:lineRule="exact"/>
        <w:rPr>
          <w:rFonts w:ascii="Arial" w:cs="Arial" w:eastAsia="Arial" w:hAnsi="Arial"/>
          <w:sz w:val="16"/>
          <w:szCs w:val="16"/>
          <w:color w:val="auto"/>
        </w:rPr>
      </w:pPr>
    </w:p>
    <w:p>
      <w:pPr>
        <w:ind w:right="60" w:firstLine="436"/>
        <w:spacing w:after="0" w:line="259" w:lineRule="auto"/>
        <w:tabs>
          <w:tab w:leader="none" w:pos="71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Notwithstanding any provisions in this Subscription Agreement, I understand that if I am working or resident in a country other than the United States, my participation in the Plan also will be subject to the additional terms and conditions set forth on Appendix A and any special terms and conditions for my country set forth on Appendix A. Moreover, if I relocate to one of the countries included in Appendix A, the special terms and conditions for such country will apply to me to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445" w:name="page446"/>
    <w:bookmarkEnd w:id="445"/>
    <w:p>
      <w:pPr>
        <w:jc w:val="both"/>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extent the Company determines that the application of such terms and conditions is necessary or advisable for legal or administrative reasons. Appendix A constitutes part of this Subscription Agreement and the provisions of this Subscription Agreement govern each Appendix (to the extent not superseded or supplemented by the terms and conditions set forth in the applicable Appendix).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446" w:name="page447"/>
    <w:bookmarkEnd w:id="446"/>
    <w:p>
      <w:pPr>
        <w:ind w:right="100" w:firstLine="436"/>
        <w:spacing w:after="0" w:line="277" w:lineRule="auto"/>
        <w:tabs>
          <w:tab w:leader="none" w:pos="710" w:val="left"/>
        </w:tabs>
        <w:numPr>
          <w:ilvl w:val="0"/>
          <w:numId w:val="3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hereby agree to be bound by the terms of the Plan. The effectiveness of this Subscription Agreement is dependent upon my eligibility to participate in the Plan.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Employee’s Social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Security Number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U.S.-based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3503295</wp:posOffset>
            </wp:positionH>
            <wp:positionV relativeFrom="paragraph">
              <wp:posOffset>5715</wp:posOffset>
            </wp:positionV>
            <wp:extent cx="348869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0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Employee’s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3503295</wp:posOffset>
            </wp:positionH>
            <wp:positionV relativeFrom="paragraph">
              <wp:posOffset>426085</wp:posOffset>
            </wp:positionV>
            <wp:extent cx="348869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4">
                      <a:extLst>
                        <a:ext uri="{28A0092B-C50C-407E-A947-70E740481C1C}"/>
                      </a:extLst>
                    </a:blip>
                    <a:srcRect/>
                    <a:stretch>
                      <a:fillRect/>
                    </a:stretch>
                  </pic:blipFill>
                  <pic:spPr bwMode="auto">
                    <a:xfrm>
                      <a:off x="0" y="0"/>
                      <a:ext cx="3488690" cy="8255"/>
                    </a:xfrm>
                    <a:prstGeom prst="rect">
                      <a:avLst/>
                    </a:prstGeom>
                    <a:noFill/>
                  </pic:spPr>
                </pic:pic>
              </a:graphicData>
            </a:graphic>
          </wp:anchor>
        </w:drawing>
        <w:drawing>
          <wp:anchor simplePos="0" relativeHeight="251657728" behindDoc="1" locked="0" layoutInCell="0" allowOverlap="1">
            <wp:simplePos x="0" y="0"/>
            <wp:positionH relativeFrom="column">
              <wp:posOffset>3503295</wp:posOffset>
            </wp:positionH>
            <wp:positionV relativeFrom="paragraph">
              <wp:posOffset>220345</wp:posOffset>
            </wp:positionV>
            <wp:extent cx="348869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5">
                      <a:extLst>
                        <a:ext uri="{28A0092B-C50C-407E-A947-70E740481C1C}"/>
                      </a:extLst>
                    </a:blip>
                    <a:srcRect/>
                    <a:stretch>
                      <a:fillRect/>
                    </a:stretch>
                  </pic:blipFill>
                  <pic:spPr bwMode="auto">
                    <a:xfrm>
                      <a:off x="0" y="0"/>
                      <a:ext cx="3488690" cy="8255"/>
                    </a:xfrm>
                    <a:prstGeom prst="rect">
                      <a:avLst/>
                    </a:prstGeom>
                    <a:noFill/>
                  </pic:spPr>
                </pic:pic>
              </a:graphicData>
            </a:graphic>
          </wp:anchor>
        </w:drawing>
        <w:drawing>
          <wp:anchor simplePos="0" relativeHeight="251657728" behindDoc="1" locked="0" layoutInCell="0" allowOverlap="1">
            <wp:simplePos x="0" y="0"/>
            <wp:positionH relativeFrom="column">
              <wp:posOffset>3503295</wp:posOffset>
            </wp:positionH>
            <wp:positionV relativeFrom="paragraph">
              <wp:posOffset>14605</wp:posOffset>
            </wp:positionV>
            <wp:extent cx="348869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6">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I UNDERSTAND THAT THIS SUBSCRIPTION AGREEMENT WILL REMAIN IN EFFECT THROUGHOUT SUCCESSIVE OFFERING PERIODS UNLESS TERMINATED BY ME.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9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Signature of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-130175</wp:posOffset>
            </wp:positionV>
            <wp:extent cx="664337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7">
                      <a:extLst>
                        <a:ext uri="{28A0092B-C50C-407E-A947-70E740481C1C}"/>
                      </a:extLst>
                    </a:blip>
                    <a:srcRect/>
                    <a:stretch>
                      <a:fillRect/>
                    </a:stretch>
                  </pic:blipFill>
                  <pic:spPr bwMode="auto">
                    <a:xfrm>
                      <a:off x="0" y="0"/>
                      <a:ext cx="6643370" cy="8255"/>
                    </a:xfrm>
                    <a:prstGeom prst="rect">
                      <a:avLst/>
                    </a:prstGeom>
                    <a:noFill/>
                  </pic:spPr>
                </pic:pic>
              </a:graphicData>
            </a:graphic>
          </wp:anchor>
        </w:drawing>
      </w:r>
    </w:p>
    <w:p>
      <w:pPr>
        <w:spacing w:after="0" w:line="13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00"/>
          </w:cols>
          <w:pgMar w:left="440" w:top="274" w:right="759" w:bottom="1440" w:gutter="0" w:footer="0" w:header="0"/>
        </w:sectPr>
      </w:pPr>
    </w:p>
    <w:bookmarkStart w:id="447" w:name="page448"/>
    <w:bookmarkEnd w:id="447"/>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TENAYA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EMPLOYEE STOCK PURCHASE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WITHDRAWAL</w:t>
      </w:r>
    </w:p>
    <w:p>
      <w:pPr>
        <w:spacing w:after="0" w:line="121" w:lineRule="exact"/>
        <w:rPr>
          <w:sz w:val="20"/>
          <w:szCs w:val="20"/>
          <w:color w:val="auto"/>
        </w:rPr>
      </w:pPr>
    </w:p>
    <w:p>
      <w:pPr>
        <w:ind w:right="160" w:firstLine="440"/>
        <w:spacing w:after="0" w:line="291" w:lineRule="auto"/>
        <w:rPr>
          <w:sz w:val="20"/>
          <w:szCs w:val="20"/>
          <w:color w:val="auto"/>
        </w:rPr>
      </w:pPr>
      <w:r>
        <w:rPr>
          <w:rFonts w:ascii="Arial" w:cs="Arial" w:eastAsia="Arial" w:hAnsi="Arial"/>
          <w:sz w:val="16"/>
          <w:szCs w:val="16"/>
          <w:color w:val="auto"/>
        </w:rPr>
        <w:t>The undersigned Participant in the Offering Period of the Tenaya Therapeutics, Inc. 2021 Employee Stock Purchase Plan (the “</w:t>
      </w:r>
      <w:r>
        <w:rPr>
          <w:rFonts w:ascii="Arial" w:cs="Arial" w:eastAsia="Arial" w:hAnsi="Arial"/>
          <w:sz w:val="16"/>
          <w:szCs w:val="16"/>
          <w:u w:val="single" w:color="auto"/>
          <w:color w:val="auto"/>
        </w:rPr>
        <w:t>Plan</w:t>
      </w:r>
      <w:r>
        <w:rPr>
          <w:rFonts w:ascii="Arial" w:cs="Arial" w:eastAsia="Arial" w:hAnsi="Arial"/>
          <w:sz w:val="16"/>
          <w:szCs w:val="16"/>
          <w:color w:val="auto"/>
        </w:rPr>
        <w:t>”) that began on ____________, ______ (the “</w:t>
      </w:r>
      <w:r>
        <w:rPr>
          <w:rFonts w:ascii="Arial" w:cs="Arial" w:eastAsia="Arial" w:hAnsi="Arial"/>
          <w:sz w:val="16"/>
          <w:szCs w:val="16"/>
          <w:u w:val="single" w:color="auto"/>
          <w:color w:val="auto"/>
        </w:rPr>
        <w:t>Offering Date</w:t>
      </w:r>
      <w:r>
        <w:rPr>
          <w:rFonts w:ascii="Arial" w:cs="Arial" w:eastAsia="Arial" w:hAnsi="Arial"/>
          <w:sz w:val="16"/>
          <w:szCs w:val="16"/>
          <w:color w:val="auto"/>
        </w:rPr>
        <w:t>”) hereby notifies the Company that he or she hereby withdraws from the Offering Period. He or she</w:t>
      </w:r>
    </w:p>
    <w:p>
      <w:pPr>
        <w:spacing w:after="0" w:line="271" w:lineRule="auto"/>
        <w:rPr>
          <w:sz w:val="20"/>
          <w:szCs w:val="20"/>
          <w:color w:val="auto"/>
        </w:rPr>
      </w:pPr>
      <w:r>
        <w:rPr>
          <w:rFonts w:ascii="Arial" w:cs="Arial" w:eastAsia="Arial" w:hAnsi="Arial"/>
          <w:sz w:val="17"/>
          <w:szCs w:val="17"/>
          <w:color w:val="auto"/>
        </w:rPr>
        <w:t>hereby directs the Company to pay to the undersigned as promptly as practicable all the payroll deductions credited to his or her account with respect to such Offering Period. The undersigned understands and agrees that his or her option for such Offering Period will be terminated automatically. The undersigned understands further that no further payroll deductions will be made for the purchase of shares in the current Offering Period and the undersigned will be eligible to participate in succeeding Offering Periods only by delivering to the Company a new Subscription Agreement. Capitalized terms not otherwise defined herein will have the meaning ascribed to them under the Plan.</w:t>
      </w:r>
    </w:p>
    <w:p>
      <w:pPr>
        <w:spacing w:after="0" w:line="20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and Address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760730</wp:posOffset>
            </wp:positionV>
            <wp:extent cx="2794635"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9">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511810</wp:posOffset>
            </wp:positionV>
            <wp:extent cx="279463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10">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263525</wp:posOffset>
            </wp:positionV>
            <wp:extent cx="279463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1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220345</wp:posOffset>
            </wp:positionV>
            <wp:extent cx="279463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1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14605</wp:posOffset>
            </wp:positionV>
            <wp:extent cx="252031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13">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bookmarkStart w:id="448" w:name="page449"/>
    <w:bookmarkEnd w:id="448"/>
    <w:p>
      <w:pPr>
        <w:jc w:val="right"/>
        <w:spacing w:after="0"/>
        <w:rPr>
          <w:sz w:val="20"/>
          <w:szCs w:val="20"/>
          <w:color w:val="auto"/>
        </w:rPr>
      </w:pPr>
      <w:r>
        <w:rPr>
          <w:rFonts w:ascii="Arial" w:cs="Arial" w:eastAsia="Arial" w:hAnsi="Arial"/>
          <w:sz w:val="18"/>
          <w:szCs w:val="18"/>
          <w:b w:val="1"/>
          <w:bCs w:val="1"/>
          <w:color w:val="auto"/>
        </w:rPr>
        <w:t>Exhibit 10.14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TENAYA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OUTSIDE DIRECTOR COMPENSATION POLICY</w:t>
      </w:r>
    </w:p>
    <w:p>
      <w:pPr>
        <w:spacing w:after="0" w:line="229" w:lineRule="exact"/>
        <w:rPr>
          <w:sz w:val="20"/>
          <w:szCs w:val="20"/>
          <w:color w:val="auto"/>
        </w:rPr>
      </w:pPr>
    </w:p>
    <w:p>
      <w:pPr>
        <w:ind w:right="100" w:firstLine="440"/>
        <w:spacing w:after="0" w:line="290" w:lineRule="auto"/>
        <w:rPr>
          <w:sz w:val="20"/>
          <w:szCs w:val="20"/>
          <w:color w:val="auto"/>
        </w:rPr>
      </w:pPr>
      <w:r>
        <w:rPr>
          <w:rFonts w:ascii="Arial" w:cs="Arial" w:eastAsia="Arial" w:hAnsi="Arial"/>
          <w:sz w:val="16"/>
          <w:szCs w:val="16"/>
          <w:color w:val="auto"/>
        </w:rPr>
        <w:t>Tenaya Therapeutics, Inc. (the “</w:t>
      </w:r>
      <w:r>
        <w:rPr>
          <w:rFonts w:ascii="Arial" w:cs="Arial" w:eastAsia="Arial" w:hAnsi="Arial"/>
          <w:sz w:val="16"/>
          <w:szCs w:val="16"/>
          <w:u w:val="single" w:color="auto"/>
          <w:color w:val="auto"/>
        </w:rPr>
        <w:t>Company</w:t>
      </w:r>
      <w:r>
        <w:rPr>
          <w:rFonts w:ascii="Arial" w:cs="Arial" w:eastAsia="Arial" w:hAnsi="Arial"/>
          <w:sz w:val="16"/>
          <w:szCs w:val="16"/>
          <w:color w:val="auto"/>
        </w:rPr>
        <w:t>”) believes that the granting of equity and cash compensation to members of the Company’s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and members of the Board, “</w:t>
      </w:r>
      <w:r>
        <w:rPr>
          <w:rFonts w:ascii="Arial" w:cs="Arial" w:eastAsia="Arial" w:hAnsi="Arial"/>
          <w:sz w:val="16"/>
          <w:szCs w:val="16"/>
          <w:u w:val="single" w:color="auto"/>
          <w:color w:val="auto"/>
        </w:rPr>
        <w:t>Directors</w:t>
      </w:r>
      <w:r>
        <w:rPr>
          <w:rFonts w:ascii="Arial" w:cs="Arial" w:eastAsia="Arial" w:hAnsi="Arial"/>
          <w:sz w:val="16"/>
          <w:szCs w:val="16"/>
          <w:color w:val="auto"/>
        </w:rPr>
        <w:t>”) represents an effective tool to attract, retain and reward Directors who are not employees of the Company (“</w:t>
      </w:r>
      <w:r>
        <w:rPr>
          <w:rFonts w:ascii="Arial" w:cs="Arial" w:eastAsia="Arial" w:hAnsi="Arial"/>
          <w:sz w:val="16"/>
          <w:szCs w:val="16"/>
          <w:u w:val="single" w:color="auto"/>
          <w:color w:val="auto"/>
        </w:rPr>
        <w:t>Outside Directors</w:t>
      </w:r>
      <w:r>
        <w:rPr>
          <w:rFonts w:ascii="Arial" w:cs="Arial" w:eastAsia="Arial" w:hAnsi="Arial"/>
          <w:sz w:val="16"/>
          <w:szCs w:val="16"/>
          <w:color w:val="auto"/>
        </w:rPr>
        <w:t>”). This Outside Director Compensation Policy (the “</w:t>
      </w:r>
      <w:r>
        <w:rPr>
          <w:rFonts w:ascii="Arial" w:cs="Arial" w:eastAsia="Arial" w:hAnsi="Arial"/>
          <w:sz w:val="16"/>
          <w:szCs w:val="16"/>
          <w:u w:val="single" w:color="auto"/>
          <w:color w:val="auto"/>
        </w:rPr>
        <w:t>Policy</w:t>
      </w:r>
      <w:r>
        <w:rPr>
          <w:rFonts w:ascii="Arial" w:cs="Arial" w:eastAsia="Arial" w:hAnsi="Arial"/>
          <w:sz w:val="16"/>
          <w:szCs w:val="16"/>
          <w:color w:val="auto"/>
        </w:rPr>
        <w:t>”) is intended to formalize the Company’s policy regarding cash compensation and grants of equity awards to its Outside Directors. Unless otherwise defined herein, capitalized terms used in this Policy will have the meaning given such term in the Company’s 2021 Equity Incentive Plan, as amended from time to time, or if such plan no longer is in use at the time of the grant of an equity award, the meaning given such term or similar term in the equity plan then in place under which the equity award is granted (the “</w:t>
      </w:r>
      <w:r>
        <w:rPr>
          <w:rFonts w:ascii="Arial" w:cs="Arial" w:eastAsia="Arial" w:hAnsi="Arial"/>
          <w:sz w:val="16"/>
          <w:szCs w:val="16"/>
          <w:u w:val="single" w:color="auto"/>
          <w:color w:val="auto"/>
        </w:rPr>
        <w:t>Plan</w:t>
      </w:r>
      <w:r>
        <w:rPr>
          <w:rFonts w:ascii="Arial" w:cs="Arial" w:eastAsia="Arial" w:hAnsi="Arial"/>
          <w:sz w:val="16"/>
          <w:szCs w:val="16"/>
          <w:color w:val="auto"/>
        </w:rPr>
        <w:t>”). Each Outside Director will be solely responsible for any tax obligations incurred by such Outside Director as a result of the equity awards and cash and other compensation such Outside Director receives under this Policy.</w:t>
      </w:r>
    </w:p>
    <w:p>
      <w:pPr>
        <w:spacing w:after="0" w:line="165" w:lineRule="exact"/>
        <w:rPr>
          <w:sz w:val="20"/>
          <w:szCs w:val="20"/>
          <w:color w:val="auto"/>
        </w:rPr>
      </w:pPr>
    </w:p>
    <w:p>
      <w:pPr>
        <w:ind w:right="20" w:firstLine="436"/>
        <w:spacing w:after="0" w:line="263" w:lineRule="auto"/>
        <w:tabs>
          <w:tab w:leader="none" w:pos="620" w:val="left"/>
        </w:tabs>
        <w:numPr>
          <w:ilvl w:val="0"/>
          <w:numId w:val="316"/>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This Policy will be effective as of the effective date of the first registration statement that is filed by the Company and declared effective pursuant to Section 12(b) of the U.S. Securities Exchange Act of 1934, as amended, with respect to any class of the Company’s securities (such date,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620" w:hanging="184"/>
        <w:spacing w:after="0"/>
        <w:tabs>
          <w:tab w:leader="none" w:pos="620" w:val="left"/>
        </w:tabs>
        <w:numPr>
          <w:ilvl w:val="0"/>
          <w:numId w:val="316"/>
        </w:numPr>
        <w:rPr>
          <w:rFonts w:ascii="Arial" w:cs="Arial" w:eastAsia="Arial" w:hAnsi="Arial"/>
          <w:sz w:val="18"/>
          <w:szCs w:val="18"/>
          <w:color w:val="auto"/>
        </w:rPr>
      </w:pPr>
      <w:r>
        <w:rPr>
          <w:rFonts w:ascii="Arial" w:cs="Arial" w:eastAsia="Arial" w:hAnsi="Arial"/>
          <w:sz w:val="18"/>
          <w:szCs w:val="18"/>
          <w:u w:val="single" w:color="auto"/>
          <w:color w:val="auto"/>
        </w:rPr>
        <w:t>Cash Compensation</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Board Member Annual Cash Retainer</w:t>
      </w:r>
      <w:r>
        <w:rPr>
          <w:rFonts w:ascii="Arial" w:cs="Arial" w:eastAsia="Arial" w:hAnsi="Arial"/>
          <w:sz w:val="18"/>
          <w:szCs w:val="18"/>
          <w:color w:val="auto"/>
        </w:rPr>
        <w:t>. Each Outside Director will be paid an annual cash retainer of $35,000. There are no per-meeting attendance fees for attending Board meetings or meetings of any committee of the Board.</w:t>
      </w:r>
    </w:p>
    <w:p>
      <w:pPr>
        <w:spacing w:after="0" w:line="170"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Additional Annual Cash Retainers</w:t>
      </w:r>
      <w:r>
        <w:rPr>
          <w:rFonts w:ascii="Arial" w:cs="Arial" w:eastAsia="Arial" w:hAnsi="Arial"/>
          <w:sz w:val="18"/>
          <w:szCs w:val="18"/>
          <w:color w:val="auto"/>
        </w:rPr>
        <w:t>. As of the Effective Date, each Outside Director who serves as the Chair of the Board, or the chair or a member of a committee of the Board, will be eligible to earn additional annual fees as follows:</w:t>
      </w:r>
    </w:p>
    <w:p>
      <w:pPr>
        <w:spacing w:after="0" w:line="212" w:lineRule="exact"/>
        <w:rPr>
          <w:sz w:val="20"/>
          <w:szCs w:val="20"/>
          <w:color w:val="auto"/>
        </w:rPr>
      </w:pPr>
    </w:p>
    <w:tbl>
      <w:tblPr>
        <w:tblLayout w:type="fixed"/>
        <w:tblInd w:w="1760" w:type="dxa"/>
        <w:tblCellMar>
          <w:top w:w="0" w:type="dxa"/>
          <w:left w:w="0" w:type="dxa"/>
          <w:bottom w:w="0" w:type="dxa"/>
          <w:right w:w="0" w:type="dxa"/>
        </w:tblCellMar>
      </w:tblP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Non-Executive Chair of the Board: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30,000</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Lead Independent Director:</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3"/>
              </w:rPr>
              <w:t>20,000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Audit Committee Chair:</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15,000</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Audit Committee Member:</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7,500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Committee Chair:</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10,000</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Compensation Committee Member:</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Nominating and Corporate Governance Committee Chair:</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Nominating and Corporate Governance Committee Member:</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4,000</w:t>
            </w:r>
          </w:p>
        </w:tc>
      </w:tr>
    </w:tbl>
    <w:p>
      <w:pPr>
        <w:sectPr>
          <w:pgSz w:w="11900" w:h="16838" w:orient="portrait"/>
          <w:cols w:equalWidth="0" w:num="1">
            <w:col w:w="11020"/>
          </w:cols>
          <w:pgMar w:left="440" w:top="121" w:right="439" w:bottom="1440" w:gutter="0" w:footer="0" w:header="0"/>
        </w:sectPr>
      </w:pPr>
    </w:p>
    <w:bookmarkStart w:id="449" w:name="page450"/>
    <w:bookmarkEnd w:id="449"/>
    <w:p>
      <w:pPr>
        <w:ind w:right="80" w:firstLine="991"/>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clarity, each Outside Director who serves as the chair of a committee will receive only the additional annual fee as the chair of the committee and not the additional annual fee as a member of such committee while serving as such chair, provided, that the Outside Director who serves as the Chair of the Board will receive the annual fee for services provided in such role as well as the annual fee as an Outside Director.</w:t>
      </w:r>
    </w:p>
    <w:p>
      <w:pPr>
        <w:spacing w:after="0" w:line="149" w:lineRule="exact"/>
        <w:rPr>
          <w:sz w:val="20"/>
          <w:szCs w:val="20"/>
          <w:color w:val="auto"/>
        </w:rPr>
      </w:pPr>
    </w:p>
    <w:p>
      <w:pPr>
        <w:ind w:right="60" w:firstLine="991"/>
        <w:spacing w:after="0" w:line="269"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Payment Timing and Proration</w:t>
      </w:r>
      <w:r>
        <w:rPr>
          <w:rFonts w:ascii="Arial" w:cs="Arial" w:eastAsia="Arial" w:hAnsi="Arial"/>
          <w:sz w:val="17"/>
          <w:szCs w:val="17"/>
          <w:color w:val="auto"/>
        </w:rPr>
        <w:t>. Each annual cash retainer (a “</w:t>
      </w:r>
      <w:r>
        <w:rPr>
          <w:rFonts w:ascii="Arial" w:cs="Arial" w:eastAsia="Arial" w:hAnsi="Arial"/>
          <w:sz w:val="17"/>
          <w:szCs w:val="17"/>
          <w:u w:val="single" w:color="auto"/>
          <w:color w:val="auto"/>
        </w:rPr>
        <w:t>Annual Cash Retainer</w:t>
      </w:r>
      <w:r>
        <w:rPr>
          <w:rFonts w:ascii="Arial" w:cs="Arial" w:eastAsia="Arial" w:hAnsi="Arial"/>
          <w:sz w:val="17"/>
          <w:szCs w:val="17"/>
          <w:color w:val="auto"/>
        </w:rPr>
        <w:t>”) under this Policy will be paid quarterly in arrears on a prorated basis to each Outside Director who has served in the relevant capacity at any time during the immediately preceding fiscal quarter of the Company (“</w:t>
      </w:r>
      <w:r>
        <w:rPr>
          <w:rFonts w:ascii="Arial" w:cs="Arial" w:eastAsia="Arial" w:hAnsi="Arial"/>
          <w:sz w:val="17"/>
          <w:szCs w:val="17"/>
          <w:u w:val="single" w:color="auto"/>
          <w:color w:val="auto"/>
        </w:rPr>
        <w:t>Fiscal Quarter</w:t>
      </w:r>
      <w:r>
        <w:rPr>
          <w:rFonts w:ascii="Arial" w:cs="Arial" w:eastAsia="Arial" w:hAnsi="Arial"/>
          <w:sz w:val="17"/>
          <w:szCs w:val="17"/>
          <w:color w:val="auto"/>
        </w:rPr>
        <w:t>”), and such payment will be made no later than thirty (30) days following the end of such immediately preceding Fiscal Quarter. For clarity, an Outside Director who has served as an Outside Director, as a member of an applicable committee (or chair thereof) during only a portion of the relevant Fiscal Quarter will receive a prorated payment of the quarterly installment of the applicable Annual Cash Retainer(s), calculated based on the number of days during such Fiscal Quarter such Outside Director has served in the relevant capacities. For clarity, an Outside Director who has served as an Outside Director or as a member of an applicable committee (or chair thereof) from the Effective Date through the end of the Fiscal Quarter containing the Effective Date (the “</w:t>
      </w:r>
      <w:r>
        <w:rPr>
          <w:rFonts w:ascii="Arial" w:cs="Arial" w:eastAsia="Arial" w:hAnsi="Arial"/>
          <w:sz w:val="17"/>
          <w:szCs w:val="17"/>
          <w:u w:val="single" w:color="auto"/>
          <w:color w:val="auto"/>
        </w:rPr>
        <w:t>Initial Period</w:t>
      </w:r>
      <w:r>
        <w:rPr>
          <w:rFonts w:ascii="Arial" w:cs="Arial" w:eastAsia="Arial" w:hAnsi="Arial"/>
          <w:sz w:val="17"/>
          <w:szCs w:val="17"/>
          <w:color w:val="auto"/>
        </w:rPr>
        <w:t>”), as applicable, will receive a prorated payment of the quarterly installment of the applicable Annual Cash Retainer(s), calculated based on the number of days during the Initial Period that such Outside Director has served in the relevant capacities.</w:t>
      </w:r>
    </w:p>
    <w:p>
      <w:pPr>
        <w:spacing w:after="0" w:line="185" w:lineRule="exact"/>
        <w:rPr>
          <w:sz w:val="20"/>
          <w:szCs w:val="20"/>
          <w:color w:val="auto"/>
        </w:rPr>
      </w:pPr>
    </w:p>
    <w:p>
      <w:pPr>
        <w:ind w:left="620" w:hanging="184"/>
        <w:spacing w:after="0"/>
        <w:tabs>
          <w:tab w:leader="none" w:pos="620" w:val="left"/>
        </w:tabs>
        <w:numPr>
          <w:ilvl w:val="0"/>
          <w:numId w:val="317"/>
        </w:numPr>
        <w:rPr>
          <w:rFonts w:ascii="Arial" w:cs="Arial" w:eastAsia="Arial" w:hAnsi="Arial"/>
          <w:sz w:val="17"/>
          <w:szCs w:val="17"/>
          <w:color w:val="auto"/>
        </w:rPr>
      </w:pPr>
      <w:r>
        <w:rPr>
          <w:rFonts w:ascii="Arial" w:cs="Arial" w:eastAsia="Arial" w:hAnsi="Arial"/>
          <w:sz w:val="17"/>
          <w:szCs w:val="17"/>
          <w:u w:val="single" w:color="auto"/>
          <w:color w:val="auto"/>
        </w:rPr>
        <w:t>Equity Compensation</w:t>
      </w:r>
      <w:r>
        <w:rPr>
          <w:rFonts w:ascii="Arial" w:cs="Arial" w:eastAsia="Arial" w:hAnsi="Arial"/>
          <w:sz w:val="17"/>
          <w:szCs w:val="17"/>
          <w:color w:val="auto"/>
        </w:rPr>
        <w:t>. Outside Directors will be eligible to receive all types of Awards (except Incentive Stock Options) under the Plan,</w:t>
      </w:r>
    </w:p>
    <w:p>
      <w:pPr>
        <w:spacing w:after="0" w:line="34" w:lineRule="exact"/>
        <w:rPr>
          <w:rFonts w:ascii="Arial" w:cs="Arial" w:eastAsia="Arial" w:hAnsi="Arial"/>
          <w:sz w:val="17"/>
          <w:szCs w:val="17"/>
          <w:color w:val="auto"/>
        </w:rPr>
      </w:pPr>
    </w:p>
    <w:p>
      <w:pPr>
        <w:spacing w:after="0" w:line="255" w:lineRule="auto"/>
        <w:rPr>
          <w:rFonts w:ascii="Arial" w:cs="Arial" w:eastAsia="Arial" w:hAnsi="Arial"/>
          <w:sz w:val="17"/>
          <w:szCs w:val="17"/>
          <w:color w:val="auto"/>
        </w:rPr>
      </w:pPr>
      <w:r>
        <w:rPr>
          <w:rFonts w:ascii="Arial" w:cs="Arial" w:eastAsia="Arial" w:hAnsi="Arial"/>
          <w:sz w:val="18"/>
          <w:szCs w:val="18"/>
          <w:color w:val="auto"/>
        </w:rPr>
        <w:t>including discretionary Awards not covered under this Policy, subject to Section 5 hereof. All grants of Awards to Outside Directors pursuant to Sections 3.2 and 3.3 of this Policy will be automatic and nondiscretionary, except as otherwise provided herein, and will be made in accordance with the following provisions:</w:t>
      </w:r>
    </w:p>
    <w:p>
      <w:pPr>
        <w:spacing w:after="0" w:line="190" w:lineRule="exact"/>
        <w:rPr>
          <w:sz w:val="20"/>
          <w:szCs w:val="20"/>
          <w:color w:val="auto"/>
        </w:rPr>
      </w:pPr>
    </w:p>
    <w:p>
      <w:pPr>
        <w:jc w:val="both"/>
        <w:ind w:right="500" w:firstLine="991"/>
        <w:spacing w:after="0" w:line="342"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No Discretion</w:t>
      </w:r>
      <w:r>
        <w:rPr>
          <w:rFonts w:ascii="Arial" w:cs="Arial" w:eastAsia="Arial" w:hAnsi="Arial"/>
          <w:sz w:val="16"/>
          <w:szCs w:val="16"/>
          <w:color w:val="auto"/>
        </w:rPr>
        <w:t>. No person will have any discretion to select which Outside Directors will be granted Annual Awards (as defined below) under this Policy or to determine the number of Shares to be covered by such Awards (except as provided in Sections 3.4.4 and 10 below).</w:t>
      </w:r>
    </w:p>
    <w:p>
      <w:pPr>
        <w:spacing w:after="0" w:line="124" w:lineRule="exact"/>
        <w:rPr>
          <w:sz w:val="20"/>
          <w:szCs w:val="20"/>
          <w:color w:val="auto"/>
        </w:rPr>
      </w:pPr>
    </w:p>
    <w:p>
      <w:pPr>
        <w:ind w:right="120" w:firstLine="991"/>
        <w:spacing w:after="0" w:line="270"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Initial Awards</w:t>
      </w:r>
      <w:r>
        <w:rPr>
          <w:rFonts w:ascii="Arial" w:cs="Arial" w:eastAsia="Arial" w:hAnsi="Arial"/>
          <w:sz w:val="17"/>
          <w:szCs w:val="17"/>
          <w:color w:val="auto"/>
        </w:rPr>
        <w:t>. Each individual who first becomes an Outside Director following the Effective Date automatically will be granted an Option (an “</w:t>
      </w:r>
      <w:r>
        <w:rPr>
          <w:rFonts w:ascii="Arial" w:cs="Arial" w:eastAsia="Arial" w:hAnsi="Arial"/>
          <w:sz w:val="17"/>
          <w:szCs w:val="17"/>
          <w:u w:val="single" w:color="auto"/>
          <w:color w:val="auto"/>
        </w:rPr>
        <w:t>Initial Award</w:t>
      </w:r>
      <w:r>
        <w:rPr>
          <w:rFonts w:ascii="Arial" w:cs="Arial" w:eastAsia="Arial" w:hAnsi="Arial"/>
          <w:sz w:val="17"/>
          <w:szCs w:val="17"/>
          <w:color w:val="auto"/>
        </w:rPr>
        <w:t>”) to purchase Shares with grant date fair value as determined in accordance with U.S. generally accepted accounting principles (the “</w:t>
      </w:r>
      <w:r>
        <w:rPr>
          <w:rFonts w:ascii="Arial" w:cs="Arial" w:eastAsia="Arial" w:hAnsi="Arial"/>
          <w:sz w:val="17"/>
          <w:szCs w:val="17"/>
          <w:u w:val="single" w:color="auto"/>
          <w:color w:val="auto"/>
        </w:rPr>
        <w:t>Grant Value</w:t>
      </w:r>
      <w:r>
        <w:rPr>
          <w:rFonts w:ascii="Arial" w:cs="Arial" w:eastAsia="Arial" w:hAnsi="Arial"/>
          <w:sz w:val="17"/>
          <w:szCs w:val="17"/>
          <w:color w:val="auto"/>
        </w:rPr>
        <w:t>”) equal to $320,000. The grant date of the Initial Award will be the first Trading Day on or after the date on which such individual first becomes an Outside Director (such first date as an Outside Director, the “</w:t>
      </w:r>
      <w:r>
        <w:rPr>
          <w:rFonts w:ascii="Arial" w:cs="Arial" w:eastAsia="Arial" w:hAnsi="Arial"/>
          <w:sz w:val="17"/>
          <w:szCs w:val="17"/>
          <w:u w:val="single" w:color="auto"/>
          <w:color w:val="auto"/>
        </w:rPr>
        <w:t>Initial Start Date</w:t>
      </w:r>
      <w:r>
        <w:rPr>
          <w:rFonts w:ascii="Arial" w:cs="Arial" w:eastAsia="Arial" w:hAnsi="Arial"/>
          <w:sz w:val="17"/>
          <w:szCs w:val="17"/>
          <w:color w:val="auto"/>
        </w:rPr>
        <w:t>”), whether through election by the stockholders of the Company or appointment by the Board to fill a vacancy. If an individual was an Employee-Director, becoming an Outside Director due to termination of the individual’s status as an Employee will not entitle the Outside Director to an Initial Award. Each Initial Award will be scheduled to vest as to one thirty-sixth (1/36th) of the Shares subject to the Initial Award on a monthly basis following the Initial Award’s grant date on the same day of the month as such grant date (or on the last day of the month, if there is no corresponding day in such month), subject to the Outside Director remaining a Service Provider through the applicable vesting date.</w:t>
      </w:r>
    </w:p>
    <w:p>
      <w:pPr>
        <w:spacing w:after="0" w:line="181"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Annual Award</w:t>
      </w:r>
      <w:r>
        <w:rPr>
          <w:rFonts w:ascii="Arial" w:cs="Arial" w:eastAsia="Arial" w:hAnsi="Arial"/>
          <w:sz w:val="18"/>
          <w:szCs w:val="18"/>
          <w:color w:val="auto"/>
        </w:rPr>
        <w:t>. On the first Trading Day immediately following each Annual Meeting of the Company’s stockholders (an “</w:t>
      </w:r>
      <w:r>
        <w:rPr>
          <w:rFonts w:ascii="Arial" w:cs="Arial" w:eastAsia="Arial" w:hAnsi="Arial"/>
          <w:sz w:val="18"/>
          <w:szCs w:val="18"/>
          <w:u w:val="single" w:color="auto"/>
          <w:color w:val="auto"/>
        </w:rPr>
        <w:t>Annual</w:t>
      </w:r>
      <w:r>
        <w:rPr>
          <w:rFonts w:ascii="Arial" w:cs="Arial" w:eastAsia="Arial" w:hAnsi="Arial"/>
          <w:sz w:val="18"/>
          <w:szCs w:val="18"/>
          <w:color w:val="auto"/>
        </w:rPr>
        <w:t xml:space="preserve"> </w:t>
      </w:r>
      <w:r>
        <w:rPr>
          <w:rFonts w:ascii="Arial" w:cs="Arial" w:eastAsia="Arial" w:hAnsi="Arial"/>
          <w:sz w:val="18"/>
          <w:szCs w:val="18"/>
          <w:u w:val="single" w:color="auto"/>
          <w:color w:val="auto"/>
        </w:rPr>
        <w:t>Meeting</w:t>
      </w:r>
      <w:r>
        <w:rPr>
          <w:rFonts w:ascii="Arial" w:cs="Arial" w:eastAsia="Arial" w:hAnsi="Arial"/>
          <w:sz w:val="18"/>
          <w:szCs w:val="18"/>
          <w:color w:val="auto"/>
        </w:rPr>
        <w:t>”) that occurs after the Effective Date, each Outside Director who has served continuously as an Outside Director for no less than 6 months as of the date of an Annual Meeting of the Company’s stockholders automatically will be granted an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450" w:name="page451"/>
    <w:bookmarkEnd w:id="450"/>
    <w:p>
      <w:pPr>
        <w:ind w:right="1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Option to purchase Shares with a Grant Value equal to $160,000 (the “</w:t>
      </w:r>
      <w:r>
        <w:rPr>
          <w:rFonts w:ascii="Arial" w:cs="Arial" w:eastAsia="Arial" w:hAnsi="Arial"/>
          <w:sz w:val="17"/>
          <w:szCs w:val="17"/>
          <w:u w:val="single" w:color="auto"/>
          <w:color w:val="auto"/>
        </w:rPr>
        <w:t>Annual Award</w:t>
      </w:r>
      <w:r>
        <w:rPr>
          <w:rFonts w:ascii="Arial" w:cs="Arial" w:eastAsia="Arial" w:hAnsi="Arial"/>
          <w:sz w:val="17"/>
          <w:szCs w:val="17"/>
          <w:color w:val="auto"/>
        </w:rPr>
        <w:t>”). The Annual Award will be scheduled to vest in full upon the first anniversary of the date of grant or, if earlier, the day immediately before the date of the next Annual Meeting that occurs after the Annual Award’s grant date, subject to the Outside Director remaining a Service Provider through the applicable vesting date.</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Additional Terms of Initial Awards and Annual Awards</w:t>
      </w:r>
      <w:r>
        <w:rPr>
          <w:rFonts w:ascii="Arial" w:cs="Arial" w:eastAsia="Arial" w:hAnsi="Arial"/>
          <w:sz w:val="16"/>
          <w:szCs w:val="16"/>
          <w:color w:val="auto"/>
        </w:rPr>
        <w:t>. The terms and conditions of each Initial Award and Annual Award will be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3.4.1 The term of each Initial Award and Annual Award will be ten (10) years, subject to earlier termination as provided in the Plan.</w:t>
      </w:r>
    </w:p>
    <w:p>
      <w:pPr>
        <w:spacing w:after="0" w:line="248" w:lineRule="exact"/>
        <w:rPr>
          <w:sz w:val="20"/>
          <w:szCs w:val="20"/>
          <w:color w:val="auto"/>
        </w:rPr>
      </w:pPr>
    </w:p>
    <w:p>
      <w:pPr>
        <w:ind w:right="100" w:firstLine="1432"/>
        <w:spacing w:after="0" w:line="277" w:lineRule="auto"/>
        <w:rPr>
          <w:sz w:val="20"/>
          <w:szCs w:val="20"/>
          <w:color w:val="auto"/>
        </w:rPr>
      </w:pPr>
      <w:r>
        <w:rPr>
          <w:rFonts w:ascii="Arial" w:cs="Arial" w:eastAsia="Arial" w:hAnsi="Arial"/>
          <w:sz w:val="18"/>
          <w:szCs w:val="18"/>
          <w:color w:val="auto"/>
        </w:rPr>
        <w:t>3.4.2 The per Share exercise price of each Initial Award and Annual Award will be equal to one hundred percent (100%) of the Fair Market Value per Share on such Award’s grant date.</w:t>
      </w:r>
    </w:p>
    <w:p>
      <w:pPr>
        <w:spacing w:after="0" w:line="170" w:lineRule="exact"/>
        <w:rPr>
          <w:sz w:val="20"/>
          <w:szCs w:val="20"/>
          <w:color w:val="auto"/>
        </w:rPr>
      </w:pPr>
    </w:p>
    <w:p>
      <w:pPr>
        <w:ind w:right="600" w:firstLine="1432"/>
        <w:spacing w:after="0" w:line="308" w:lineRule="auto"/>
        <w:rPr>
          <w:sz w:val="20"/>
          <w:szCs w:val="20"/>
          <w:color w:val="auto"/>
        </w:rPr>
      </w:pPr>
      <w:r>
        <w:rPr>
          <w:rFonts w:ascii="Arial" w:cs="Arial" w:eastAsia="Arial" w:hAnsi="Arial"/>
          <w:sz w:val="17"/>
          <w:szCs w:val="17"/>
          <w:color w:val="auto"/>
        </w:rPr>
        <w:t>3.4.3 Each Initial Award and Annual Award will be granted under and subject to the terms and conditions of the Plan and the applicable form of Award Agreement previously approved by the Board or its Committee, as applicable, for use thereunder.</w:t>
      </w:r>
    </w:p>
    <w:p>
      <w:pPr>
        <w:spacing w:after="0" w:line="146" w:lineRule="exact"/>
        <w:rPr>
          <w:sz w:val="20"/>
          <w:szCs w:val="20"/>
          <w:color w:val="auto"/>
        </w:rPr>
      </w:pPr>
    </w:p>
    <w:p>
      <w:pPr>
        <w:ind w:right="220" w:firstLine="1432"/>
        <w:spacing w:after="0" w:line="342" w:lineRule="auto"/>
        <w:rPr>
          <w:sz w:val="20"/>
          <w:szCs w:val="20"/>
          <w:color w:val="auto"/>
        </w:rPr>
      </w:pPr>
      <w:r>
        <w:rPr>
          <w:rFonts w:ascii="Arial" w:cs="Arial" w:eastAsia="Arial" w:hAnsi="Arial"/>
          <w:sz w:val="16"/>
          <w:szCs w:val="16"/>
          <w:color w:val="auto"/>
        </w:rPr>
        <w:t>3.4.4 The Board or its Committee, as applicable and in its discretion, may change and otherwise revise the terms of Initial Awards and Annual Awards granted pursuant to this Policy, including without limitation the number of Shares subject thereto and type of Award.</w:t>
      </w:r>
    </w:p>
    <w:p>
      <w:pPr>
        <w:spacing w:after="0" w:line="124" w:lineRule="exact"/>
        <w:rPr>
          <w:sz w:val="20"/>
          <w:szCs w:val="20"/>
          <w:color w:val="auto"/>
        </w:rPr>
      </w:pPr>
    </w:p>
    <w:p>
      <w:pPr>
        <w:jc w:val="both"/>
        <w:ind w:right="120" w:firstLine="436"/>
        <w:spacing w:after="0" w:line="263" w:lineRule="auto"/>
        <w:tabs>
          <w:tab w:leader="none" w:pos="620"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In the event of a Change in Control, each Outside Director will fully vest in his or her outstanding Company equity awards as of immediately prior to the Change in Control, including any Initial Award and Annual Award, provided that the Outside Director continues to be an Outside Director through the date of such Change in Control.</w:t>
      </w:r>
    </w:p>
    <w:p>
      <w:pPr>
        <w:spacing w:after="0" w:line="183" w:lineRule="exact"/>
        <w:rPr>
          <w:rFonts w:ascii="Arial" w:cs="Arial" w:eastAsia="Arial" w:hAnsi="Arial"/>
          <w:sz w:val="18"/>
          <w:szCs w:val="18"/>
          <w:color w:val="auto"/>
        </w:rPr>
      </w:pPr>
    </w:p>
    <w:p>
      <w:pPr>
        <w:ind w:right="120" w:firstLine="436"/>
        <w:spacing w:after="0" w:line="257" w:lineRule="auto"/>
        <w:tabs>
          <w:tab w:leader="none" w:pos="620"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t>Annual Compensation Limit</w:t>
      </w:r>
      <w:r>
        <w:rPr>
          <w:rFonts w:ascii="Arial" w:cs="Arial" w:eastAsia="Arial" w:hAnsi="Arial"/>
          <w:sz w:val="18"/>
          <w:szCs w:val="18"/>
          <w:color w:val="auto"/>
        </w:rPr>
        <w:t>. No Outside Director may be granted, in any Fiscal Year, Awards with values (based on their grant date fair value determined in accordance with U.S. generally accepted accounting principles), and be provided any other compensation (including without limitation any cash retainers or fees) in amounts that, in any Fiscal Year, in the aggregate, exceed $500,000. Any Awards or other compensation provided to an individual (a) for his or her services as an Employee, or for his or her services as a Consultant other than as an Outside Director, or (b) prior to the Registration Date, will be excluded for purposes of this Section 5.</w:t>
      </w:r>
    </w:p>
    <w:p>
      <w:pPr>
        <w:spacing w:after="0" w:line="187" w:lineRule="exact"/>
        <w:rPr>
          <w:rFonts w:ascii="Arial" w:cs="Arial" w:eastAsia="Arial" w:hAnsi="Arial"/>
          <w:sz w:val="18"/>
          <w:szCs w:val="18"/>
          <w:color w:val="auto"/>
        </w:rPr>
      </w:pPr>
    </w:p>
    <w:p>
      <w:pPr>
        <w:ind w:right="60" w:firstLine="436"/>
        <w:spacing w:after="0" w:line="277" w:lineRule="auto"/>
        <w:tabs>
          <w:tab w:leader="none" w:pos="620"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t>Travel Expenses</w:t>
      </w:r>
      <w:r>
        <w:rPr>
          <w:rFonts w:ascii="Arial" w:cs="Arial" w:eastAsia="Arial" w:hAnsi="Arial"/>
          <w:sz w:val="18"/>
          <w:szCs w:val="18"/>
          <w:color w:val="auto"/>
        </w:rPr>
        <w:t>. Each Outside Director’s reasonable, customary and properly documented travel expenses to meetings of the Board and any of its committees, as applicable, will be reimbursed by the Company.</w:t>
      </w:r>
    </w:p>
    <w:p>
      <w:pPr>
        <w:spacing w:after="0" w:line="170" w:lineRule="exact"/>
        <w:rPr>
          <w:rFonts w:ascii="Arial" w:cs="Arial" w:eastAsia="Arial" w:hAnsi="Arial"/>
          <w:sz w:val="18"/>
          <w:szCs w:val="18"/>
          <w:color w:val="auto"/>
        </w:rPr>
      </w:pPr>
    </w:p>
    <w:p>
      <w:pPr>
        <w:ind w:firstLine="436"/>
        <w:spacing w:after="0" w:line="255" w:lineRule="auto"/>
        <w:tabs>
          <w:tab w:leader="none" w:pos="620"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this Policy, will adjust the number and class of the shares of stock issuable pursuant to Awards that may be granted pursuant to Section 3 of this Policy.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451" w:name="page452"/>
    <w:bookmarkEnd w:id="451"/>
    <w:p>
      <w:pPr>
        <w:ind w:right="20" w:firstLine="436"/>
        <w:spacing w:after="0" w:line="253" w:lineRule="auto"/>
        <w:tabs>
          <w:tab w:leader="none" w:pos="620" w:val="left"/>
        </w:tabs>
        <w:numPr>
          <w:ilvl w:val="0"/>
          <w:numId w:val="31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409A</w:t>
      </w:r>
      <w:r>
        <w:rPr>
          <w:rFonts w:ascii="Arial" w:cs="Arial" w:eastAsia="Arial" w:hAnsi="Arial"/>
          <w:sz w:val="18"/>
          <w:szCs w:val="18"/>
          <w:color w:val="auto"/>
        </w:rPr>
        <w:t>. In no event will cash compensation or expense reimbursement payments under this Policy be paid after the later of (a) the fifteenth (15th) day of the third (3rd) month following the end of the Company’s taxable year in which the compensation is earned or expenses are incurred, as applicable, or (b) the fifteenth (15th) day of the third (3rd) month following the end of the calendar year in which the compensation is earned or expenses are incurred, as applicable, in compliance with the “short-term deferral” exception under Section 409A. It is the intent of this Policy that this Policy and all payments hereunder be exempt from or otherwise comply with the requirements of Section 409A so that none of the compensation to be provided hereunder will be subject to the additional tax imposed under Section 409A, and any ambiguities or ambiguous terms herein will be interpreted to be so exempt or comply. In no event will the Company or any of its Parents or Subsidiaries have any responsibility, liability, or obligation to reimburse, indemnify, or hold harmless an Outside Director (or any other person) for any taxes imposed, or other costs incurred, as a result of Section 409A.</w:t>
      </w:r>
    </w:p>
    <w:p>
      <w:pPr>
        <w:spacing w:after="0" w:line="196" w:lineRule="exact"/>
        <w:rPr>
          <w:rFonts w:ascii="Arial" w:cs="Arial" w:eastAsia="Arial" w:hAnsi="Arial"/>
          <w:sz w:val="18"/>
          <w:szCs w:val="18"/>
          <w:color w:val="auto"/>
        </w:rPr>
      </w:pPr>
    </w:p>
    <w:p>
      <w:pPr>
        <w:ind w:right="40" w:firstLine="436"/>
        <w:spacing w:after="0" w:line="286" w:lineRule="auto"/>
        <w:tabs>
          <w:tab w:leader="none" w:pos="620" w:val="left"/>
        </w:tabs>
        <w:numPr>
          <w:ilvl w:val="0"/>
          <w:numId w:val="319"/>
        </w:numPr>
        <w:rPr>
          <w:rFonts w:ascii="Arial" w:cs="Arial" w:eastAsia="Arial" w:hAnsi="Arial"/>
          <w:sz w:val="17"/>
          <w:szCs w:val="17"/>
          <w:color w:val="auto"/>
        </w:rPr>
      </w:pPr>
      <w:r>
        <w:rPr>
          <w:rFonts w:ascii="Arial" w:cs="Arial" w:eastAsia="Arial" w:hAnsi="Arial"/>
          <w:sz w:val="17"/>
          <w:szCs w:val="17"/>
          <w:u w:val="single" w:color="auto"/>
          <w:color w:val="auto"/>
        </w:rPr>
        <w:t>Stockholder Approval</w:t>
      </w:r>
      <w:r>
        <w:rPr>
          <w:rFonts w:ascii="Arial" w:cs="Arial" w:eastAsia="Arial" w:hAnsi="Arial"/>
          <w:sz w:val="17"/>
          <w:szCs w:val="17"/>
          <w:color w:val="auto"/>
        </w:rPr>
        <w:t>. The initial adoption of this Policy will be subject to approval by the Company’s stockholders prior to the Effective Date. Unless otherwise required by applicable law, following such approval, this Policy will not be subject to approval by the Company’s stockholders, including, for clarity, as a result of or in connection with any action taken with respect to this Policy as contemplated in Section 10.</w:t>
      </w:r>
    </w:p>
    <w:p>
      <w:pPr>
        <w:spacing w:after="0" w:line="165" w:lineRule="exact"/>
        <w:rPr>
          <w:rFonts w:ascii="Arial" w:cs="Arial" w:eastAsia="Arial" w:hAnsi="Arial"/>
          <w:sz w:val="17"/>
          <w:szCs w:val="17"/>
          <w:color w:val="auto"/>
        </w:rPr>
      </w:pPr>
    </w:p>
    <w:p>
      <w:pPr>
        <w:ind w:firstLine="436"/>
        <w:spacing w:after="0" w:line="254" w:lineRule="auto"/>
        <w:tabs>
          <w:tab w:leader="none" w:pos="710" w:val="left"/>
        </w:tabs>
        <w:numPr>
          <w:ilvl w:val="0"/>
          <w:numId w:val="319"/>
        </w:numPr>
        <w:rPr>
          <w:rFonts w:ascii="Arial" w:cs="Arial" w:eastAsia="Arial" w:hAnsi="Arial"/>
          <w:sz w:val="18"/>
          <w:szCs w:val="18"/>
          <w:color w:val="auto"/>
        </w:rPr>
      </w:pPr>
      <w:r>
        <w:rPr>
          <w:rFonts w:ascii="Arial" w:cs="Arial" w:eastAsia="Arial" w:hAnsi="Arial"/>
          <w:sz w:val="18"/>
          <w:szCs w:val="18"/>
          <w:u w:val="single" w:color="auto"/>
          <w:color w:val="auto"/>
        </w:rPr>
        <w:t>Revisions</w:t>
      </w:r>
      <w:r>
        <w:rPr>
          <w:rFonts w:ascii="Arial" w:cs="Arial" w:eastAsia="Arial" w:hAnsi="Arial"/>
          <w:sz w:val="18"/>
          <w:szCs w:val="18"/>
          <w:color w:val="auto"/>
        </w:rPr>
        <w:t>. The Board or any committee of the Board that has been designated appropriate authority with respect to Outside Director compensation (or with respect to any applicable element or elements thereof, authority with respect to such element or elements) (the “</w:t>
      </w:r>
      <w:r>
        <w:rPr>
          <w:rFonts w:ascii="Arial" w:cs="Arial" w:eastAsia="Arial" w:hAnsi="Arial"/>
          <w:sz w:val="18"/>
          <w:szCs w:val="18"/>
          <w:u w:val="single" w:color="auto"/>
          <w:color w:val="auto"/>
        </w:rPr>
        <w:t>Committee</w:t>
      </w:r>
      <w:r>
        <w:rPr>
          <w:rFonts w:ascii="Arial" w:cs="Arial" w:eastAsia="Arial" w:hAnsi="Arial"/>
          <w:sz w:val="18"/>
          <w:szCs w:val="18"/>
          <w:color w:val="auto"/>
        </w:rPr>
        <w:t>”) may amend, alter, suspend or terminate this Policy at any time and for any reason. Further, the Board may provide for cash, equity, or other compensation to Outside Directors in addition to the compensation provided under this Policy. No amendment, alteration, suspension or termination of this Policy will materially impair the rights of an Outside Director with respect to compensation that already has been paid or awarded, unless otherwise mutually agreed between the Outside Director and the Company. Termination of this Policy will not affect the Board’s or the Committee’s ability to exercise the powers granted to it with respect to Awards granted under the Plan pursuant to this Policy before the date of such termination, including without limitation such applicable powers set forth in the Plan.</w:t>
      </w:r>
    </w:p>
    <w:p>
      <w:pPr>
        <w:spacing w:after="0" w:line="192" w:lineRule="exact"/>
        <w:rPr>
          <w:sz w:val="20"/>
          <w:szCs w:val="20"/>
          <w:color w:val="auto"/>
        </w:rPr>
      </w:pPr>
    </w:p>
    <w:p>
      <w:pPr>
        <w:ind w:left="4620"/>
        <w:spacing w:after="0"/>
        <w:tabs>
          <w:tab w:leader="none" w:pos="5420" w:val="left"/>
          <w:tab w:leader="none" w:pos="6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452" w:name="page453"/>
    <w:bookmarkEnd w:id="452"/>
    <w:p>
      <w:pPr>
        <w:jc w:val="right"/>
        <w:spacing w:after="0"/>
        <w:rPr>
          <w:sz w:val="20"/>
          <w:szCs w:val="20"/>
          <w:color w:val="auto"/>
        </w:rPr>
      </w:pPr>
      <w:r>
        <w:rPr>
          <w:rFonts w:ascii="Arial" w:cs="Arial" w:eastAsia="Arial" w:hAnsi="Arial"/>
          <w:sz w:val="18"/>
          <w:szCs w:val="18"/>
          <w:b w:val="1"/>
          <w:bCs w:val="1"/>
          <w:color w:val="auto"/>
        </w:rPr>
        <w:t>Exhibit 23.1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We consent to the use in this Registration Statement No. 333-257820 on Form S-1 of our report dated May 7, 2021 (July 26, 2021, as to the effects of the reverse stock split described in Note 13), relating to the financial statements of Tenaya Therapeutics, Inc. We also consent to the reference to us under the heading “Experts” in such Registration Statement.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26, 2021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07ACC3"/>
    <w:multiLevelType w:val="hybridMultilevel"/>
    <w:lvl w:ilvl="0">
      <w:lvlJc w:val="left"/>
      <w:lvlText w:val="(%1)"/>
      <w:numFmt w:val="decimal"/>
      <w:start w:val="1"/>
    </w:lvl>
  </w:abstractNum>
  <w:abstractNum w:abstractNumId="1">
    <w:nsid w:val="6B47F63E"/>
    <w:multiLevelType w:val="hybridMultilevel"/>
    <w:lvl w:ilvl="0">
      <w:lvlJc w:val="left"/>
      <w:lvlText w:val="(%1)"/>
      <w:numFmt w:val="decimal"/>
      <w:start w:val="1"/>
    </w:lvl>
  </w:abstractNum>
  <w:abstractNum w:abstractNumId="2">
    <w:nsid w:val="5CB44A05"/>
    <w:multiLevelType w:val="hybridMultilevel"/>
    <w:lvl w:ilvl="0">
      <w:lvlJc w:val="left"/>
      <w:lvlText w:val="%1."/>
      <w:numFmt w:val="decimal"/>
      <w:start w:val="1"/>
    </w:lvl>
  </w:abstractNum>
  <w:abstractNum w:abstractNumId="3">
    <w:nsid w:val="16CF80F1"/>
    <w:multiLevelType w:val="hybridMultilevel"/>
    <w:lvl w:ilvl="0">
      <w:lvlJc w:val="left"/>
      <w:lvlText w:val="%1."/>
      <w:numFmt w:val="decimal"/>
      <w:start w:val="1"/>
    </w:lvl>
  </w:abstractNum>
  <w:abstractNum w:abstractNumId="4">
    <w:nsid w:val="1C695DEC"/>
    <w:multiLevelType w:val="hybridMultilevel"/>
    <w:lvl w:ilvl="0">
      <w:lvlJc w:val="left"/>
      <w:lvlText w:val="%1."/>
      <w:numFmt w:val="decimal"/>
      <w:start w:val="4"/>
    </w:lvl>
  </w:abstractNum>
  <w:abstractNum w:abstractNumId="5">
    <w:nsid w:val="3FCFAED9"/>
    <w:multiLevelType w:val="hybridMultilevel"/>
    <w:lvl w:ilvl="0">
      <w:lvlJc w:val="left"/>
      <w:lvlText w:val="*"/>
      <w:numFmt w:val="bullet"/>
      <w:start w:val="1"/>
    </w:lvl>
    <w:lvl w:ilvl="1">
      <w:lvlJc w:val="left"/>
      <w:lvlText w:val="•"/>
      <w:numFmt w:val="bullet"/>
      <w:start w:val="1"/>
    </w:lvl>
  </w:abstractNum>
  <w:abstractNum w:abstractNumId="6">
    <w:nsid w:val="F856867"/>
    <w:multiLevelType w:val="hybridMultilevel"/>
    <w:lvl w:ilvl="0">
      <w:lvlJc w:val="left"/>
      <w:lvlText w:val="•"/>
      <w:numFmt w:val="bullet"/>
      <w:start w:val="1"/>
    </w:lvl>
  </w:abstractNum>
  <w:abstractNum w:abstractNumId="7">
    <w:nsid w:val="11B1CC33"/>
    <w:multiLevelType w:val="hybridMultilevel"/>
    <w:lvl w:ilvl="0">
      <w:lvlJc w:val="left"/>
      <w:lvlText w:val="•"/>
      <w:numFmt w:val="bullet"/>
      <w:start w:val="1"/>
    </w:lvl>
  </w:abstractNum>
  <w:abstractNum w:abstractNumId="8">
    <w:nsid w:val="2E22FBB7"/>
    <w:multiLevelType w:val="hybridMultilevel"/>
    <w:lvl w:ilvl="0">
      <w:lvlJc w:val="left"/>
      <w:lvlText w:val="•"/>
      <w:numFmt w:val="bullet"/>
      <w:start w:val="1"/>
    </w:lvl>
  </w:abstractNum>
  <w:abstractNum w:abstractNumId="9">
    <w:nsid w:val="29934699"/>
    <w:multiLevelType w:val="hybridMultilevel"/>
    <w:lvl w:ilvl="0">
      <w:lvlJc w:val="left"/>
      <w:lvlText w:val="•"/>
      <w:numFmt w:val="bullet"/>
      <w:start w:val="1"/>
    </w:lvl>
  </w:abstractNum>
  <w:abstractNum w:abstractNumId="10">
    <w:nsid w:val="77485850"/>
    <w:multiLevelType w:val="hybridMultilevel"/>
    <w:lvl w:ilvl="0">
      <w:lvlJc w:val="left"/>
      <w:lvlText w:val="•"/>
      <w:numFmt w:val="bullet"/>
      <w:start w:val="1"/>
    </w:lvl>
  </w:abstractNum>
  <w:abstractNum w:abstractNumId="11">
    <w:nsid w:val="744939A3"/>
    <w:multiLevelType w:val="hybridMultilevel"/>
    <w:lvl w:ilvl="0">
      <w:lvlJc w:val="left"/>
      <w:lvlText w:val="•"/>
      <w:numFmt w:val="bullet"/>
      <w:start w:val="1"/>
    </w:lvl>
  </w:abstractNum>
  <w:abstractNum w:abstractNumId="12">
    <w:nsid w:val="4FA0D2E3"/>
    <w:multiLevelType w:val="hybridMultilevel"/>
    <w:lvl w:ilvl="0">
      <w:lvlJc w:val="left"/>
      <w:lvlText w:val="•"/>
      <w:numFmt w:val="bullet"/>
      <w:start w:val="1"/>
    </w:lvl>
  </w:abstractNum>
  <w:abstractNum w:abstractNumId="13">
    <w:nsid w:val="6B1D2C14"/>
    <w:multiLevelType w:val="hybridMultilevel"/>
    <w:lvl w:ilvl="0">
      <w:lvlJc w:val="left"/>
      <w:lvlText w:val="•"/>
      <w:numFmt w:val="bullet"/>
      <w:start w:val="1"/>
    </w:lvl>
  </w:abstractNum>
  <w:abstractNum w:abstractNumId="14">
    <w:nsid w:val="68B867D3"/>
    <w:multiLevelType w:val="hybridMultilevel"/>
    <w:lvl w:ilvl="0">
      <w:lvlJc w:val="left"/>
      <w:lvlText w:val="•"/>
      <w:numFmt w:val="bullet"/>
      <w:start w:val="1"/>
    </w:lvl>
  </w:abstractNum>
  <w:abstractNum w:abstractNumId="15">
    <w:nsid w:val="3F7F5DD9"/>
    <w:multiLevelType w:val="hybridMultilevel"/>
    <w:lvl w:ilvl="0">
      <w:lvlJc w:val="left"/>
      <w:lvlText w:val="•"/>
      <w:numFmt w:val="bullet"/>
      <w:start w:val="1"/>
    </w:lvl>
  </w:abstractNum>
  <w:abstractNum w:abstractNumId="16">
    <w:nsid w:val="2AE05A34"/>
    <w:multiLevelType w:val="hybridMultilevel"/>
    <w:lvl w:ilvl="0">
      <w:lvlJc w:val="left"/>
      <w:lvlText w:val="(%1)"/>
      <w:numFmt w:val="decimal"/>
      <w:start w:val="1"/>
    </w:lvl>
  </w:abstractNum>
  <w:abstractNum w:abstractNumId="17">
    <w:nsid w:val="32794FF7"/>
    <w:multiLevelType w:val="hybridMultilevel"/>
    <w:lvl w:ilvl="0">
      <w:lvlJc w:val="left"/>
      <w:lvlText w:val="(%1)"/>
      <w:numFmt w:val="decimal"/>
      <w:start w:val="1"/>
    </w:lvl>
  </w:abstractNum>
  <w:abstractNum w:abstractNumId="18">
    <w:nsid w:val="5454945E"/>
    <w:multiLevelType w:val="hybridMultilevel"/>
    <w:lvl w:ilvl="0">
      <w:lvlJc w:val="left"/>
      <w:lvlText w:val="•"/>
      <w:numFmt w:val="bullet"/>
      <w:start w:val="1"/>
    </w:lvl>
  </w:abstractNum>
  <w:abstractNum w:abstractNumId="19">
    <w:nsid w:val="4DEFDFA0"/>
    <w:multiLevelType w:val="hybridMultilevel"/>
    <w:lvl w:ilvl="0">
      <w:lvlJc w:val="left"/>
      <w:lvlText w:val="•"/>
      <w:numFmt w:val="bullet"/>
      <w:start w:val="1"/>
    </w:lvl>
  </w:abstractNum>
  <w:abstractNum w:abstractNumId="20">
    <w:nsid w:val="2123D5F2"/>
    <w:multiLevelType w:val="hybridMultilevel"/>
    <w:lvl w:ilvl="0">
      <w:lvlJc w:val="left"/>
      <w:lvlText w:val="•"/>
      <w:numFmt w:val="bullet"/>
      <w:start w:val="1"/>
    </w:lvl>
  </w:abstractNum>
  <w:abstractNum w:abstractNumId="21">
    <w:nsid w:val="135B8110"/>
    <w:multiLevelType w:val="hybridMultilevel"/>
    <w:lvl w:ilvl="0">
      <w:lvlJc w:val="left"/>
      <w:lvlText w:val="•"/>
      <w:numFmt w:val="bullet"/>
      <w:start w:val="1"/>
    </w:lvl>
  </w:abstractNum>
  <w:abstractNum w:abstractNumId="22">
    <w:nsid w:val="94927A8"/>
    <w:multiLevelType w:val="hybridMultilevel"/>
    <w:lvl w:ilvl="0">
      <w:lvlJc w:val="left"/>
      <w:lvlText w:val="•"/>
      <w:numFmt w:val="bullet"/>
      <w:start w:val="1"/>
    </w:lvl>
  </w:abstractNum>
  <w:abstractNum w:abstractNumId="23">
    <w:nsid w:val="DCDF8F6"/>
    <w:multiLevelType w:val="hybridMultilevel"/>
    <w:lvl w:ilvl="0">
      <w:lvlJc w:val="left"/>
      <w:lvlText w:val="•"/>
      <w:numFmt w:val="bullet"/>
      <w:start w:val="1"/>
    </w:lvl>
  </w:abstractNum>
  <w:abstractNum w:abstractNumId="24">
    <w:nsid w:val="52D7B105"/>
    <w:multiLevelType w:val="hybridMultilevel"/>
    <w:lvl w:ilvl="0">
      <w:lvlJc w:val="left"/>
      <w:lvlText w:val="•"/>
      <w:numFmt w:val="bullet"/>
      <w:start w:val="1"/>
    </w:lvl>
  </w:abstractNum>
  <w:abstractNum w:abstractNumId="25">
    <w:nsid w:val="2E8A6394"/>
    <w:multiLevelType w:val="hybridMultilevel"/>
    <w:lvl w:ilvl="0">
      <w:lvlJc w:val="left"/>
      <w:lvlText w:val="•"/>
      <w:numFmt w:val="bullet"/>
      <w:start w:val="1"/>
    </w:lvl>
  </w:abstractNum>
  <w:abstractNum w:abstractNumId="26">
    <w:nsid w:val="24E60401"/>
    <w:multiLevelType w:val="hybridMultilevel"/>
    <w:lvl w:ilvl="0">
      <w:lvlJc w:val="left"/>
      <w:lvlText w:val="•"/>
      <w:numFmt w:val="bullet"/>
      <w:start w:val="1"/>
    </w:lvl>
  </w:abstractNum>
  <w:abstractNum w:abstractNumId="27">
    <w:nsid w:val="2A6AD9BE"/>
    <w:multiLevelType w:val="hybridMultilevel"/>
    <w:lvl w:ilvl="0">
      <w:lvlJc w:val="left"/>
      <w:lvlText w:val="•"/>
      <w:numFmt w:val="bullet"/>
      <w:start w:val="1"/>
    </w:lvl>
  </w:abstractNum>
  <w:abstractNum w:abstractNumId="28">
    <w:nsid w:val="BAAC1B4"/>
    <w:multiLevelType w:val="hybridMultilevel"/>
    <w:lvl w:ilvl="0">
      <w:lvlJc w:val="left"/>
      <w:lvlText w:val="•"/>
      <w:numFmt w:val="bullet"/>
      <w:start w:val="1"/>
    </w:lvl>
  </w:abstractNum>
  <w:abstractNum w:abstractNumId="29">
    <w:nsid w:val="36B2ACBC"/>
    <w:multiLevelType w:val="hybridMultilevel"/>
    <w:lvl w:ilvl="0">
      <w:lvlJc w:val="left"/>
      <w:lvlText w:val="•"/>
      <w:numFmt w:val="bullet"/>
      <w:start w:val="1"/>
    </w:lvl>
  </w:abstractNum>
  <w:abstractNum w:abstractNumId="30">
    <w:nsid w:val="779D8544"/>
    <w:multiLevelType w:val="hybridMultilevel"/>
    <w:lvl w:ilvl="0">
      <w:lvlJc w:val="left"/>
      <w:lvlText w:val="•"/>
      <w:numFmt w:val="bullet"/>
      <w:start w:val="1"/>
    </w:lvl>
  </w:abstractNum>
  <w:abstractNum w:abstractNumId="31">
    <w:nsid w:val="4AB26E78"/>
    <w:multiLevelType w:val="hybridMultilevel"/>
    <w:lvl w:ilvl="0">
      <w:lvlJc w:val="left"/>
      <w:lvlText w:val="•"/>
      <w:numFmt w:val="bullet"/>
      <w:start w:val="1"/>
    </w:lvl>
  </w:abstractNum>
  <w:abstractNum w:abstractNumId="32">
    <w:nsid w:val="21FAA2FA"/>
    <w:multiLevelType w:val="hybridMultilevel"/>
    <w:lvl w:ilvl="0">
      <w:lvlJc w:val="left"/>
      <w:lvlText w:val="•"/>
      <w:numFmt w:val="bullet"/>
      <w:start w:val="1"/>
    </w:lvl>
  </w:abstractNum>
  <w:abstractNum w:abstractNumId="33">
    <w:nsid w:val="5451CF49"/>
    <w:multiLevelType w:val="hybridMultilevel"/>
    <w:lvl w:ilvl="0">
      <w:lvlJc w:val="left"/>
      <w:lvlText w:val="•"/>
      <w:numFmt w:val="bullet"/>
      <w:start w:val="1"/>
    </w:lvl>
  </w:abstractNum>
  <w:abstractNum w:abstractNumId="34">
    <w:nsid w:val="6181EF69"/>
    <w:multiLevelType w:val="hybridMultilevel"/>
    <w:lvl w:ilvl="0">
      <w:lvlJc w:val="left"/>
      <w:lvlText w:val="•"/>
      <w:numFmt w:val="bullet"/>
      <w:start w:val="1"/>
    </w:lvl>
  </w:abstractNum>
  <w:abstractNum w:abstractNumId="35">
    <w:nsid w:val="3E6400E6"/>
    <w:multiLevelType w:val="hybridMultilevel"/>
    <w:lvl w:ilvl="0">
      <w:lvlJc w:val="left"/>
      <w:lvlText w:val="•"/>
      <w:numFmt w:val="bullet"/>
      <w:start w:val="1"/>
    </w:lvl>
  </w:abstractNum>
  <w:abstractNum w:abstractNumId="36">
    <w:nsid w:val="14217E23"/>
    <w:multiLevelType w:val="hybridMultilevel"/>
    <w:lvl w:ilvl="0">
      <w:lvlJc w:val="left"/>
      <w:lvlText w:val="•"/>
      <w:numFmt w:val="bullet"/>
      <w:start w:val="1"/>
    </w:lvl>
  </w:abstractNum>
  <w:abstractNum w:abstractNumId="37">
    <w:nsid w:val="710757D0"/>
    <w:multiLevelType w:val="hybridMultilevel"/>
    <w:lvl w:ilvl="0">
      <w:lvlJc w:val="left"/>
      <w:lvlText w:val="•"/>
      <w:numFmt w:val="bullet"/>
      <w:start w:val="1"/>
    </w:lvl>
  </w:abstractNum>
  <w:abstractNum w:abstractNumId="38">
    <w:nsid w:val="5015CD1A"/>
    <w:multiLevelType w:val="hybridMultilevel"/>
    <w:lvl w:ilvl="0">
      <w:lvlJc w:val="left"/>
      <w:lvlText w:val="•"/>
      <w:numFmt w:val="bullet"/>
      <w:start w:val="1"/>
    </w:lvl>
  </w:abstractNum>
  <w:abstractNum w:abstractNumId="39">
    <w:nsid w:val="424479DA"/>
    <w:multiLevelType w:val="hybridMultilevel"/>
    <w:lvl w:ilvl="0">
      <w:lvlJc w:val="left"/>
      <w:lvlText w:val="•"/>
      <w:numFmt w:val="bullet"/>
      <w:start w:val="1"/>
    </w:lvl>
  </w:abstractNum>
  <w:abstractNum w:abstractNumId="40">
    <w:nsid w:val="1A9A9E69"/>
    <w:multiLevelType w:val="hybridMultilevel"/>
    <w:lvl w:ilvl="0">
      <w:lvlJc w:val="left"/>
      <w:lvlText w:val="•"/>
      <w:numFmt w:val="bullet"/>
      <w:start w:val="1"/>
    </w:lvl>
  </w:abstractNum>
  <w:abstractNum w:abstractNumId="41">
    <w:nsid w:val="475E256A"/>
    <w:multiLevelType w:val="hybridMultilevel"/>
    <w:lvl w:ilvl="0">
      <w:lvlJc w:val="left"/>
      <w:lvlText w:val="•"/>
      <w:numFmt w:val="bullet"/>
      <w:start w:val="1"/>
    </w:lvl>
  </w:abstractNum>
  <w:abstractNum w:abstractNumId="42">
    <w:nsid w:val="368DB37E"/>
    <w:multiLevelType w:val="hybridMultilevel"/>
    <w:lvl w:ilvl="0">
      <w:lvlJc w:val="left"/>
      <w:lvlText w:val="•"/>
      <w:numFmt w:val="bullet"/>
      <w:start w:val="1"/>
    </w:lvl>
  </w:abstractNum>
  <w:abstractNum w:abstractNumId="43">
    <w:nsid w:val="6A3B714C"/>
    <w:multiLevelType w:val="hybridMultilevel"/>
    <w:lvl w:ilvl="0">
      <w:lvlJc w:val="left"/>
      <w:lvlText w:val="•"/>
      <w:numFmt w:val="bullet"/>
      <w:start w:val="1"/>
    </w:lvl>
  </w:abstractNum>
  <w:abstractNum w:abstractNumId="44">
    <w:nsid w:val="327B517E"/>
    <w:multiLevelType w:val="hybridMultilevel"/>
    <w:lvl w:ilvl="0">
      <w:lvlJc w:val="left"/>
      <w:lvlText w:val="•"/>
      <w:numFmt w:val="bullet"/>
      <w:start w:val="1"/>
    </w:lvl>
  </w:abstractNum>
  <w:abstractNum w:abstractNumId="45">
    <w:nsid w:val="1F461B51"/>
    <w:multiLevelType w:val="hybridMultilevel"/>
    <w:lvl w:ilvl="0">
      <w:lvlJc w:val="left"/>
      <w:lvlText w:val="•"/>
      <w:numFmt w:val="bullet"/>
      <w:start w:val="1"/>
    </w:lvl>
  </w:abstractNum>
  <w:abstractNum w:abstractNumId="46">
    <w:nsid w:val="29BACF25"/>
    <w:multiLevelType w:val="hybridMultilevel"/>
    <w:lvl w:ilvl="0">
      <w:lvlJc w:val="left"/>
      <w:lvlText w:val="•"/>
      <w:numFmt w:val="bullet"/>
      <w:start w:val="1"/>
    </w:lvl>
  </w:abstractNum>
  <w:abstractNum w:abstractNumId="47">
    <w:nsid w:val="5D5BABB3"/>
    <w:multiLevelType w:val="hybridMultilevel"/>
    <w:lvl w:ilvl="0">
      <w:lvlJc w:val="left"/>
      <w:lvlText w:val="•"/>
      <w:numFmt w:val="bullet"/>
      <w:start w:val="1"/>
    </w:lvl>
  </w:abstractNum>
  <w:abstractNum w:abstractNumId="48">
    <w:nsid w:val="51BF6B48"/>
    <w:multiLevelType w:val="hybridMultilevel"/>
    <w:lvl w:ilvl="0">
      <w:lvlJc w:val="left"/>
      <w:lvlText w:val="•"/>
      <w:numFmt w:val="bullet"/>
      <w:start w:val="1"/>
    </w:lvl>
  </w:abstractNum>
  <w:abstractNum w:abstractNumId="49">
    <w:nsid w:val="7E0F6384"/>
    <w:multiLevelType w:val="hybridMultilevel"/>
    <w:lvl w:ilvl="0">
      <w:lvlJc w:val="left"/>
      <w:lvlText w:val="•"/>
      <w:numFmt w:val="bullet"/>
      <w:start w:val="1"/>
    </w:lvl>
  </w:abstractNum>
  <w:abstractNum w:abstractNumId="50">
    <w:nsid w:val="2B4B8B53"/>
    <w:multiLevelType w:val="hybridMultilevel"/>
    <w:lvl w:ilvl="0">
      <w:lvlJc w:val="left"/>
      <w:lvlText w:val="•"/>
      <w:numFmt w:val="bullet"/>
      <w:start w:val="1"/>
    </w:lvl>
  </w:abstractNum>
  <w:abstractNum w:abstractNumId="51">
    <w:nsid w:val="72E3413A"/>
    <w:multiLevelType w:val="hybridMultilevel"/>
    <w:lvl w:ilvl="0">
      <w:lvlJc w:val="left"/>
      <w:lvlText w:val="•"/>
      <w:numFmt w:val="bullet"/>
      <w:start w:val="1"/>
    </w:lvl>
  </w:abstractNum>
  <w:abstractNum w:abstractNumId="52">
    <w:nsid w:val="116AE494"/>
    <w:multiLevelType w:val="hybridMultilevel"/>
    <w:lvl w:ilvl="0">
      <w:lvlJc w:val="left"/>
      <w:lvlText w:val="•"/>
      <w:numFmt w:val="bullet"/>
      <w:start w:val="1"/>
    </w:lvl>
  </w:abstractNum>
  <w:abstractNum w:abstractNumId="53">
    <w:nsid w:val="3494B2FB"/>
    <w:multiLevelType w:val="hybridMultilevel"/>
    <w:lvl w:ilvl="0">
      <w:lvlJc w:val="left"/>
      <w:lvlText w:val="•"/>
      <w:numFmt w:val="bullet"/>
      <w:start w:val="1"/>
    </w:lvl>
  </w:abstractNum>
  <w:abstractNum w:abstractNumId="54">
    <w:nsid w:val="B13A31"/>
    <w:multiLevelType w:val="hybridMultilevel"/>
    <w:lvl w:ilvl="0">
      <w:lvlJc w:val="left"/>
      <w:lvlText w:val="•"/>
      <w:numFmt w:val="bullet"/>
      <w:start w:val="1"/>
    </w:lvl>
  </w:abstractNum>
  <w:abstractNum w:abstractNumId="55">
    <w:nsid w:val="64429599"/>
    <w:multiLevelType w:val="hybridMultilevel"/>
    <w:lvl w:ilvl="0">
      <w:lvlJc w:val="left"/>
      <w:lvlText w:val="•"/>
      <w:numFmt w:val="bullet"/>
      <w:start w:val="1"/>
    </w:lvl>
  </w:abstractNum>
  <w:abstractNum w:abstractNumId="56">
    <w:nsid w:val="631F1690"/>
    <w:multiLevelType w:val="hybridMultilevel"/>
    <w:lvl w:ilvl="0">
      <w:lvlJc w:val="left"/>
      <w:lvlText w:val="•"/>
      <w:numFmt w:val="bullet"/>
      <w:start w:val="1"/>
    </w:lvl>
  </w:abstractNum>
  <w:abstractNum w:abstractNumId="57">
    <w:nsid w:val="25973E32"/>
    <w:multiLevelType w:val="hybridMultilevel"/>
    <w:lvl w:ilvl="0">
      <w:lvlJc w:val="left"/>
      <w:lvlText w:val="•"/>
      <w:numFmt w:val="bullet"/>
      <w:start w:val="1"/>
    </w:lvl>
  </w:abstractNum>
  <w:abstractNum w:abstractNumId="58">
    <w:nsid w:val="EAD6F57"/>
    <w:multiLevelType w:val="hybridMultilevel"/>
    <w:lvl w:ilvl="0">
      <w:lvlJc w:val="left"/>
      <w:lvlText w:val="•"/>
      <w:numFmt w:val="bullet"/>
      <w:start w:val="1"/>
    </w:lvl>
  </w:abstractNum>
  <w:abstractNum w:abstractNumId="59">
    <w:nsid w:val="6EC9D844"/>
    <w:multiLevelType w:val="hybridMultilevel"/>
    <w:lvl w:ilvl="0">
      <w:lvlJc w:val="left"/>
      <w:lvlText w:val="•"/>
      <w:numFmt w:val="bullet"/>
      <w:start w:val="1"/>
    </w:lvl>
  </w:abstractNum>
  <w:abstractNum w:abstractNumId="60">
    <w:nsid w:val="5C49EAEE"/>
    <w:multiLevelType w:val="hybridMultilevel"/>
    <w:lvl w:ilvl="0">
      <w:lvlJc w:val="left"/>
      <w:lvlText w:val="•"/>
      <w:numFmt w:val="bullet"/>
      <w:start w:val="1"/>
    </w:lvl>
  </w:abstractNum>
  <w:abstractNum w:abstractNumId="61">
    <w:nsid w:val="64AF49B"/>
    <w:multiLevelType w:val="hybridMultilevel"/>
    <w:lvl w:ilvl="0">
      <w:lvlJc w:val="left"/>
      <w:lvlText w:val="•"/>
      <w:numFmt w:val="bullet"/>
      <w:start w:val="1"/>
    </w:lvl>
  </w:abstractNum>
  <w:abstractNum w:abstractNumId="62">
    <w:nsid w:val="397C46BC"/>
    <w:multiLevelType w:val="hybridMultilevel"/>
    <w:lvl w:ilvl="0">
      <w:lvlJc w:val="left"/>
      <w:lvlText w:val="•"/>
      <w:numFmt w:val="bullet"/>
      <w:start w:val="1"/>
    </w:lvl>
  </w:abstractNum>
  <w:abstractNum w:abstractNumId="63">
    <w:nsid w:val="7E448DE9"/>
    <w:multiLevelType w:val="hybridMultilevel"/>
    <w:lvl w:ilvl="0">
      <w:lvlJc w:val="left"/>
      <w:lvlText w:val="•"/>
      <w:numFmt w:val="bullet"/>
      <w:start w:val="1"/>
    </w:lvl>
  </w:abstractNum>
  <w:abstractNum w:abstractNumId="64">
    <w:nsid w:val="5A9CC3E5"/>
    <w:multiLevelType w:val="hybridMultilevel"/>
    <w:lvl w:ilvl="0">
      <w:lvlJc w:val="left"/>
      <w:lvlText w:val="•"/>
      <w:numFmt w:val="bullet"/>
      <w:start w:val="1"/>
    </w:lvl>
  </w:abstractNum>
  <w:abstractNum w:abstractNumId="65">
    <w:nsid w:val="1AFE3625"/>
    <w:multiLevelType w:val="hybridMultilevel"/>
    <w:lvl w:ilvl="0">
      <w:lvlJc w:val="left"/>
      <w:lvlText w:val="•"/>
      <w:numFmt w:val="bullet"/>
      <w:start w:val="1"/>
    </w:lvl>
  </w:abstractNum>
  <w:abstractNum w:abstractNumId="66">
    <w:nsid w:val="3CA88ECF"/>
    <w:multiLevelType w:val="hybridMultilevel"/>
    <w:lvl w:ilvl="0">
      <w:lvlJc w:val="left"/>
      <w:lvlText w:val="(%1)"/>
      <w:numFmt w:val="decimal"/>
      <w:start w:val="1"/>
    </w:lvl>
  </w:abstractNum>
  <w:abstractNum w:abstractNumId="67">
    <w:nsid w:val="6EBE4208"/>
    <w:multiLevelType w:val="hybridMultilevel"/>
    <w:lvl w:ilvl="0">
      <w:lvlJc w:val="left"/>
      <w:lvlText w:val="•"/>
      <w:numFmt w:val="bullet"/>
      <w:start w:val="1"/>
    </w:lvl>
  </w:abstractNum>
  <w:abstractNum w:abstractNumId="68">
    <w:nsid w:val="C058DF5"/>
    <w:multiLevelType w:val="hybridMultilevel"/>
    <w:lvl w:ilvl="0">
      <w:lvlJc w:val="left"/>
      <w:lvlText w:val="•"/>
      <w:numFmt w:val="bullet"/>
      <w:start w:val="1"/>
    </w:lvl>
  </w:abstractNum>
  <w:abstractNum w:abstractNumId="69">
    <w:nsid w:val="CBE5BE9"/>
    <w:multiLevelType w:val="hybridMultilevel"/>
    <w:lvl w:ilvl="0">
      <w:lvlJc w:val="left"/>
      <w:lvlText w:val="(%1)"/>
      <w:numFmt w:val="decimal"/>
      <w:start w:val="1"/>
    </w:lvl>
  </w:abstractNum>
  <w:abstractNum w:abstractNumId="70">
    <w:nsid w:val="3102BBE2"/>
    <w:multiLevelType w:val="hybridMultilevel"/>
    <w:lvl w:ilvl="0">
      <w:lvlJc w:val="left"/>
      <w:lvlText w:val="(%1)"/>
      <w:numFmt w:val="decimal"/>
      <w:start w:val="1"/>
    </w:lvl>
  </w:abstractNum>
  <w:abstractNum w:abstractNumId="71">
    <w:nsid w:val="26A02C5E"/>
    <w:multiLevelType w:val="hybridMultilevel"/>
    <w:lvl w:ilvl="0">
      <w:lvlJc w:val="left"/>
      <w:lvlText w:val="•"/>
      <w:numFmt w:val="bullet"/>
      <w:start w:val="1"/>
    </w:lvl>
  </w:abstractNum>
  <w:abstractNum w:abstractNumId="72">
    <w:nsid w:val="541C8153"/>
    <w:multiLevelType w:val="hybridMultilevel"/>
    <w:lvl w:ilvl="0">
      <w:lvlJc w:val="left"/>
      <w:lvlText w:val="•"/>
      <w:numFmt w:val="bullet"/>
      <w:start w:val="1"/>
    </w:lvl>
  </w:abstractNum>
  <w:abstractNum w:abstractNumId="73">
    <w:nsid w:val="67906F60"/>
    <w:multiLevelType w:val="hybridMultilevel"/>
    <w:lvl w:ilvl="0">
      <w:lvlJc w:val="left"/>
      <w:lvlText w:val="•"/>
      <w:numFmt w:val="bullet"/>
      <w:start w:val="1"/>
    </w:lvl>
  </w:abstractNum>
  <w:abstractNum w:abstractNumId="74">
    <w:nsid w:val="10DB9DAA"/>
    <w:multiLevelType w:val="hybridMultilevel"/>
    <w:lvl w:ilvl="0">
      <w:lvlJc w:val="left"/>
      <w:lvlText w:val="•"/>
      <w:numFmt w:val="bullet"/>
      <w:start w:val="1"/>
    </w:lvl>
  </w:abstractNum>
  <w:abstractNum w:abstractNumId="75">
    <w:nsid w:val="697D2D2"/>
    <w:multiLevelType w:val="hybridMultilevel"/>
    <w:lvl w:ilvl="0">
      <w:lvlJc w:val="left"/>
      <w:lvlText w:val="•"/>
      <w:numFmt w:val="bullet"/>
      <w:start w:val="1"/>
    </w:lvl>
  </w:abstractNum>
  <w:abstractNum w:abstractNumId="76">
    <w:nsid w:val="6D68AB2"/>
    <w:multiLevelType w:val="hybridMultilevel"/>
    <w:lvl w:ilvl="0">
      <w:lvlJc w:val="left"/>
      <w:lvlText w:val="%1."/>
      <w:numFmt w:val="decimal"/>
      <w:start w:val="1"/>
    </w:lvl>
  </w:abstractNum>
  <w:abstractNum w:abstractNumId="77">
    <w:nsid w:val="3A966CD0"/>
    <w:multiLevelType w:val="hybridMultilevel"/>
    <w:lvl w:ilvl="0">
      <w:lvlJc w:val="left"/>
      <w:lvlText w:val="%1."/>
      <w:numFmt w:val="decimal"/>
      <w:start w:val="1"/>
    </w:lvl>
  </w:abstractNum>
  <w:abstractNum w:abstractNumId="78">
    <w:nsid w:val="63F37E85"/>
    <w:multiLevelType w:val="hybridMultilevel"/>
    <w:lvl w:ilvl="0">
      <w:lvlJc w:val="left"/>
      <w:lvlText w:val="%1."/>
      <w:numFmt w:val="decimal"/>
      <w:start w:val="3"/>
    </w:lvl>
  </w:abstractNum>
  <w:abstractNum w:abstractNumId="79">
    <w:nsid w:val="5895F5FA"/>
    <w:multiLevelType w:val="hybridMultilevel"/>
    <w:lvl w:ilvl="0">
      <w:lvlJc w:val="left"/>
      <w:lvlText w:val="*"/>
      <w:numFmt w:val="bullet"/>
      <w:start w:val="1"/>
    </w:lvl>
    <w:lvl w:ilvl="1">
      <w:lvlJc w:val="left"/>
      <w:lvlText w:val="•"/>
      <w:numFmt w:val="bullet"/>
      <w:start w:val="1"/>
    </w:lvl>
  </w:abstractNum>
  <w:abstractNum w:abstractNumId="80">
    <w:nsid w:val="38A5D054"/>
    <w:multiLevelType w:val="hybridMultilevel"/>
    <w:lvl w:ilvl="0">
      <w:lvlJc w:val="left"/>
      <w:lvlText w:val="•"/>
      <w:numFmt w:val="bullet"/>
      <w:start w:val="1"/>
    </w:lvl>
  </w:abstractNum>
  <w:abstractNum w:abstractNumId="81">
    <w:nsid w:val="F3F09D8"/>
    <w:multiLevelType w:val="hybridMultilevel"/>
    <w:lvl w:ilvl="0">
      <w:lvlJc w:val="left"/>
      <w:lvlText w:val="•"/>
      <w:numFmt w:val="bullet"/>
      <w:start w:val="1"/>
    </w:lvl>
  </w:abstractNum>
  <w:abstractNum w:abstractNumId="82">
    <w:nsid w:val="4B793735"/>
    <w:multiLevelType w:val="hybridMultilevel"/>
    <w:lvl w:ilvl="0">
      <w:lvlJc w:val="left"/>
      <w:lvlText w:val="•"/>
      <w:numFmt w:val="bullet"/>
      <w:start w:val="1"/>
    </w:lvl>
  </w:abstractNum>
  <w:abstractNum w:abstractNumId="83">
    <w:nsid w:val="4A10B4E8"/>
    <w:multiLevelType w:val="hybridMultilevel"/>
    <w:lvl w:ilvl="0">
      <w:lvlJc w:val="left"/>
      <w:lvlText w:val="•"/>
      <w:numFmt w:val="bullet"/>
      <w:start w:val="1"/>
    </w:lvl>
  </w:abstractNum>
  <w:abstractNum w:abstractNumId="84">
    <w:nsid w:val="43D3BCD4"/>
    <w:multiLevelType w:val="hybridMultilevel"/>
    <w:lvl w:ilvl="0">
      <w:lvlJc w:val="left"/>
      <w:lvlText w:val="•"/>
      <w:numFmt w:val="bullet"/>
      <w:start w:val="1"/>
    </w:lvl>
  </w:abstractNum>
  <w:abstractNum w:abstractNumId="85">
    <w:nsid w:val="4C2A7166"/>
    <w:multiLevelType w:val="hybridMultilevel"/>
    <w:lvl w:ilvl="0">
      <w:lvlJc w:val="left"/>
      <w:lvlText w:val="(%1)"/>
      <w:numFmt w:val="decimal"/>
      <w:start w:val="1"/>
    </w:lvl>
  </w:abstractNum>
  <w:abstractNum w:abstractNumId="86">
    <w:nsid w:val="2E534A82"/>
    <w:multiLevelType w:val="hybridMultilevel"/>
    <w:lvl w:ilvl="0">
      <w:lvlJc w:val="left"/>
      <w:lvlText w:val="•"/>
      <w:numFmt w:val="bullet"/>
      <w:start w:val="1"/>
    </w:lvl>
  </w:abstractNum>
  <w:abstractNum w:abstractNumId="87">
    <w:nsid w:val="26F2D364"/>
    <w:multiLevelType w:val="hybridMultilevel"/>
    <w:lvl w:ilvl="0">
      <w:lvlJc w:val="left"/>
      <w:lvlText w:val="•"/>
      <w:numFmt w:val="bullet"/>
      <w:start w:val="1"/>
    </w:lvl>
  </w:abstractNum>
  <w:abstractNum w:abstractNumId="88">
    <w:nsid w:val="71C1AF98"/>
    <w:multiLevelType w:val="hybridMultilevel"/>
    <w:lvl w:ilvl="0">
      <w:lvlJc w:val="left"/>
      <w:lvlText w:val="•"/>
      <w:numFmt w:val="bullet"/>
      <w:start w:val="1"/>
    </w:lvl>
  </w:abstractNum>
  <w:abstractNum w:abstractNumId="89">
    <w:nsid w:val="3D00B9D9"/>
    <w:multiLevelType w:val="hybridMultilevel"/>
    <w:lvl w:ilvl="0">
      <w:lvlJc w:val="left"/>
      <w:lvlText w:val="%1."/>
      <w:numFmt w:val="decimal"/>
      <w:start w:val="1"/>
    </w:lvl>
    <w:lvl w:ilvl="1">
      <w:lvlJc w:val="left"/>
      <w:lvlText w:val="•"/>
      <w:numFmt w:val="bullet"/>
      <w:start w:val="1"/>
    </w:lvl>
  </w:abstractNum>
  <w:abstractNum w:abstractNumId="90">
    <w:nsid w:val="15BCABA8"/>
    <w:multiLevelType w:val="hybridMultilevel"/>
    <w:lvl w:ilvl="0">
      <w:lvlJc w:val="left"/>
      <w:lvlText w:val="•"/>
      <w:numFmt w:val="bullet"/>
      <w:start w:val="1"/>
    </w:lvl>
  </w:abstractNum>
  <w:abstractNum w:abstractNumId="91">
    <w:nsid w:val="4E0B9A87"/>
    <w:multiLevelType w:val="hybridMultilevel"/>
    <w:lvl w:ilvl="0">
      <w:lvlJc w:val="left"/>
      <w:lvlText w:val="•"/>
      <w:numFmt w:val="bullet"/>
      <w:start w:val="1"/>
    </w:lvl>
  </w:abstractNum>
  <w:abstractNum w:abstractNumId="92">
    <w:nsid w:val="434BAE75"/>
    <w:multiLevelType w:val="hybridMultilevel"/>
    <w:lvl w:ilvl="0">
      <w:lvlJc w:val="left"/>
      <w:lvlText w:val="•"/>
      <w:numFmt w:val="bullet"/>
      <w:start w:val="1"/>
    </w:lvl>
  </w:abstractNum>
  <w:abstractNum w:abstractNumId="93">
    <w:nsid w:val="4F38F265"/>
    <w:multiLevelType w:val="hybridMultilevel"/>
    <w:lvl w:ilvl="0">
      <w:lvlJc w:val="left"/>
      <w:lvlText w:val="•"/>
      <w:numFmt w:val="bullet"/>
      <w:start w:val="1"/>
    </w:lvl>
  </w:abstractNum>
  <w:abstractNum w:abstractNumId="94">
    <w:nsid w:val="4C502870"/>
    <w:multiLevelType w:val="hybridMultilevel"/>
    <w:lvl w:ilvl="0">
      <w:lvlJc w:val="left"/>
      <w:lvlText w:val="•"/>
      <w:numFmt w:val="bullet"/>
      <w:start w:val="1"/>
    </w:lvl>
  </w:abstractNum>
  <w:abstractNum w:abstractNumId="95">
    <w:nsid w:val="1DE8725A"/>
    <w:multiLevelType w:val="hybridMultilevel"/>
    <w:lvl w:ilvl="0">
      <w:lvlJc w:val="left"/>
      <w:lvlText w:val="•"/>
      <w:numFmt w:val="bullet"/>
      <w:start w:val="1"/>
    </w:lvl>
  </w:abstractNum>
  <w:abstractNum w:abstractNumId="96">
    <w:nsid w:val="6A37288A"/>
    <w:multiLevelType w:val="hybridMultilevel"/>
    <w:lvl w:ilvl="0">
      <w:lvlJc w:val="left"/>
      <w:lvlText w:val="•"/>
      <w:numFmt w:val="bullet"/>
      <w:start w:val="1"/>
    </w:lvl>
  </w:abstractNum>
  <w:abstractNum w:abstractNumId="97">
    <w:nsid w:val="8F8B73F"/>
    <w:multiLevelType w:val="hybridMultilevel"/>
    <w:lvl w:ilvl="0">
      <w:lvlJc w:val="left"/>
      <w:lvlText w:val="(%1)"/>
      <w:numFmt w:val="decimal"/>
    </w:lvl>
    <w:lvl w:ilvl="1">
      <w:lvlJc w:val="left"/>
      <w:lvlText w:val="•"/>
      <w:numFmt w:val="bullet"/>
      <w:start w:val="1"/>
    </w:lvl>
  </w:abstractNum>
  <w:abstractNum w:abstractNumId="98">
    <w:nsid w:val="CA6B462"/>
    <w:multiLevelType w:val="hybridMultilevel"/>
    <w:lvl w:ilvl="0">
      <w:lvlJc w:val="left"/>
      <w:lvlText w:val="•"/>
      <w:numFmt w:val="bullet"/>
      <w:start w:val="1"/>
    </w:lvl>
  </w:abstractNum>
  <w:abstractNum w:abstractNumId="99">
    <w:nsid w:val="763CB680"/>
    <w:multiLevelType w:val="hybridMultilevel"/>
    <w:lvl w:ilvl="0">
      <w:lvlJc w:val="left"/>
      <w:lvlText w:val="•"/>
      <w:numFmt w:val="bullet"/>
      <w:start w:val="1"/>
    </w:lvl>
  </w:abstractNum>
  <w:abstractNum w:abstractNumId="100">
    <w:nsid w:val="15B71329"/>
    <w:multiLevelType w:val="hybridMultilevel"/>
    <w:lvl w:ilvl="0">
      <w:lvlJc w:val="left"/>
      <w:lvlText w:val="%1."/>
      <w:numFmt w:val="decimal"/>
      <w:start w:val="1"/>
    </w:lvl>
  </w:abstractNum>
  <w:abstractNum w:abstractNumId="101">
    <w:nsid w:val="3DA97044"/>
    <w:multiLevelType w:val="hybridMultilevel"/>
    <w:lvl w:ilvl="0">
      <w:lvlJc w:val="left"/>
      <w:lvlText w:val="%1."/>
      <w:numFmt w:val="decimal"/>
      <w:start w:val="4"/>
    </w:lvl>
  </w:abstractNum>
  <w:abstractNum w:abstractNumId="102">
    <w:nsid w:val="1CDCE2DE"/>
    <w:multiLevelType w:val="hybridMultilevel"/>
    <w:lvl w:ilvl="0">
      <w:lvlJc w:val="left"/>
      <w:lvlText w:val="(%1)"/>
      <w:numFmt w:val="decimal"/>
      <w:start w:val="2"/>
    </w:lvl>
  </w:abstractNum>
  <w:abstractNum w:abstractNumId="103">
    <w:nsid w:val="69D3947C"/>
    <w:multiLevelType w:val="hybridMultilevel"/>
    <w:lvl w:ilvl="0">
      <w:lvlJc w:val="left"/>
      <w:lvlText w:val="(%1)"/>
      <w:numFmt w:val="decimal"/>
      <w:start w:val="3"/>
    </w:lvl>
  </w:abstractNum>
  <w:abstractNum w:abstractNumId="104">
    <w:nsid w:val="2539DFA5"/>
    <w:multiLevelType w:val="hybridMultilevel"/>
    <w:lvl w:ilvl="0">
      <w:lvlJc w:val="left"/>
      <w:lvlText w:val="•"/>
      <w:numFmt w:val="bullet"/>
      <w:start w:val="1"/>
    </w:lvl>
  </w:abstractNum>
  <w:abstractNum w:abstractNumId="105">
    <w:nsid w:val="2DB88089"/>
    <w:multiLevelType w:val="hybridMultilevel"/>
    <w:lvl w:ilvl="0">
      <w:lvlJc w:val="left"/>
      <w:lvlText w:val="•"/>
      <w:numFmt w:val="bullet"/>
      <w:start w:val="1"/>
    </w:lvl>
  </w:abstractNum>
  <w:abstractNum w:abstractNumId="106">
    <w:nsid w:val="706B674E"/>
    <w:multiLevelType w:val="hybridMultilevel"/>
    <w:lvl w:ilvl="0">
      <w:lvlJc w:val="left"/>
      <w:lvlText w:val="•"/>
      <w:numFmt w:val="bullet"/>
      <w:start w:val="1"/>
    </w:lvl>
  </w:abstractNum>
  <w:abstractNum w:abstractNumId="107">
    <w:nsid w:val="2C106A57"/>
    <w:multiLevelType w:val="hybridMultilevel"/>
    <w:lvl w:ilvl="0">
      <w:lvlJc w:val="left"/>
      <w:lvlText w:val="•"/>
      <w:numFmt w:val="bullet"/>
      <w:start w:val="1"/>
    </w:lvl>
  </w:abstractNum>
  <w:abstractNum w:abstractNumId="108">
    <w:nsid w:val="684EED59"/>
    <w:multiLevelType w:val="hybridMultilevel"/>
    <w:lvl w:ilvl="0">
      <w:lvlJc w:val="left"/>
      <w:lvlText w:val="•"/>
      <w:numFmt w:val="bullet"/>
      <w:start w:val="1"/>
    </w:lvl>
  </w:abstractNum>
  <w:abstractNum w:abstractNumId="109">
    <w:nsid w:val="545EE5D3"/>
    <w:multiLevelType w:val="hybridMultilevel"/>
    <w:lvl w:ilvl="0">
      <w:lvlJc w:val="left"/>
      <w:lvlText w:val="•"/>
      <w:numFmt w:val="bullet"/>
      <w:start w:val="1"/>
    </w:lvl>
  </w:abstractNum>
  <w:abstractNum w:abstractNumId="110">
    <w:nsid w:val="4A66051"/>
    <w:multiLevelType w:val="hybridMultilevel"/>
    <w:lvl w:ilvl="0">
      <w:lvlJc w:val="left"/>
      <w:lvlText w:val="•"/>
      <w:numFmt w:val="bullet"/>
      <w:start w:val="1"/>
    </w:lvl>
  </w:abstractNum>
  <w:abstractNum w:abstractNumId="111">
    <w:nsid w:val="20F4BDAD"/>
    <w:multiLevelType w:val="hybridMultilevel"/>
    <w:lvl w:ilvl="0">
      <w:lvlJc w:val="left"/>
      <w:lvlText w:val="•"/>
      <w:numFmt w:val="bullet"/>
      <w:start w:val="1"/>
    </w:lvl>
  </w:abstractNum>
  <w:abstractNum w:abstractNumId="112">
    <w:nsid w:val="639DEFAC"/>
    <w:multiLevelType w:val="hybridMultilevel"/>
    <w:lvl w:ilvl="0">
      <w:lvlJc w:val="left"/>
      <w:lvlText w:val="•"/>
      <w:numFmt w:val="bullet"/>
      <w:start w:val="1"/>
    </w:lvl>
  </w:abstractNum>
  <w:abstractNum w:abstractNumId="113">
    <w:nsid w:val="501F9786"/>
    <w:multiLevelType w:val="hybridMultilevel"/>
    <w:lvl w:ilvl="0">
      <w:lvlJc w:val="left"/>
      <w:lvlText w:val="•"/>
      <w:numFmt w:val="bullet"/>
      <w:start w:val="1"/>
    </w:lvl>
  </w:abstractNum>
  <w:abstractNum w:abstractNumId="114">
    <w:nsid w:val="6B057295"/>
    <w:multiLevelType w:val="hybridMultilevel"/>
    <w:lvl w:ilvl="0">
      <w:lvlJc w:val="left"/>
      <w:lvlText w:val="•"/>
      <w:numFmt w:val="bullet"/>
      <w:start w:val="1"/>
    </w:lvl>
  </w:abstractNum>
  <w:abstractNum w:abstractNumId="115">
    <w:nsid w:val="2771AC80"/>
    <w:multiLevelType w:val="hybridMultilevel"/>
    <w:lvl w:ilvl="0">
      <w:lvlJc w:val="left"/>
      <w:lvlText w:val="•"/>
      <w:numFmt w:val="bullet"/>
      <w:start w:val="1"/>
    </w:lvl>
  </w:abstractNum>
  <w:abstractNum w:abstractNumId="116">
    <w:nsid w:val="1C4A08EC"/>
    <w:multiLevelType w:val="hybridMultilevel"/>
    <w:lvl w:ilvl="0">
      <w:lvlJc w:val="left"/>
      <w:lvlText w:val="•"/>
      <w:numFmt w:val="bullet"/>
      <w:start w:val="1"/>
    </w:lvl>
  </w:abstractNum>
  <w:abstractNum w:abstractNumId="117">
    <w:nsid w:val="1958BD17"/>
    <w:multiLevelType w:val="hybridMultilevel"/>
    <w:lvl w:ilvl="0">
      <w:lvlJc w:val="left"/>
      <w:lvlText w:val="•"/>
      <w:numFmt w:val="bullet"/>
      <w:start w:val="1"/>
    </w:lvl>
  </w:abstractNum>
  <w:abstractNum w:abstractNumId="118">
    <w:nsid w:val="4E647FE4"/>
    <w:multiLevelType w:val="hybridMultilevel"/>
    <w:lvl w:ilvl="0">
      <w:lvlJc w:val="left"/>
      <w:lvlText w:val="•"/>
      <w:numFmt w:val="bullet"/>
      <w:start w:val="1"/>
    </w:lvl>
  </w:abstractNum>
  <w:abstractNum w:abstractNumId="119">
    <w:nsid w:val="E0BB885"/>
    <w:multiLevelType w:val="hybridMultilevel"/>
    <w:lvl w:ilvl="0">
      <w:lvlJc w:val="left"/>
      <w:lvlText w:val="•"/>
      <w:numFmt w:val="bullet"/>
      <w:start w:val="1"/>
    </w:lvl>
  </w:abstractNum>
  <w:abstractNum w:abstractNumId="120">
    <w:nsid w:val="565976F1"/>
    <w:multiLevelType w:val="hybridMultilevel"/>
    <w:lvl w:ilvl="0">
      <w:lvlJc w:val="left"/>
      <w:lvlText w:val="•"/>
      <w:numFmt w:val="bullet"/>
      <w:start w:val="1"/>
    </w:lvl>
  </w:abstractNum>
  <w:abstractNum w:abstractNumId="121">
    <w:nsid w:val="64212B8C"/>
    <w:multiLevelType w:val="hybridMultilevel"/>
    <w:lvl w:ilvl="0">
      <w:lvlJc w:val="left"/>
      <w:lvlText w:val="(%1)"/>
      <w:numFmt w:val="decimal"/>
      <w:start w:val="1"/>
    </w:lvl>
  </w:abstractNum>
  <w:abstractNum w:abstractNumId="122">
    <w:nsid w:val="5C17530C"/>
    <w:multiLevelType w:val="hybridMultilevel"/>
    <w:lvl w:ilvl="0">
      <w:lvlJc w:val="left"/>
      <w:lvlText w:val="•"/>
      <w:numFmt w:val="bullet"/>
      <w:start w:val="1"/>
    </w:lvl>
  </w:abstractNum>
  <w:abstractNum w:abstractNumId="123">
    <w:nsid w:val="19A52566"/>
    <w:multiLevelType w:val="hybridMultilevel"/>
    <w:lvl w:ilvl="0">
      <w:lvlJc w:val="left"/>
      <w:lvlText w:val="•"/>
      <w:numFmt w:val="bullet"/>
      <w:start w:val="1"/>
    </w:lvl>
  </w:abstractNum>
  <w:abstractNum w:abstractNumId="124">
    <w:nsid w:val="335A1DF1"/>
    <w:multiLevelType w:val="hybridMultilevel"/>
    <w:lvl w:ilvl="0">
      <w:lvlJc w:val="left"/>
      <w:lvlText w:val="•"/>
      <w:numFmt w:val="bullet"/>
      <w:start w:val="1"/>
    </w:lvl>
  </w:abstractNum>
  <w:abstractNum w:abstractNumId="125">
    <w:nsid w:val="28677B7C"/>
    <w:multiLevelType w:val="hybridMultilevel"/>
    <w:lvl w:ilvl="0">
      <w:lvlJc w:val="left"/>
      <w:lvlText w:val="•"/>
      <w:numFmt w:val="bullet"/>
      <w:start w:val="1"/>
    </w:lvl>
  </w:abstractNum>
  <w:abstractNum w:abstractNumId="126">
    <w:nsid w:val="378D97C0"/>
    <w:multiLevelType w:val="hybridMultilevel"/>
    <w:lvl w:ilvl="0">
      <w:lvlJc w:val="left"/>
      <w:lvlText w:val="•"/>
      <w:numFmt w:val="bullet"/>
      <w:start w:val="1"/>
    </w:lvl>
  </w:abstractNum>
  <w:abstractNum w:abstractNumId="127">
    <w:nsid w:val="1D91467C"/>
    <w:multiLevelType w:val="hybridMultilevel"/>
    <w:lvl w:ilvl="0">
      <w:lvlJc w:val="left"/>
      <w:lvlText w:val="(%1)"/>
      <w:numFmt w:val="decimal"/>
      <w:start w:val="1"/>
    </w:lvl>
  </w:abstractNum>
  <w:abstractNum w:abstractNumId="128">
    <w:nsid w:val="316032BB"/>
    <w:multiLevelType w:val="hybridMultilevel"/>
    <w:lvl w:ilvl="0">
      <w:lvlJc w:val="left"/>
      <w:lvlText w:val="(%1)"/>
      <w:numFmt w:val="decimal"/>
      <w:start w:val="2"/>
    </w:lvl>
  </w:abstractNum>
  <w:abstractNum w:abstractNumId="129">
    <w:nsid w:val="44344C22"/>
    <w:multiLevelType w:val="hybridMultilevel"/>
    <w:lvl w:ilvl="0">
      <w:lvlJc w:val="left"/>
      <w:lvlText w:val="•"/>
      <w:numFmt w:val="bullet"/>
      <w:start w:val="1"/>
    </w:lvl>
  </w:abstractNum>
  <w:abstractNum w:abstractNumId="130">
    <w:nsid w:val="13CDFCFC"/>
    <w:multiLevelType w:val="hybridMultilevel"/>
    <w:lvl w:ilvl="0">
      <w:lvlJc w:val="left"/>
      <w:lvlText w:val="(%1)"/>
      <w:numFmt w:val="decimal"/>
      <w:start w:val="1"/>
    </w:lvl>
  </w:abstractNum>
  <w:abstractNum w:abstractNumId="131">
    <w:nsid w:val="471745E4"/>
    <w:multiLevelType w:val="hybridMultilevel"/>
    <w:lvl w:ilvl="0">
      <w:lvlJc w:val="left"/>
      <w:lvlText w:val="(%1)"/>
      <w:numFmt w:val="decimal"/>
      <w:start w:val="1"/>
    </w:lvl>
  </w:abstractNum>
  <w:abstractNum w:abstractNumId="132">
    <w:nsid w:val="1DDBC66"/>
    <w:multiLevelType w:val="hybridMultilevel"/>
    <w:lvl w:ilvl="0">
      <w:lvlJc w:val="left"/>
      <w:lvlText w:val="(%1)"/>
      <w:numFmt w:val="decimal"/>
      <w:start w:val="3"/>
    </w:lvl>
  </w:abstractNum>
  <w:abstractNum w:abstractNumId="133">
    <w:nsid w:val="30AADFDA"/>
    <w:multiLevelType w:val="hybridMultilevel"/>
    <w:lvl w:ilvl="0">
      <w:lvlJc w:val="left"/>
      <w:lvlText w:val="•"/>
      <w:numFmt w:val="bullet"/>
      <w:start w:val="1"/>
    </w:lvl>
  </w:abstractNum>
  <w:abstractNum w:abstractNumId="134">
    <w:nsid w:val="30EADA61"/>
    <w:multiLevelType w:val="hybridMultilevel"/>
    <w:lvl w:ilvl="0">
      <w:lvlJc w:val="left"/>
      <w:lvlText w:val="•"/>
      <w:numFmt w:val="bullet"/>
      <w:start w:val="1"/>
    </w:lvl>
  </w:abstractNum>
  <w:abstractNum w:abstractNumId="135">
    <w:nsid w:val="27179C0B"/>
    <w:multiLevelType w:val="hybridMultilevel"/>
    <w:lvl w:ilvl="0">
      <w:lvlJc w:val="left"/>
      <w:lvlText w:val="•"/>
      <w:numFmt w:val="bullet"/>
      <w:start w:val="1"/>
    </w:lvl>
  </w:abstractNum>
  <w:abstractNum w:abstractNumId="136">
    <w:nsid w:val="5E636063"/>
    <w:multiLevelType w:val="hybridMultilevel"/>
    <w:lvl w:ilvl="0">
      <w:lvlJc w:val="left"/>
      <w:lvlText w:val="•"/>
      <w:numFmt w:val="bullet"/>
      <w:start w:val="1"/>
    </w:lvl>
  </w:abstractNum>
  <w:abstractNum w:abstractNumId="137">
    <w:nsid w:val="215641AF"/>
    <w:multiLevelType w:val="hybridMultilevel"/>
    <w:lvl w:ilvl="0">
      <w:lvlJc w:val="left"/>
      <w:lvlText w:val="(%1)"/>
      <w:numFmt w:val="decimal"/>
      <w:start w:val="1"/>
    </w:lvl>
  </w:abstractNum>
  <w:abstractNum w:abstractNumId="138">
    <w:nsid w:val="53280662"/>
    <w:multiLevelType w:val="hybridMultilevel"/>
    <w:lvl w:ilvl="0">
      <w:lvlJc w:val="left"/>
      <w:lvlText w:val="(%1)"/>
      <w:numFmt w:val="decimal"/>
      <w:start w:val="1"/>
    </w:lvl>
  </w:abstractNum>
  <w:abstractNum w:abstractNumId="139">
    <w:nsid w:val="46B24DBC"/>
    <w:multiLevelType w:val="hybridMultilevel"/>
    <w:lvl w:ilvl="0">
      <w:lvlJc w:val="left"/>
      <w:lvlText w:val="(%1)"/>
      <w:numFmt w:val="decimal"/>
      <w:start w:val="3"/>
    </w:lvl>
  </w:abstractNum>
  <w:abstractNum w:abstractNumId="140">
    <w:nsid w:val="75B52783"/>
    <w:multiLevelType w:val="hybridMultilevel"/>
    <w:lvl w:ilvl="0">
      <w:lvlJc w:val="left"/>
      <w:lvlText w:val="•"/>
      <w:numFmt w:val="bullet"/>
      <w:start w:val="1"/>
    </w:lvl>
  </w:abstractNum>
  <w:abstractNum w:abstractNumId="141">
    <w:nsid w:val="57CE66B4"/>
    <w:multiLevelType w:val="hybridMultilevel"/>
    <w:lvl w:ilvl="0">
      <w:lvlJc w:val="left"/>
      <w:lvlText w:val="*"/>
      <w:numFmt w:val="bullet"/>
      <w:start w:val="1"/>
    </w:lvl>
  </w:abstractNum>
  <w:abstractNum w:abstractNumId="142">
    <w:nsid w:val="67A70B69"/>
    <w:multiLevelType w:val="hybridMultilevel"/>
    <w:lvl w:ilvl="0">
      <w:lvlJc w:val="left"/>
      <w:lvlText w:val="(%1)"/>
      <w:numFmt w:val="decimal"/>
      <w:start w:val="1"/>
    </w:lvl>
  </w:abstractNum>
  <w:abstractNum w:abstractNumId="143">
    <w:nsid w:val="5953172F"/>
    <w:multiLevelType w:val="hybridMultilevel"/>
    <w:lvl w:ilvl="0">
      <w:lvlJc w:val="left"/>
      <w:lvlText w:val="(%1)"/>
      <w:numFmt w:val="decimal"/>
      <w:start w:val="5"/>
    </w:lvl>
  </w:abstractNum>
  <w:abstractNum w:abstractNumId="144">
    <w:nsid w:val="27EDFE3A"/>
    <w:multiLevelType w:val="hybridMultilevel"/>
    <w:lvl w:ilvl="0">
      <w:lvlJc w:val="left"/>
      <w:lvlText w:val="•"/>
      <w:numFmt w:val="bullet"/>
      <w:start w:val="1"/>
    </w:lvl>
  </w:abstractNum>
  <w:abstractNum w:abstractNumId="145">
    <w:nsid w:val="52AC7DFF"/>
    <w:multiLevelType w:val="hybridMultilevel"/>
    <w:lvl w:ilvl="0">
      <w:lvlJc w:val="left"/>
      <w:lvlText w:val="•"/>
      <w:numFmt w:val="bullet"/>
      <w:start w:val="1"/>
    </w:lvl>
  </w:abstractNum>
  <w:abstractNum w:abstractNumId="146">
    <w:nsid w:val="C4C3AF"/>
    <w:multiLevelType w:val="hybridMultilevel"/>
    <w:lvl w:ilvl="0">
      <w:lvlJc w:val="left"/>
      <w:lvlText w:val="•"/>
      <w:numFmt w:val="bullet"/>
      <w:start w:val="1"/>
    </w:lvl>
  </w:abstractNum>
  <w:abstractNum w:abstractNumId="147">
    <w:nsid w:val="44380727"/>
    <w:multiLevelType w:val="hybridMultilevel"/>
    <w:lvl w:ilvl="0">
      <w:lvlJc w:val="left"/>
      <w:lvlText w:val="•"/>
      <w:numFmt w:val="bullet"/>
      <w:start w:val="1"/>
    </w:lvl>
  </w:abstractNum>
  <w:abstractNum w:abstractNumId="148">
    <w:nsid w:val="6C053B16"/>
    <w:multiLevelType w:val="hybridMultilevel"/>
    <w:lvl w:ilvl="0">
      <w:lvlJc w:val="left"/>
      <w:lvlText w:val="•"/>
      <w:numFmt w:val="bullet"/>
      <w:start w:val="1"/>
    </w:lvl>
  </w:abstractNum>
  <w:abstractNum w:abstractNumId="149">
    <w:nsid w:val="4F294393"/>
    <w:multiLevelType w:val="hybridMultilevel"/>
    <w:lvl w:ilvl="0">
      <w:lvlJc w:val="left"/>
      <w:lvlText w:val="•"/>
      <w:numFmt w:val="bullet"/>
      <w:start w:val="1"/>
    </w:lvl>
  </w:abstractNum>
  <w:abstractNum w:abstractNumId="150">
    <w:nsid w:val="5243BFAC"/>
    <w:multiLevelType w:val="hybridMultilevel"/>
    <w:lvl w:ilvl="0">
      <w:lvlJc w:val="left"/>
      <w:lvlText w:val="•"/>
      <w:numFmt w:val="bullet"/>
      <w:start w:val="1"/>
    </w:lvl>
  </w:abstractNum>
  <w:abstractNum w:abstractNumId="151">
    <w:nsid w:val="425EB207"/>
    <w:multiLevelType w:val="hybridMultilevel"/>
    <w:lvl w:ilvl="0">
      <w:lvlJc w:val="left"/>
      <w:lvlText w:val="•"/>
      <w:numFmt w:val="bullet"/>
      <w:start w:val="1"/>
    </w:lvl>
  </w:abstractNum>
  <w:abstractNum w:abstractNumId="152">
    <w:nsid w:val="334A6F1F"/>
    <w:multiLevelType w:val="hybridMultilevel"/>
    <w:lvl w:ilvl="0">
      <w:lvlJc w:val="left"/>
      <w:lvlText w:val="•"/>
      <w:numFmt w:val="bullet"/>
      <w:start w:val="1"/>
    </w:lvl>
  </w:abstractNum>
  <w:abstractNum w:abstractNumId="153">
    <w:nsid w:val="2E5B12B8"/>
    <w:multiLevelType w:val="hybridMultilevel"/>
    <w:lvl w:ilvl="0">
      <w:lvlJc w:val="left"/>
      <w:lvlText w:val="(%1)"/>
      <w:numFmt w:val="lowerLetter"/>
      <w:start w:val="1"/>
    </w:lvl>
  </w:abstractNum>
  <w:abstractNum w:abstractNumId="154">
    <w:nsid w:val="5C03D76D"/>
    <w:multiLevelType w:val="hybridMultilevel"/>
    <w:lvl w:ilvl="0">
      <w:lvlJc w:val="left"/>
      <w:lvlText w:val="(%1)"/>
      <w:numFmt w:val="lowerLetter"/>
      <w:start w:val="1"/>
    </w:lvl>
  </w:abstractNum>
  <w:abstractNum w:abstractNumId="155">
    <w:nsid w:val="66A48D11"/>
    <w:multiLevelType w:val="hybridMultilevel"/>
    <w:lvl w:ilvl="0">
      <w:lvlJc w:val="left"/>
      <w:lvlText w:val="(%1)"/>
      <w:numFmt w:val="lowerLetter"/>
      <w:start w:val="1"/>
    </w:lvl>
  </w:abstractNum>
  <w:abstractNum w:abstractNumId="156">
    <w:nsid w:val="56C28E34"/>
    <w:multiLevelType w:val="hybridMultilevel"/>
    <w:lvl w:ilvl="0">
      <w:lvlJc w:val="left"/>
      <w:lvlText w:val="(%1)"/>
      <w:numFmt w:val="lowerLetter"/>
      <w:start w:val="1"/>
    </w:lvl>
  </w:abstractNum>
  <w:abstractNum w:abstractNumId="157">
    <w:nsid w:val="13916F2D"/>
    <w:multiLevelType w:val="hybridMultilevel"/>
    <w:lvl w:ilvl="0">
      <w:lvlJc w:val="left"/>
      <w:lvlText w:val="(%1)"/>
      <w:numFmt w:val="lowerLetter"/>
      <w:start w:val="1"/>
    </w:lvl>
  </w:abstractNum>
  <w:abstractNum w:abstractNumId="158">
    <w:nsid w:val="435D38D"/>
    <w:multiLevelType w:val="hybridMultilevel"/>
    <w:lvl w:ilvl="0">
      <w:lvlJc w:val="left"/>
      <w:lvlText w:val="(%1)"/>
      <w:numFmt w:val="lowerLetter"/>
      <w:start w:val="1"/>
    </w:lvl>
  </w:abstractNum>
  <w:abstractNum w:abstractNumId="159">
    <w:nsid w:val="822C0EF"/>
    <w:multiLevelType w:val="hybridMultilevel"/>
    <w:lvl w:ilvl="0">
      <w:lvlJc w:val="left"/>
      <w:lvlText w:val="(%1)"/>
      <w:numFmt w:val="lowerLetter"/>
      <w:start w:val="3"/>
    </w:lvl>
  </w:abstractNum>
  <w:abstractNum w:abstractNumId="160">
    <w:nsid w:val="57C5BB4F"/>
    <w:multiLevelType w:val="hybridMultilevel"/>
    <w:lvl w:ilvl="0">
      <w:lvlJc w:val="left"/>
      <w:lvlText w:val="%1."/>
      <w:numFmt w:val="decimal"/>
      <w:start w:val="7"/>
    </w:lvl>
  </w:abstractNum>
  <w:abstractNum w:abstractNumId="161">
    <w:nsid w:val="1803D089"/>
    <w:multiLevelType w:val="hybridMultilevel"/>
    <w:lvl w:ilvl="0">
      <w:lvlJc w:val="left"/>
      <w:lvlText w:val="(%1)"/>
      <w:numFmt w:val="decimal"/>
      <w:start w:val="4"/>
    </w:lvl>
  </w:abstractNum>
  <w:abstractNum w:abstractNumId="162">
    <w:nsid w:val="4F3A06D4"/>
    <w:multiLevelType w:val="hybridMultilevel"/>
    <w:lvl w:ilvl="0">
      <w:lvlJc w:val="left"/>
      <w:lvlText w:val="(%1)"/>
      <w:numFmt w:val="lowerLetter"/>
      <w:start w:val="1"/>
    </w:lvl>
  </w:abstractNum>
  <w:abstractNum w:abstractNumId="163">
    <w:nsid w:val="59A377B6"/>
    <w:multiLevelType w:val="hybridMultilevel"/>
    <w:lvl w:ilvl="0">
      <w:lvlJc w:val="left"/>
      <w:lvlText w:val="(%1)"/>
      <w:numFmt w:val="lowerLetter"/>
      <w:start w:val="4"/>
    </w:lvl>
  </w:abstractNum>
  <w:abstractNum w:abstractNumId="164">
    <w:nsid w:val="48AEB063"/>
    <w:multiLevelType w:val="hybridMultilevel"/>
    <w:lvl w:ilvl="0">
      <w:lvlJc w:val="left"/>
      <w:lvlText w:val="(%1)"/>
      <w:numFmt w:val="decimal"/>
      <w:start w:val="2"/>
    </w:lvl>
  </w:abstractNum>
  <w:abstractNum w:abstractNumId="165">
    <w:nsid w:val="24E135"/>
    <w:multiLevelType w:val="hybridMultilevel"/>
    <w:lvl w:ilvl="0">
      <w:lvlJc w:val="left"/>
      <w:lvlText w:val="(%1)"/>
      <w:numFmt w:val="decimal"/>
      <w:start w:val="1"/>
    </w:lvl>
  </w:abstractNum>
  <w:abstractNum w:abstractNumId="166">
    <w:nsid w:val="BB13C1"/>
    <w:multiLevelType w:val="hybridMultilevel"/>
    <w:lvl w:ilvl="0">
      <w:lvlJc w:val="left"/>
      <w:lvlText w:val="^"/>
      <w:numFmt w:val="bullet"/>
      <w:start w:val="1"/>
    </w:lvl>
  </w:abstractNum>
  <w:abstractNum w:abstractNumId="167">
    <w:nsid w:val="271210C7"/>
    <w:multiLevelType w:val="hybridMultilevel"/>
    <w:lvl w:ilvl="0">
      <w:lvlJc w:val="left"/>
      <w:lvlText w:val="+"/>
      <w:numFmt w:val="bullet"/>
      <w:start w:val="1"/>
    </w:lvl>
  </w:abstractNum>
  <w:abstractNum w:abstractNumId="168">
    <w:nsid w:val="217B22E4"/>
    <w:multiLevelType w:val="hybridMultilevel"/>
    <w:lvl w:ilvl="0">
      <w:lvlJc w:val="left"/>
      <w:lvlText w:val="#"/>
      <w:numFmt w:val="bullet"/>
      <w:start w:val="1"/>
    </w:lvl>
  </w:abstractNum>
  <w:abstractNum w:abstractNumId="169">
    <w:nsid w:val="53E31A24"/>
    <w:multiLevelType w:val="hybridMultilevel"/>
    <w:lvl w:ilvl="0">
      <w:lvlJc w:val="left"/>
      <w:lvlText w:val="*"/>
      <w:numFmt w:val="bullet"/>
      <w:start w:val="1"/>
    </w:lvl>
  </w:abstractNum>
  <w:abstractNum w:abstractNumId="170">
    <w:nsid w:val="6DC45E83"/>
    <w:multiLevelType w:val="hybridMultilevel"/>
    <w:lvl w:ilvl="0">
      <w:lvlJc w:val="left"/>
      <w:lvlText w:val="%1."/>
      <w:numFmt w:val="decimal"/>
      <w:start w:val="1"/>
    </w:lvl>
    <w:lvl w:ilvl="1">
      <w:lvlJc w:val="left"/>
      <w:lvlText w:val="(%2)"/>
      <w:numFmt w:val="lowerLetter"/>
      <w:start w:val="1"/>
    </w:lvl>
  </w:abstractNum>
  <w:abstractNum w:abstractNumId="171">
    <w:nsid w:val="17304A67"/>
    <w:multiLevelType w:val="hybridMultilevel"/>
    <w:lvl w:ilvl="0">
      <w:lvlJc w:val="left"/>
      <w:lvlText w:val="(%1)"/>
      <w:numFmt w:val="lowerLetter"/>
      <w:start w:val="3"/>
    </w:lvl>
  </w:abstractNum>
  <w:abstractNum w:abstractNumId="172">
    <w:nsid w:val="2BB180D8"/>
    <w:multiLevelType w:val="hybridMultilevel"/>
    <w:lvl w:ilvl="0">
      <w:lvlJc w:val="left"/>
      <w:lvlText w:val="(%1)"/>
      <w:numFmt w:val="lowerLetter"/>
      <w:start w:val="6"/>
    </w:lvl>
  </w:abstractNum>
  <w:abstractNum w:abstractNumId="173">
    <w:nsid w:val="556B69ED"/>
    <w:multiLevelType w:val="hybridMultilevel"/>
    <w:lvl w:ilvl="0">
      <w:lvlJc w:val="left"/>
      <w:lvlText w:val="(%1)"/>
      <w:numFmt w:val="lowerLetter"/>
      <w:start w:val="13"/>
    </w:lvl>
  </w:abstractNum>
  <w:abstractNum w:abstractNumId="174">
    <w:nsid w:val="70836196"/>
    <w:multiLevelType w:val="hybridMultilevel"/>
    <w:lvl w:ilvl="0">
      <w:lvlJc w:val="left"/>
      <w:lvlText w:val="%1"/>
      <w:numFmt w:val="upperLetter"/>
      <w:start w:val="1"/>
    </w:lvl>
    <w:lvl w:ilvl="1">
      <w:lvlJc w:val="left"/>
      <w:lvlText w:val="(%2)"/>
      <w:numFmt w:val="lowerLetter"/>
      <w:start w:val="18"/>
    </w:lvl>
    <w:lvl w:ilvl="2">
      <w:lvlJc w:val="left"/>
      <w:lvlText w:val="(%3)"/>
      <w:numFmt w:val="upperLetter"/>
      <w:start w:val="1"/>
    </w:lvl>
  </w:abstractNum>
  <w:abstractNum w:abstractNumId="175">
    <w:nsid w:val="539F7F1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2"/>
    </w:lvl>
  </w:abstractNum>
  <w:abstractNum w:abstractNumId="176">
    <w:nsid w:val="2817E7E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lvl w:ilvl="3">
      <w:lvlJc w:val="left"/>
      <w:lvlText w:val="(%4)"/>
      <w:numFmt w:val="upperLetter"/>
      <w:start w:val="1"/>
    </w:lvl>
  </w:abstractNum>
  <w:abstractNum w:abstractNumId="177">
    <w:nsid w:val="71482545"/>
    <w:multiLevelType w:val="hybridMultilevel"/>
    <w:lvl w:ilvl="0">
      <w:lvlJc w:val="left"/>
      <w:lvlText w:val="%1"/>
      <w:numFmt w:val="lowerLetter"/>
      <w:start w:val="1"/>
    </w:lvl>
    <w:lvl w:ilvl="1">
      <w:lvlJc w:val="left"/>
      <w:lvlText w:val="(%2)"/>
      <w:numFmt w:val="lowerLetter"/>
      <w:start w:val="21"/>
    </w:lvl>
    <w:lvl w:ilvl="2">
      <w:lvlJc w:val="left"/>
      <w:lvlText w:val="%3"/>
      <w:numFmt w:val="lowerRoman"/>
      <w:start w:val="1"/>
    </w:lvl>
    <w:lvl w:ilvl="3">
      <w:lvlJc w:val="left"/>
      <w:lvlText w:val="%4"/>
      <w:numFmt w:val="upperLetter"/>
      <w:start w:val="1"/>
    </w:lvl>
  </w:abstractNum>
  <w:abstractNum w:abstractNumId="178">
    <w:nsid w:val="17D78639"/>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79">
    <w:nsid w:val="141D2302"/>
    <w:multiLevelType w:val="hybridMultilevel"/>
    <w:lvl w:ilvl="0">
      <w:lvlJc w:val="left"/>
      <w:lvlText w:val="(%1)"/>
      <w:numFmt w:val="lowerLetter"/>
      <w:start w:val="22"/>
    </w:lvl>
  </w:abstractNum>
  <w:abstractNum w:abstractNumId="180">
    <w:nsid w:val="407168D8"/>
    <w:multiLevelType w:val="hybridMultilevel"/>
    <w:lvl w:ilvl="0">
      <w:lvlJc w:val="left"/>
      <w:lvlText w:val="(%1)"/>
      <w:numFmt w:val="lowerRoman"/>
      <w:start w:val="9"/>
    </w:lvl>
    <w:lvl w:ilvl="1">
      <w:lvlJc w:val="left"/>
      <w:lvlText w:val="(%2)"/>
      <w:numFmt w:val="lowerLetter"/>
      <w:start w:val="24"/>
    </w:lvl>
  </w:abstractNum>
  <w:abstractNum w:abstractNumId="181">
    <w:nsid w:val="6A1B45E5"/>
    <w:multiLevelType w:val="hybridMultilevel"/>
    <w:lvl w:ilvl="0">
      <w:lvlJc w:val="left"/>
      <w:lvlText w:val="(%1)"/>
      <w:numFmt w:val="lowerLetter"/>
      <w:start w:val="26"/>
    </w:lvl>
  </w:abstractNum>
  <w:abstractNum w:abstractNumId="182">
    <w:nsid w:val="567BD50A"/>
    <w:multiLevelType w:val="hybridMultilevel"/>
    <w:lvl w:ilvl="0">
      <w:lvlJc w:val="left"/>
      <w:lvlText w:val="(%1)"/>
      <w:numFmt w:val="lowerLetter"/>
      <w:start w:val="27"/>
    </w:lvl>
  </w:abstractNum>
  <w:abstractNum w:abstractNumId="183">
    <w:nsid w:val="73BBD7F8"/>
    <w:multiLevelType w:val="hybridMultilevel"/>
    <w:lvl w:ilvl="0">
      <w:lvlJc w:val="left"/>
      <w:lvlText w:val="(%1)"/>
      <w:numFmt w:val="lowerLetter"/>
      <w:start w:val="29"/>
    </w:lvl>
  </w:abstractNum>
  <w:abstractNum w:abstractNumId="184">
    <w:nsid w:val="1876589D"/>
    <w:multiLevelType w:val="hybridMultilevel"/>
    <w:lvl w:ilvl="0">
      <w:lvlJc w:val="left"/>
      <w:lvlText w:val="(%1)"/>
      <w:numFmt w:val="lowerLetter"/>
      <w:start w:val="33"/>
    </w:lvl>
  </w:abstractNum>
  <w:abstractNum w:abstractNumId="185">
    <w:nsid w:val="327FAC77"/>
    <w:multiLevelType w:val="hybridMultilevel"/>
    <w:lvl w:ilvl="0">
      <w:lvlJc w:val="left"/>
      <w:lvlText w:val="(%1)"/>
      <w:numFmt w:val="lowerLetter"/>
      <w:start w:val="37"/>
    </w:lvl>
    <w:lvl w:ilvl="1">
      <w:lvlJc w:val="left"/>
      <w:lvlText w:val="(%2)"/>
      <w:numFmt w:val="lowerRoman"/>
      <w:start w:val="1"/>
    </w:lvl>
  </w:abstractNum>
  <w:abstractNum w:abstractNumId="186">
    <w:nsid w:val="5A606509"/>
    <w:multiLevelType w:val="hybridMultilevel"/>
    <w:lvl w:ilvl="0">
      <w:lvlJc w:val="left"/>
      <w:lvlText w:val="%1"/>
      <w:numFmt w:val="lowerLetter"/>
      <w:start w:val="1"/>
    </w:lvl>
    <w:lvl w:ilvl="1">
      <w:lvlJc w:val="left"/>
      <w:lvlText w:val="(%2)"/>
      <w:numFmt w:val="lowerRoman"/>
      <w:start w:val="7"/>
    </w:lvl>
  </w:abstractNum>
  <w:abstractNum w:abstractNumId="187">
    <w:nsid w:val="6F38E6D1"/>
    <w:multiLevelType w:val="hybridMultilevel"/>
    <w:lvl w:ilvl="0">
      <w:lvlJc w:val="left"/>
      <w:lvlText w:val="(%1)"/>
      <w:numFmt w:val="lowerLetter"/>
      <w:start w:val="39"/>
    </w:lvl>
    <w:lvl w:ilvl="1">
      <w:lvlJc w:val="left"/>
      <w:lvlText w:val="%2"/>
      <w:numFmt w:val="lowerRoman"/>
      <w:start w:val="1"/>
    </w:lvl>
  </w:abstractNum>
  <w:abstractNum w:abstractNumId="188">
    <w:nsid w:val="46111BA5"/>
    <w:multiLevelType w:val="hybridMultilevel"/>
    <w:lvl w:ilvl="0">
      <w:lvlJc w:val="left"/>
      <w:lvlText w:val="%1"/>
      <w:numFmt w:val="lowerLetter"/>
      <w:start w:val="1"/>
    </w:lvl>
    <w:lvl w:ilvl="1">
      <w:lvlJc w:val="left"/>
      <w:lvlText w:val="(%2)"/>
      <w:numFmt w:val="lowerLetter"/>
      <w:start w:val="41"/>
    </w:lvl>
  </w:abstractNum>
  <w:abstractNum w:abstractNumId="189">
    <w:nsid w:val="5E963896"/>
    <w:multiLevelType w:val="hybridMultilevel"/>
    <w:lvl w:ilvl="0">
      <w:lvlJc w:val="left"/>
      <w:lvlText w:val="(%1)"/>
      <w:numFmt w:val="lowerLetter"/>
      <w:start w:val="9"/>
    </w:lvl>
    <w:lvl w:ilvl="1">
      <w:lvlJc w:val="left"/>
      <w:lvlText w:val="%2"/>
      <w:numFmt w:val="lowerLetter"/>
      <w:start w:val="1"/>
    </w:lvl>
  </w:abstractNum>
  <w:abstractNum w:abstractNumId="190">
    <w:nsid w:val="775BA7C1"/>
    <w:multiLevelType w:val="hybridMultilevel"/>
    <w:lvl w:ilvl="0">
      <w:lvlJc w:val="left"/>
      <w:lvlText w:val="%1."/>
      <w:numFmt w:val="decimal"/>
      <w:start w:val="2"/>
    </w:lvl>
  </w:abstractNum>
  <w:abstractNum w:abstractNumId="191">
    <w:nsid w:val="1DD6D6F4"/>
    <w:multiLevelType w:val="hybridMultilevel"/>
    <w:lvl w:ilvl="0">
      <w:lvlJc w:val="left"/>
      <w:lvlText w:val="%1."/>
      <w:numFmt w:val="decimal"/>
      <w:start w:val="3"/>
    </w:lvl>
  </w:abstractNum>
  <w:abstractNum w:abstractNumId="192">
    <w:nsid w:val="769A091F"/>
    <w:multiLevelType w:val="hybridMultilevel"/>
    <w:lvl w:ilvl="0">
      <w:lvlJc w:val="left"/>
      <w:lvlText w:val="%1."/>
      <w:numFmt w:val="decimal"/>
      <w:start w:val="4"/>
    </w:lvl>
  </w:abstractNum>
  <w:abstractNum w:abstractNumId="193">
    <w:nsid w:val="4695AE95"/>
    <w:multiLevelType w:val="hybridMultilevel"/>
    <w:lvl w:ilvl="0">
      <w:lvlJc w:val="left"/>
      <w:lvlText w:val="%1."/>
      <w:numFmt w:val="decimal"/>
      <w:start w:val="5"/>
    </w:lvl>
  </w:abstractNum>
  <w:abstractNum w:abstractNumId="194">
    <w:nsid w:val="777A4EAA"/>
    <w:multiLevelType w:val="hybridMultilevel"/>
    <w:lvl w:ilvl="0">
      <w:lvlJc w:val="left"/>
      <w:lvlText w:val="(%1)"/>
      <w:numFmt w:val="lowerLetter"/>
      <w:start w:val="1"/>
    </w:lvl>
    <w:lvl w:ilvl="1">
      <w:lvlJc w:val="left"/>
      <w:lvlText w:val="(%2)"/>
      <w:numFmt w:val="lowerRoman"/>
      <w:start w:val="1"/>
    </w:lvl>
  </w:abstractNum>
  <w:abstractNum w:abstractNumId="195">
    <w:nsid w:val="3F48B982"/>
    <w:multiLevelType w:val="hybridMultilevel"/>
    <w:lvl w:ilvl="0">
      <w:lvlJc w:val="left"/>
      <w:lvlText w:val="(%1)"/>
      <w:numFmt w:val="lowerLetter"/>
      <w:start w:val="2"/>
    </w:lvl>
  </w:abstractNum>
  <w:abstractNum w:abstractNumId="196">
    <w:nsid w:val="46BA8FCA"/>
    <w:multiLevelType w:val="hybridMultilevel"/>
    <w:lvl w:ilvl="0">
      <w:lvlJc w:val="left"/>
      <w:lvlText w:val="(%1)"/>
      <w:numFmt w:val="lowerLetter"/>
      <w:start w:val="3"/>
    </w:lvl>
  </w:abstractNum>
  <w:abstractNum w:abstractNumId="197">
    <w:nsid w:val="7835626C"/>
    <w:multiLevelType w:val="hybridMultilevel"/>
    <w:lvl w:ilvl="0">
      <w:lvlJc w:val="left"/>
      <w:lvlText w:val="(%1)"/>
      <w:numFmt w:val="lowerLetter"/>
      <w:start w:val="6"/>
    </w:lvl>
  </w:abstractNum>
  <w:abstractNum w:abstractNumId="198">
    <w:nsid w:val="665ACA49"/>
    <w:multiLevelType w:val="hybridMultilevel"/>
    <w:lvl w:ilvl="0">
      <w:lvlJc w:val="left"/>
      <w:lvlText w:val="(%1)"/>
      <w:numFmt w:val="lowerLetter"/>
      <w:start w:val="7"/>
    </w:lvl>
    <w:lvl w:ilvl="1">
      <w:lvlJc w:val="left"/>
      <w:lvlText w:val="(%2)"/>
      <w:numFmt w:val="lowerRoman"/>
      <w:start w:val="1"/>
    </w:lvl>
  </w:abstractNum>
  <w:abstractNum w:abstractNumId="199">
    <w:nsid w:val="6835B2A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200">
    <w:nsid w:val="4C187C90"/>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01">
    <w:nsid w:val="541F28CD"/>
    <w:multiLevelType w:val="hybridMultilevel"/>
    <w:lvl w:ilvl="0">
      <w:lvlJc w:val="left"/>
      <w:lvlText w:val="(%1)"/>
      <w:numFmt w:val="lowerLetter"/>
      <w:start w:val="5"/>
    </w:lvl>
  </w:abstractNum>
  <w:abstractNum w:abstractNumId="202">
    <w:nsid w:val="7F65FD16"/>
    <w:multiLevelType w:val="hybridMultilevel"/>
    <w:lvl w:ilvl="0">
      <w:lvlJc w:val="left"/>
      <w:lvlText w:val="(%1)"/>
      <w:numFmt w:val="lowerRoman"/>
      <w:start w:val="1"/>
    </w:lvl>
  </w:abstractNum>
  <w:abstractNum w:abstractNumId="203">
    <w:nsid w:val="77C9FD68"/>
    <w:multiLevelType w:val="hybridMultilevel"/>
    <w:lvl w:ilvl="0">
      <w:lvlJc w:val="left"/>
      <w:lvlText w:val="(%1)"/>
      <w:numFmt w:val="lowerLetter"/>
      <w:start w:val="10"/>
    </w:lvl>
  </w:abstractNum>
  <w:abstractNum w:abstractNumId="204">
    <w:nsid w:val="298A92BA"/>
    <w:multiLevelType w:val="hybridMultilevel"/>
    <w:lvl w:ilvl="0">
      <w:lvlJc w:val="left"/>
      <w:lvlText w:val="(%1)"/>
      <w:numFmt w:val="lowerRoman"/>
      <w:start w:val="2"/>
    </w:lvl>
  </w:abstractNum>
  <w:abstractNum w:abstractNumId="205">
    <w:nsid w:val="6FE95EAC"/>
    <w:multiLevelType w:val="hybridMultilevel"/>
    <w:lvl w:ilvl="0">
      <w:lvlJc w:val="left"/>
      <w:lvlText w:val="%1"/>
      <w:numFmt w:val="decimal"/>
      <w:start w:val="1"/>
    </w:lvl>
    <w:lvl w:ilvl="1">
      <w:lvlJc w:val="left"/>
      <w:lvlText w:val="(%2)"/>
      <w:numFmt w:val="lowerLetter"/>
      <w:start w:val="14"/>
    </w:lvl>
  </w:abstractNum>
  <w:abstractNum w:abstractNumId="206">
    <w:nsid w:val="4B697C7A"/>
    <w:multiLevelType w:val="hybridMultilevel"/>
    <w:lvl w:ilvl="0">
      <w:lvlJc w:val="left"/>
      <w:lvlText w:val="%1."/>
      <w:numFmt w:val="decimal"/>
      <w:start w:val="7"/>
    </w:lvl>
    <w:lvl w:ilvl="1">
      <w:lvlJc w:val="left"/>
      <w:lvlText w:val="%2"/>
      <w:numFmt w:val="lowerLetter"/>
      <w:start w:val="1"/>
    </w:lvl>
  </w:abstractNum>
  <w:abstractNum w:abstractNumId="207">
    <w:nsid w:val="51A27AA6"/>
    <w:multiLevelType w:val="hybridMultilevel"/>
    <w:lvl w:ilvl="0">
      <w:lvlJc w:val="left"/>
      <w:lvlText w:val="(%1)"/>
      <w:numFmt w:val="lowerLetter"/>
      <w:start w:val="2"/>
    </w:lvl>
  </w:abstractNum>
  <w:abstractNum w:abstractNumId="208">
    <w:nsid w:val="613183F2"/>
    <w:multiLevelType w:val="hybridMultilevel"/>
    <w:lvl w:ilvl="0">
      <w:lvlJc w:val="left"/>
      <w:lvlText w:val="(%1)"/>
      <w:numFmt w:val="lowerLetter"/>
      <w:start w:val="4"/>
    </w:lvl>
  </w:abstractNum>
  <w:abstractNum w:abstractNumId="209">
    <w:nsid w:val="634102B4"/>
    <w:multiLevelType w:val="hybridMultilevel"/>
    <w:lvl w:ilvl="0">
      <w:lvlJc w:val="left"/>
      <w:lvlText w:val="%1"/>
      <w:numFmt w:val="lowerLetter"/>
      <w:start w:val="1"/>
    </w:lvl>
    <w:lvl w:ilvl="1">
      <w:lvlJc w:val="left"/>
      <w:lvlText w:val="(%2)"/>
      <w:numFmt w:val="lowerLetter"/>
      <w:start w:val="5"/>
    </w:lvl>
  </w:abstractNum>
  <w:abstractNum w:abstractNumId="210">
    <w:nsid w:val="65BF9DA8"/>
    <w:multiLevelType w:val="hybridMultilevel"/>
    <w:lvl w:ilvl="0">
      <w:lvlJc w:val="left"/>
      <w:lvlText w:val="(%1)"/>
      <w:numFmt w:val="lowerLetter"/>
      <w:start w:val="35"/>
    </w:lvl>
    <w:lvl w:ilvl="1">
      <w:lvlJc w:val="left"/>
      <w:lvlText w:val="%2"/>
      <w:numFmt w:val="lowerLetter"/>
      <w:start w:val="1"/>
    </w:lvl>
  </w:abstractNum>
  <w:abstractNum w:abstractNumId="211">
    <w:nsid w:val="21A2ECCA"/>
    <w:multiLevelType w:val="hybridMultilevel"/>
    <w:lvl w:ilvl="0">
      <w:lvlJc w:val="left"/>
      <w:lvlText w:val="%1."/>
      <w:numFmt w:val="decimal"/>
      <w:start w:val="9"/>
    </w:lvl>
  </w:abstractNum>
  <w:abstractNum w:abstractNumId="212">
    <w:nsid w:val="4D5C4899"/>
    <w:multiLevelType w:val="hybridMultilevel"/>
    <w:lvl w:ilvl="0">
      <w:lvlJc w:val="left"/>
      <w:lvlText w:val="(%1)"/>
      <w:numFmt w:val="lowerRoman"/>
      <w:start w:val="2"/>
    </w:lvl>
    <w:lvl w:ilvl="1">
      <w:lvlJc w:val="left"/>
      <w:lvlText w:val="%2."/>
      <w:numFmt w:val="decimal"/>
      <w:start w:val="10"/>
    </w:lvl>
  </w:abstractNum>
  <w:abstractNum w:abstractNumId="213">
    <w:nsid w:val="3C3B72B2"/>
    <w:multiLevelType w:val="hybridMultilevel"/>
    <w:lvl w:ilvl="0">
      <w:lvlJc w:val="left"/>
      <w:lvlText w:val="%1."/>
      <w:numFmt w:val="decimal"/>
      <w:start w:val="11"/>
    </w:lvl>
    <w:lvl w:ilvl="1">
      <w:lvlJc w:val="left"/>
      <w:lvlText w:val="(%2)"/>
      <w:numFmt w:val="lowerLetter"/>
      <w:start w:val="2"/>
    </w:lvl>
  </w:abstractNum>
  <w:abstractNum w:abstractNumId="214">
    <w:nsid w:val="155EC4C2"/>
    <w:multiLevelType w:val="hybridMultilevel"/>
    <w:lvl w:ilvl="0">
      <w:lvlJc w:val="left"/>
      <w:lvlText w:val="%1."/>
      <w:numFmt w:val="decimal"/>
      <w:start w:val="13"/>
    </w:lvl>
  </w:abstractNum>
  <w:abstractNum w:abstractNumId="215">
    <w:nsid w:val="65D2A137"/>
    <w:multiLevelType w:val="hybridMultilevel"/>
    <w:lvl w:ilvl="0">
      <w:lvlJc w:val="left"/>
      <w:lvlText w:val="%1."/>
      <w:numFmt w:val="decimal"/>
      <w:start w:val="1"/>
    </w:lvl>
  </w:abstractNum>
  <w:abstractNum w:abstractNumId="216">
    <w:nsid w:val="6EBB1F2A"/>
    <w:multiLevelType w:val="hybridMultilevel"/>
    <w:lvl w:ilvl="0">
      <w:lvlJc w:val="left"/>
      <w:lvlText w:val="(%1)"/>
      <w:numFmt w:val="lowerLetter"/>
      <w:start w:val="1"/>
    </w:lvl>
  </w:abstractNum>
  <w:abstractNum w:abstractNumId="217">
    <w:nsid w:val="6FBF29CB"/>
    <w:multiLevelType w:val="hybridMultilevel"/>
    <w:lvl w:ilvl="0">
      <w:lvlJc w:val="left"/>
      <w:lvlText w:val="(%1)"/>
      <w:numFmt w:val="lowerLetter"/>
      <w:start w:val="3"/>
    </w:lvl>
  </w:abstractNum>
  <w:abstractNum w:abstractNumId="218">
    <w:nsid w:val="550B8808"/>
    <w:multiLevelType w:val="hybridMultilevel"/>
    <w:lvl w:ilvl="0">
      <w:lvlJc w:val="left"/>
      <w:lvlText w:val="(%1)"/>
      <w:numFmt w:val="lowerLetter"/>
      <w:start w:val="5"/>
    </w:lvl>
  </w:abstractNum>
  <w:abstractNum w:abstractNumId="219">
    <w:nsid w:val="34CC3ACF"/>
    <w:multiLevelType w:val="hybridMultilevel"/>
    <w:lvl w:ilvl="0">
      <w:lvlJc w:val="left"/>
      <w:lvlText w:val="(%1)"/>
      <w:numFmt w:val="lowerLetter"/>
      <w:start w:val="8"/>
    </w:lvl>
  </w:abstractNum>
  <w:abstractNum w:abstractNumId="220">
    <w:nsid w:val="4E556261"/>
    <w:multiLevelType w:val="hybridMultilevel"/>
    <w:lvl w:ilvl="0">
      <w:lvlJc w:val="left"/>
      <w:lvlText w:val="(%1)"/>
      <w:numFmt w:val="lowerRoman"/>
      <w:start w:val="2"/>
    </w:lvl>
  </w:abstractNum>
  <w:abstractNum w:abstractNumId="221">
    <w:nsid w:val="4C672FC9"/>
    <w:multiLevelType w:val="hybridMultilevel"/>
    <w:lvl w:ilvl="0">
      <w:lvlJc w:val="left"/>
      <w:lvlText w:val="%1:"/>
      <w:numFmt w:val="lowerLetter"/>
      <w:start w:val="29"/>
    </w:lvl>
  </w:abstractNum>
  <w:abstractNum w:abstractNumId="222">
    <w:nsid w:val="52A311C3"/>
    <w:multiLevelType w:val="hybridMultilevel"/>
    <w:lvl w:ilvl="0">
      <w:lvlJc w:val="left"/>
      <w:lvlText w:val="%1."/>
      <w:numFmt w:val="decimal"/>
      <w:start w:val="1"/>
    </w:lvl>
  </w:abstractNum>
  <w:abstractNum w:abstractNumId="223">
    <w:nsid w:val="44EF6B80"/>
    <w:multiLevelType w:val="hybridMultilevel"/>
    <w:lvl w:ilvl="0">
      <w:lvlJc w:val="left"/>
      <w:lvlText w:val="%1."/>
      <w:numFmt w:val="decimal"/>
      <w:start w:val="1"/>
    </w:lvl>
    <w:lvl w:ilvl="1">
      <w:lvlJc w:val="left"/>
      <w:lvlText w:val="(%2)"/>
      <w:numFmt w:val="lowerLetter"/>
      <w:start w:val="1"/>
    </w:lvl>
  </w:abstractNum>
  <w:abstractNum w:abstractNumId="224">
    <w:nsid w:val="12FCDE5E"/>
    <w:multiLevelType w:val="hybridMultilevel"/>
    <w:lvl w:ilvl="0">
      <w:lvlJc w:val="left"/>
      <w:lvlText w:val="%1"/>
      <w:numFmt w:val="decimal"/>
      <w:start w:val="1"/>
    </w:lvl>
    <w:lvl w:ilvl="1">
      <w:lvlJc w:val="left"/>
      <w:lvlText w:val="(%2)"/>
      <w:numFmt w:val="lowerLetter"/>
      <w:start w:val="5"/>
    </w:lvl>
  </w:abstractNum>
  <w:abstractNum w:abstractNumId="225">
    <w:nsid w:val="4A1D606E"/>
    <w:multiLevelType w:val="hybridMultilevel"/>
    <w:lvl w:ilvl="0">
      <w:lvlJc w:val="left"/>
      <w:lvlText w:val="%1."/>
      <w:numFmt w:val="decimal"/>
      <w:start w:val="2"/>
    </w:lvl>
    <w:lvl w:ilvl="1">
      <w:lvlJc w:val="left"/>
      <w:lvlText w:val="(%2)"/>
      <w:numFmt w:val="lowerLetter"/>
      <w:start w:val="1"/>
    </w:lvl>
  </w:abstractNum>
  <w:abstractNum w:abstractNumId="226">
    <w:nsid w:val="4382503"/>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3"/>
    </w:lvl>
  </w:abstractNum>
  <w:abstractNum w:abstractNumId="227">
    <w:nsid w:val="59B76E28"/>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1"/>
    </w:lvl>
  </w:abstractNum>
  <w:abstractNum w:abstractNumId="228">
    <w:nsid w:val="4252C2DA"/>
    <w:multiLevelType w:val="hybridMultilevel"/>
    <w:lvl w:ilvl="0">
      <w:lvlJc w:val="left"/>
      <w:lvlText w:val="(%1)"/>
      <w:numFmt w:val="lowerRoman"/>
      <w:start w:val="4"/>
    </w:lvl>
    <w:lvl w:ilvl="1">
      <w:lvlJc w:val="left"/>
      <w:lvlText w:val="%2."/>
      <w:numFmt w:val="decimal"/>
      <w:start w:val="3"/>
    </w:lvl>
    <w:lvl w:ilvl="2">
      <w:lvlJc w:val="left"/>
      <w:lvlText w:val="(%3)"/>
      <w:numFmt w:val="lowerLetter"/>
      <w:start w:val="1"/>
    </w:lvl>
  </w:abstractNum>
  <w:abstractNum w:abstractNumId="229">
    <w:nsid w:val="6A92EF4C"/>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2"/>
    </w:lvl>
  </w:abstractNum>
  <w:abstractNum w:abstractNumId="230">
    <w:nsid w:val="41ED20D7"/>
    <w:multiLevelType w:val="hybridMultilevel"/>
    <w:lvl w:ilvl="0">
      <w:lvlJc w:val="left"/>
      <w:lvlText w:val="(%1)"/>
      <w:numFmt w:val="lowerLetter"/>
      <w:start w:val="4"/>
    </w:lvl>
    <w:lvl w:ilvl="1">
      <w:lvlJc w:val="left"/>
      <w:lvlText w:val="(%2)"/>
      <w:numFmt w:val="lowerRoman"/>
      <w:start w:val="1"/>
    </w:lvl>
  </w:abstractNum>
  <w:abstractNum w:abstractNumId="231">
    <w:nsid w:val="E6B3F6A"/>
    <w:multiLevelType w:val="hybridMultilevel"/>
    <w:lvl w:ilvl="0">
      <w:lvlJc w:val="left"/>
      <w:lvlText w:val="(%1)"/>
      <w:numFmt w:val="lowerLetter"/>
      <w:start w:val="5"/>
    </w:lvl>
  </w:abstractNum>
  <w:abstractNum w:abstractNumId="232">
    <w:nsid w:val="3EB21819"/>
    <w:multiLevelType w:val="hybridMultilevel"/>
    <w:lvl w:ilvl="0">
      <w:lvlJc w:val="left"/>
      <w:lvlText w:val="%1"/>
      <w:numFmt w:val="decimal"/>
      <w:start w:val="1"/>
    </w:lvl>
    <w:lvl w:ilvl="1">
      <w:lvlJc w:val="left"/>
      <w:lvlText w:val="(%2)"/>
      <w:numFmt w:val="lowerLetter"/>
      <w:start w:val="6"/>
    </w:lvl>
  </w:abstractNum>
  <w:abstractNum w:abstractNumId="233">
    <w:nsid w:val="41531DED"/>
    <w:multiLevelType w:val="hybridMultilevel"/>
    <w:lvl w:ilvl="0">
      <w:lvlJc w:val="left"/>
      <w:lvlText w:val="%1."/>
      <w:numFmt w:val="decimal"/>
      <w:start w:val="4"/>
    </w:lvl>
    <w:lvl w:ilvl="1">
      <w:lvlJc w:val="left"/>
      <w:lvlText w:val="(%2)"/>
      <w:numFmt w:val="lowerLetter"/>
      <w:start w:val="1"/>
    </w:lvl>
  </w:abstractNum>
  <w:abstractNum w:abstractNumId="234">
    <w:nsid w:val="6353CD2"/>
    <w:multiLevelType w:val="hybridMultilevel"/>
    <w:lvl w:ilvl="0">
      <w:lvlJc w:val="left"/>
      <w:lvlText w:val="(%1)"/>
      <w:numFmt w:val="lowerLetter"/>
      <w:start w:val="3"/>
    </w:lvl>
    <w:lvl w:ilvl="1">
      <w:lvlJc w:val="left"/>
      <w:lvlText w:val="(%2)"/>
      <w:numFmt w:val="lowerRoman"/>
      <w:start w:val="1"/>
    </w:lvl>
  </w:abstractNum>
  <w:abstractNum w:abstractNumId="235">
    <w:nsid w:val="683CAAD3"/>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236">
    <w:nsid w:val="313C7C99"/>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1"/>
    </w:lvl>
  </w:abstractNum>
  <w:abstractNum w:abstractNumId="237">
    <w:nsid w:val="519EB94C"/>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2"/>
    </w:lvl>
  </w:abstractNum>
  <w:abstractNum w:abstractNumId="238">
    <w:nsid w:val="39DF2579"/>
    <w:multiLevelType w:val="hybridMultilevel"/>
    <w:lvl w:ilvl="0">
      <w:lvlJc w:val="left"/>
      <w:lvlText w:val="%1"/>
      <w:numFmt w:val="lowerRoman"/>
      <w:start w:val="1"/>
    </w:lvl>
    <w:lvl w:ilvl="1">
      <w:lvlJc w:val="left"/>
      <w:lvlText w:val="(%2)"/>
      <w:numFmt w:val="decimal"/>
      <w:start w:val="5"/>
    </w:lvl>
    <w:lvl w:ilvl="2">
      <w:lvlJc w:val="left"/>
      <w:lvlText w:val="%3"/>
      <w:numFmt w:val="lowerLetter"/>
      <w:start w:val="1"/>
    </w:lvl>
  </w:abstractNum>
  <w:abstractNum w:abstractNumId="239">
    <w:nsid w:val="126E008B"/>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abstractNum>
  <w:abstractNum w:abstractNumId="240">
    <w:nsid w:val="34DFBC00"/>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lowerLetter"/>
      <w:start w:val="2"/>
    </w:lvl>
  </w:abstractNum>
  <w:abstractNum w:abstractNumId="241">
    <w:nsid w:val="1F9EC322"/>
    <w:multiLevelType w:val="hybridMultilevel"/>
    <w:lvl w:ilvl="0">
      <w:lvlJc w:val="left"/>
      <w:lvlText w:val="(%1)"/>
      <w:numFmt w:val="lowerLetter"/>
      <w:start w:val="2"/>
    </w:lvl>
    <w:lvl w:ilvl="1">
      <w:lvlJc w:val="left"/>
      <w:lvlText w:val="(%2)"/>
      <w:numFmt w:val="lowerLetter"/>
      <w:start w:val="4"/>
    </w:lvl>
    <w:lvl w:ilvl="2">
      <w:lvlJc w:val="left"/>
      <w:lvlText w:val="(%3)"/>
      <w:numFmt w:val="decimal"/>
      <w:start w:val="2"/>
    </w:lvl>
    <w:lvl w:ilvl="3">
      <w:lvlJc w:val="left"/>
      <w:lvlText w:val="(%4)"/>
      <w:numFmt w:val="lowerLetter"/>
      <w:start w:val="24"/>
    </w:lvl>
  </w:abstractNum>
  <w:abstractNum w:abstractNumId="242">
    <w:nsid w:val="3410ED56"/>
    <w:multiLevelType w:val="hybridMultilevel"/>
    <w:lvl w:ilvl="0">
      <w:lvlJc w:val="left"/>
      <w:lvlText w:val="(%1)"/>
      <w:numFmt w:val="lowerLetter"/>
      <w:start w:val="8"/>
    </w:lvl>
    <w:lvl w:ilvl="1">
      <w:lvlJc w:val="left"/>
      <w:lvlText w:val="(%2)"/>
      <w:numFmt w:val="lowerRoman"/>
      <w:start w:val="1"/>
    </w:lvl>
  </w:abstractNum>
  <w:abstractNum w:abstractNumId="243">
    <w:nsid w:val="23C049A"/>
    <w:multiLevelType w:val="hybridMultilevel"/>
    <w:lvl w:ilvl="0">
      <w:lvlJc w:val="left"/>
      <w:lvlText w:val="%1"/>
      <w:numFmt w:val="decimal"/>
      <w:start w:val="1"/>
    </w:lvl>
    <w:lvl w:ilvl="1">
      <w:lvlJc w:val="left"/>
      <w:lvlText w:val="(%2)"/>
      <w:numFmt w:val="lowerLetter"/>
      <w:start w:val="11"/>
    </w:lvl>
  </w:abstractNum>
  <w:abstractNum w:abstractNumId="244">
    <w:nsid w:val="5BDA35D4"/>
    <w:multiLevelType w:val="hybridMultilevel"/>
    <w:lvl w:ilvl="0">
      <w:lvlJc w:val="left"/>
      <w:lvlText w:val="%1."/>
      <w:numFmt w:val="decimal"/>
      <w:start w:val="5"/>
    </w:lvl>
    <w:lvl w:ilvl="1">
      <w:lvlJc w:val="left"/>
      <w:lvlText w:val="(%2)"/>
      <w:numFmt w:val="lowerLetter"/>
      <w:start w:val="1"/>
    </w:lvl>
  </w:abstractNum>
  <w:abstractNum w:abstractNumId="245">
    <w:nsid w:val="496FB218"/>
    <w:multiLevelType w:val="hybridMultilevel"/>
    <w:lvl w:ilvl="0">
      <w:lvlJc w:val="left"/>
      <w:lvlText w:val="(%1)"/>
      <w:numFmt w:val="lowerLetter"/>
      <w:start w:val="1"/>
    </w:lvl>
  </w:abstractNum>
  <w:abstractNum w:abstractNumId="246">
    <w:nsid w:val="680EA5D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3"/>
    </w:lvl>
  </w:abstractNum>
  <w:abstractNum w:abstractNumId="247">
    <w:nsid w:val="4A9554FE"/>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248">
    <w:nsid w:val="392EDBE4"/>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249">
    <w:nsid w:val="3D1A2DD9"/>
    <w:multiLevelType w:val="hybridMultilevel"/>
    <w:lvl w:ilvl="0">
      <w:lvlJc w:val="left"/>
      <w:lvlText w:val="(%1)"/>
      <w:numFmt w:val="lowerLetter"/>
      <w:start w:val="35"/>
    </w:lvl>
    <w:lvl w:ilvl="1">
      <w:lvlJc w:val="left"/>
      <w:lvlText w:val="%2."/>
      <w:numFmt w:val="decimal"/>
      <w:start w:val="7"/>
    </w:lvl>
    <w:lvl w:ilvl="2">
      <w:lvlJc w:val="left"/>
      <w:lvlText w:val="(%3)"/>
      <w:numFmt w:val="lowerLetter"/>
      <w:start w:val="4"/>
    </w:lvl>
  </w:abstractNum>
  <w:abstractNum w:abstractNumId="250">
    <w:nsid w:val="7F618FC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51">
    <w:nsid w:val="7843E45"/>
    <w:multiLevelType w:val="hybridMultilevel"/>
    <w:lvl w:ilvl="0">
      <w:lvlJc w:val="left"/>
      <w:lvlText w:val="(%1)"/>
      <w:numFmt w:val="lowerRoman"/>
      <w:start w:val="2"/>
    </w:lvl>
  </w:abstractNum>
  <w:abstractNum w:abstractNumId="252">
    <w:nsid w:val="9815DA3"/>
    <w:multiLevelType w:val="hybridMultilevel"/>
    <w:lvl w:ilvl="0">
      <w:lvlJc w:val="left"/>
      <w:lvlText w:val="(%1)"/>
      <w:numFmt w:val="lowerRoman"/>
      <w:start w:val="2"/>
    </w:lvl>
  </w:abstractNum>
  <w:abstractNum w:abstractNumId="253">
    <w:nsid w:val="5204A191"/>
    <w:multiLevelType w:val="hybridMultilevel"/>
    <w:lvl w:ilvl="0">
      <w:lvlJc w:val="left"/>
      <w:lvlText w:val="(%1)"/>
      <w:numFmt w:val="lowerLetter"/>
      <w:start w:val="4"/>
    </w:lvl>
  </w:abstractNum>
  <w:abstractNum w:abstractNumId="254">
    <w:nsid w:val="4C73A9C6"/>
    <w:multiLevelType w:val="hybridMultilevel"/>
    <w:lvl w:ilvl="0">
      <w:lvlJc w:val="left"/>
      <w:lvlText w:val="%1."/>
      <w:numFmt w:val="decimal"/>
      <w:start w:val="9"/>
    </w:lvl>
  </w:abstractNum>
  <w:abstractNum w:abstractNumId="255">
    <w:nsid w:val="1C7E3C01"/>
    <w:multiLevelType w:val="hybridMultilevel"/>
    <w:lvl w:ilvl="0">
      <w:lvlJc w:val="left"/>
      <w:lvlText w:val="%1."/>
      <w:numFmt w:val="decimal"/>
      <w:start w:val="1"/>
    </w:lvl>
  </w:abstractNum>
  <w:abstractNum w:abstractNumId="256">
    <w:nsid w:val="1C2201FF"/>
    <w:multiLevelType w:val="hybridMultilevel"/>
    <w:lvl w:ilvl="0">
      <w:lvlJc w:val="left"/>
      <w:lvlText w:val="%1."/>
      <w:numFmt w:val="decimal"/>
      <w:start w:val="3"/>
    </w:lvl>
  </w:abstractNum>
  <w:abstractNum w:abstractNumId="257">
    <w:nsid w:val="50ABCEC9"/>
    <w:multiLevelType w:val="hybridMultilevel"/>
    <w:lvl w:ilvl="0">
      <w:lvlJc w:val="left"/>
      <w:lvlText w:val="%1."/>
      <w:numFmt w:val="decimal"/>
      <w:start w:val="1"/>
    </w:lvl>
  </w:abstractNum>
  <w:abstractNum w:abstractNumId="258">
    <w:nsid w:val="7635AA2A"/>
    <w:multiLevelType w:val="hybridMultilevel"/>
    <w:lvl w:ilvl="0">
      <w:lvlJc w:val="left"/>
      <w:lvlText w:val="%1."/>
      <w:numFmt w:val="decimal"/>
      <w:start w:val="1"/>
    </w:lvl>
    <w:lvl w:ilvl="1">
      <w:lvlJc w:val="left"/>
      <w:lvlText w:val="•"/>
      <w:numFmt w:val="bullet"/>
      <w:start w:val="1"/>
    </w:lvl>
  </w:abstractNum>
  <w:abstractNum w:abstractNumId="259">
    <w:nsid w:val="5E74C4D9"/>
    <w:multiLevelType w:val="hybridMultilevel"/>
    <w:lvl w:ilvl="0">
      <w:lvlJc w:val="left"/>
      <w:lvlText w:val="(%1)"/>
      <w:numFmt w:val="lowerLetter"/>
      <w:start w:val="1"/>
    </w:lvl>
  </w:abstractNum>
  <w:abstractNum w:abstractNumId="260">
    <w:nsid w:val="3B3EBE15"/>
    <w:multiLevelType w:val="hybridMultilevel"/>
    <w:lvl w:ilvl="0">
      <w:lvlJc w:val="left"/>
      <w:lvlText w:val="(%1)"/>
      <w:numFmt w:val="lowerLetter"/>
      <w:start w:val="2"/>
    </w:lvl>
  </w:abstractNum>
  <w:abstractNum w:abstractNumId="261">
    <w:nsid w:val="3822CB01"/>
    <w:multiLevelType w:val="hybridMultilevel"/>
    <w:lvl w:ilvl="0">
      <w:lvlJc w:val="left"/>
      <w:lvlText w:val="(%1)"/>
      <w:numFmt w:val="lowerLetter"/>
      <w:start w:val="2"/>
    </w:lvl>
  </w:abstractNum>
  <w:abstractNum w:abstractNumId="262">
    <w:nsid w:val="6CE00443"/>
    <w:multiLevelType w:val="hybridMultilevel"/>
    <w:lvl w:ilvl="0">
      <w:lvlJc w:val="left"/>
      <w:lvlText w:val="(%1)"/>
      <w:numFmt w:val="lowerLetter"/>
      <w:start w:val="1"/>
    </w:lvl>
  </w:abstractNum>
  <w:abstractNum w:abstractNumId="263">
    <w:nsid w:val="79F0D62F"/>
    <w:multiLevelType w:val="hybridMultilevel"/>
    <w:lvl w:ilvl="0">
      <w:lvlJc w:val="left"/>
      <w:lvlText w:val="%1."/>
      <w:numFmt w:val="decimal"/>
      <w:start w:val="3"/>
    </w:lvl>
  </w:abstractNum>
  <w:abstractNum w:abstractNumId="264">
    <w:nsid w:val="7975E8EE"/>
    <w:multiLevelType w:val="hybridMultilevel"/>
    <w:lvl w:ilvl="0">
      <w:lvlJc w:val="left"/>
      <w:lvlText w:val="%1."/>
      <w:numFmt w:val="decimal"/>
      <w:start w:val="4"/>
    </w:lvl>
  </w:abstractNum>
  <w:abstractNum w:abstractNumId="265">
    <w:nsid w:val="73154115"/>
    <w:multiLevelType w:val="hybridMultilevel"/>
    <w:lvl w:ilvl="0">
      <w:lvlJc w:val="left"/>
      <w:lvlText w:val="(%1)"/>
      <w:numFmt w:val="lowerLetter"/>
      <w:start w:val="1"/>
    </w:lvl>
  </w:abstractNum>
  <w:abstractNum w:abstractNumId="266">
    <w:nsid w:val="622D8102"/>
    <w:multiLevelType w:val="hybridMultilevel"/>
    <w:lvl w:ilvl="0">
      <w:lvlJc w:val="left"/>
      <w:lvlText w:val="(%1)"/>
      <w:numFmt w:val="lowerLetter"/>
      <w:start w:val="3"/>
    </w:lvl>
  </w:abstractNum>
  <w:abstractNum w:abstractNumId="267">
    <w:nsid w:val="2AB26587"/>
    <w:multiLevelType w:val="hybridMultilevel"/>
    <w:lvl w:ilvl="0">
      <w:lvlJc w:val="left"/>
      <w:lvlText w:val="%1."/>
      <w:numFmt w:val="decimal"/>
      <w:start w:val="5"/>
    </w:lvl>
  </w:abstractNum>
  <w:abstractNum w:abstractNumId="268">
    <w:nsid w:val="44B3FA6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69">
    <w:nsid w:val="1C0CA67C"/>
    <w:multiLevelType w:val="hybridMultilevel"/>
    <w:lvl w:ilvl="0">
      <w:lvlJc w:val="left"/>
      <w:lvlText w:val="(%1)"/>
      <w:numFmt w:val="decimal"/>
      <w:start w:val="30"/>
    </w:lvl>
    <w:lvl w:ilvl="1">
      <w:lvlJc w:val="left"/>
      <w:lvlText w:val="%2."/>
      <w:numFmt w:val="decimal"/>
      <w:start w:val="7"/>
    </w:lvl>
    <w:lvl w:ilvl="2">
      <w:lvlJc w:val="left"/>
      <w:lvlText w:val="%3"/>
      <w:numFmt w:val="lowerLetter"/>
      <w:start w:val="1"/>
    </w:lvl>
  </w:abstractNum>
  <w:abstractNum w:abstractNumId="270">
    <w:nsid w:val="3D206613"/>
    <w:multiLevelType w:val="hybridMultilevel"/>
    <w:lvl w:ilvl="0">
      <w:lvlJc w:val="left"/>
      <w:lvlText w:val="(%1)"/>
      <w:numFmt w:val="lowerLetter"/>
      <w:start w:val="1"/>
    </w:lvl>
  </w:abstractNum>
  <w:abstractNum w:abstractNumId="271">
    <w:nsid w:val="7993B662"/>
    <w:multiLevelType w:val="hybridMultilevel"/>
    <w:lvl w:ilvl="0">
      <w:lvlJc w:val="left"/>
      <w:lvlText w:val="%1."/>
      <w:numFmt w:val="decimal"/>
      <w:start w:val="8"/>
    </w:lvl>
  </w:abstractNum>
  <w:abstractNum w:abstractNumId="272">
    <w:nsid w:val="3BAB699E"/>
    <w:multiLevelType w:val="hybridMultilevel"/>
    <w:lvl w:ilvl="0">
      <w:lvlJc w:val="left"/>
      <w:lvlText w:val="%1."/>
      <w:numFmt w:val="decimal"/>
      <w:start w:val="9"/>
    </w:lvl>
  </w:abstractNum>
  <w:abstractNum w:abstractNumId="273">
    <w:nsid w:val="71315369"/>
    <w:multiLevelType w:val="hybridMultilevel"/>
    <w:lvl w:ilvl="0">
      <w:lvlJc w:val="left"/>
      <w:lvlText w:val="%1."/>
      <w:numFmt w:val="decimal"/>
      <w:start w:val="10"/>
    </w:lvl>
  </w:abstractNum>
  <w:abstractNum w:abstractNumId="274">
    <w:nsid w:val="7BCFBAFC"/>
    <w:multiLevelType w:val="hybridMultilevel"/>
    <w:lvl w:ilvl="0">
      <w:lvlJc w:val="left"/>
      <w:lvlText w:val="%1."/>
      <w:numFmt w:val="decimal"/>
      <w:start w:val="11"/>
    </w:lvl>
  </w:abstractNum>
  <w:abstractNum w:abstractNumId="275">
    <w:nsid w:val="17859F72"/>
    <w:multiLevelType w:val="hybridMultilevel"/>
    <w:lvl w:ilvl="0">
      <w:lvlJc w:val="left"/>
      <w:lvlText w:val="%1."/>
      <w:numFmt w:val="decimal"/>
      <w:start w:val="14"/>
    </w:lvl>
  </w:abstractNum>
  <w:abstractNum w:abstractNumId="276">
    <w:nsid w:val="3AA10581"/>
    <w:multiLevelType w:val="hybridMultilevel"/>
    <w:lvl w:ilvl="0">
      <w:lvlJc w:val="left"/>
      <w:lvlText w:val="%1."/>
      <w:numFmt w:val="decimal"/>
      <w:start w:val="15"/>
    </w:lvl>
  </w:abstractNum>
  <w:abstractNum w:abstractNumId="277">
    <w:nsid w:val="63DE60CD"/>
    <w:multiLevelType w:val="hybridMultilevel"/>
    <w:lvl w:ilvl="0">
      <w:lvlJc w:val="left"/>
      <w:lvlText w:val="%1."/>
      <w:numFmt w:val="decimal"/>
      <w:start w:val="16"/>
    </w:lvl>
  </w:abstractNum>
  <w:abstractNum w:abstractNumId="278">
    <w:nsid w:val="621AF471"/>
    <w:multiLevelType w:val="hybridMultilevel"/>
    <w:lvl w:ilvl="0">
      <w:lvlJc w:val="left"/>
      <w:lvlText w:val="%1."/>
      <w:numFmt w:val="decimal"/>
      <w:start w:val="20"/>
    </w:lvl>
  </w:abstractNum>
  <w:abstractNum w:abstractNumId="279">
    <w:nsid w:val="73CFE165"/>
    <w:multiLevelType w:val="hybridMultilevel"/>
    <w:lvl w:ilvl="0">
      <w:lvlJc w:val="left"/>
      <w:lvlText w:val="%1."/>
      <w:numFmt w:val="decimal"/>
      <w:start w:val="21"/>
    </w:lvl>
  </w:abstractNum>
  <w:abstractNum w:abstractNumId="280">
    <w:nsid w:val="20F88EA6"/>
    <w:multiLevelType w:val="hybridMultilevel"/>
    <w:lvl w:ilvl="0">
      <w:lvlJc w:val="left"/>
      <w:lvlText w:val="(%1)"/>
      <w:numFmt w:val="lowerLetter"/>
      <w:start w:val="1"/>
    </w:lvl>
  </w:abstractNum>
  <w:abstractNum w:abstractNumId="281">
    <w:nsid w:val="617C843E"/>
    <w:multiLevelType w:val="hybridMultilevel"/>
    <w:lvl w:ilvl="0">
      <w:lvlJc w:val="left"/>
      <w:lvlText w:val="(%1)"/>
      <w:numFmt w:val="lowerLetter"/>
      <w:start w:val="8"/>
    </w:lvl>
    <w:lvl w:ilvl="1">
      <w:lvlJc w:val="left"/>
      <w:lvlText w:val="(%2)"/>
      <w:numFmt w:val="lowerRoman"/>
      <w:start w:val="1"/>
    </w:lvl>
  </w:abstractNum>
  <w:abstractNum w:abstractNumId="282">
    <w:nsid w:val="7B541FAB"/>
    <w:multiLevelType w:val="hybridMultilevel"/>
    <w:lvl w:ilvl="0">
      <w:lvlJc w:val="left"/>
      <w:lvlText w:val="%1."/>
      <w:numFmt w:val="decimal"/>
      <w:start w:val="1"/>
    </w:lvl>
  </w:abstractNum>
  <w:abstractNum w:abstractNumId="283">
    <w:nsid w:val="2A79EC49"/>
    <w:multiLevelType w:val="hybridMultilevel"/>
    <w:lvl w:ilvl="0">
      <w:lvlJc w:val="left"/>
      <w:lvlText w:val="%1."/>
      <w:numFmt w:val="decimal"/>
      <w:start w:val="6"/>
    </w:lvl>
  </w:abstractNum>
  <w:abstractNum w:abstractNumId="284">
    <w:nsid w:val="338125CF"/>
    <w:multiLevelType w:val="hybridMultilevel"/>
    <w:lvl w:ilvl="0">
      <w:lvlJc w:val="left"/>
      <w:lvlText w:val="%1."/>
      <w:numFmt w:val="decimal"/>
      <w:start w:val="1"/>
    </w:lvl>
  </w:abstractNum>
  <w:abstractNum w:abstractNumId="285">
    <w:nsid w:val="47C7C971"/>
    <w:multiLevelType w:val="hybridMultilevel"/>
    <w:lvl w:ilvl="0">
      <w:lvlJc w:val="left"/>
      <w:lvlText w:val="(%1)"/>
      <w:numFmt w:val="lowerLetter"/>
      <w:start w:val="1"/>
    </w:lvl>
  </w:abstractNum>
  <w:abstractNum w:abstractNumId="286">
    <w:nsid w:val="46F8284B"/>
    <w:multiLevelType w:val="hybridMultilevel"/>
    <w:lvl w:ilvl="0">
      <w:lvlJc w:val="left"/>
      <w:lvlText w:val="(%1)"/>
      <w:numFmt w:val="lowerLetter"/>
      <w:start w:val="2"/>
    </w:lvl>
  </w:abstractNum>
  <w:abstractNum w:abstractNumId="287">
    <w:nsid w:val="4FA327CE"/>
    <w:multiLevelType w:val="hybridMultilevel"/>
    <w:lvl w:ilvl="0">
      <w:lvlJc w:val="left"/>
      <w:lvlText w:val="(%1)"/>
      <w:numFmt w:val="lowerLetter"/>
      <w:start w:val="1"/>
    </w:lvl>
  </w:abstractNum>
  <w:abstractNum w:abstractNumId="288">
    <w:nsid w:val="1873983A"/>
    <w:multiLevelType w:val="hybridMultilevel"/>
    <w:lvl w:ilvl="0">
      <w:lvlJc w:val="left"/>
      <w:lvlText w:val="(%1)"/>
      <w:numFmt w:val="lowerLetter"/>
      <w:start w:val="3"/>
    </w:lvl>
  </w:abstractNum>
  <w:abstractNum w:abstractNumId="289">
    <w:nsid w:val="3D2DD275"/>
    <w:multiLevelType w:val="hybridMultilevel"/>
    <w:lvl w:ilvl="0">
      <w:lvlJc w:val="left"/>
      <w:lvlText w:val="%1."/>
      <w:numFmt w:val="decimal"/>
      <w:start w:val="3"/>
    </w:lvl>
  </w:abstractNum>
  <w:abstractNum w:abstractNumId="290">
    <w:nsid w:val="2E17ECA7"/>
    <w:multiLevelType w:val="hybridMultilevel"/>
    <w:lvl w:ilvl="0">
      <w:lvlJc w:val="left"/>
      <w:lvlText w:val="%1."/>
      <w:numFmt w:val="decimal"/>
      <w:start w:val="4"/>
    </w:lvl>
    <w:lvl w:ilvl="1">
      <w:lvlJc w:val="left"/>
      <w:lvlText w:val="(%2)"/>
      <w:numFmt w:val="lowerLetter"/>
      <w:start w:val="1"/>
    </w:lvl>
  </w:abstractNum>
  <w:abstractNum w:abstractNumId="291">
    <w:nsid w:val="53B2564F"/>
    <w:multiLevelType w:val="hybridMultilevel"/>
    <w:lvl w:ilvl="0">
      <w:lvlJc w:val="left"/>
      <w:lvlText w:val="%1."/>
      <w:numFmt w:val="decimal"/>
      <w:start w:val="5"/>
    </w:lvl>
  </w:abstractNum>
  <w:abstractNum w:abstractNumId="292">
    <w:nsid w:val="75509D76"/>
    <w:multiLevelType w:val="hybridMultilevel"/>
    <w:lvl w:ilvl="0">
      <w:lvlJc w:val="left"/>
      <w:lvlText w:val="(%1)"/>
      <w:numFmt w:val="lowerLetter"/>
      <w:start w:val="1"/>
    </w:lvl>
    <w:lvl w:ilvl="1">
      <w:lvlJc w:val="left"/>
      <w:lvlText w:val="%2."/>
      <w:numFmt w:val="decimal"/>
      <w:start w:val="6"/>
    </w:lvl>
  </w:abstractNum>
  <w:abstractNum w:abstractNumId="293">
    <w:nsid w:val="1AF7F0EA"/>
    <w:multiLevelType w:val="hybridMultilevel"/>
    <w:lvl w:ilvl="0">
      <w:lvlJc w:val="left"/>
      <w:lvlText w:val="(%1)"/>
      <w:numFmt w:val="lowerLetter"/>
      <w:start w:val="1"/>
    </w:lvl>
  </w:abstractNum>
  <w:abstractNum w:abstractNumId="294">
    <w:nsid w:val="4DA32C7E"/>
    <w:multiLevelType w:val="hybridMultilevel"/>
    <w:lvl w:ilvl="0">
      <w:lvlJc w:val="left"/>
      <w:lvlText w:val="(%1)"/>
      <w:numFmt w:val="lowerLetter"/>
      <w:start w:val="1"/>
    </w:lvl>
  </w:abstractNum>
  <w:abstractNum w:abstractNumId="295">
    <w:nsid w:val="6EC68664"/>
    <w:multiLevelType w:val="hybridMultilevel"/>
    <w:lvl w:ilvl="0">
      <w:lvlJc w:val="left"/>
      <w:lvlText w:val="(%1)"/>
      <w:numFmt w:val="lowerLetter"/>
      <w:start w:val="3"/>
    </w:lvl>
  </w:abstractNum>
  <w:abstractNum w:abstractNumId="296">
    <w:nsid w:val="E0D31FF"/>
    <w:multiLevelType w:val="hybridMultilevel"/>
    <w:lvl w:ilvl="0">
      <w:lvlJc w:val="left"/>
      <w:lvlText w:val="%1."/>
      <w:numFmt w:val="decimal"/>
      <w:start w:val="9"/>
    </w:lvl>
  </w:abstractNum>
  <w:abstractNum w:abstractNumId="297">
    <w:nsid w:val="2FD0AD81"/>
    <w:multiLevelType w:val="hybridMultilevel"/>
    <w:lvl w:ilvl="0">
      <w:lvlJc w:val="left"/>
      <w:lvlText w:val="%1."/>
      <w:numFmt w:val="decimal"/>
      <w:start w:val="10"/>
    </w:lvl>
  </w:abstractNum>
  <w:abstractNum w:abstractNumId="298">
    <w:nsid w:val="1978EBEB"/>
    <w:multiLevelType w:val="hybridMultilevel"/>
    <w:lvl w:ilvl="0">
      <w:lvlJc w:val="left"/>
      <w:lvlText w:val="(%1)"/>
      <w:numFmt w:val="lowerRoman"/>
      <w:start w:val="10"/>
    </w:lvl>
    <w:lvl w:ilvl="1">
      <w:lvlJc w:val="left"/>
      <w:lvlText w:val="%2."/>
      <w:numFmt w:val="decimal"/>
      <w:start w:val="11"/>
    </w:lvl>
  </w:abstractNum>
  <w:abstractNum w:abstractNumId="299">
    <w:nsid w:val="52C12C61"/>
    <w:multiLevelType w:val="hybridMultilevel"/>
    <w:lvl w:ilvl="0">
      <w:lvlJc w:val="left"/>
      <w:lvlText w:val="%1."/>
      <w:numFmt w:val="decimal"/>
      <w:start w:val="13"/>
    </w:lvl>
  </w:abstractNum>
  <w:abstractNum w:abstractNumId="300">
    <w:nsid w:val="4BDD53FD"/>
    <w:multiLevelType w:val="hybridMultilevel"/>
    <w:lvl w:ilvl="0">
      <w:lvlJc w:val="left"/>
      <w:lvlText w:val="%1."/>
      <w:numFmt w:val="decimal"/>
      <w:start w:val="16"/>
    </w:lvl>
  </w:abstractNum>
  <w:abstractNum w:abstractNumId="301">
    <w:nsid w:val="569951FE"/>
    <w:multiLevelType w:val="hybridMultilevel"/>
    <w:lvl w:ilvl="0">
      <w:lvlJc w:val="left"/>
      <w:lvlText w:val="%1."/>
      <w:numFmt w:val="decimal"/>
      <w:start w:val="18"/>
    </w:lvl>
  </w:abstractNum>
  <w:abstractNum w:abstractNumId="302">
    <w:nsid w:val="4C54E2C3"/>
    <w:multiLevelType w:val="hybridMultilevel"/>
    <w:lvl w:ilvl="0">
      <w:lvlJc w:val="left"/>
      <w:lvlText w:val="(%1)"/>
      <w:numFmt w:val="lowerLetter"/>
      <w:start w:val="1"/>
    </w:lvl>
  </w:abstractNum>
  <w:abstractNum w:abstractNumId="303">
    <w:nsid w:val="788BD9B"/>
    <w:multiLevelType w:val="hybridMultilevel"/>
    <w:lvl w:ilvl="0">
      <w:lvlJc w:val="left"/>
      <w:lvlText w:val="%1."/>
      <w:numFmt w:val="decimal"/>
      <w:start w:val="19"/>
    </w:lvl>
  </w:abstractNum>
  <w:abstractNum w:abstractNumId="304">
    <w:nsid w:val="47CAA567"/>
    <w:multiLevelType w:val="hybridMultilevel"/>
    <w:lvl w:ilvl="0">
      <w:lvlJc w:val="left"/>
      <w:lvlText w:val="%1."/>
      <w:numFmt w:val="decimal"/>
      <w:start w:val="20"/>
    </w:lvl>
  </w:abstractNum>
  <w:abstractNum w:abstractNumId="305">
    <w:nsid w:val="48249DBF"/>
    <w:multiLevelType w:val="hybridMultilevel"/>
    <w:lvl w:ilvl="0">
      <w:lvlJc w:val="left"/>
      <w:lvlText w:val="%1."/>
      <w:numFmt w:val="decimal"/>
      <w:start w:val="26"/>
    </w:lvl>
  </w:abstractNum>
  <w:abstractNum w:abstractNumId="306">
    <w:nsid w:val="1F0E5D0D"/>
    <w:multiLevelType w:val="hybridMultilevel"/>
    <w:lvl w:ilvl="0">
      <w:lvlJc w:val="left"/>
      <w:lvlText w:val="%1."/>
      <w:numFmt w:val="decimal"/>
      <w:start w:val="27"/>
    </w:lvl>
  </w:abstractNum>
  <w:abstractNum w:abstractNumId="307">
    <w:nsid w:val="26BAAE9"/>
    <w:multiLevelType w:val="hybridMultilevel"/>
    <w:lvl w:ilvl="0">
      <w:lvlJc w:val="left"/>
      <w:lvlText w:val="%1."/>
      <w:numFmt w:val="decimal"/>
      <w:start w:val="1"/>
    </w:lvl>
  </w:abstractNum>
  <w:abstractNum w:abstractNumId="308">
    <w:nsid w:val="2C02FE8C"/>
    <w:multiLevelType w:val="hybridMultilevel"/>
    <w:lvl w:ilvl="0">
      <w:lvlJc w:val="left"/>
      <w:lvlText w:val="%1"/>
      <w:numFmt w:val="lowerLetter"/>
      <w:start w:val="1"/>
    </w:lvl>
    <w:lvl w:ilvl="1">
      <w:lvlJc w:val="left"/>
      <w:lvlText w:val="%2."/>
      <w:numFmt w:val="decimal"/>
      <w:start w:val="7"/>
    </w:lvl>
  </w:abstractNum>
  <w:abstractNum w:abstractNumId="309">
    <w:nsid w:val="129517E"/>
    <w:multiLevelType w:val="hybridMultilevel"/>
    <w:lvl w:ilvl="0">
      <w:lvlJc w:val="left"/>
      <w:lvlText w:val="(%1)"/>
      <w:numFmt w:val="lowerLetter"/>
      <w:start w:val="2"/>
    </w:lvl>
    <w:lvl w:ilvl="1">
      <w:lvlJc w:val="left"/>
      <w:lvlText w:val="%2"/>
      <w:numFmt w:val="decimal"/>
      <w:start w:val="1"/>
    </w:lvl>
  </w:abstractNum>
  <w:abstractNum w:abstractNumId="310">
    <w:nsid w:val="763B8C4E"/>
    <w:multiLevelType w:val="hybridMultilevel"/>
    <w:lvl w:ilvl="0">
      <w:lvlJc w:val="left"/>
      <w:lvlText w:val="%1."/>
      <w:numFmt w:val="decimal"/>
      <w:start w:val="8"/>
    </w:lvl>
    <w:lvl w:ilvl="1">
      <w:lvlJc w:val="left"/>
      <w:lvlText w:val="(%2)"/>
      <w:numFmt w:val="lowerLetter"/>
      <w:start w:val="1"/>
    </w:lvl>
  </w:abstractNum>
  <w:abstractNum w:abstractNumId="311">
    <w:nsid w:val="4CFB8D32"/>
    <w:multiLevelType w:val="hybridMultilevel"/>
    <w:lvl w:ilvl="0">
      <w:lvlJc w:val="left"/>
      <w:lvlText w:val="%1"/>
      <w:numFmt w:val="decimal"/>
      <w:start w:val="1"/>
    </w:lvl>
    <w:lvl w:ilvl="1">
      <w:lvlJc w:val="left"/>
      <w:lvlText w:val="(%2)"/>
      <w:numFmt w:val="lowerLetter"/>
      <w:start w:val="9"/>
    </w:lvl>
  </w:abstractNum>
  <w:abstractNum w:abstractNumId="312">
    <w:nsid w:val="62A5D5BD"/>
    <w:multiLevelType w:val="hybridMultilevel"/>
    <w:lvl w:ilvl="0">
      <w:lvlJc w:val="left"/>
      <w:lvlText w:val="%1."/>
      <w:numFmt w:val="decimal"/>
      <w:start w:val="9"/>
    </w:lvl>
    <w:lvl w:ilvl="1">
      <w:lvlJc w:val="left"/>
      <w:lvlText w:val="%2"/>
      <w:numFmt w:val="lowerLetter"/>
      <w:start w:val="1"/>
    </w:lvl>
  </w:abstractNum>
  <w:abstractNum w:abstractNumId="313">
    <w:nsid w:val="718FABF9"/>
    <w:multiLevelType w:val="hybridMultilevel"/>
    <w:lvl w:ilvl="0">
      <w:lvlJc w:val="left"/>
      <w:lvlText w:val="%1."/>
      <w:numFmt w:val="decimal"/>
      <w:start w:val="10"/>
    </w:lvl>
  </w:abstractNum>
  <w:abstractNum w:abstractNumId="314">
    <w:nsid w:val="7775797C"/>
    <w:multiLevelType w:val="hybridMultilevel"/>
    <w:lvl w:ilvl="0">
      <w:lvlJc w:val="left"/>
      <w:lvlText w:val="%1."/>
      <w:numFmt w:val="decimal"/>
      <w:start w:val="13"/>
    </w:lvl>
  </w:abstractNum>
  <w:abstractNum w:abstractNumId="315">
    <w:nsid w:val="1626FB8C"/>
    <w:multiLevelType w:val="hybridMultilevel"/>
    <w:lvl w:ilvl="0">
      <w:lvlJc w:val="left"/>
      <w:lvlText w:val="%1."/>
      <w:numFmt w:val="decimal"/>
      <w:start w:val="1"/>
    </w:lvl>
  </w:abstractNum>
  <w:abstractNum w:abstractNumId="316">
    <w:nsid w:val="3957756A"/>
    <w:multiLevelType w:val="hybridMultilevel"/>
    <w:lvl w:ilvl="0">
      <w:lvlJc w:val="left"/>
      <w:lvlText w:val="%1."/>
      <w:numFmt w:val="decimal"/>
      <w:start w:val="3"/>
    </w:lvl>
  </w:abstractNum>
  <w:abstractNum w:abstractNumId="317">
    <w:nsid w:val="3E6DA1C7"/>
    <w:multiLevelType w:val="hybridMultilevel"/>
    <w:lvl w:ilvl="0">
      <w:lvlJc w:val="left"/>
      <w:lvlText w:val="%1."/>
      <w:numFmt w:val="decimal"/>
      <w:start w:val="4"/>
    </w:lvl>
  </w:abstractNum>
  <w:abstractNum w:abstractNumId="318">
    <w:nsid w:val="65CA235B"/>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jpe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43" Type="http://schemas.openxmlformats.org/officeDocument/2006/relationships/image" Target="media/image420.png"/><Relationship Id="rId444" Type="http://schemas.openxmlformats.org/officeDocument/2006/relationships/image" Target="media/image421.png"/><Relationship Id="rId445" Type="http://schemas.openxmlformats.org/officeDocument/2006/relationships/image" Target="media/image422.png"/><Relationship Id="rId446" Type="http://schemas.openxmlformats.org/officeDocument/2006/relationships/image" Target="media/image423.png"/><Relationship Id="rId447" Type="http://schemas.openxmlformats.org/officeDocument/2006/relationships/image" Target="media/image424.png"/><Relationship Id="rId448" Type="http://schemas.openxmlformats.org/officeDocument/2006/relationships/image" Target="media/image425.png"/><Relationship Id="rId449" Type="http://schemas.openxmlformats.org/officeDocument/2006/relationships/image" Target="media/image426.png"/><Relationship Id="rId450" Type="http://schemas.openxmlformats.org/officeDocument/2006/relationships/image" Target="media/image427.png"/><Relationship Id="rId451" Type="http://schemas.openxmlformats.org/officeDocument/2006/relationships/image" Target="media/image428.png"/><Relationship Id="rId452" Type="http://schemas.openxmlformats.org/officeDocument/2006/relationships/image" Target="media/image429.png"/><Relationship Id="rId453" Type="http://schemas.openxmlformats.org/officeDocument/2006/relationships/image" Target="media/image430.png"/><Relationship Id="rId454" Type="http://schemas.openxmlformats.org/officeDocument/2006/relationships/image" Target="media/image431.png"/><Relationship Id="rId455" Type="http://schemas.openxmlformats.org/officeDocument/2006/relationships/image" Target="media/image432.png"/><Relationship Id="rId456" Type="http://schemas.openxmlformats.org/officeDocument/2006/relationships/image" Target="media/image433.png"/><Relationship Id="rId457" Type="http://schemas.openxmlformats.org/officeDocument/2006/relationships/image" Target="media/image434.png"/><Relationship Id="rId458" Type="http://schemas.openxmlformats.org/officeDocument/2006/relationships/image" Target="media/image435.png"/><Relationship Id="rId459" Type="http://schemas.openxmlformats.org/officeDocument/2006/relationships/image" Target="media/image436.png"/><Relationship Id="rId460" Type="http://schemas.openxmlformats.org/officeDocument/2006/relationships/image" Target="media/image437.png"/><Relationship Id="rId461" Type="http://schemas.openxmlformats.org/officeDocument/2006/relationships/image" Target="media/image438.png"/><Relationship Id="rId462" Type="http://schemas.openxmlformats.org/officeDocument/2006/relationships/image" Target="media/image439.png"/><Relationship Id="rId463" Type="http://schemas.openxmlformats.org/officeDocument/2006/relationships/image" Target="media/image440.png"/><Relationship Id="rId464" Type="http://schemas.openxmlformats.org/officeDocument/2006/relationships/image" Target="media/image441.png"/><Relationship Id="rId465" Type="http://schemas.openxmlformats.org/officeDocument/2006/relationships/image" Target="media/image442.png"/><Relationship Id="rId466" Type="http://schemas.openxmlformats.org/officeDocument/2006/relationships/image" Target="media/image443.png"/><Relationship Id="rId467" Type="http://schemas.openxmlformats.org/officeDocument/2006/relationships/image" Target="media/image444.png"/><Relationship Id="rId468" Type="http://schemas.openxmlformats.org/officeDocument/2006/relationships/image" Target="media/image445.png"/><Relationship Id="rId469" Type="http://schemas.openxmlformats.org/officeDocument/2006/relationships/image" Target="media/image446.png"/><Relationship Id="rId470" Type="http://schemas.openxmlformats.org/officeDocument/2006/relationships/image" Target="media/image447.png"/><Relationship Id="rId471" Type="http://schemas.openxmlformats.org/officeDocument/2006/relationships/image" Target="media/image448.png"/><Relationship Id="rId472" Type="http://schemas.openxmlformats.org/officeDocument/2006/relationships/image" Target="media/image449.png"/><Relationship Id="rId473" Type="http://schemas.openxmlformats.org/officeDocument/2006/relationships/image" Target="media/image450.png"/><Relationship Id="rId474" Type="http://schemas.openxmlformats.org/officeDocument/2006/relationships/image" Target="media/image451.png"/><Relationship Id="rId475" Type="http://schemas.openxmlformats.org/officeDocument/2006/relationships/image" Target="media/image452.png"/><Relationship Id="rId476" Type="http://schemas.openxmlformats.org/officeDocument/2006/relationships/image" Target="media/image453.png"/><Relationship Id="rId477" Type="http://schemas.openxmlformats.org/officeDocument/2006/relationships/image" Target="media/image454.png"/><Relationship Id="rId478" Type="http://schemas.openxmlformats.org/officeDocument/2006/relationships/image" Target="media/image455.png"/><Relationship Id="rId479" Type="http://schemas.openxmlformats.org/officeDocument/2006/relationships/image" Target="media/image456.png"/><Relationship Id="rId480" Type="http://schemas.openxmlformats.org/officeDocument/2006/relationships/image" Target="media/image457.png"/><Relationship Id="rId481" Type="http://schemas.openxmlformats.org/officeDocument/2006/relationships/image" Target="media/image458.png"/><Relationship Id="rId482" Type="http://schemas.openxmlformats.org/officeDocument/2006/relationships/image" Target="media/image459.png"/><Relationship Id="rId483" Type="http://schemas.openxmlformats.org/officeDocument/2006/relationships/image" Target="media/image460.png"/><Relationship Id="rId484" Type="http://schemas.openxmlformats.org/officeDocument/2006/relationships/image" Target="media/image461.png"/><Relationship Id="rId485" Type="http://schemas.openxmlformats.org/officeDocument/2006/relationships/image" Target="media/image462.png"/><Relationship Id="rId486" Type="http://schemas.openxmlformats.org/officeDocument/2006/relationships/image" Target="media/image463.png"/><Relationship Id="rId487" Type="http://schemas.openxmlformats.org/officeDocument/2006/relationships/image" Target="media/image464.png"/><Relationship Id="rId488" Type="http://schemas.openxmlformats.org/officeDocument/2006/relationships/image" Target="media/image465.png"/><Relationship Id="rId489" Type="http://schemas.openxmlformats.org/officeDocument/2006/relationships/image" Target="media/image466.png"/><Relationship Id="rId490" Type="http://schemas.openxmlformats.org/officeDocument/2006/relationships/image" Target="media/image467.png"/><Relationship Id="rId491" Type="http://schemas.openxmlformats.org/officeDocument/2006/relationships/image" Target="media/image468.png"/><Relationship Id="rId492" Type="http://schemas.openxmlformats.org/officeDocument/2006/relationships/image" Target="media/image469.png"/><Relationship Id="rId493" Type="http://schemas.openxmlformats.org/officeDocument/2006/relationships/image" Target="media/image470.png"/><Relationship Id="rId494" Type="http://schemas.openxmlformats.org/officeDocument/2006/relationships/image" Target="media/image471.png"/><Relationship Id="rId495" Type="http://schemas.openxmlformats.org/officeDocument/2006/relationships/image" Target="media/image472.png"/><Relationship Id="rId496" Type="http://schemas.openxmlformats.org/officeDocument/2006/relationships/image" Target="media/image473.png"/><Relationship Id="rId497" Type="http://schemas.openxmlformats.org/officeDocument/2006/relationships/image" Target="media/image474.png"/><Relationship Id="rId498" Type="http://schemas.openxmlformats.org/officeDocument/2006/relationships/image" Target="media/image475.png"/><Relationship Id="rId499" Type="http://schemas.openxmlformats.org/officeDocument/2006/relationships/image" Target="media/image476.png"/><Relationship Id="rId500" Type="http://schemas.openxmlformats.org/officeDocument/2006/relationships/image" Target="media/image477.png"/><Relationship Id="rId501" Type="http://schemas.openxmlformats.org/officeDocument/2006/relationships/image" Target="media/image478.png"/><Relationship Id="rId502" Type="http://schemas.openxmlformats.org/officeDocument/2006/relationships/image" Target="media/image479.png"/><Relationship Id="rId503" Type="http://schemas.openxmlformats.org/officeDocument/2006/relationships/image" Target="media/image480.png"/><Relationship Id="rId504" Type="http://schemas.openxmlformats.org/officeDocument/2006/relationships/image" Target="media/image481.png"/><Relationship Id="rId505" Type="http://schemas.openxmlformats.org/officeDocument/2006/relationships/image" Target="media/image482.png"/><Relationship Id="rId506" Type="http://schemas.openxmlformats.org/officeDocument/2006/relationships/image" Target="media/image483.png"/><Relationship Id="rId507" Type="http://schemas.openxmlformats.org/officeDocument/2006/relationships/image" Target="media/image484.png"/><Relationship Id="rId508" Type="http://schemas.openxmlformats.org/officeDocument/2006/relationships/image" Target="media/image485.png"/><Relationship Id="rId509" Type="http://schemas.openxmlformats.org/officeDocument/2006/relationships/image" Target="media/image486.png"/><Relationship Id="rId510" Type="http://schemas.openxmlformats.org/officeDocument/2006/relationships/image" Target="media/image487.png"/><Relationship Id="rId511" Type="http://schemas.openxmlformats.org/officeDocument/2006/relationships/image" Target="media/image488.png"/><Relationship Id="rId512" Type="http://schemas.openxmlformats.org/officeDocument/2006/relationships/image" Target="media/image489.png"/><Relationship Id="rId513" Type="http://schemas.openxmlformats.org/officeDocument/2006/relationships/image" Target="media/image490.png"/><Relationship Id="rId514" Type="http://schemas.openxmlformats.org/officeDocument/2006/relationships/image" Target="media/image491.png"/><Relationship Id="rId515" Type="http://schemas.openxmlformats.org/officeDocument/2006/relationships/image" Target="media/image492.png"/><Relationship Id="rId516" Type="http://schemas.openxmlformats.org/officeDocument/2006/relationships/image" Target="media/image493.png"/><Relationship Id="rId517" Type="http://schemas.openxmlformats.org/officeDocument/2006/relationships/image" Target="media/image494.png"/><Relationship Id="rId518" Type="http://schemas.openxmlformats.org/officeDocument/2006/relationships/image" Target="media/image495.png"/><Relationship Id="rId519" Type="http://schemas.openxmlformats.org/officeDocument/2006/relationships/image" Target="media/image496.png"/><Relationship Id="rId520" Type="http://schemas.openxmlformats.org/officeDocument/2006/relationships/image" Target="media/image497.png"/><Relationship Id="rId521" Type="http://schemas.openxmlformats.org/officeDocument/2006/relationships/image" Target="media/image498.png"/><Relationship Id="rId522" Type="http://schemas.openxmlformats.org/officeDocument/2006/relationships/image" Target="media/image499.png"/><Relationship Id="rId523" Type="http://schemas.openxmlformats.org/officeDocument/2006/relationships/image" Target="media/image500.png"/><Relationship Id="rId524" Type="http://schemas.openxmlformats.org/officeDocument/2006/relationships/image" Target="media/image501.png"/><Relationship Id="rId525" Type="http://schemas.openxmlformats.org/officeDocument/2006/relationships/image" Target="media/image502.png"/><Relationship Id="rId526" Type="http://schemas.openxmlformats.org/officeDocument/2006/relationships/image" Target="media/image503.png"/><Relationship Id="rId527" Type="http://schemas.openxmlformats.org/officeDocument/2006/relationships/image" Target="media/image504.jpeg"/><Relationship Id="rId528" Type="http://schemas.openxmlformats.org/officeDocument/2006/relationships/image" Target="media/image505.png"/><Relationship Id="rId529" Type="http://schemas.openxmlformats.org/officeDocument/2006/relationships/image" Target="media/image506.jpeg"/><Relationship Id="rId530" Type="http://schemas.openxmlformats.org/officeDocument/2006/relationships/image" Target="media/image507.png"/><Relationship Id="rId531" Type="http://schemas.openxmlformats.org/officeDocument/2006/relationships/image" Target="media/image508.jpeg"/><Relationship Id="rId532" Type="http://schemas.openxmlformats.org/officeDocument/2006/relationships/image" Target="media/image509.png"/><Relationship Id="rId533" Type="http://schemas.openxmlformats.org/officeDocument/2006/relationships/image" Target="media/image510.png"/><Relationship Id="rId534" Type="http://schemas.openxmlformats.org/officeDocument/2006/relationships/image" Target="media/image511.png"/><Relationship Id="rId535" Type="http://schemas.openxmlformats.org/officeDocument/2006/relationships/image" Target="media/image512.png"/><Relationship Id="rId536" Type="http://schemas.openxmlformats.org/officeDocument/2006/relationships/image" Target="media/image513.png"/><Relationship Id="rId537" Type="http://schemas.openxmlformats.org/officeDocument/2006/relationships/image" Target="media/image514.png"/><Relationship Id="rId538" Type="http://schemas.openxmlformats.org/officeDocument/2006/relationships/image" Target="media/image515.png"/><Relationship Id="rId539" Type="http://schemas.openxmlformats.org/officeDocument/2006/relationships/image" Target="media/image516.png"/><Relationship Id="rId540" Type="http://schemas.openxmlformats.org/officeDocument/2006/relationships/image" Target="media/image517.png"/><Relationship Id="rId541" Type="http://schemas.openxmlformats.org/officeDocument/2006/relationships/image" Target="media/image518.png"/><Relationship Id="rId542" Type="http://schemas.openxmlformats.org/officeDocument/2006/relationships/image" Target="media/image519.png"/><Relationship Id="rId543" Type="http://schemas.openxmlformats.org/officeDocument/2006/relationships/image" Target="media/image520.png"/><Relationship Id="rId544" Type="http://schemas.openxmlformats.org/officeDocument/2006/relationships/image" Target="media/image521.png"/><Relationship Id="rId545" Type="http://schemas.openxmlformats.org/officeDocument/2006/relationships/image" Target="media/image522.png"/><Relationship Id="rId546" Type="http://schemas.openxmlformats.org/officeDocument/2006/relationships/image" Target="media/image523.png"/><Relationship Id="rId547" Type="http://schemas.openxmlformats.org/officeDocument/2006/relationships/image" Target="media/image524.png"/><Relationship Id="rId548" Type="http://schemas.openxmlformats.org/officeDocument/2006/relationships/image" Target="media/image525.png"/><Relationship Id="rId549" Type="http://schemas.openxmlformats.org/officeDocument/2006/relationships/image" Target="media/image526.png"/><Relationship Id="rId550" Type="http://schemas.openxmlformats.org/officeDocument/2006/relationships/image" Target="media/image527.png"/><Relationship Id="rId551" Type="http://schemas.openxmlformats.org/officeDocument/2006/relationships/image" Target="media/image528.png"/><Relationship Id="rId552" Type="http://schemas.openxmlformats.org/officeDocument/2006/relationships/image" Target="media/image529.png"/><Relationship Id="rId553" Type="http://schemas.openxmlformats.org/officeDocument/2006/relationships/image" Target="media/image530.png"/><Relationship Id="rId554" Type="http://schemas.openxmlformats.org/officeDocument/2006/relationships/image" Target="media/image531.png"/><Relationship Id="rId555" Type="http://schemas.openxmlformats.org/officeDocument/2006/relationships/image" Target="media/image532.png"/><Relationship Id="rId556" Type="http://schemas.openxmlformats.org/officeDocument/2006/relationships/image" Target="media/image533.png"/><Relationship Id="rId557" Type="http://schemas.openxmlformats.org/officeDocument/2006/relationships/image" Target="media/image534.png"/><Relationship Id="rId558" Type="http://schemas.openxmlformats.org/officeDocument/2006/relationships/image" Target="media/image535.png"/><Relationship Id="rId559" Type="http://schemas.openxmlformats.org/officeDocument/2006/relationships/image" Target="media/image536.png"/><Relationship Id="rId560" Type="http://schemas.openxmlformats.org/officeDocument/2006/relationships/image" Target="media/image537.png"/><Relationship Id="rId561" Type="http://schemas.openxmlformats.org/officeDocument/2006/relationships/image" Target="media/image538.png"/><Relationship Id="rId562" Type="http://schemas.openxmlformats.org/officeDocument/2006/relationships/image" Target="media/image539.png"/><Relationship Id="rId563" Type="http://schemas.openxmlformats.org/officeDocument/2006/relationships/image" Target="media/image540.png"/><Relationship Id="rId564" Type="http://schemas.openxmlformats.org/officeDocument/2006/relationships/image" Target="media/image541.png"/><Relationship Id="rId565" Type="http://schemas.openxmlformats.org/officeDocument/2006/relationships/image" Target="media/image542.png"/><Relationship Id="rId566" Type="http://schemas.openxmlformats.org/officeDocument/2006/relationships/image" Target="media/image543.png"/><Relationship Id="rId567" Type="http://schemas.openxmlformats.org/officeDocument/2006/relationships/image" Target="media/image544.png"/><Relationship Id="rId568" Type="http://schemas.openxmlformats.org/officeDocument/2006/relationships/image" Target="media/image545.png"/><Relationship Id="rId569" Type="http://schemas.openxmlformats.org/officeDocument/2006/relationships/image" Target="media/image546.png"/><Relationship Id="rId570" Type="http://schemas.openxmlformats.org/officeDocument/2006/relationships/image" Target="media/image547.png"/><Relationship Id="rId571" Type="http://schemas.openxmlformats.org/officeDocument/2006/relationships/image" Target="media/image548.png"/><Relationship Id="rId572" Type="http://schemas.openxmlformats.org/officeDocument/2006/relationships/image" Target="media/image549.png"/><Relationship Id="rId573" Type="http://schemas.openxmlformats.org/officeDocument/2006/relationships/image" Target="media/image550.png"/><Relationship Id="rId574" Type="http://schemas.openxmlformats.org/officeDocument/2006/relationships/image" Target="media/image551.png"/><Relationship Id="rId575" Type="http://schemas.openxmlformats.org/officeDocument/2006/relationships/image" Target="media/image552.png"/><Relationship Id="rId576" Type="http://schemas.openxmlformats.org/officeDocument/2006/relationships/image" Target="media/image553.png"/><Relationship Id="rId577" Type="http://schemas.openxmlformats.org/officeDocument/2006/relationships/image" Target="media/image554.png"/><Relationship Id="rId578" Type="http://schemas.openxmlformats.org/officeDocument/2006/relationships/image" Target="media/image555.png"/><Relationship Id="rId579" Type="http://schemas.openxmlformats.org/officeDocument/2006/relationships/image" Target="media/image556.png"/><Relationship Id="rId580" Type="http://schemas.openxmlformats.org/officeDocument/2006/relationships/image" Target="media/image557.png"/><Relationship Id="rId581" Type="http://schemas.openxmlformats.org/officeDocument/2006/relationships/image" Target="media/image558.png"/><Relationship Id="rId582" Type="http://schemas.openxmlformats.org/officeDocument/2006/relationships/image" Target="media/image559.png"/><Relationship Id="rId583" Type="http://schemas.openxmlformats.org/officeDocument/2006/relationships/image" Target="media/image560.png"/><Relationship Id="rId584" Type="http://schemas.openxmlformats.org/officeDocument/2006/relationships/image" Target="media/image561.png"/><Relationship Id="rId585" Type="http://schemas.openxmlformats.org/officeDocument/2006/relationships/image" Target="media/image562.png"/><Relationship Id="rId586" Type="http://schemas.openxmlformats.org/officeDocument/2006/relationships/image" Target="media/image563.png"/><Relationship Id="rId587" Type="http://schemas.openxmlformats.org/officeDocument/2006/relationships/image" Target="media/image564.png"/><Relationship Id="rId588" Type="http://schemas.openxmlformats.org/officeDocument/2006/relationships/image" Target="media/image565.png"/><Relationship Id="rId589" Type="http://schemas.openxmlformats.org/officeDocument/2006/relationships/image" Target="media/image566.png"/><Relationship Id="rId590" Type="http://schemas.openxmlformats.org/officeDocument/2006/relationships/image" Target="media/image567.png"/><Relationship Id="rId591" Type="http://schemas.openxmlformats.org/officeDocument/2006/relationships/image" Target="media/image568.png"/><Relationship Id="rId592" Type="http://schemas.openxmlformats.org/officeDocument/2006/relationships/image" Target="media/image569.png"/><Relationship Id="rId593" Type="http://schemas.openxmlformats.org/officeDocument/2006/relationships/image" Target="media/image570.png"/><Relationship Id="rId594" Type="http://schemas.openxmlformats.org/officeDocument/2006/relationships/image" Target="media/image571.png"/><Relationship Id="rId595" Type="http://schemas.openxmlformats.org/officeDocument/2006/relationships/image" Target="media/image572.png"/><Relationship Id="rId596" Type="http://schemas.openxmlformats.org/officeDocument/2006/relationships/image" Target="media/image573.png"/><Relationship Id="rId597" Type="http://schemas.openxmlformats.org/officeDocument/2006/relationships/image" Target="media/image574.png"/><Relationship Id="rId598" Type="http://schemas.openxmlformats.org/officeDocument/2006/relationships/image" Target="media/image575.png"/><Relationship Id="rId599" Type="http://schemas.openxmlformats.org/officeDocument/2006/relationships/image" Target="media/image576.png"/><Relationship Id="rId600" Type="http://schemas.openxmlformats.org/officeDocument/2006/relationships/image" Target="media/image577.png"/><Relationship Id="rId601" Type="http://schemas.openxmlformats.org/officeDocument/2006/relationships/image" Target="media/image578.png"/><Relationship Id="rId602" Type="http://schemas.openxmlformats.org/officeDocument/2006/relationships/image" Target="media/image579.png"/><Relationship Id="rId603" Type="http://schemas.openxmlformats.org/officeDocument/2006/relationships/image" Target="media/image580.png"/><Relationship Id="rId604" Type="http://schemas.openxmlformats.org/officeDocument/2006/relationships/image" Target="media/image581.png"/><Relationship Id="rId605" Type="http://schemas.openxmlformats.org/officeDocument/2006/relationships/image" Target="media/image582.png"/><Relationship Id="rId606" Type="http://schemas.openxmlformats.org/officeDocument/2006/relationships/image" Target="media/image583.png"/><Relationship Id="rId607" Type="http://schemas.openxmlformats.org/officeDocument/2006/relationships/image" Target="media/image584.png"/><Relationship Id="rId608" Type="http://schemas.openxmlformats.org/officeDocument/2006/relationships/image" Target="media/image585.png"/><Relationship Id="rId609" Type="http://schemas.openxmlformats.org/officeDocument/2006/relationships/image" Target="media/image586.png"/><Relationship Id="rId610" Type="http://schemas.openxmlformats.org/officeDocument/2006/relationships/image" Target="media/image587.png"/><Relationship Id="rId611" Type="http://schemas.openxmlformats.org/officeDocument/2006/relationships/image" Target="media/image588.png"/><Relationship Id="rId612" Type="http://schemas.openxmlformats.org/officeDocument/2006/relationships/image" Target="media/image589.png"/><Relationship Id="rId613" Type="http://schemas.openxmlformats.org/officeDocument/2006/relationships/image" Target="media/image590.png"/><Relationship Id="rId614" Type="http://schemas.openxmlformats.org/officeDocument/2006/relationships/image" Target="media/image591.png"/><Relationship Id="rId615" Type="http://schemas.openxmlformats.org/officeDocument/2006/relationships/image" Target="media/image592.png"/><Relationship Id="rId616" Type="http://schemas.openxmlformats.org/officeDocument/2006/relationships/image" Target="media/image593.png"/><Relationship Id="rId427" Type="http://schemas.openxmlformats.org/officeDocument/2006/relationships/hyperlink" Target="http://www.sec.gov/Archives/edgar/data/0001858848/000119312521212010/d175698dex32.htm" TargetMode="External"/><Relationship Id="rId428" Type="http://schemas.openxmlformats.org/officeDocument/2006/relationships/hyperlink" Target="http://www.sec.gov/Archives/edgar/data/0001858848/000119312521212010/d175698dex33.htm" TargetMode="External"/><Relationship Id="rId429" Type="http://schemas.openxmlformats.org/officeDocument/2006/relationships/hyperlink" Target="http://www.sec.gov/Archives/edgar/data/0001858848/000119312521212010/d175698dex34.htm" TargetMode="External"/><Relationship Id="rId430" Type="http://schemas.openxmlformats.org/officeDocument/2006/relationships/hyperlink" Target="http://www.sec.gov/Archives/edgar/data/0001858848/000119312521212010/d175698dex41.htm" TargetMode="External"/><Relationship Id="rId431" Type="http://schemas.openxmlformats.org/officeDocument/2006/relationships/hyperlink" Target="http://www.sec.gov/Archives/edgar/data/0001858848/000119312521212010/d175698dex101.htm" TargetMode="External"/><Relationship Id="rId432" Type="http://schemas.openxmlformats.org/officeDocument/2006/relationships/hyperlink" Target="http://www.sec.gov/Archives/edgar/data/0001858848/000119312521212010/d175698dex102.htm" TargetMode="External"/><Relationship Id="rId433" Type="http://schemas.openxmlformats.org/officeDocument/2006/relationships/hyperlink" Target="http://www.sec.gov/Archives/edgar/data/0001858848/000119312521212010/d175698dex105.htm" TargetMode="External"/><Relationship Id="rId434" Type="http://schemas.openxmlformats.org/officeDocument/2006/relationships/hyperlink" Target="http://www.sec.gov/Archives/edgar/data/0001858848/000119312521212010/d175698dex106.htm" TargetMode="External"/><Relationship Id="rId435" Type="http://schemas.openxmlformats.org/officeDocument/2006/relationships/hyperlink" Target="http://www.sec.gov/Archives/edgar/data/0001858848/000119312521212010/d175698dex107.htm" TargetMode="External"/><Relationship Id="rId436" Type="http://schemas.openxmlformats.org/officeDocument/2006/relationships/hyperlink" Target="http://www.sec.gov/Archives/edgar/data/0001858848/000119312521212010/d175698dex108.htm" TargetMode="External"/><Relationship Id="rId437" Type="http://schemas.openxmlformats.org/officeDocument/2006/relationships/hyperlink" Target="http://www.sec.gov/Archives/edgar/data/0001858848/000119312521212010/d175698dex109.htm" TargetMode="External"/><Relationship Id="rId438" Type="http://schemas.openxmlformats.org/officeDocument/2006/relationships/hyperlink" Target="http://www.sec.gov/Archives/edgar/data/0001858848/000119312521212010/d175698dex1010.htm" TargetMode="External"/><Relationship Id="rId439" Type="http://schemas.openxmlformats.org/officeDocument/2006/relationships/hyperlink" Target="http://www.sec.gov/Archives/edgar/data/0001858848/000119312521212010/d175698dex1011.htm" TargetMode="External"/><Relationship Id="rId440" Type="http://schemas.openxmlformats.org/officeDocument/2006/relationships/hyperlink" Target="http://www.sec.gov/Archives/edgar/data/0001858848/000119312521212010/d175698dex1012.htm" TargetMode="External"/><Relationship Id="rId441" Type="http://schemas.openxmlformats.org/officeDocument/2006/relationships/hyperlink" Target="http://www.sec.gov/Archives/edgar/data/0001858848/000119312521212010/d175698dex1013.htm" TargetMode="External"/><Relationship Id="rId442" Type="http://schemas.openxmlformats.org/officeDocument/2006/relationships/hyperlink" Target="http://www.sec.gov/Archives/edgar/data/0001858848/000119312521212010/d175698ds1.htm#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2021-07-26T05:20:01Z</dcterms:created>
  <dcterms:modified xsi:type="dcterms:W3CDTF">2021-07-26T05:20:01Z</dcterms:modified>
</cp:coreProperties>
</file>