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 w:lineRule="exact"/>
        <w:rPr>
          <w:sz w:val="24"/>
          <w:szCs w:val="24"/>
          <w:color w:val="auto"/>
        </w:rPr>
      </w:pPr>
    </w:p>
    <w:p>
      <w:pPr>
        <w:jc w:val="center"/>
        <w:ind w:left="3460" w:right="700" w:hanging="3439"/>
        <w:spacing w:after="0" w:line="309" w:lineRule="auto"/>
        <w:tabs>
          <w:tab w:leader="none" w:pos="481"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67" w:lineRule="exact"/>
        <w:rPr>
          <w:sz w:val="24"/>
          <w:szCs w:val="24"/>
          <w:color w:val="auto"/>
        </w:rPr>
      </w:pPr>
    </w:p>
    <w:p>
      <w:pPr>
        <w:jc w:val="center"/>
        <w:ind w:left="3340" w:right="680" w:hanging="3319"/>
        <w:spacing w:after="0" w:line="316" w:lineRule="auto"/>
        <w:tabs>
          <w:tab w:leader="none" w:pos="472"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Commission File Number: 001-40656</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2000"/>
        <w:spacing w:after="0"/>
        <w:rPr>
          <w:sz w:val="20"/>
          <w:szCs w:val="20"/>
          <w:color w:val="auto"/>
        </w:rPr>
      </w:pPr>
      <w:r>
        <w:rPr>
          <w:rFonts w:ascii="Arial" w:cs="Arial" w:eastAsia="Arial" w:hAnsi="Arial"/>
          <w:sz w:val="20"/>
          <w:szCs w:val="20"/>
          <w:b w:val="1"/>
          <w:bCs w:val="1"/>
          <w:color w:val="auto"/>
        </w:rPr>
        <w:t>Delaware</w:t>
      </w:r>
    </w:p>
    <w:p>
      <w:pPr>
        <w:ind w:left="2020"/>
        <w:spacing w:after="0" w:line="224"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color w:val="auto"/>
        </w:rPr>
        <w:t>171 Oyster Point Boulevard, 5</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Floor</w:t>
      </w:r>
    </w:p>
    <w:p>
      <w:pPr>
        <w:spacing w:after="0" w:line="5" w:lineRule="exact"/>
        <w:rPr>
          <w:sz w:val="24"/>
          <w:szCs w:val="24"/>
          <w:color w:val="auto"/>
        </w:rPr>
      </w:pPr>
    </w:p>
    <w:p>
      <w:pPr>
        <w:jc w:val="center"/>
        <w:ind w:right="2000"/>
        <w:spacing w:after="0"/>
        <w:rPr>
          <w:sz w:val="20"/>
          <w:szCs w:val="20"/>
          <w:color w:val="auto"/>
        </w:rPr>
      </w:pPr>
      <w:r>
        <w:rPr>
          <w:rFonts w:ascii="Arial" w:cs="Arial" w:eastAsia="Arial" w:hAnsi="Arial"/>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81-3789973</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85" w:lineRule="exact"/>
        <w:rPr>
          <w:sz w:val="24"/>
          <w:szCs w:val="24"/>
          <w:color w:val="auto"/>
        </w:rPr>
      </w:pPr>
    </w:p>
    <w:p>
      <w:pPr>
        <w:ind w:left="240"/>
        <w:spacing w:after="0"/>
        <w:rPr>
          <w:sz w:val="20"/>
          <w:szCs w:val="20"/>
          <w:color w:val="auto"/>
        </w:rPr>
      </w:pPr>
      <w:r>
        <w:rPr>
          <w:rFonts w:ascii="Arial" w:cs="Arial" w:eastAsia="Arial" w:hAnsi="Arial"/>
          <w:sz w:val="20"/>
          <w:szCs w:val="20"/>
          <w:b w:val="1"/>
          <w:bCs w:val="1"/>
          <w:color w:val="auto"/>
        </w:rPr>
        <w:t>94080</w:t>
      </w:r>
    </w:p>
    <w:p>
      <w:pPr>
        <w:spacing w:after="0" w:line="18" w:lineRule="exact"/>
        <w:rPr>
          <w:sz w:val="24"/>
          <w:szCs w:val="24"/>
          <w:color w:val="auto"/>
        </w:rPr>
      </w:pPr>
    </w:p>
    <w:p>
      <w:pPr>
        <w:sectPr>
          <w:pgSz w:w="11900" w:h="16838" w:orient="portrait"/>
          <w:cols w:equalWidth="0" w:num="2">
            <w:col w:w="7620" w:space="320"/>
            <w:col w:w="3300"/>
          </w:cols>
          <w:pgMar w:left="320" w:top="679"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(650) 825-6990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9"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00" w:type="dxa"/>
            <w:vAlign w:val="bottom"/>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firstLine="50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80" w:firstLine="509"/>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300" w:firstLine="50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jc w:val="both"/>
        <w:ind w:right="8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520" w:right="210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2, 2022, the registrant had 41,374,508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360" w:type="dxa"/>
            <w:vAlign w:val="bottom"/>
            <w:gridSpan w:val="9"/>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spacing w:after="0"/>
              <w:rPr>
                <w:sz w:val="24"/>
                <w:szCs w:val="24"/>
                <w:color w:val="auto"/>
              </w:rPr>
            </w:pPr>
          </w:p>
        </w:tc>
        <w:tc>
          <w:tcPr>
            <w:tcW w:w="6360" w:type="dxa"/>
            <w:vAlign w:val="bottom"/>
            <w:gridSpan w:val="9"/>
            <w:vMerge w:val="restart"/>
          </w:tcPr>
          <w:p>
            <w:pPr>
              <w:jc w:val="center"/>
              <w:ind w:right="3200"/>
              <w:spacing w:after="0"/>
              <w:rPr>
                <w:sz w:val="20"/>
                <w:szCs w:val="20"/>
                <w:color w:val="auto"/>
              </w:rPr>
            </w:pPr>
            <w:r>
              <w:rPr>
                <w:rFonts w:ascii="Arial" w:cs="Arial" w:eastAsia="Arial" w:hAnsi="Arial"/>
                <w:sz w:val="18"/>
                <w:szCs w:val="18"/>
                <w:b w:val="1"/>
                <w:bCs w:val="1"/>
                <w:color w:val="0000FF"/>
              </w:rPr>
              <w:t>PART I—FINANCIAL INFORMATION</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36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3180" w:type="dxa"/>
            <w:vAlign w:val="bottom"/>
            <w:gridSpan w:val="8"/>
          </w:tcPr>
          <w:p>
            <w:pPr>
              <w:spacing w:after="0"/>
              <w:rPr>
                <w:sz w:val="20"/>
                <w:szCs w:val="20"/>
                <w:color w:val="auto"/>
              </w:rPr>
            </w:pPr>
            <w:r>
              <w:rPr>
                <w:rFonts w:ascii="Arial" w:cs="Arial" w:eastAsia="Arial" w:hAnsi="Arial"/>
                <w:sz w:val="18"/>
                <w:szCs w:val="18"/>
                <w:color w:val="0000FF"/>
              </w:rPr>
              <w:t>Financial Statements (Unaudited)</w:t>
            </w:r>
          </w:p>
        </w:tc>
        <w:tc>
          <w:tcPr>
            <w:tcW w:w="3160" w:type="dxa"/>
            <w:vAlign w:val="bottom"/>
            <w:tcBorders>
              <w:top w:val="single" w:sz="8" w:color="0000FF"/>
            </w:tcBorders>
            <w:gridSpan w:val="4"/>
          </w:tcPr>
          <w:p>
            <w:pPr>
              <w:spacing w:after="0"/>
              <w:rPr>
                <w:sz w:val="24"/>
                <w:szCs w:val="24"/>
                <w:color w:val="auto"/>
              </w:rPr>
            </w:pPr>
          </w:p>
        </w:tc>
        <w:tc>
          <w:tcPr>
            <w:tcW w:w="32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88"/>
              </w:rPr>
              <w:t>Condensed Balance Sheets as</w:t>
            </w:r>
          </w:p>
        </w:tc>
        <w:tc>
          <w:tcPr>
            <w:tcW w:w="20" w:type="dxa"/>
            <w:vAlign w:val="bottom"/>
            <w:tcBorders>
              <w:top w:val="single" w:sz="8" w:color="0000EE"/>
            </w:tcBorders>
          </w:tcPr>
          <w:p>
            <w:pPr>
              <w:spacing w:after="0"/>
              <w:rPr>
                <w:sz w:val="15"/>
                <w:szCs w:val="15"/>
                <w:color w:val="auto"/>
              </w:rPr>
            </w:pPr>
          </w:p>
        </w:tc>
        <w:tc>
          <w:tcPr>
            <w:tcW w:w="7100" w:type="dxa"/>
            <w:vAlign w:val="bottom"/>
            <w:gridSpan w:val="10"/>
          </w:tcPr>
          <w:p>
            <w:pPr>
              <w:spacing w:after="0" w:line="182" w:lineRule="exact"/>
              <w:rPr>
                <w:sz w:val="20"/>
                <w:szCs w:val="20"/>
                <w:color w:val="auto"/>
              </w:rPr>
            </w:pPr>
            <w:r>
              <w:rPr>
                <w:rFonts w:ascii="Arial" w:cs="Arial" w:eastAsia="Arial" w:hAnsi="Arial"/>
                <w:sz w:val="18"/>
                <w:szCs w:val="18"/>
                <w:color w:val="0000FF"/>
              </w:rPr>
              <w:t>of September 30, 2022 and December 31, 2021</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20" w:type="dxa"/>
            <w:vAlign w:val="bottom"/>
            <w:gridSpan w:val="16"/>
          </w:tcPr>
          <w:p>
            <w:pPr>
              <w:spacing w:after="0" w:line="182" w:lineRule="exact"/>
              <w:rPr>
                <w:sz w:val="20"/>
                <w:szCs w:val="20"/>
                <w:color w:val="auto"/>
              </w:rPr>
            </w:pPr>
            <w:r>
              <w:rPr>
                <w:rFonts w:ascii="Arial" w:cs="Arial" w:eastAsia="Arial" w:hAnsi="Arial"/>
                <w:sz w:val="18"/>
                <w:szCs w:val="18"/>
                <w:color w:val="0000FF"/>
                <w:w w:val="92"/>
              </w:rPr>
              <w:t>Condensed Statements of Operations and Comprehensive Loss for the three and nine months ended September 30, 2022 and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2021</w:t>
            </w:r>
          </w:p>
        </w:tc>
        <w:tc>
          <w:tcPr>
            <w:tcW w:w="11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20" w:type="dxa"/>
            <w:vAlign w:val="bottom"/>
            <w:gridSpan w:val="16"/>
          </w:tcPr>
          <w:p>
            <w:pPr>
              <w:spacing w:after="0" w:line="182" w:lineRule="exact"/>
              <w:rPr>
                <w:sz w:val="20"/>
                <w:szCs w:val="20"/>
                <w:color w:val="auto"/>
              </w:rPr>
            </w:pPr>
            <w:r>
              <w:rPr>
                <w:rFonts w:ascii="Arial" w:cs="Arial" w:eastAsia="Arial" w:hAnsi="Arial"/>
                <w:sz w:val="18"/>
                <w:szCs w:val="18"/>
                <w:color w:val="0000FF"/>
                <w:w w:val="93"/>
              </w:rPr>
              <w:t>Condensed Statements of Convertible Preferred Stock and Stockholders’ Equity (Deficit) for the three and nine months ended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0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September 30, 2022 and 2021</w:t>
            </w:r>
          </w:p>
        </w:tc>
        <w:tc>
          <w:tcPr>
            <w:tcW w:w="2220" w:type="dxa"/>
            <w:vAlign w:val="bottom"/>
            <w:tcBorders>
              <w:top w:val="single" w:sz="8" w:color="0000FF"/>
            </w:tcBorders>
            <w:gridSpan w:val="2"/>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83"/>
              </w:rPr>
              <w:t>Condensed Statements of Cash</w:t>
            </w:r>
          </w:p>
        </w:tc>
        <w:tc>
          <w:tcPr>
            <w:tcW w:w="7160" w:type="dxa"/>
            <w:vAlign w:val="bottom"/>
            <w:gridSpan w:val="12"/>
          </w:tcPr>
          <w:p>
            <w:pPr>
              <w:jc w:val="center"/>
              <w:ind w:right="2360"/>
              <w:spacing w:after="0" w:line="182" w:lineRule="exact"/>
              <w:rPr>
                <w:sz w:val="20"/>
                <w:szCs w:val="20"/>
                <w:color w:val="auto"/>
              </w:rPr>
            </w:pPr>
            <w:r>
              <w:rPr>
                <w:rFonts w:ascii="Arial" w:cs="Arial" w:eastAsia="Arial" w:hAnsi="Arial"/>
                <w:sz w:val="18"/>
                <w:szCs w:val="18"/>
                <w:color w:val="0000FF"/>
                <w:w w:val="89"/>
              </w:rPr>
              <w:t>Flows for the nine months ended September 30, 2022 and 2021</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0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FF"/>
              </w:rPr>
              <w:t>Notes to Unaudited Condensed Financial Statements</w:t>
            </w:r>
          </w:p>
        </w:tc>
        <w:tc>
          <w:tcPr>
            <w:tcW w:w="242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220" w:type="dxa"/>
            <w:vAlign w:val="bottom"/>
            <w:vMerge w:val="restart"/>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26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320" w:type="dxa"/>
            <w:vAlign w:val="bottom"/>
            <w:gridSpan w:val="1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1780" w:type="dxa"/>
            <w:vAlign w:val="bottom"/>
            <w:tcBorders>
              <w:left w:val="single" w:sz="8" w:color="0000EE"/>
            </w:tcBorders>
            <w:gridSpan w:val="4"/>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0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6460" w:type="dxa"/>
            <w:vAlign w:val="bottom"/>
            <w:gridSpan w:val="13"/>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30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1780" w:type="dxa"/>
            <w:vAlign w:val="bottom"/>
            <w:tcBorders>
              <w:left w:val="single" w:sz="8" w:color="0000EE"/>
            </w:tcBorders>
            <w:gridSpan w:val="4"/>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5180" w:type="dxa"/>
            <w:vAlign w:val="bottom"/>
            <w:gridSpan w:val="7"/>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360" w:type="dxa"/>
            <w:vAlign w:val="bottom"/>
            <w:gridSpan w:val="10"/>
          </w:tcPr>
          <w:p>
            <w:pPr>
              <w:spacing w:after="0" w:line="182" w:lineRule="exact"/>
              <w:rPr>
                <w:sz w:val="20"/>
                <w:szCs w:val="20"/>
                <w:color w:val="auto"/>
              </w:rPr>
            </w:pPr>
            <w:r>
              <w:rPr>
                <w:rFonts w:ascii="Arial" w:cs="Arial" w:eastAsia="Arial" w:hAnsi="Arial"/>
                <w:sz w:val="18"/>
                <w:szCs w:val="18"/>
                <w:color w:val="0000FF"/>
              </w:rPr>
              <w:t>Controls and Procedures</w:t>
            </w:r>
          </w:p>
        </w:tc>
        <w:tc>
          <w:tcPr>
            <w:tcW w:w="5180" w:type="dxa"/>
            <w:vAlign w:val="bottom"/>
            <w:gridSpan w:val="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60" w:type="dxa"/>
            <w:vAlign w:val="bottom"/>
            <w:gridSpan w:val="4"/>
          </w:tcPr>
          <w:p>
            <w:pPr>
              <w:ind w:left="1000"/>
              <w:spacing w:after="0"/>
              <w:rPr>
                <w:sz w:val="20"/>
                <w:szCs w:val="20"/>
                <w:color w:val="auto"/>
              </w:rPr>
            </w:pPr>
            <w:r>
              <w:rPr>
                <w:rFonts w:ascii="Arial" w:cs="Arial" w:eastAsia="Arial" w:hAnsi="Arial"/>
                <w:sz w:val="18"/>
                <w:szCs w:val="18"/>
                <w:b w:val="1"/>
                <w:bCs w:val="1"/>
                <w:color w:val="0000FF"/>
              </w:rPr>
              <w:t>PART II—OTHER INFORMATION</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1.</w:t>
            </w:r>
          </w:p>
        </w:tc>
        <w:tc>
          <w:tcPr>
            <w:tcW w:w="3340" w:type="dxa"/>
            <w:vAlign w:val="bottom"/>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102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190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gridSpan w:val="2"/>
          </w:tcPr>
          <w:p>
            <w:pPr>
              <w:spacing w:after="0"/>
              <w:rPr>
                <w:sz w:val="15"/>
                <w:szCs w:val="15"/>
                <w:color w:val="auto"/>
              </w:rPr>
            </w:pPr>
          </w:p>
        </w:tc>
        <w:tc>
          <w:tcPr>
            <w:tcW w:w="374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4"/>
          </w:tcPr>
          <w:p>
            <w:pPr>
              <w:spacing w:after="0" w:line="182" w:lineRule="exact"/>
              <w:rPr>
                <w:sz w:val="20"/>
                <w:szCs w:val="20"/>
                <w:color w:val="auto"/>
              </w:rPr>
            </w:pPr>
            <w:r>
              <w:rPr>
                <w:rFonts w:ascii="Arial" w:cs="Arial" w:eastAsia="Arial" w:hAnsi="Arial"/>
                <w:sz w:val="18"/>
                <w:szCs w:val="18"/>
                <w:color w:val="0000FF"/>
                <w:w w:val="89"/>
              </w:rPr>
              <w:t>Unregistered</w:t>
            </w:r>
          </w:p>
        </w:tc>
        <w:tc>
          <w:tcPr>
            <w:tcW w:w="7160" w:type="dxa"/>
            <w:vAlign w:val="bottom"/>
            <w:gridSpan w:val="8"/>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40" w:type="dxa"/>
            <w:vAlign w:val="bottom"/>
            <w:gridSpan w:val="2"/>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4360" w:type="dxa"/>
            <w:vAlign w:val="bottom"/>
            <w:gridSpan w:val="10"/>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3740" w:type="dxa"/>
            <w:vAlign w:val="bottom"/>
            <w:gridSpan w:val="2"/>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760" w:type="dxa"/>
            <w:vAlign w:val="bottom"/>
            <w:gridSpan w:val="4"/>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340" w:type="dxa"/>
            <w:vAlign w:val="bottom"/>
            <w:gridSpan w:val="8"/>
          </w:tcPr>
          <w:p>
            <w:pPr>
              <w:spacing w:after="0" w:line="182" w:lineRule="exact"/>
              <w:rPr>
                <w:sz w:val="20"/>
                <w:szCs w:val="20"/>
                <w:color w:val="auto"/>
              </w:rPr>
            </w:pPr>
            <w:r>
              <w:rPr>
                <w:rFonts w:ascii="Arial" w:cs="Arial" w:eastAsia="Arial" w:hAnsi="Arial"/>
                <w:sz w:val="18"/>
                <w:szCs w:val="18"/>
                <w:color w:val="0000FF"/>
              </w:rPr>
              <w:t>Mine Safety Disclosures</w:t>
            </w:r>
          </w:p>
        </w:tc>
        <w:tc>
          <w:tcPr>
            <w:tcW w:w="5760" w:type="dxa"/>
            <w:vAlign w:val="bottom"/>
            <w:gridSpan w:val="4"/>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5.</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320" w:type="dxa"/>
            <w:vAlign w:val="bottom"/>
            <w:gridSpan w:val="5"/>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178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6320" w:type="dxa"/>
            <w:vAlign w:val="bottom"/>
            <w:gridSpan w:val="5"/>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6.</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780" w:type="dxa"/>
            <w:vAlign w:val="bottom"/>
            <w:gridSpan w:val="7"/>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Arial" w:cs="Arial" w:eastAsia="Arial" w:hAnsi="Arial"/>
                <w:sz w:val="18"/>
                <w:szCs w:val="18"/>
                <w:color w:val="0000FF"/>
              </w:rPr>
              <w:t>Exhibits</w:t>
            </w:r>
          </w:p>
        </w:tc>
        <w:tc>
          <w:tcPr>
            <w:tcW w:w="6780" w:type="dxa"/>
            <w:vAlign w:val="bottom"/>
            <w:gridSpan w:val="7"/>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0000FF"/>
                <w:w w:val="83"/>
              </w:rPr>
              <w:t>SIGNATURES</w:t>
            </w:r>
          </w:p>
        </w:tc>
        <w:tc>
          <w:tcPr>
            <w:tcW w:w="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750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16"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78" w:lineRule="exact"/>
        <w:rPr>
          <w:sz w:val="20"/>
          <w:szCs w:val="20"/>
          <w:color w:val="auto"/>
        </w:rPr>
      </w:pPr>
    </w:p>
    <w:p>
      <w:pPr>
        <w:ind w:left="900" w:right="82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ability of our ongoing preclinical studies and ongoing or planned clinical trials to demonstrate safety and efficacy of our product candidates, and other positive results;</w:t>
      </w:r>
    </w:p>
    <w:p>
      <w:pPr>
        <w:spacing w:after="0" w:line="62" w:lineRule="exact"/>
        <w:rPr>
          <w:rFonts w:ascii="Arial" w:cs="Arial" w:eastAsia="Arial" w:hAnsi="Arial"/>
          <w:sz w:val="18"/>
          <w:szCs w:val="18"/>
          <w:color w:val="231F20"/>
        </w:rPr>
      </w:pPr>
    </w:p>
    <w:p>
      <w:pPr>
        <w:ind w:left="900" w:hanging="383"/>
        <w:spacing w:after="0" w:line="277"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progress and results of preclinical studies and ongoing or planned clinical trials for our current product candidates and other product candidates we may develop;</w:t>
      </w:r>
    </w:p>
    <w:p>
      <w:pPr>
        <w:spacing w:after="0" w:line="48" w:lineRule="exact"/>
        <w:rPr>
          <w:rFonts w:ascii="Arial" w:cs="Arial" w:eastAsia="Arial" w:hAnsi="Arial"/>
          <w:sz w:val="18"/>
          <w:szCs w:val="18"/>
          <w:color w:val="231F20"/>
        </w:rPr>
      </w:pPr>
    </w:p>
    <w:p>
      <w:pPr>
        <w:ind w:left="900" w:right="60" w:hanging="383"/>
        <w:spacing w:after="0" w:line="256"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66"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develop and advance our current product candidates and programs into, and successfully complete, clinical trials;</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manufacturing, commercialization, and marketing capabilities and strategy;</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plans relating to commercializing our product candidates, if approved;</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need to hire additional personnel and our ability to attract and retain such personnel;</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competitive position and the success of competing therapies that are or may become available;</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plans relating to the further development of our product candidates, including additional indications and targets we may pursue;</w:t>
      </w:r>
    </w:p>
    <w:p>
      <w:pPr>
        <w:spacing w:after="0" w:line="115" w:lineRule="exact"/>
        <w:rPr>
          <w:rFonts w:ascii="Arial" w:cs="Arial" w:eastAsia="Arial" w:hAnsi="Arial"/>
          <w:sz w:val="17"/>
          <w:szCs w:val="17"/>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impact of existing laws and regulations and regulatory developments in the United States, Europe and other jurisdictions;</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our expectations regarding the effects of the ongoing COVID-19 pandemic on our business, including our preclinical studies and clinical trials;</w:t>
      </w:r>
    </w:p>
    <w:p>
      <w:pPr>
        <w:spacing w:after="0" w:line="140" w:lineRule="exact"/>
        <w:rPr>
          <w:rFonts w:ascii="Arial" w:cs="Arial" w:eastAsia="Arial" w:hAnsi="Arial"/>
          <w:sz w:val="16"/>
          <w:szCs w:val="16"/>
          <w:color w:val="231F20"/>
        </w:rPr>
      </w:pPr>
    </w:p>
    <w:p>
      <w:pPr>
        <w:ind w:left="900" w:right="60" w:hanging="383"/>
        <w:spacing w:after="0" w:line="243"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3" w:lineRule="exact"/>
        <w:rPr>
          <w:rFonts w:ascii="Arial" w:cs="Arial" w:eastAsia="Arial" w:hAnsi="Arial"/>
          <w:sz w:val="18"/>
          <w:szCs w:val="18"/>
          <w:color w:val="231F20"/>
        </w:rPr>
      </w:pPr>
    </w:p>
    <w:p>
      <w:pPr>
        <w:ind w:left="900" w:right="64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62" w:lineRule="exact"/>
        <w:rPr>
          <w:rFonts w:ascii="Arial" w:cs="Arial" w:eastAsia="Arial" w:hAnsi="Arial"/>
          <w:sz w:val="18"/>
          <w:szCs w:val="18"/>
          <w:color w:val="231F20"/>
        </w:rPr>
      </w:pPr>
    </w:p>
    <w:p>
      <w:pPr>
        <w:ind w:left="900" w:right="60" w:hanging="383"/>
        <w:spacing w:after="0" w:line="277"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48" w:lineRule="exact"/>
        <w:rPr>
          <w:rFonts w:ascii="Arial" w:cs="Arial" w:eastAsia="Arial" w:hAnsi="Arial"/>
          <w:sz w:val="18"/>
          <w:szCs w:val="18"/>
          <w:color w:val="231F20"/>
        </w:rPr>
      </w:pPr>
    </w:p>
    <w:p>
      <w:pPr>
        <w:ind w:left="900" w:right="36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76"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rate and degree of market acceptance and clinical utility of our current product candidates and other product candidates we may develop;</w:t>
      </w:r>
    </w:p>
    <w:p>
      <w:pPr>
        <w:spacing w:after="0" w:line="126" w:lineRule="exact"/>
        <w:rPr>
          <w:rFonts w:ascii="Arial" w:cs="Arial" w:eastAsia="Arial" w:hAnsi="Arial"/>
          <w:sz w:val="16"/>
          <w:szCs w:val="16"/>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estimates regarding expenses, operating losses, future revenue, capital requirements and needs for additional financing;</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231F20"/>
        </w:rPr>
      </w:pPr>
    </w:p>
    <w:p>
      <w:pPr>
        <w:ind w:left="900" w:right="24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period over which we estimate our existing cash, cash equivalents and investments in marketable securities will be sufficient to fund our future operating expenses and capital expenditure requirements; and</w:t>
      </w:r>
    </w:p>
    <w:p>
      <w:pPr>
        <w:spacing w:after="0" w:line="62"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expectations regarding the period during which we will remain an emerging growth company under the JOBS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right="100"/>
        <w:spacing w:after="0" w:line="244" w:lineRule="auto"/>
        <w:rPr>
          <w:sz w:val="20"/>
          <w:szCs w:val="20"/>
          <w:color w:val="auto"/>
        </w:rPr>
      </w:pPr>
      <w:r>
        <w:rPr>
          <w:rFonts w:ascii="Arial" w:cs="Arial" w:eastAsia="Arial" w:hAnsi="Arial"/>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spacing w:after="0" w:line="245" w:lineRule="auto"/>
        <w:rPr>
          <w:sz w:val="20"/>
          <w:szCs w:val="20"/>
          <w:color w:val="auto"/>
        </w:rPr>
      </w:pPr>
      <w:r>
        <w:rPr>
          <w:rFonts w:ascii="Arial" w:cs="Arial" w:eastAsia="Arial" w:hAnsi="Arial"/>
          <w:sz w:val="18"/>
          <w:szCs w:val="18"/>
          <w:color w:val="231F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3"/>
              </w:rPr>
              <w:t>(Unaudited)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Investments in marketable securities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114,956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213,171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157,067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255,358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226,310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442,773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(767 )</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(141 )</w:t>
            </w: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(245,682 )</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(155,533 )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196,328</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278,526</w:t>
            </w:r>
          </w:p>
        </w:tc>
        <w:tc>
          <w:tcPr>
            <w:tcW w:w="100" w:type="dxa"/>
            <w:vAlign w:val="bottom"/>
            <w:tcBorders>
              <w:top w:val="single" w:sz="8" w:color="CFF0FC"/>
            </w:tcBorders>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226,310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-3119755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-2562225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-1704975</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23,758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12,944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68,789</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(91,071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Net loss before income tax expense</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(30,696 )</w:t>
            </w: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(18,262 )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(90,149 )</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(46,570 )</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(30,696 )</w:t>
            </w: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(18,262 )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(90,149 )</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(46,570 )</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Net unrealized loss on marketable securities</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(28 )</w:t>
            </w: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(626 )</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(0.74 )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(0.68 )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(2.18 )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2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shares used in computing net loss per share, basic and</w:t>
            </w:r>
          </w:p>
        </w:tc>
        <w:tc>
          <w:tcPr>
            <w:tcW w:w="22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41,358,296</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26,895,716</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41,309,812</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9,808,162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-2150745</wp:posOffset>
            </wp:positionV>
            <wp:extent cx="774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-2150745</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-2150745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-1302385</wp:posOffset>
            </wp:positionV>
            <wp:extent cx="7747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-1302385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-1302385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-1019810</wp:posOffset>
            </wp:positionV>
            <wp:extent cx="7747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-1019810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-1019810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-445135</wp:posOffset>
            </wp:positionV>
            <wp:extent cx="270891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8910" cy="1885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3"/>
                <w:szCs w:val="13"/>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7"/>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w w:val="88"/>
              </w:rPr>
              <w:t>Comprehensive</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37"/>
              <w:spacing w:after="0" w:line="144" w:lineRule="exact"/>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597"/>
              <w:spacing w:after="0" w:line="144" w:lineRule="exact"/>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3"/>
                <w:szCs w:val="13"/>
                <w:color w:val="auto"/>
              </w:rPr>
            </w:pPr>
          </w:p>
        </w:tc>
        <w:tc>
          <w:tcPr>
            <w:tcW w:w="1120" w:type="dxa"/>
            <w:vAlign w:val="bottom"/>
            <w:gridSpan w:val="2"/>
          </w:tcPr>
          <w:p>
            <w:pPr>
              <w:jc w:val="right"/>
              <w:ind w:right="497"/>
              <w:spacing w:after="0" w:line="144"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5"/>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January 1, 2022</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41,291,374</w:t>
            </w:r>
          </w:p>
        </w:tc>
        <w:tc>
          <w:tcPr>
            <w:tcW w:w="400" w:type="dxa"/>
            <w:vAlign w:val="bottom"/>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1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434,196</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(141</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(155,533</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278,526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80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 exercise</w:t>
            </w: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300"/>
              <w:spacing w:after="0"/>
              <w:rPr>
                <w:sz w:val="20"/>
                <w:szCs w:val="20"/>
                <w:color w:val="auto"/>
              </w:rPr>
            </w:pPr>
            <w:r>
              <w:rPr>
                <w:rFonts w:ascii="Arial" w:cs="Arial" w:eastAsia="Arial" w:hAnsi="Arial"/>
                <w:sz w:val="13"/>
                <w:szCs w:val="13"/>
                <w:color w:val="auto"/>
              </w:rPr>
              <w:t>of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7,652</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(490 )</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(490 )</w:t>
            </w:r>
          </w:p>
        </w:tc>
        <w:tc>
          <w:tcPr>
            <w:tcW w:w="0" w:type="dxa"/>
            <w:vAlign w:val="bottom"/>
          </w:tcPr>
          <w:p>
            <w:pPr>
              <w:spacing w:after="0"/>
              <w:rPr>
                <w:sz w:val="1"/>
                <w:szCs w:val="1"/>
                <w:color w:val="auto"/>
              </w:rPr>
            </w:pPr>
          </w:p>
        </w:tc>
      </w:tr>
      <w:tr>
        <w:trPr>
          <w:trHeight w:val="160"/>
        </w:trPr>
        <w:tc>
          <w:tcPr>
            <w:tcW w:w="38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(31,056 )</w:t>
            </w: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(31,056 )</w:t>
            </w:r>
          </w:p>
        </w:tc>
        <w:tc>
          <w:tcPr>
            <w:tcW w:w="0" w:type="dxa"/>
            <w:vAlign w:val="bottom"/>
          </w:tcPr>
          <w:p>
            <w:pPr>
              <w:spacing w:after="0"/>
              <w:rPr>
                <w:sz w:val="1"/>
                <w:szCs w:val="1"/>
                <w:color w:val="auto"/>
              </w:rPr>
            </w:pPr>
          </w:p>
        </w:tc>
      </w:tr>
      <w:tr>
        <w:trPr>
          <w:trHeight w:val="157"/>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March 31, 2022</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41,299,026</w:t>
            </w:r>
          </w:p>
        </w:tc>
        <w:tc>
          <w:tcPr>
            <w:tcW w:w="400" w:type="dxa"/>
            <w:vAlign w:val="bottom"/>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1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436,313</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(631</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(186,589</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249,097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80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 exercise</w:t>
            </w: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300"/>
              <w:spacing w:after="0"/>
              <w:rPr>
                <w:sz w:val="20"/>
                <w:szCs w:val="20"/>
                <w:color w:val="auto"/>
              </w:rPr>
            </w:pPr>
            <w:r>
              <w:rPr>
                <w:rFonts w:ascii="Arial" w:cs="Arial" w:eastAsia="Arial" w:hAnsi="Arial"/>
                <w:sz w:val="13"/>
                <w:szCs w:val="13"/>
                <w:color w:val="auto"/>
              </w:rPr>
              <w:t>of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13,186</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pursuant to</w:t>
            </w:r>
          </w:p>
        </w:tc>
        <w:tc>
          <w:tcPr>
            <w:tcW w:w="7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employee stock purchase plan</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51,608</w:t>
            </w: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0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(108 )</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(108 )</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(28,397 )</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(28,397 )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Pr>
          <w:p>
            <w:pPr>
              <w:ind w:left="20"/>
              <w:spacing w:after="0"/>
              <w:rPr>
                <w:sz w:val="20"/>
                <w:szCs w:val="20"/>
                <w:color w:val="auto"/>
              </w:rPr>
            </w:pPr>
            <w:r>
              <w:rPr>
                <w:rFonts w:ascii="Arial" w:cs="Arial" w:eastAsia="Arial" w:hAnsi="Arial"/>
                <w:sz w:val="13"/>
                <w:szCs w:val="13"/>
                <w:color w:val="auto"/>
              </w:rPr>
              <w:t>Balance as of June 30, 2022</w:t>
            </w:r>
          </w:p>
        </w:tc>
        <w:tc>
          <w:tcPr>
            <w:tcW w:w="740" w:type="dxa"/>
            <w:vAlign w:val="bottom"/>
          </w:tcPr>
          <w:p>
            <w:pPr>
              <w:jc w:val="right"/>
              <w:spacing w:after="0"/>
              <w:rPr>
                <w:sz w:val="20"/>
                <w:szCs w:val="20"/>
                <w:color w:val="auto"/>
              </w:rPr>
            </w:pPr>
            <w:r>
              <w:rPr>
                <w:rFonts w:ascii="Arial" w:cs="Arial" w:eastAsia="Arial" w:hAnsi="Arial"/>
                <w:sz w:val="13"/>
                <w:szCs w:val="13"/>
                <w:color w:val="auto"/>
              </w:rPr>
              <w:t>41,363,820</w:t>
            </w:r>
          </w:p>
        </w:tc>
        <w:tc>
          <w:tcPr>
            <w:tcW w:w="400" w:type="dxa"/>
            <w:vAlign w:val="bottom"/>
          </w:tcPr>
          <w:p>
            <w:pPr>
              <w:spacing w:after="0"/>
              <w:rPr>
                <w:sz w:val="13"/>
                <w:szCs w:val="13"/>
                <w:color w:val="auto"/>
              </w:rPr>
            </w:pP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439,588</w:t>
            </w:r>
          </w:p>
        </w:tc>
        <w:tc>
          <w:tcPr>
            <w:tcW w:w="2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(739 )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(214,986 )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223,867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0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Issuance of common stock upon exercise</w:t>
            </w:r>
          </w:p>
        </w:tc>
        <w:tc>
          <w:tcPr>
            <w:tcW w:w="7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00" w:type="dxa"/>
            <w:vAlign w:val="bottom"/>
            <w:shd w:val="clear" w:color="auto" w:fill="CFF0FC"/>
          </w:tcPr>
          <w:p>
            <w:pPr>
              <w:ind w:left="300"/>
              <w:spacing w:after="0" w:line="123" w:lineRule="exact"/>
              <w:rPr>
                <w:sz w:val="20"/>
                <w:szCs w:val="20"/>
                <w:color w:val="auto"/>
              </w:rPr>
            </w:pPr>
            <w:r>
              <w:rPr>
                <w:rFonts w:ascii="Arial" w:cs="Arial" w:eastAsia="Arial" w:hAnsi="Arial"/>
                <w:sz w:val="13"/>
                <w:szCs w:val="13"/>
                <w:color w:val="auto"/>
              </w:rPr>
              <w:t>of stock options and vesting of restricted</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10,869</w:t>
            </w:r>
          </w:p>
        </w:tc>
        <w:tc>
          <w:tcPr>
            <w:tcW w:w="1260" w:type="dxa"/>
            <w:vAlign w:val="bottom"/>
            <w:gridSpan w:val="2"/>
            <w:vMerge w:val="restart"/>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stock units</w:t>
            </w:r>
          </w:p>
        </w:tc>
        <w:tc>
          <w:tcPr>
            <w:tcW w:w="740" w:type="dxa"/>
            <w:vAlign w:val="bottom"/>
            <w:vMerge w:val="continue"/>
            <w:shd w:val="clear" w:color="auto" w:fill="CFF0FC"/>
          </w:tcPr>
          <w:p>
            <w:pPr>
              <w:spacing w:after="0"/>
              <w:rPr>
                <w:sz w:val="15"/>
                <w:szCs w:val="15"/>
                <w:color w:val="auto"/>
              </w:rPr>
            </w:pPr>
          </w:p>
        </w:tc>
        <w:tc>
          <w:tcPr>
            <w:tcW w:w="1260" w:type="dxa"/>
            <w:vAlign w:val="bottom"/>
            <w:gridSpan w:val="2"/>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0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(28 )</w:t>
            </w:r>
          </w:p>
        </w:tc>
        <w:tc>
          <w:tcPr>
            <w:tcW w:w="12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(30,696 )</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(30,696 )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00" w:type="dxa"/>
            <w:vAlign w:val="bottom"/>
          </w:tcPr>
          <w:p>
            <w:pPr>
              <w:ind w:left="20"/>
              <w:spacing w:after="0"/>
              <w:rPr>
                <w:sz w:val="20"/>
                <w:szCs w:val="20"/>
                <w:color w:val="auto"/>
              </w:rPr>
            </w:pPr>
            <w:r>
              <w:rPr>
                <w:rFonts w:ascii="Arial" w:cs="Arial" w:eastAsia="Arial" w:hAnsi="Arial"/>
                <w:sz w:val="13"/>
                <w:szCs w:val="13"/>
                <w:color w:val="auto"/>
              </w:rPr>
              <w:t>Balance as of September 30, 2022</w:t>
            </w:r>
          </w:p>
        </w:tc>
        <w:tc>
          <w:tcPr>
            <w:tcW w:w="740" w:type="dxa"/>
            <w:vAlign w:val="bottom"/>
          </w:tcPr>
          <w:p>
            <w:pPr>
              <w:jc w:val="right"/>
              <w:spacing w:after="0"/>
              <w:rPr>
                <w:sz w:val="20"/>
                <w:szCs w:val="20"/>
                <w:color w:val="auto"/>
              </w:rPr>
            </w:pPr>
            <w:r>
              <w:rPr>
                <w:rFonts w:ascii="Arial" w:cs="Arial" w:eastAsia="Arial" w:hAnsi="Arial"/>
                <w:sz w:val="13"/>
                <w:szCs w:val="13"/>
                <w:color w:val="auto"/>
              </w:rPr>
              <w:t>41,374,689</w:t>
            </w:r>
          </w:p>
        </w:tc>
        <w:tc>
          <w:tcPr>
            <w:tcW w:w="400" w:type="dxa"/>
            <w:vAlign w:val="bottom"/>
          </w:tcPr>
          <w:p>
            <w:pPr>
              <w:spacing w:after="0"/>
              <w:rPr>
                <w:sz w:val="13"/>
                <w:szCs w:val="13"/>
                <w:color w:val="auto"/>
              </w:rPr>
            </w:pP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442,773</w:t>
            </w:r>
          </w:p>
        </w:tc>
        <w:tc>
          <w:tcPr>
            <w:tcW w:w="2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(767 )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(245,682 )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196,328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-925195</wp:posOffset>
            </wp:positionV>
            <wp:extent cx="76835"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-925195</wp:posOffset>
            </wp:positionV>
            <wp:extent cx="76835"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-925195</wp:posOffset>
            </wp:positionV>
            <wp:extent cx="6858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-925195</wp:posOffset>
            </wp:positionV>
            <wp:extent cx="6858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-925195</wp:posOffset>
            </wp:positionV>
            <wp:extent cx="6858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-136525</wp:posOffset>
            </wp:positionV>
            <wp:extent cx="7683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-136525</wp:posOffset>
            </wp:positionV>
            <wp:extent cx="7683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-136525</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-136525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-136525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4"/>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2"/>
              </w:rPr>
              <w:t>Notes</w:t>
            </w:r>
          </w:p>
        </w:tc>
        <w:tc>
          <w:tcPr>
            <w:tcW w:w="16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840" w:type="dxa"/>
            <w:vAlign w:val="bottom"/>
            <w:tcBorders>
              <w:right w:val="single" w:sz="8" w:color="auto"/>
            </w:tcBorders>
            <w:gridSpan w:val="6"/>
            <w:vMerge w:val="restart"/>
          </w:tcPr>
          <w:p>
            <w:pPr>
              <w:ind w:left="40"/>
              <w:spacing w:after="0"/>
              <w:rPr>
                <w:sz w:val="20"/>
                <w:szCs w:val="20"/>
                <w:color w:val="auto"/>
              </w:rPr>
            </w:pPr>
            <w:r>
              <w:rPr>
                <w:rFonts w:ascii="Arial" w:cs="Arial" w:eastAsia="Arial" w:hAnsi="Arial"/>
                <w:sz w:val="13"/>
                <w:szCs w:val="13"/>
                <w:b w:val="1"/>
                <w:bCs w:val="1"/>
                <w:color w:val="auto"/>
              </w:rPr>
              <w:t>Convertible Preferred Stock</w:t>
            </w:r>
          </w:p>
        </w:tc>
        <w:tc>
          <w:tcPr>
            <w:tcW w:w="120" w:type="dxa"/>
            <w:vAlign w:val="bottom"/>
          </w:tcPr>
          <w:p>
            <w:pPr>
              <w:spacing w:after="0"/>
              <w:rPr>
                <w:sz w:val="10"/>
                <w:szCs w:val="10"/>
                <w:color w:val="auto"/>
              </w:rPr>
            </w:pPr>
          </w:p>
        </w:tc>
        <w:tc>
          <w:tcPr>
            <w:tcW w:w="1500" w:type="dxa"/>
            <w:vAlign w:val="bottom"/>
            <w:gridSpan w:val="4"/>
            <w:vMerge w:val="restart"/>
          </w:tcPr>
          <w:p>
            <w:pPr>
              <w:jc w:val="right"/>
              <w:ind w:right="205"/>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85"/>
              </w:rPr>
              <w:t>Receivable</w:t>
            </w:r>
          </w:p>
        </w:tc>
        <w:tc>
          <w:tcPr>
            <w:tcW w:w="10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Comprehensiv</w:t>
            </w:r>
          </w:p>
        </w:tc>
        <w:tc>
          <w:tcPr>
            <w:tcW w:w="900" w:type="dxa"/>
            <w:vAlign w:val="bottom"/>
            <w:gridSpan w:val="3"/>
            <w:vMerge w:val="continue"/>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40" w:type="dxa"/>
            <w:vAlign w:val="bottom"/>
            <w:tcBorders>
              <w:right w:val="single" w:sz="8" w:color="auto"/>
            </w:tcBorders>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from</w:t>
            </w:r>
          </w:p>
        </w:tc>
        <w:tc>
          <w:tcPr>
            <w:tcW w:w="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2"/>
              </w:rPr>
              <w:t>e</w:t>
            </w:r>
          </w:p>
        </w:tc>
        <w:tc>
          <w:tcPr>
            <w:tcW w:w="120" w:type="dxa"/>
            <w:vAlign w:val="bottom"/>
          </w:tcPr>
          <w:p>
            <w:pPr>
              <w:spacing w:after="0"/>
              <w:rPr>
                <w:sz w:val="14"/>
                <w:szCs w:val="14"/>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 Equity</w:t>
            </w: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3"/>
                <w:szCs w:val="13"/>
                <w:color w:val="auto"/>
              </w:rPr>
            </w:pPr>
          </w:p>
        </w:tc>
        <w:tc>
          <w:tcPr>
            <w:tcW w:w="100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4"/>
              </w:rPr>
              <w:t>Stockholders</w:t>
            </w:r>
          </w:p>
        </w:tc>
        <w:tc>
          <w:tcPr>
            <w:tcW w:w="160" w:type="dxa"/>
            <w:vAlign w:val="bottom"/>
          </w:tcPr>
          <w:p>
            <w:pPr>
              <w:spacing w:after="0"/>
              <w:rPr>
                <w:sz w:val="13"/>
                <w:szCs w:val="13"/>
                <w:color w:val="auto"/>
              </w:rPr>
            </w:pPr>
          </w:p>
        </w:tc>
        <w:tc>
          <w:tcPr>
            <w:tcW w:w="8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3"/>
                <w:szCs w:val="13"/>
                <w:color w:val="auto"/>
              </w:rPr>
            </w:pPr>
          </w:p>
        </w:tc>
        <w:tc>
          <w:tcPr>
            <w:tcW w:w="72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14"/>
        </w:trPr>
        <w:tc>
          <w:tcPr>
            <w:tcW w:w="2740" w:type="dxa"/>
            <w:vAlign w:val="bottom"/>
            <w:shd w:val="clear" w:color="auto" w:fill="CFF0FC"/>
          </w:tcPr>
          <w:p>
            <w:pPr>
              <w:ind w:left="20"/>
              <w:spacing w:after="0" w:line="114" w:lineRule="exact"/>
              <w:rPr>
                <w:sz w:val="20"/>
                <w:szCs w:val="20"/>
                <w:color w:val="auto"/>
              </w:rPr>
            </w:pPr>
            <w:r>
              <w:rPr>
                <w:rFonts w:ascii="Arial" w:cs="Arial" w:eastAsia="Arial" w:hAnsi="Arial"/>
                <w:sz w:val="13"/>
                <w:szCs w:val="13"/>
                <w:color w:val="auto"/>
              </w:rPr>
              <w:t>Balance as of January 1, 2021</w:t>
            </w:r>
          </w:p>
        </w:tc>
        <w:tc>
          <w:tcPr>
            <w:tcW w:w="680" w:type="dxa"/>
            <w:vAlign w:val="bottom"/>
            <w:tcBorders>
              <w:top w:val="single" w:sz="8" w:color="auto"/>
            </w:tcBorders>
            <w:shd w:val="clear" w:color="auto" w:fill="CFF0FC"/>
          </w:tcPr>
          <w:p>
            <w:pPr>
              <w:jc w:val="right"/>
              <w:spacing w:after="0" w:line="114" w:lineRule="exact"/>
              <w:rPr>
                <w:sz w:val="20"/>
                <w:szCs w:val="20"/>
                <w:color w:val="auto"/>
              </w:rPr>
            </w:pPr>
            <w:r>
              <w:rPr>
                <w:rFonts w:ascii="Arial" w:cs="Arial" w:eastAsia="Arial" w:hAnsi="Arial"/>
                <w:sz w:val="13"/>
                <w:szCs w:val="13"/>
                <w:color w:val="auto"/>
              </w:rPr>
              <w:t>24,493,52</w:t>
            </w:r>
          </w:p>
        </w:tc>
        <w:tc>
          <w:tcPr>
            <w:tcW w:w="2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220,754</w:t>
            </w:r>
          </w:p>
        </w:tc>
        <w:tc>
          <w:tcPr>
            <w:tcW w:w="1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1,210,306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65"/>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(87 )</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(82,812 )</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(81,315 )</w:t>
            </w:r>
          </w:p>
        </w:tc>
        <w:tc>
          <w:tcPr>
            <w:tcW w:w="0" w:type="dxa"/>
            <w:vAlign w:val="bottom"/>
          </w:tcPr>
          <w:p>
            <w:pPr>
              <w:spacing w:after="0"/>
              <w:rPr>
                <w:sz w:val="1"/>
                <w:szCs w:val="1"/>
                <w:color w:val="auto"/>
              </w:rPr>
            </w:pPr>
          </w:p>
        </w:tc>
      </w:tr>
      <w:tr>
        <w:trPr>
          <w:trHeight w:val="121"/>
        </w:trPr>
        <w:tc>
          <w:tcPr>
            <w:tcW w:w="2740" w:type="dxa"/>
            <w:vAlign w:val="bottom"/>
          </w:tcPr>
          <w:p>
            <w:pPr>
              <w:ind w:left="200"/>
              <w:spacing w:after="0" w:line="121" w:lineRule="exact"/>
              <w:rPr>
                <w:sz w:val="20"/>
                <w:szCs w:val="20"/>
                <w:color w:val="auto"/>
              </w:rPr>
            </w:pPr>
            <w:r>
              <w:rPr>
                <w:rFonts w:ascii="Arial" w:cs="Arial" w:eastAsia="Arial" w:hAnsi="Arial"/>
                <w:sz w:val="13"/>
                <w:szCs w:val="13"/>
                <w:color w:val="auto"/>
              </w:rPr>
              <w:t>Issuance of Series C convertible preferred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300"/>
              <w:spacing w:after="0"/>
              <w:rPr>
                <w:sz w:val="20"/>
                <w:szCs w:val="20"/>
                <w:color w:val="auto"/>
              </w:rPr>
            </w:pPr>
            <w:r>
              <w:rPr>
                <w:rFonts w:ascii="Arial" w:cs="Arial" w:eastAsia="Arial" w:hAnsi="Arial"/>
                <w:sz w:val="13"/>
                <w:szCs w:val="13"/>
                <w:color w:val="auto"/>
              </w:rPr>
              <w:t>stock, net of issuance costs of $20</w:t>
            </w:r>
          </w:p>
        </w:tc>
        <w:tc>
          <w:tcPr>
            <w:tcW w:w="680" w:type="dxa"/>
            <w:vAlign w:val="bottom"/>
          </w:tcPr>
          <w:p>
            <w:pPr>
              <w:jc w:val="right"/>
              <w:spacing w:after="0"/>
              <w:rPr>
                <w:sz w:val="20"/>
                <w:szCs w:val="20"/>
                <w:color w:val="auto"/>
              </w:rPr>
            </w:pPr>
            <w:r>
              <w:rPr>
                <w:rFonts w:ascii="Arial" w:cs="Arial" w:eastAsia="Arial" w:hAnsi="Arial"/>
                <w:sz w:val="13"/>
                <w:szCs w:val="13"/>
                <w:color w:val="auto"/>
              </w:rPr>
              <w:t>1,608,750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19,981</w:t>
            </w:r>
          </w:p>
        </w:tc>
        <w:tc>
          <w:tcPr>
            <w:tcW w:w="1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upon exercise</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of stock options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0"/>
              <w:spacing w:after="0" w:line="121" w:lineRule="exact"/>
              <w:rPr>
                <w:sz w:val="20"/>
                <w:szCs w:val="20"/>
                <w:color w:val="auto"/>
              </w:rPr>
            </w:pPr>
            <w:r>
              <w:rPr>
                <w:rFonts w:ascii="Arial" w:cs="Arial" w:eastAsia="Arial" w:hAnsi="Arial"/>
                <w:sz w:val="13"/>
                <w:szCs w:val="13"/>
                <w:color w:val="auto"/>
              </w:rPr>
              <w:t>Repurchase of common stock related to</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300"/>
              <w:spacing w:after="0"/>
              <w:rPr>
                <w:sz w:val="20"/>
                <w:szCs w:val="20"/>
                <w:color w:val="auto"/>
              </w:rPr>
            </w:pPr>
            <w:r>
              <w:rPr>
                <w:rFonts w:ascii="Arial" w:cs="Arial" w:eastAsia="Arial" w:hAnsi="Arial"/>
                <w:sz w:val="13"/>
                <w:szCs w:val="13"/>
                <w:color w:val="auto"/>
              </w:rPr>
              <w:t>early exercise of options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(365 )</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(13,098 )</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(13,098 )</w:t>
            </w:r>
          </w:p>
        </w:tc>
        <w:tc>
          <w:tcPr>
            <w:tcW w:w="0" w:type="dxa"/>
            <w:vAlign w:val="bottom"/>
          </w:tcPr>
          <w:p>
            <w:pPr>
              <w:spacing w:after="0"/>
              <w:rPr>
                <w:sz w:val="1"/>
                <w:szCs w:val="1"/>
                <w:color w:val="auto"/>
              </w:rPr>
            </w:pPr>
          </w:p>
        </w:tc>
      </w:tr>
      <w:tr>
        <w:trPr>
          <w:trHeight w:val="115"/>
        </w:trPr>
        <w:tc>
          <w:tcPr>
            <w:tcW w:w="2740" w:type="dxa"/>
            <w:vAlign w:val="bottom"/>
            <w:tcBorders>
              <w:top w:val="single" w:sz="8" w:color="CFF0FC"/>
            </w:tcBorders>
          </w:tcPr>
          <w:p>
            <w:pPr>
              <w:ind w:left="20"/>
              <w:spacing w:after="0" w:line="115" w:lineRule="exact"/>
              <w:rPr>
                <w:sz w:val="20"/>
                <w:szCs w:val="20"/>
                <w:color w:val="auto"/>
              </w:rPr>
            </w:pPr>
            <w:r>
              <w:rPr>
                <w:rFonts w:ascii="Arial" w:cs="Arial" w:eastAsia="Arial" w:hAnsi="Arial"/>
                <w:sz w:val="13"/>
                <w:szCs w:val="13"/>
                <w:color w:val="auto"/>
              </w:rPr>
              <w:t>Balance as of March 31, 2021</w:t>
            </w: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26,102,27</w:t>
            </w: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240,735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1,222,449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465"/>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2,054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(87 )</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(95,910 )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(93,943 )</w:t>
            </w: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upon exercise</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of stock options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12,173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0"/>
              <w:spacing w:after="0" w:line="121" w:lineRule="exact"/>
              <w:rPr>
                <w:sz w:val="20"/>
                <w:szCs w:val="20"/>
                <w:color w:val="auto"/>
              </w:rPr>
            </w:pPr>
            <w:r>
              <w:rPr>
                <w:rFonts w:ascii="Arial" w:cs="Arial" w:eastAsia="Arial" w:hAnsi="Arial"/>
                <w:sz w:val="13"/>
                <w:szCs w:val="13"/>
                <w:color w:val="auto"/>
              </w:rPr>
              <w:t>Repurchase of common stock related to</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300"/>
              <w:spacing w:after="0"/>
              <w:rPr>
                <w:sz w:val="20"/>
                <w:szCs w:val="20"/>
                <w:color w:val="auto"/>
              </w:rPr>
            </w:pPr>
            <w:r>
              <w:rPr>
                <w:rFonts w:ascii="Arial" w:cs="Arial" w:eastAsia="Arial" w:hAnsi="Arial"/>
                <w:sz w:val="13"/>
                <w:szCs w:val="13"/>
                <w:color w:val="auto"/>
              </w:rPr>
              <w:t>early exercise of options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(11,980 )</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Notes receivable from stockholders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(15,210 )</w:t>
            </w:r>
          </w:p>
        </w:tc>
        <w:tc>
          <w:tcPr>
            <w:tcW w:w="1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(15,210 )</w:t>
            </w:r>
          </w:p>
        </w:tc>
        <w:tc>
          <w:tcPr>
            <w:tcW w:w="0" w:type="dxa"/>
            <w:vAlign w:val="bottom"/>
          </w:tcPr>
          <w:p>
            <w:pPr>
              <w:spacing w:after="0"/>
              <w:rPr>
                <w:sz w:val="1"/>
                <w:szCs w:val="1"/>
                <w:color w:val="auto"/>
              </w:rPr>
            </w:pPr>
          </w:p>
        </w:tc>
      </w:tr>
      <w:tr>
        <w:trPr>
          <w:trHeight w:val="116"/>
        </w:trPr>
        <w:tc>
          <w:tcPr>
            <w:tcW w:w="274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Balance as of June 30, 2021</w:t>
            </w:r>
          </w:p>
        </w:tc>
        <w:tc>
          <w:tcPr>
            <w:tcW w:w="68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26,102,27</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240,735</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1,222,642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65"/>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(12 )</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(111,120 )</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(108,536 )</w:t>
            </w:r>
          </w:p>
        </w:tc>
        <w:tc>
          <w:tcPr>
            <w:tcW w:w="0" w:type="dxa"/>
            <w:vAlign w:val="bottom"/>
          </w:tcPr>
          <w:p>
            <w:pPr>
              <w:spacing w:after="0"/>
              <w:rPr>
                <w:sz w:val="1"/>
                <w:szCs w:val="1"/>
                <w:color w:val="auto"/>
              </w:rPr>
            </w:pPr>
          </w:p>
        </w:tc>
      </w:tr>
      <w:tr>
        <w:trPr>
          <w:trHeight w:val="108"/>
        </w:trPr>
        <w:tc>
          <w:tcPr>
            <w:tcW w:w="2740" w:type="dxa"/>
            <w:vAlign w:val="bottom"/>
            <w:tcBorders>
              <w:top w:val="single" w:sz="8" w:color="CFF0FC"/>
            </w:tcBorders>
          </w:tcPr>
          <w:p>
            <w:pPr>
              <w:ind w:left="200"/>
              <w:spacing w:after="0" w:line="108" w:lineRule="exact"/>
              <w:rPr>
                <w:sz w:val="20"/>
                <w:szCs w:val="20"/>
                <w:color w:val="auto"/>
              </w:rPr>
            </w:pPr>
            <w:r>
              <w:rPr>
                <w:rFonts w:ascii="Arial" w:cs="Arial" w:eastAsia="Arial" w:hAnsi="Arial"/>
                <w:sz w:val="12"/>
                <w:szCs w:val="12"/>
                <w:color w:val="auto"/>
              </w:rPr>
              <w:t>Conversion of convertible preferred stock</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(26,102,2</w:t>
            </w: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26,102,27</w:t>
            </w: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740" w:type="dxa"/>
            <w:vAlign w:val="bottom"/>
          </w:tcPr>
          <w:p>
            <w:pPr>
              <w:ind w:left="300"/>
              <w:spacing w:after="0" w:line="123" w:lineRule="exact"/>
              <w:rPr>
                <w:sz w:val="20"/>
                <w:szCs w:val="20"/>
                <w:color w:val="auto"/>
              </w:rPr>
            </w:pPr>
            <w:r>
              <w:rPr>
                <w:rFonts w:ascii="Arial" w:cs="Arial" w:eastAsia="Arial" w:hAnsi="Arial"/>
                <w:sz w:val="13"/>
                <w:szCs w:val="13"/>
                <w:color w:val="auto"/>
              </w:rPr>
              <w:t>to common stock upon completion of</w:t>
            </w: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740" w:type="dxa"/>
            <w:vAlign w:val="bottom"/>
          </w:tcPr>
          <w:p>
            <w:pPr>
              <w:ind w:left="300"/>
              <w:spacing w:after="0"/>
              <w:rPr>
                <w:sz w:val="20"/>
                <w:szCs w:val="20"/>
                <w:color w:val="auto"/>
              </w:rPr>
            </w:pPr>
            <w:r>
              <w:rPr>
                <w:rFonts w:ascii="Arial" w:cs="Arial" w:eastAsia="Arial" w:hAnsi="Arial"/>
                <w:sz w:val="13"/>
                <w:szCs w:val="13"/>
                <w:color w:val="auto"/>
              </w:rPr>
              <w:t>initial public offering</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78 )</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(240,735 )</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240,732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240,735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Issuance of common stock upon initial</w:t>
            </w: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13,800,00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FF0FC"/>
          </w:tcPr>
          <w:p>
            <w:pPr>
              <w:ind w:left="300"/>
              <w:spacing w:after="0" w:line="123" w:lineRule="exact"/>
              <w:rPr>
                <w:sz w:val="20"/>
                <w:szCs w:val="20"/>
                <w:color w:val="auto"/>
              </w:rPr>
            </w:pPr>
            <w:r>
              <w:rPr>
                <w:rFonts w:ascii="Arial" w:cs="Arial" w:eastAsia="Arial" w:hAnsi="Arial"/>
                <w:sz w:val="13"/>
                <w:szCs w:val="13"/>
                <w:color w:val="auto"/>
              </w:rPr>
              <w:t>public offering, net of issuance costs</w:t>
            </w: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of $18,459</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188,540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188,541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 exercise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300"/>
              <w:spacing w:after="0"/>
              <w:rPr>
                <w:sz w:val="20"/>
                <w:szCs w:val="20"/>
                <w:color w:val="auto"/>
              </w:rPr>
            </w:pPr>
            <w:r>
              <w:rPr>
                <w:rFonts w:ascii="Arial" w:cs="Arial" w:eastAsia="Arial" w:hAnsi="Arial"/>
                <w:sz w:val="13"/>
                <w:szCs w:val="13"/>
                <w:color w:val="auto"/>
              </w:rPr>
              <w:t>of stock options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160,096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Repurchase of common stock related to</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early exercise of options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(4,614 )</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(23 )</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(18,262 )</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(18,262 )</w:t>
            </w:r>
          </w:p>
        </w:tc>
        <w:tc>
          <w:tcPr>
            <w:tcW w:w="0" w:type="dxa"/>
            <w:vAlign w:val="bottom"/>
          </w:tcPr>
          <w:p>
            <w:pPr>
              <w:spacing w:after="0"/>
              <w:rPr>
                <w:sz w:val="1"/>
                <w:szCs w:val="1"/>
                <w:color w:val="auto"/>
              </w:rPr>
            </w:pPr>
          </w:p>
        </w:tc>
      </w:tr>
      <w:tr>
        <w:trPr>
          <w:trHeight w:val="115"/>
        </w:trPr>
        <w:tc>
          <w:tcPr>
            <w:tcW w:w="2740" w:type="dxa"/>
            <w:vAlign w:val="bottom"/>
            <w:tcBorders>
              <w:top w:val="single" w:sz="8" w:color="CFF0FC"/>
            </w:tcBorders>
          </w:tcPr>
          <w:p>
            <w:pPr>
              <w:ind w:left="20"/>
              <w:spacing w:after="0" w:line="115" w:lineRule="exact"/>
              <w:rPr>
                <w:sz w:val="20"/>
                <w:szCs w:val="20"/>
                <w:color w:val="auto"/>
              </w:rPr>
            </w:pPr>
            <w:r>
              <w:rPr>
                <w:rFonts w:ascii="Arial" w:cs="Arial" w:eastAsia="Arial" w:hAnsi="Arial"/>
                <w:sz w:val="13"/>
                <w:szCs w:val="13"/>
                <w:color w:val="auto"/>
              </w:rPr>
              <w:t>Balance as of September 30, 2021</w:t>
            </w: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41,280,40</w:t>
            </w: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465"/>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4</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433,112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(12 )</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(23 )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(129,382 )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303,699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-2750820</wp:posOffset>
            </wp:positionV>
            <wp:extent cx="7747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-2750820</wp:posOffset>
            </wp:positionV>
            <wp:extent cx="76835"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-2750820</wp:posOffset>
            </wp:positionV>
            <wp:extent cx="76835"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-2750820</wp:posOffset>
            </wp:positionV>
            <wp:extent cx="7747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-2750820</wp:posOffset>
            </wp:positionV>
            <wp:extent cx="6858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-2750820</wp:posOffset>
            </wp:positionV>
            <wp:extent cx="685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-2750820</wp:posOffset>
            </wp:positionV>
            <wp:extent cx="6858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-2750820</wp:posOffset>
            </wp:positionV>
            <wp:extent cx="6858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-2750820</wp:posOffset>
            </wp:positionV>
            <wp:extent cx="6858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-1567815</wp:posOffset>
            </wp:positionV>
            <wp:extent cx="496316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63160" cy="29146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-222250</wp:posOffset>
            </wp:positionV>
            <wp:extent cx="7747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-222250</wp:posOffset>
            </wp:positionV>
            <wp:extent cx="76835"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-222250</wp:posOffset>
            </wp:positionV>
            <wp:extent cx="7747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-222250</wp:posOffset>
            </wp:positionV>
            <wp:extent cx="6858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-222250</wp:posOffset>
            </wp:positionV>
            <wp:extent cx="6858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-222250</wp:posOffset>
            </wp:positionV>
            <wp:extent cx="6858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-222250</wp:posOffset>
            </wp:positionV>
            <wp:extent cx="6858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-222250</wp:posOffset>
            </wp:positionV>
            <wp:extent cx="6858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(90,149 )</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(46,570 )</w:t>
            </w: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4,350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premium on marketable securities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8,280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write-offs and disposal of property and equipment</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Non-cash operating lease expense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(3,278 )</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(3,029 )</w:t>
            </w:r>
          </w:p>
        </w:tc>
      </w:tr>
      <w:tr>
        <w:trPr>
          <w:trHeight w:val="176"/>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noncurrent assets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(672 )</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(3,063 )</w:t>
            </w:r>
          </w:p>
        </w:tc>
      </w:tr>
      <w:tr>
        <w:trPr>
          <w:trHeight w:val="176"/>
        </w:trPr>
        <w:tc>
          <w:tcPr>
            <w:tcW w:w="77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(1,803 )</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and other current liabilities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1,729</w:t>
            </w:r>
          </w:p>
        </w:tc>
        <w:tc>
          <w:tcPr>
            <w:tcW w:w="100" w:type="dxa"/>
            <w:vAlign w:val="bottom"/>
            <w:shd w:val="clear" w:color="auto" w:fill="CFF0FC"/>
          </w:tcPr>
          <w:p>
            <w:pPr>
              <w:spacing w:after="0"/>
              <w:rPr>
                <w:sz w:val="15"/>
                <w:szCs w:val="15"/>
                <w:color w:val="auto"/>
              </w:rPr>
            </w:pPr>
          </w:p>
        </w:tc>
      </w:tr>
      <w:tr>
        <w:trPr>
          <w:trHeight w:val="176"/>
        </w:trPr>
        <w:tc>
          <w:tcPr>
            <w:tcW w:w="774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(2,147 )</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(952 )</w:t>
            </w:r>
          </w:p>
        </w:tc>
      </w:tr>
      <w:tr>
        <w:trPr>
          <w:trHeight w:val="175"/>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Other noncurrent liabilities</w:t>
            </w: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480"/>
              <w:spacing w:after="0"/>
              <w:rPr>
                <w:sz w:val="20"/>
                <w:szCs w:val="20"/>
                <w:color w:val="auto"/>
              </w:rPr>
            </w:pPr>
            <w:r>
              <w:rPr>
                <w:rFonts w:ascii="Arial" w:cs="Arial" w:eastAsia="Arial" w:hAnsi="Arial"/>
                <w:sz w:val="14"/>
                <w:szCs w:val="14"/>
                <w:color w:val="auto"/>
              </w:rPr>
              <w:t>Net cash used in operating activities</w:t>
            </w:r>
          </w:p>
        </w:tc>
        <w:tc>
          <w:tcPr>
            <w:tcW w:w="980" w:type="dxa"/>
            <w:vAlign w:val="bottom"/>
          </w:tcPr>
          <w:p>
            <w:pPr>
              <w:spacing w:after="0"/>
              <w:rPr>
                <w:sz w:val="14"/>
                <w:szCs w:val="14"/>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(81,742 )</w:t>
            </w:r>
          </w:p>
        </w:tc>
        <w:tc>
          <w:tcPr>
            <w:tcW w:w="10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(44,465 )</w:t>
            </w: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(19,835 )</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(12,567 )</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w w:val="97"/>
              </w:rPr>
              <w:t>(108,737 )</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7"/>
              </w:rPr>
              <w:t>(163,417 )</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206,250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7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77,678</w:t>
            </w:r>
          </w:p>
        </w:tc>
        <w:tc>
          <w:tcPr>
            <w:tcW w:w="2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7"/>
              </w:rPr>
              <w:t>(175,984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19,981</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initial public offering, net of issuance costs</w:t>
            </w:r>
          </w:p>
        </w:tc>
        <w:tc>
          <w:tcPr>
            <w:tcW w:w="98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188,605</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stock options and employee stock purchase plan</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980" w:type="dxa"/>
            <w:vAlign w:val="bottom"/>
          </w:tcPr>
          <w:p>
            <w:pPr>
              <w:spacing w:after="0"/>
              <w:rPr>
                <w:sz w:val="15"/>
                <w:szCs w:val="15"/>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(13 )</w:t>
            </w: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repayments on notes receivable from stockholders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5"/>
                <w:szCs w:val="15"/>
                <w:color w:val="auto"/>
              </w:rPr>
            </w:pPr>
          </w:p>
        </w:tc>
      </w:tr>
      <w:tr>
        <w:trPr>
          <w:trHeight w:val="169"/>
        </w:trPr>
        <w:tc>
          <w:tcPr>
            <w:tcW w:w="7740" w:type="dxa"/>
            <w:vAlign w:val="bottom"/>
            <w:tcBorders>
              <w:top w:val="single" w:sz="8" w:color="CFF0FC"/>
            </w:tcBorders>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60" w:type="dxa"/>
            <w:vAlign w:val="bottom"/>
            <w:tcBorders>
              <w:top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208,991</w:t>
            </w:r>
          </w:p>
        </w:tc>
        <w:tc>
          <w:tcPr>
            <w:tcW w:w="100" w:type="dxa"/>
            <w:vAlign w:val="bottom"/>
            <w:tcBorders>
              <w:top w:val="single" w:sz="8" w:color="CFF0FC"/>
            </w:tcBorders>
          </w:tcPr>
          <w:p>
            <w:pPr>
              <w:spacing w:after="0"/>
              <w:rPr>
                <w:sz w:val="14"/>
                <w:szCs w:val="14"/>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(3,783</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38,676</w:t>
            </w: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129,082</w:t>
            </w:r>
          </w:p>
        </w:tc>
        <w:tc>
          <w:tcPr>
            <w:tcW w:w="100" w:type="dxa"/>
            <w:vAlign w:val="bottom"/>
          </w:tcPr>
          <w:p>
            <w:pPr>
              <w:spacing w:after="0"/>
              <w:rPr>
                <w:sz w:val="15"/>
                <w:szCs w:val="15"/>
                <w:color w:val="auto"/>
              </w:rPr>
            </w:pP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34,893</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117,624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Components of cash, cash equivalents and restricted cash:</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34,494</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117,077</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Restricted cash included in other noncurrent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5"/>
                <w:szCs w:val="15"/>
                <w:color w:val="auto"/>
              </w:rPr>
            </w:pP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34,893</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117,624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Conversion of convertible preferred stock to common stock upon completion of initial public offering</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220,754</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Offering costs related to initial public offering included in accounts payable and accrued and other current liabilities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included in accounts payable and accrued and other current liabilities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3,677</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-2099945</wp:posOffset>
            </wp:positionV>
            <wp:extent cx="6858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123444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123444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13716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Tenaya Therapeutics, Inc.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240" w:firstLine="509"/>
        <w:spacing w:after="0" w:line="249"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September 30, 2022, the Company had an accumulated deficit of $245.7 million. The Company incurred a net loss of $90.1 million and $46.6 million during the nine months ended September 30, 2022 and 2021, respectively. The Company had $149.5 million of cash, cash equivalents and investments in marketable securities as of September 30, 2022.</w:t>
      </w:r>
    </w:p>
    <w:p>
      <w:pPr>
        <w:spacing w:after="0" w:line="7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September 30, 2022 will be sufficient to fund the Company’s operations for at least the next twelve months following the date these condensed financial statements are filed with the Securities and Exchange Commission (SEC).</w:t>
      </w:r>
    </w:p>
    <w:p>
      <w:pPr>
        <w:spacing w:after="0" w:line="56" w:lineRule="exact"/>
        <w:rPr>
          <w:sz w:val="20"/>
          <w:szCs w:val="20"/>
          <w:color w:val="auto"/>
        </w:rPr>
      </w:pPr>
    </w:p>
    <w:p>
      <w:pPr>
        <w:ind w:right="340" w:firstLine="509"/>
        <w:spacing w:after="0" w:line="294" w:lineRule="auto"/>
        <w:rPr>
          <w:sz w:val="20"/>
          <w:szCs w:val="20"/>
          <w:color w:val="auto"/>
        </w:rPr>
      </w:pPr>
      <w:r>
        <w:rPr>
          <w:rFonts w:ascii="Arial" w:cs="Arial" w:eastAsia="Arial" w:hAnsi="Arial"/>
          <w:sz w:val="16"/>
          <w:szCs w:val="16"/>
          <w:color w:val="auto"/>
        </w:rPr>
        <w:t>In August 2022, the Company entered into a sales agreement with a sales agent to establish an at-the-market (ATM) offering program under the Securities Act. Pursuant to the sales agreement, the Company is permitted to offer and sell, from time to time, shares of its common stock having a maximum aggregate offering price of up to $75.0 million. As of September 30, 2022, no shares have been sold pursuant to the ATM program.</w:t>
      </w:r>
    </w:p>
    <w:p>
      <w:pPr>
        <w:spacing w:after="0" w:line="26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7"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The interim condensed balance sheet as of September 30, 2022, the interim condensed statements of operations and comprehensive loss, convertible preferred stock and stockholders’ equity (deficit) and cash flows for the nine months ended September 30, 2022 and 2021 are unaudited. These unaudited interim condensed financial statements have been prepared on the same basis as the Company’s annual financial statements and reflect all adjustments (consisting only of normal recurring adjustments) that are necessary for the fair statement of the Company’s financial position, results of operations and cash flows for the interim periods presented. The condensed results of operations for the nine months ended September 30, 2022 are not necessarily indicative of the results to be expected for the full year or for any other future annual or interim period. The condensed balance sheet as of December 31, 2021 included herein was derived from the audited financial statements as of that date. These condensed financial statements should be read in conjunction with the Company’s audited financial statements and the related notes thereto for the year ended December 31, 2021, included in Company's Annual Report on Form 10-K, filed with the SEC on March 23, 2022.</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4"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Certain prior year balances have been reclassified in order to conform to current year presentation for the condensed balance sheets. These reclassifications have no effect on the previously reported financial position.</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On an ongoing basis, management evaluates its estimates, including those related to clinical trial accrued liabilities, income tax valuation allowance and stock-based compensation. Management bases its estimates on historical experience, the current economic environment, and on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various other assumptions that are believed to be reasonable under the circumstances. Actual results may differ from those estimates or assumptions.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There have been no material revisions in the Company's significant accounting policies described in Note 2 to the consolidated financial statements included in the Company's Annual Report on Form 10-K for the year ended December 31, 2021.</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1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No. 2019-12, Income Taxes (Topic 740): Simplifying the Accounting for Income Taxes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became effective for the Company beginning January 1, 2022. The adoption of this standard did not have any impact on its financial statements.</w:t>
      </w:r>
    </w:p>
    <w:p>
      <w:pPr>
        <w:spacing w:after="0" w:line="17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(ASU 2021-10), which requires business entities to make annual disclosures about transactions with a government they account for by analogizing to a grant or contribution accounting model. The required annual disclosures include the nature of the transaction, the entity’s related accounting policy, the financial statement line items affected and the amounts reflected in the current period financial statements, and any significant terms and conditions. ASU 2021-10 became effective for the Company beginning January 1, 2022. The adoption of this standard did not have a material impact on its financial statements.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will become effective for the Company beginning January 1, 2023. The Company is evaluating the impact of this standard on its financial statements.</w:t>
      </w:r>
    </w:p>
    <w:p>
      <w:pPr>
        <w:spacing w:after="0" w:line="18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Inputs reflect management’s best estimate of what market participants would use in pricing the asset or liability at the measurement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1" w:name="page12"/>
    <w:bookmarkEnd w:id="11"/>
    <w:p>
      <w:pPr>
        <w:ind w:left="560"/>
        <w:spacing w:after="0"/>
        <w:rPr>
          <w:sz w:val="20"/>
          <w:szCs w:val="20"/>
          <w:color w:val="auto"/>
        </w:rPr>
      </w:pPr>
      <w:r>
        <w:rPr>
          <w:rFonts w:ascii="Arial" w:cs="Arial" w:eastAsia="Arial" w:hAnsi="Arial"/>
          <w:sz w:val="16"/>
          <w:szCs w:val="16"/>
          <w:color w:val="auto"/>
        </w:rPr>
        <w:t>The following tables summarize the Company’s financial assets measured at fair value on a recurring basis by level within the fair value hierarchy: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13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6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Valuation</w:t>
            </w:r>
          </w:p>
        </w:tc>
        <w:tc>
          <w:tcPr>
            <w:tcW w:w="200" w:type="dxa"/>
            <w:vAlign w:val="bottom"/>
          </w:tcPr>
          <w:p>
            <w:pPr>
              <w:spacing w:after="0"/>
              <w:rPr>
                <w:sz w:val="11"/>
                <w:szCs w:val="11"/>
                <w:color w:val="auto"/>
              </w:rPr>
            </w:pPr>
          </w:p>
        </w:tc>
        <w:tc>
          <w:tcPr>
            <w:tcW w:w="10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tcPr>
          <w:p>
            <w:pPr>
              <w:jc w:val="center"/>
              <w:ind w:right="47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Level 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23,376</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Level 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(445 )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(164 )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(25 )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Government agencies bonds</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(134 )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149,065</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(768 )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115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6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Valuation</w:t>
            </w:r>
          </w:p>
        </w:tc>
        <w:tc>
          <w:tcPr>
            <w:tcW w:w="200" w:type="dxa"/>
            <w:vAlign w:val="bottom"/>
          </w:tcPr>
          <w:p>
            <w:pPr>
              <w:spacing w:after="0"/>
              <w:rPr>
                <w:sz w:val="11"/>
                <w:szCs w:val="11"/>
                <w:color w:val="auto"/>
              </w:rPr>
            </w:pPr>
          </w:p>
        </w:tc>
        <w:tc>
          <w:tcPr>
            <w:tcW w:w="10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tcPr>
          <w:p>
            <w:pPr>
              <w:jc w:val="center"/>
              <w:ind w:right="47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Level 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treasuries</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Level 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(85 )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(50 )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bonds</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Government agencies bonds</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Level 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4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250,441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-2014220</wp:posOffset>
            </wp:positionV>
            <wp:extent cx="7683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-2014220</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-2014220</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Money market funds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considers the inputs and methods used in determining the fair value in order to determine the classification of securities in the fair value hierarchy.</w:t>
      </w:r>
    </w:p>
    <w:p>
      <w:pPr>
        <w:spacing w:after="0" w:line="64" w:lineRule="exact"/>
        <w:rPr>
          <w:sz w:val="20"/>
          <w:szCs w:val="20"/>
          <w:color w:val="auto"/>
        </w:rPr>
      </w:pPr>
    </w:p>
    <w:p>
      <w:pPr>
        <w:ind w:right="80" w:firstLine="509"/>
        <w:spacing w:after="0" w:line="303" w:lineRule="auto"/>
        <w:rPr>
          <w:sz w:val="20"/>
          <w:szCs w:val="20"/>
          <w:color w:val="auto"/>
        </w:rPr>
      </w:pPr>
      <w:r>
        <w:rPr>
          <w:rFonts w:ascii="Arial" w:cs="Arial" w:eastAsia="Arial" w:hAnsi="Arial"/>
          <w:sz w:val="16"/>
          <w:szCs w:val="16"/>
          <w:color w:val="auto"/>
        </w:rPr>
        <w:t>The Company believes it is more likely than not that its marketable securities in an unrealized loss position will be held until maturity or the recovery of the cost basis of the investment. To date, the Company has not recorded any impairment charges on marketable securities related to other-than-temporary declines in market value. As of September 30, 2022, all available-for-sale marketable securities had remaining maturities of less than one year.</w:t>
      </w:r>
    </w:p>
    <w:p>
      <w:pPr>
        <w:spacing w:after="0" w:line="3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carrying amount of the Company's remaining financial assets and liabilities, which include cash, receivables and payables, approximate their fair values due to their short-term nature.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tabs>
          <w:tab w:leader="none" w:pos="360" w:val="left"/>
        </w:tabs>
        <w:rPr>
          <w:sz w:val="20"/>
          <w:szCs w:val="20"/>
          <w:color w:val="auto"/>
        </w:rPr>
      </w:pPr>
      <w:r>
        <w:rPr>
          <w:rFonts w:ascii="Arial" w:cs="Arial" w:eastAsia="Arial" w:hAnsi="Arial"/>
          <w:sz w:val="18"/>
          <w:szCs w:val="18"/>
          <w:b w:val="1"/>
          <w:bCs w:val="1"/>
          <w:color w:val="auto"/>
        </w:rPr>
        <w:t>4.</w:t>
        <w:tab/>
        <w:t>Balance Sheet Components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center"/>
              <w:ind w:right="713"/>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4"/>
                <w:szCs w:val="14"/>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11,891</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32,561</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r>
      <w:tr>
        <w:trPr>
          <w:trHeight w:val="210"/>
        </w:trPr>
        <w:tc>
          <w:tcPr>
            <w:tcW w:w="5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52,445</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8"/>
                <w:szCs w:val="18"/>
                <w:color w:val="auto"/>
              </w:rPr>
              <w:t>(13,575 )</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(9,425 )</w:t>
            </w:r>
          </w:p>
        </w:tc>
      </w:tr>
      <w:tr>
        <w:trPr>
          <w:trHeight w:val="249"/>
        </w:trPr>
        <w:tc>
          <w:tcPr>
            <w:tcW w:w="5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Depreciation and amortization expense for the three months ended September 30, 2022 and 2021 was $2.1 million and $0.7 million, respectively. Depreciation and amortization expense for the nine months ended September 30, 2022 and 2021 was $4.3 million and $2.2 million, respectively. Leasehold improvements as of September 30, 2022 include certain enhancements made to the Company’s leased manufacturing and office space located in Union City, California (Union City Facility). During the second quarter of 2022, the Company completed the build out and operational launch of the Union City Facility. As a result, the Company reclassified the related capitalized machinery and equipment from construction in progress to manufacturing and laboratory equipment in that period.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center"/>
              <w:ind w:right="675"/>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tcPr>
          <w:p>
            <w:pPr>
              <w:spacing w:after="0"/>
              <w:rPr>
                <w:sz w:val="14"/>
                <w:szCs w:val="14"/>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300" w:type="dxa"/>
            <w:vAlign w:val="bottom"/>
            <w:gridSpan w:val="2"/>
            <w:shd w:val="clear" w:color="auto" w:fill="CFF0FC"/>
          </w:tcPr>
          <w:p>
            <w:pPr>
              <w:jc w:val="center"/>
              <w:ind w:left="11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2,863</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ind w:left="100"/>
              <w:spacing w:after="0"/>
              <w:rPr>
                <w:sz w:val="20"/>
                <w:szCs w:val="20"/>
                <w:color w:val="auto"/>
              </w:rPr>
            </w:pPr>
            <w:r>
              <w:rPr>
                <w:rFonts w:ascii="Arial" w:cs="Arial" w:eastAsia="Arial" w:hAnsi="Arial"/>
                <w:sz w:val="18"/>
                <w:szCs w:val="18"/>
                <w:color w:val="auto"/>
              </w:rPr>
              <w:t>Total accrued and 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8,388</w:t>
            </w:r>
          </w:p>
        </w:tc>
        <w:tc>
          <w:tcPr>
            <w:tcW w:w="30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9,059</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Prepaid expenses and other current assets include a receivable of approximately $2 million relating to the employee retention credit (ERC) under the Coronavirus Aid, Relief, and Economic Security Act (CARES Act). The ERC is a refundable tax credit, which was provided to encourage businesses to keep employees on the payroll during the COVID-19 pandemic. During the second quarter of 2022, the Company filed a claim for the ERC and recorded the receivable with the offsetting benefit included in operating expenses.</w:t>
      </w:r>
    </w:p>
    <w:p>
      <w:pPr>
        <w:spacing w:after="0" w:line="17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$100,000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 w:name="page14"/>
    <w:bookmarkEnd w:id="13"/>
    <w:p>
      <w:pPr>
        <w:ind w:right="180" w:firstLine="45"/>
        <w:spacing w:after="0" w:line="277" w:lineRule="auto"/>
        <w:rPr>
          <w:sz w:val="20"/>
          <w:szCs w:val="20"/>
          <w:color w:val="auto"/>
        </w:rPr>
      </w:pPr>
      <w:r>
        <w:rPr>
          <w:rFonts w:ascii="Arial" w:cs="Arial" w:eastAsia="Arial" w:hAnsi="Arial"/>
          <w:sz w:val="18"/>
          <w:szCs w:val="18"/>
          <w:color w:val="auto"/>
        </w:rPr>
        <w:t>additional one-year terms. As of September 30, 2022, the Company has not recognized any milestone and royalty payments under the Gladstone License Agreement.</w:t>
      </w:r>
    </w:p>
    <w:p>
      <w:pPr>
        <w:spacing w:after="0" w:line="49"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During the nine months ended September 30, 2022 and 2021, there were no material amounts recorded related to annual license fees payable pursuant to the Gladstone License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04"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September 30, 2022, the Company has not recognized any milestone and royalty payments under the UTSW License.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In addition to the agreements described above, the Company also previously entered into other license agreements with various institutions and business entities, none of which are material individually or in the aggregate.</w:t>
      </w:r>
    </w:p>
    <w:p>
      <w:pPr>
        <w:spacing w:after="0" w:line="18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04"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In December 2016, the Company entered into a lease agreement for office and laboratory space in South San Francisco, California. The lease expires in May 2025 and the Company may renew the lease term for two additional five-year periods.</w:t>
      </w:r>
    </w:p>
    <w:p>
      <w:pPr>
        <w:spacing w:after="0" w:line="49"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In February 2021, the Company entered into a lease agreement for the Union City Facility. The lease commenced in May 2021 and has a ten-year term with one five-year renewal option. Upon the execution of the lease agreement, the Company provided the landlord with a refundable security deposit of $3.3 million, which was included in other noncurrent assets on the balance sheets.</w:t>
      </w:r>
    </w:p>
    <w:p>
      <w:pPr>
        <w:spacing w:after="0" w:line="67"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The amendment also included an additional term whereby the Company subleases additional office and laboratory space at the same sublease premise through November 30, 2023.</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related to operating lease activity during the three and nine months ended September 30, 2022 was as follows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71"/>
        </w:trPr>
        <w:tc>
          <w:tcPr>
            <w:tcW w:w="5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4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74"/>
              </w:rPr>
              <w:t>thousands)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FF0FC"/>
          </w:tcPr>
          <w:p>
            <w:pPr>
              <w:jc w:val="right"/>
              <w:ind w:right="57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1,090</w:t>
            </w:r>
          </w:p>
        </w:tc>
        <w:tc>
          <w:tcPr>
            <w:tcW w:w="106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319</w:t>
            </w:r>
          </w:p>
        </w:tc>
        <w:tc>
          <w:tcPr>
            <w:tcW w:w="10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ind w:left="120"/>
              <w:spacing w:after="0"/>
              <w:rPr>
                <w:sz w:val="20"/>
                <w:szCs w:val="20"/>
                <w:color w:val="auto"/>
              </w:rPr>
            </w:pPr>
            <w:r>
              <w:rPr>
                <w:rFonts w:ascii="Arial" w:cs="Arial" w:eastAsia="Arial" w:hAnsi="Arial"/>
                <w:sz w:val="18"/>
                <w:szCs w:val="18"/>
                <w:color w:val="auto"/>
              </w:rPr>
              <w:t>Total lease cost</w:t>
            </w:r>
          </w:p>
        </w:tc>
        <w:tc>
          <w:tcPr>
            <w:tcW w:w="780" w:type="dxa"/>
            <w:vAlign w:val="bottom"/>
          </w:tcPr>
          <w:p>
            <w:pPr>
              <w:jc w:val="right"/>
              <w:ind w:right="57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1,653</w:t>
            </w:r>
          </w:p>
        </w:tc>
        <w:tc>
          <w:tcPr>
            <w:tcW w:w="10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1,593</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4,243</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5480" w:type="dxa"/>
            <w:vAlign w:val="bottom"/>
          </w:tcPr>
          <w:p>
            <w:pPr>
              <w:ind w:left="20"/>
              <w:spacing w:after="0" w:line="175" w:lineRule="exact"/>
              <w:rPr>
                <w:sz w:val="20"/>
                <w:szCs w:val="20"/>
                <w:color w:val="auto"/>
              </w:rPr>
            </w:pPr>
            <w:r>
              <w:rPr>
                <w:rFonts w:ascii="Arial" w:cs="Arial" w:eastAsia="Arial" w:hAnsi="Arial"/>
                <w:sz w:val="18"/>
                <w:szCs w:val="18"/>
                <w:color w:val="auto"/>
              </w:rPr>
              <w:t>Operating lease-right-of-use assets obtained in exchange for lease</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2,224</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8,558</w:t>
            </w:r>
          </w:p>
        </w:tc>
        <w:tc>
          <w:tcPr>
            <w:tcW w:w="100" w:type="dxa"/>
            <w:vAlign w:val="bottom"/>
          </w:tcPr>
          <w:p>
            <w:pPr>
              <w:spacing w:after="0"/>
              <w:rPr>
                <w:sz w:val="20"/>
                <w:szCs w:val="20"/>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leases included in operating cash outflows</w:t>
            </w: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FF0FC"/>
          </w:tcPr>
          <w:p>
            <w:pPr>
              <w:spacing w:after="0"/>
              <w:rPr>
                <w:sz w:val="18"/>
                <w:szCs w:val="18"/>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2,978</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r>
      <w:tr>
        <w:trPr>
          <w:trHeight w:val="634"/>
        </w:trPr>
        <w:tc>
          <w:tcPr>
            <w:tcW w:w="5480" w:type="dxa"/>
            <w:vAlign w:val="bottom"/>
          </w:tcPr>
          <w:p>
            <w:pPr>
              <w:spacing w:after="0"/>
              <w:rPr>
                <w:sz w:val="24"/>
                <w:szCs w:val="24"/>
                <w:color w:val="auto"/>
              </w:rPr>
            </w:pPr>
          </w:p>
        </w:tc>
        <w:tc>
          <w:tcPr>
            <w:tcW w:w="780" w:type="dxa"/>
            <w:vAlign w:val="bottom"/>
          </w:tcPr>
          <w:p>
            <w:pPr>
              <w:jc w:val="right"/>
              <w:ind w:right="457"/>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4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-1319530</wp:posOffset>
            </wp:positionV>
            <wp:extent cx="7747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-1319530</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-1319530</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540" w:firstLine="509"/>
        <w:spacing w:after="0" w:line="342" w:lineRule="auto"/>
        <w:rPr>
          <w:sz w:val="20"/>
          <w:szCs w:val="20"/>
          <w:color w:val="auto"/>
        </w:rPr>
      </w:pPr>
      <w:r>
        <w:rPr>
          <w:rFonts w:ascii="Arial" w:cs="Arial" w:eastAsia="Arial" w:hAnsi="Arial"/>
          <w:sz w:val="16"/>
          <w:szCs w:val="16"/>
          <w:color w:val="auto"/>
        </w:rPr>
        <w:t>As of September 30, 2022, the Company's operating leases had a weighted average remaining lease term of 5.7 years and a weighted average discount rate of 9.2%. Future minimum lease payments under the Company’s operating leases as of September 30, 2022 were as follows:</w:t>
      </w:r>
    </w:p>
    <w:p>
      <w:pPr>
        <w:spacing w:after="0" w:line="10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r>
      <w:tr>
        <w:trPr>
          <w:trHeight w:val="169"/>
        </w:trPr>
        <w:tc>
          <w:tcPr>
            <w:tcW w:w="5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4"/>
                <w:szCs w:val="14"/>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2022 (remaining 3 months)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5,223</w:t>
            </w:r>
          </w:p>
        </w:tc>
        <w:tc>
          <w:tcPr>
            <w:tcW w:w="2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2,445</w:t>
            </w:r>
          </w:p>
        </w:tc>
        <w:tc>
          <w:tcPr>
            <w:tcW w:w="2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20" w:type="dxa"/>
            <w:vAlign w:val="bottom"/>
          </w:tcPr>
          <w:p>
            <w:pPr>
              <w:spacing w:after="0"/>
              <w:rPr>
                <w:sz w:val="18"/>
                <w:szCs w:val="18"/>
                <w:color w:val="auto"/>
              </w:rPr>
            </w:pPr>
          </w:p>
        </w:tc>
      </w:tr>
      <w:tr>
        <w:trPr>
          <w:trHeight w:val="209"/>
        </w:trPr>
        <w:tc>
          <w:tcPr>
            <w:tcW w:w="5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undiscounted future minimum lease payments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21,184</w:t>
            </w:r>
          </w:p>
        </w:tc>
        <w:tc>
          <w:tcPr>
            <w:tcW w:w="2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Imputed interest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(5,125 )</w:t>
            </w:r>
          </w:p>
        </w:tc>
        <w:tc>
          <w:tcPr>
            <w:tcW w:w="2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16,059</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right="280" w:firstLine="509"/>
        <w:spacing w:after="0" w:line="294" w:lineRule="auto"/>
        <w:rPr>
          <w:sz w:val="20"/>
          <w:szCs w:val="20"/>
          <w:color w:val="auto"/>
        </w:rPr>
      </w:pPr>
      <w:r>
        <w:rPr>
          <w:rFonts w:ascii="Arial" w:cs="Arial" w:eastAsia="Arial" w:hAnsi="Arial"/>
          <w:sz w:val="16"/>
          <w:szCs w:val="16"/>
          <w:color w:val="auto"/>
        </w:rPr>
        <w:t>Under the lease agreement for the manufacturing and office facility in Union City, the Company is contractually obligated to remove constructed leasehold improvements related to capitalized machinery and equipment (see Note 4) and to restore the leased space to its original condition upon termination of the lease agreement. As of September 30, 2022, the balance of the asset retirement obligation liability was not material.</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04" w:lineRule="exact"/>
        <w:rPr>
          <w:sz w:val="20"/>
          <w:szCs w:val="20"/>
          <w:color w:val="auto"/>
        </w:rPr>
      </w:pPr>
    </w:p>
    <w:p>
      <w:pPr>
        <w:ind w:right="440" w:firstLine="509"/>
        <w:spacing w:after="0" w:line="294"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 and Indemnification</w:t>
      </w:r>
    </w:p>
    <w:p>
      <w:pPr>
        <w:spacing w:after="0" w:line="104" w:lineRule="exact"/>
        <w:rPr>
          <w:sz w:val="20"/>
          <w:szCs w:val="20"/>
          <w:color w:val="auto"/>
        </w:rPr>
      </w:pPr>
    </w:p>
    <w:p>
      <w:pPr>
        <w:jc w:val="both"/>
        <w:ind w:right="200" w:firstLine="405"/>
        <w:spacing w:after="0" w:line="283" w:lineRule="auto"/>
        <w:rPr>
          <w:sz w:val="20"/>
          <w:szCs w:val="20"/>
          <w:color w:val="auto"/>
        </w:rPr>
      </w:pPr>
      <w:r>
        <w:rPr>
          <w:rFonts w:ascii="Arial" w:cs="Arial" w:eastAsia="Arial" w:hAnsi="Arial"/>
          <w:sz w:val="16"/>
          <w:szCs w:val="16"/>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 as of September 30, 2022.</w:t>
      </w:r>
    </w:p>
    <w:p>
      <w:pPr>
        <w:spacing w:after="0" w:line="4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September 30, 2022 and December 31, 2021, the Company did not have any material indemnification claims that were probable or reasonably possible and, consequently, has not recorded any related liabilities.</w:t>
      </w:r>
    </w:p>
    <w:p>
      <w:pPr>
        <w:spacing w:after="0" w:line="168" w:lineRule="exact"/>
        <w:rPr>
          <w:sz w:val="20"/>
          <w:szCs w:val="20"/>
          <w:color w:val="auto"/>
        </w:rPr>
      </w:pPr>
    </w:p>
    <w:p>
      <w:pPr>
        <w:jc w:val="right"/>
        <w:ind w:left="520" w:right="8680" w:hanging="512"/>
        <w:spacing w:after="0" w:line="416" w:lineRule="auto"/>
        <w:tabs>
          <w:tab w:leader="none" w:pos="38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2021 Equity Incentive Plan</w:t>
      </w:r>
    </w:p>
    <w:p>
      <w:pPr>
        <w:spacing w:after="0" w:line="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July 2021, the Company adopted the 2021 Equity Incentive Plan (2021 Plan), which became effective in connection with the initial public offering (IPO). Under the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Company’s Board of Directors may determine. In addition, the Company’s 2016 Equity Incentive Plan (2016 Plan) was terminated in connection with the IPO. Shares subject to awards granted under the 2016 Plan that are repurchased by or forfeited to the Company will be reserved for issuance under the 2021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Total shares reserved and available for grant under the 2021 Plan as of September 30, 2022 are 2,720,107.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49"/>
        </w:trPr>
        <w:tc>
          <w:tcPr>
            <w:tcW w:w="6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98"/>
        </w:trPr>
        <w:tc>
          <w:tcPr>
            <w:tcW w:w="6480" w:type="dxa"/>
            <w:vAlign w:val="bottom"/>
          </w:tcPr>
          <w:p>
            <w:pPr>
              <w:spacing w:after="0"/>
              <w:rPr>
                <w:sz w:val="17"/>
                <w:szCs w:val="17"/>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7"/>
                <w:szCs w:val="17"/>
                <w:color w:val="auto"/>
              </w:rPr>
            </w:pPr>
          </w:p>
        </w:tc>
        <w:tc>
          <w:tcPr>
            <w:tcW w:w="1360" w:type="dxa"/>
            <w:vAlign w:val="bottom"/>
          </w:tcPr>
          <w:p>
            <w:pPr>
              <w:jc w:val="center"/>
              <w:ind w:right="238"/>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7"/>
                <w:szCs w:val="17"/>
                <w:color w:val="auto"/>
              </w:rPr>
            </w:pPr>
          </w:p>
        </w:tc>
      </w:tr>
      <w:tr>
        <w:trPr>
          <w:trHeight w:val="169"/>
        </w:trPr>
        <w:tc>
          <w:tcPr>
            <w:tcW w:w="648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2"/>
              </w:rPr>
              <w:t>(in dollars)</w:t>
            </w:r>
          </w:p>
        </w:tc>
        <w:tc>
          <w:tcPr>
            <w:tcW w:w="100" w:type="dxa"/>
            <w:vAlign w:val="bottom"/>
          </w:tcPr>
          <w:p>
            <w:pPr>
              <w:spacing w:after="0"/>
              <w:rPr>
                <w:sz w:val="14"/>
                <w:szCs w:val="14"/>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2,772,154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2,532,602</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Options exercised</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(22,775 )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(77,366 )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5,204,615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Stock option awards granted to employees generally vest over a four-year period. The contractual term of stock option awards is generally 10 years from the grant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04" w:lineRule="exact"/>
        <w:rPr>
          <w:sz w:val="20"/>
          <w:szCs w:val="20"/>
          <w:color w:val="auto"/>
        </w:rPr>
      </w:pPr>
    </w:p>
    <w:p>
      <w:pPr>
        <w:ind w:right="480" w:firstLine="509"/>
        <w:spacing w:after="0" w:line="250"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tbl>
      <w:tblPr>
        <w:tblLayout w:type="fixed"/>
        <w:tblInd w:w="520" w:type="dxa"/>
        <w:tblCellMar>
          <w:top w:w="0" w:type="dxa"/>
          <w:left w:w="0" w:type="dxa"/>
          <w:bottom w:w="0" w:type="dxa"/>
          <w:right w:w="0" w:type="dxa"/>
        </w:tblCellMar>
      </w:tblPr>
      <w:tr>
        <w:trPr>
          <w:trHeight w:val="141"/>
        </w:trPr>
        <w:tc>
          <w:tcPr>
            <w:tcW w:w="4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20" w:type="dxa"/>
            <w:vAlign w:val="bottom"/>
            <w:gridSpan w:val="4"/>
          </w:tcPr>
          <w:p>
            <w:pPr>
              <w:jc w:val="center"/>
              <w:ind w:right="470"/>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3"/>
          </w:tcPr>
          <w:p>
            <w:pPr>
              <w:jc w:val="center"/>
              <w:ind w:right="470"/>
              <w:spacing w:after="0" w:line="141" w:lineRule="exact"/>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48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860" w:type="dxa"/>
            <w:vAlign w:val="bottom"/>
          </w:tcPr>
          <w:p>
            <w:pPr>
              <w:spacing w:after="0"/>
              <w:rPr>
                <w:sz w:val="14"/>
                <w:szCs w:val="14"/>
                <w:color w:val="auto"/>
              </w:rPr>
            </w:pPr>
          </w:p>
        </w:tc>
        <w:tc>
          <w:tcPr>
            <w:tcW w:w="12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7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6.1</w:t>
            </w:r>
          </w:p>
        </w:tc>
        <w:tc>
          <w:tcPr>
            <w:tcW w:w="14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1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5.0 – 6.1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ind w:left="40"/>
              <w:spacing w:after="0"/>
              <w:rPr>
                <w:sz w:val="20"/>
                <w:szCs w:val="20"/>
                <w:color w:val="auto"/>
              </w:rPr>
            </w:pPr>
            <w:r>
              <w:rPr>
                <w:rFonts w:ascii="Arial" w:cs="Arial" w:eastAsia="Arial" w:hAnsi="Arial"/>
                <w:sz w:val="18"/>
                <w:szCs w:val="18"/>
                <w:color w:val="auto"/>
              </w:rPr>
              <w:t>– 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720" w:type="dxa"/>
            <w:vAlign w:val="bottom"/>
          </w:tcPr>
          <w:p>
            <w:pPr>
              <w:ind w:left="20"/>
              <w:spacing w:after="0"/>
              <w:rPr>
                <w:sz w:val="20"/>
                <w:szCs w:val="20"/>
                <w:color w:val="auto"/>
              </w:rPr>
            </w:pPr>
            <w:r>
              <w:rPr>
                <w:rFonts w:ascii="Arial" w:cs="Arial" w:eastAsia="Arial" w:hAnsi="Arial"/>
                <w:sz w:val="18"/>
                <w:szCs w:val="18"/>
                <w:color w:val="auto"/>
              </w:rPr>
              <w:t>– 96%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ind w:left="20"/>
              <w:spacing w:after="0"/>
              <w:rPr>
                <w:sz w:val="20"/>
                <w:szCs w:val="20"/>
                <w:color w:val="auto"/>
              </w:rPr>
            </w:pPr>
            <w:r>
              <w:rPr>
                <w:rFonts w:ascii="Arial" w:cs="Arial" w:eastAsia="Arial" w:hAnsi="Arial"/>
                <w:sz w:val="18"/>
                <w:szCs w:val="18"/>
                <w:color w:val="auto"/>
              </w:rPr>
              <w:t>– 97%</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95% – 103%</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3.6%</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3.6%</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0.6% – 1.2%</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The Company began granting restricted stock units (RSUs) in the first quarter of 2022. RSUs are awards that entitle the holder to receive freely tradable shares of the Company's common stock upon the completion of a specific period of continued service. RSUs are generally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25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48"/>
        </w:trPr>
        <w:tc>
          <w:tcPr>
            <w:tcW w:w="6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48"/>
        </w:trPr>
        <w:tc>
          <w:tcPr>
            <w:tcW w:w="6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r>
      <w:tr>
        <w:trPr>
          <w:trHeight w:val="162"/>
        </w:trPr>
        <w:tc>
          <w:tcPr>
            <w:tcW w:w="6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r>
      <w:tr>
        <w:trPr>
          <w:trHeight w:val="185"/>
        </w:trPr>
        <w:tc>
          <w:tcPr>
            <w:tcW w:w="6580" w:type="dxa"/>
            <w:vAlign w:val="bottom"/>
          </w:tcPr>
          <w:p>
            <w:pPr>
              <w:spacing w:after="0"/>
              <w:rPr>
                <w:sz w:val="16"/>
                <w:szCs w:val="16"/>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4"/>
              </w:rPr>
              <w:t>Shares</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(in dollars)</w:t>
            </w:r>
          </w:p>
        </w:tc>
        <w:tc>
          <w:tcPr>
            <w:tcW w:w="100" w:type="dxa"/>
            <w:vAlign w:val="bottom"/>
          </w:tcPr>
          <w:p>
            <w:pPr>
              <w:spacing w:after="0"/>
              <w:rPr>
                <w:sz w:val="14"/>
                <w:szCs w:val="14"/>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as of December 31, 2021</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76,156</w:t>
            </w:r>
          </w:p>
        </w:tc>
        <w:tc>
          <w:tcPr>
            <w:tcW w:w="3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Vested</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6"/>
              </w:rPr>
              <w:t>(8,932 )</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(5,687 )</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r>
      <w:tr>
        <w:trPr>
          <w:trHeight w:val="250"/>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September 30, 2022</w:t>
            </w:r>
          </w:p>
        </w:tc>
        <w:tc>
          <w:tcPr>
            <w:tcW w:w="104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61,537</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In July 2021, the Company adopted the 2021 Employee Stock Purchase Plan (ESPP), which became effective in connection with the IPO. The Company initially reserved 800,000 shares for future issuance under the ESPP.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of directors may determine. As of September 30, 2022, 1,161,305 shares were reserved for future issuance under the ESPP. Under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6" w:name="page17"/>
    <w:bookmarkEnd w:id="16"/>
    <w:p>
      <w:pPr>
        <w:ind w:right="520"/>
        <w:spacing w:after="0" w:line="256" w:lineRule="auto"/>
        <w:rPr>
          <w:sz w:val="20"/>
          <w:szCs w:val="20"/>
          <w:color w:val="auto"/>
        </w:rPr>
      </w:pPr>
      <w:r>
        <w:rPr>
          <w:rFonts w:ascii="Arial" w:cs="Arial" w:eastAsia="Arial" w:hAnsi="Arial"/>
          <w:sz w:val="18"/>
          <w:szCs w:val="18"/>
          <w:color w:val="auto"/>
        </w:rPr>
        <w:t>period spans 6 months. The ESPP permits eligible employees to purchase common stock through payroll deductions for up to 15% of qualified compensation, up to an annual limit of $25,000 per the Internal Revenue Service. The first offering period commenced in January 2022. For the nine months ended September 30, 2022, the stock-based compensation expense for ESPP was not material.</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stock-based compensation recognized in the Company’s condensed statements of operations and comprehensive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100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r>
      <w:tr>
        <w:trPr>
          <w:trHeight w:val="249"/>
        </w:trPr>
        <w:tc>
          <w:tcPr>
            <w:tcW w:w="4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460" w:firstLine="509"/>
        <w:spacing w:after="0" w:line="256" w:lineRule="auto"/>
        <w:rPr>
          <w:sz w:val="20"/>
          <w:szCs w:val="20"/>
          <w:color w:val="auto"/>
        </w:rPr>
      </w:pPr>
      <w:r>
        <w:rPr>
          <w:rFonts w:ascii="Arial" w:cs="Arial" w:eastAsia="Arial" w:hAnsi="Arial"/>
          <w:sz w:val="18"/>
          <w:szCs w:val="18"/>
          <w:color w:val="auto"/>
        </w:rPr>
        <w:t>For the nine months ended September 30, 2022 and 2021, the Company did not record any income tax expense or benefit. The Company has recorded a full valuation allowance against its U.S. federal and state deferred tax assets as the Company believes it is not more likely than not that the benefit will be realized.</w:t>
      </w:r>
    </w:p>
    <w:p>
      <w:pPr>
        <w:spacing w:after="0" w:line="17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6"/>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 and awards</w:t>
            </w:r>
          </w:p>
        </w:tc>
        <w:tc>
          <w:tcPr>
            <w:tcW w:w="17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5,266,152</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2,530,121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Restricted stock subject to future vesting</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7,773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40,915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5,273,925</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2,571,036</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15"/>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60" w:type="dxa"/>
            <w:vAlign w:val="bottom"/>
          </w:tcPr>
          <w:p>
            <w:pPr>
              <w:jc w:val="right"/>
              <w:ind w:right="1030"/>
              <w:spacing w:after="0"/>
              <w:rPr>
                <w:sz w:val="20"/>
                <w:szCs w:val="20"/>
                <w:color w:val="auto"/>
              </w:rPr>
            </w:pPr>
            <w:r>
              <w:rPr>
                <w:rFonts w:ascii="Arial" w:cs="Arial" w:eastAsia="Arial" w:hAnsi="Arial"/>
                <w:sz w:val="18"/>
                <w:szCs w:val="18"/>
                <w:color w:val="auto"/>
              </w:rPr>
              <w:t>17</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-504825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-488315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2021, included in our Annual Report on Form 10-K filed with the Securities and Exchange Commission on March 23, 2021, or Annual Report.</w:t>
      </w:r>
    </w:p>
    <w:p>
      <w:pPr>
        <w:spacing w:after="0" w:line="181"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i w:val="1"/>
          <w:iCs w:val="1"/>
          <w:color w:val="auto"/>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340" w:firstLine="509"/>
        <w:spacing w:after="0" w:line="256" w:lineRule="auto"/>
        <w:rPr>
          <w:sz w:val="20"/>
          <w:szCs w:val="20"/>
          <w:color w:val="auto"/>
        </w:rPr>
      </w:pPr>
      <w:r>
        <w:rPr>
          <w:rFonts w:ascii="Arial" w:cs="Arial" w:eastAsia="Arial" w:hAnsi="Arial"/>
          <w:sz w:val="18"/>
          <w:szCs w:val="18"/>
          <w:color w:val="auto"/>
        </w:rPr>
        <w:t>We are a clinical-stage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67"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73"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most advanced product candidate from our Gene Therapy Platform is TN-201. TN-201 is an adeno-associated virus (AAV)-based gene therapy that addresses genetic hypertrophic cardiomyopathy (HCM)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w:t>
      </w:r>
      <w:r>
        <w:rPr>
          <w:rFonts w:ascii="Arial" w:cs="Arial" w:eastAsia="Arial" w:hAnsi="Arial"/>
          <w:sz w:val="16"/>
          <w:szCs w:val="16"/>
          <w:i w:val="1"/>
          <w:iCs w:val="1"/>
          <w:color w:val="auto"/>
        </w:rPr>
        <w:t>MYBPC3</w:t>
      </w:r>
      <w:r>
        <w:rPr>
          <w:rFonts w:ascii="Arial" w:cs="Arial" w:eastAsia="Arial" w:hAnsi="Arial"/>
          <w:sz w:val="16"/>
          <w:szCs w:val="16"/>
          <w:color w:val="auto"/>
        </w:rPr>
        <w:t xml:space="preserve"> protein. We plan to submit an Investigational New Drug (IND) for TN-201 by year end 2022 and expect to provide an update on the status of the IND in early 2023. TN-201 has been granted orphan drug designation by both the U.S. Food and Drug Administration (FDA) and the European Commission for the potential treatment of HCM due to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We intend to explore the effect of TN-201 in both the obstructive and nonobstructive HCM (nHCM) patient populations. However, as the majority of patients with </w:t>
      </w:r>
      <w:r>
        <w:rPr>
          <w:rFonts w:ascii="Arial" w:cs="Arial" w:eastAsia="Arial" w:hAnsi="Arial"/>
          <w:sz w:val="16"/>
          <w:szCs w:val="16"/>
          <w:i w:val="1"/>
          <w:iCs w:val="1"/>
          <w:color w:val="auto"/>
        </w:rPr>
        <w:t>MYBPC3 gene</w:t>
      </w:r>
      <w:r>
        <w:rPr>
          <w:rFonts w:ascii="Arial" w:cs="Arial" w:eastAsia="Arial" w:hAnsi="Arial"/>
          <w:sz w:val="16"/>
          <w:szCs w:val="16"/>
          <w:color w:val="auto"/>
        </w:rPr>
        <w:t xml:space="preserve"> mutations have the nonobstructive form of HCM, we intend to focus initial clinical development on nHCM patients.</w:t>
      </w:r>
    </w:p>
    <w:p>
      <w:pPr>
        <w:spacing w:after="0" w:line="53"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 xml:space="preserve">In 2021, we initiated a global natural history study to improve our understanding of disease progression and unmet need in individuals carrying mutations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91"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In September 2022, we received clearance from the FDA for our TN-301 IND application and initiated our Phase 1 randomized, double-blind, placebo-controlled clinical trial designed to evaluate the safety and tolerability of escalating oral doses of TN-301. We expect to present data from the single-ascending and multiple-ascending dose portions of the Phase 1 trial in 2023.</w:t>
      </w:r>
    </w:p>
    <w:p>
      <w:pPr>
        <w:spacing w:after="0" w:line="79"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TN-401, another product candidate from our Gene Therapy Platform, uses an AAV-based gene therapy to address genetic arrhythmogenic right ventricular cardiomyopathy (ARVC) caused by plakophilin 2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are also working to expand our understanding of ARVC disease progression and intend to initiate a global non-interventional study in 2022 designed to collect treatment history and seroprevalence to AAV antibodies data among ARVC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mutation carriers. We plan to submit an IND for TN-401 in 2023.</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8" w:name="page19"/>
    <w:bookmarkEnd w:id="18"/>
    <w:p>
      <w:pPr>
        <w:ind w:right="80" w:firstLine="509"/>
        <w:spacing w:after="0" w:line="280" w:lineRule="auto"/>
        <w:rPr>
          <w:sz w:val="20"/>
          <w:szCs w:val="20"/>
          <w:color w:val="auto"/>
        </w:rPr>
      </w:pPr>
      <w:r>
        <w:rPr>
          <w:rFonts w:ascii="Arial" w:cs="Arial" w:eastAsia="Arial" w:hAnsi="Arial"/>
          <w:sz w:val="16"/>
          <w:szCs w:val="16"/>
          <w:color w:val="auto"/>
        </w:rPr>
        <w:t>Our earlier-stage discovery programs include an AAV-based gene therapy designed to express the Dwarf Open Reading Frame (DWORF) gene in the heart, which has potentially broad utility in dilated cardiomyopathy and heart failure with reduced ejection fraction (HFrEF) and is currently at the candidate selection stage. Another program is an AAV-approach that involves reprogramming cardiofibroblasts cells to replace cardiomyocytes lost due to heart damage, such as myocardial infarction. This program is also currently at the candidate selection stage. In addition, we have numerous emerging programs being explored to address other forms of heart failure and we continue to research gene therapy-enabling technologies and capabilities. Among the most advanced of these initiatives is an effort to identify novel AAV capsids designed to deliver cardiac gene therapy with enhanced specificity and expression compared to current AAV vectors, with the goal of optimizing gene therapy safety, dosing and efficacy.</w:t>
      </w:r>
    </w:p>
    <w:p>
      <w:pPr>
        <w:spacing w:after="0" w:line="63"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We have invested in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trials. This facility will support the production of drug product at multiple scales for clinical trials for all AAV-based programs, including TN-201 and TN-401.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global COVID-19 pandemic continues to evolve, including the continued emergence of variants. Potential impacts to our business include disruptions or restrictions on our employees’ ability to effectively conduct research, development and manufacturing activities. In addition, some of our suppliers of certain laboratory materials, or service providers used in the performance of our research activities, are located in areas significantly impacted by COVID-19, which could limit our ability to achieve planned progress. COVID-19 could continue to adversely affect the economies and financial markets, resulting in a prolonged economic downturn or a period of high inflation rates, which the United States economy has recently experienced, that could affect our ability to raise future funding.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5"/>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jc w:val="right"/>
              <w:ind w:right="107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69"/>
        </w:trPr>
        <w:tc>
          <w:tcPr>
            <w:tcW w:w="4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ind w:left="4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23,758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12,944</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10,814</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84%</w:t>
            </w:r>
          </w:p>
        </w:tc>
      </w:tr>
      <w:tr>
        <w:trPr>
          <w:trHeight w:val="216"/>
        </w:trPr>
        <w:tc>
          <w:tcPr>
            <w:tcW w:w="4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41%</w:t>
            </w: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71%</w:t>
            </w: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2,491%</w:t>
            </w:r>
          </w:p>
        </w:tc>
      </w:tr>
      <w:tr>
        <w:trPr>
          <w:trHeight w:val="216"/>
        </w:trPr>
        <w:tc>
          <w:tcPr>
            <w:tcW w:w="440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(9 )</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0"/>
        </w:trPr>
        <w:tc>
          <w:tcPr>
            <w:tcW w:w="4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1,484%</w:t>
            </w: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(30,696 )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(18,262 )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(12,434 )</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68%</w:t>
            </w:r>
          </w:p>
        </w:tc>
      </w:tr>
      <w:tr>
        <w:trPr>
          <w:trHeight w:val="20"/>
        </w:trPr>
        <w:tc>
          <w:tcPr>
            <w:tcW w:w="4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-1019175</wp:posOffset>
            </wp:positionV>
            <wp:extent cx="6858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-1019175</wp:posOffset>
            </wp:positionV>
            <wp:extent cx="6858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-1019175</wp:posOffset>
            </wp:positionV>
            <wp:extent cx="6032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03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employee-related costs (including salaries, benefits and stock-based compensation for employees engaged in research and development functions), laboratory supplies and other non-capital equipment utilized for in-house research, allocated overhead costs. External research and development expenses include, among others, amounts incurred to clinical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9" w:name="page20"/>
    <w:bookmarkEnd w:id="19"/>
    <w:p>
      <w:pPr>
        <w:ind w:right="280" w:firstLine="509"/>
        <w:spacing w:after="0" w:line="308" w:lineRule="auto"/>
        <w:rPr>
          <w:sz w:val="20"/>
          <w:szCs w:val="20"/>
          <w:color w:val="auto"/>
        </w:rPr>
      </w:pPr>
      <w:r>
        <w:rPr>
          <w:rFonts w:ascii="Arial" w:cs="Arial" w:eastAsia="Arial" w:hAnsi="Arial"/>
          <w:sz w:val="17"/>
          <w:szCs w:val="17"/>
          <w:color w:val="auto"/>
        </w:rPr>
        <w:t>Amounts recorded for external goods or services incurred for research and development activities that have not yet been invoiced often represent estimates. We record estimates for amounts due but not yet invoiced generally based on input from external service providers.</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5"/>
        </w:trPr>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w:t>
            </w:r>
          </w:p>
        </w:tc>
      </w:tr>
      <w:tr>
        <w:trPr>
          <w:trHeight w:val="169"/>
        </w:trPr>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Outside services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1540" w:type="dxa"/>
            <w:vAlign w:val="bottom"/>
            <w:gridSpan w:val="2"/>
            <w:shd w:val="clear" w:color="auto" w:fill="CFF0FC"/>
          </w:tcPr>
          <w:p>
            <w:pPr>
              <w:jc w:val="center"/>
              <w:ind w:left="114"/>
              <w:spacing w:after="0"/>
              <w:rPr>
                <w:sz w:val="20"/>
                <w:szCs w:val="20"/>
                <w:color w:val="auto"/>
              </w:rPr>
            </w:pPr>
            <w:r>
              <w:rPr>
                <w:rFonts w:ascii="Arial" w:cs="Arial" w:eastAsia="Arial" w:hAnsi="Arial"/>
                <w:sz w:val="18"/>
                <w:szCs w:val="18"/>
                <w:color w:val="auto"/>
                <w:w w:val="91"/>
              </w:rPr>
              <w:t>126%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Facility and laboratory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3,174</w:t>
            </w:r>
          </w:p>
        </w:tc>
        <w:tc>
          <w:tcPr>
            <w:tcW w:w="154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66%</w:t>
            </w: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1540" w:type="dxa"/>
            <w:vAlign w:val="bottom"/>
            <w:gridSpan w:val="2"/>
            <w:shd w:val="clear" w:color="auto" w:fill="CFF0FC"/>
          </w:tcPr>
          <w:p>
            <w:pPr>
              <w:jc w:val="center"/>
              <w:ind w:left="134"/>
              <w:spacing w:after="0"/>
              <w:rPr>
                <w:sz w:val="20"/>
                <w:szCs w:val="20"/>
                <w:color w:val="auto"/>
              </w:rPr>
            </w:pPr>
            <w:r>
              <w:rPr>
                <w:rFonts w:ascii="Arial" w:cs="Arial" w:eastAsia="Arial" w:hAnsi="Arial"/>
                <w:sz w:val="18"/>
                <w:szCs w:val="18"/>
                <w:color w:val="auto"/>
                <w:w w:val="88"/>
              </w:rPr>
              <w:t>70%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540" w:type="dxa"/>
            <w:vAlign w:val="bottom"/>
            <w:gridSpan w:val="2"/>
          </w:tcPr>
          <w:p>
            <w:pPr>
              <w:jc w:val="center"/>
              <w:ind w:left="114"/>
              <w:spacing w:after="0"/>
              <w:rPr>
                <w:sz w:val="20"/>
                <w:szCs w:val="20"/>
                <w:color w:val="auto"/>
              </w:rPr>
            </w:pPr>
            <w:r>
              <w:rPr>
                <w:rFonts w:ascii="Arial" w:cs="Arial" w:eastAsia="Arial" w:hAnsi="Arial"/>
                <w:sz w:val="18"/>
                <w:szCs w:val="18"/>
                <w:color w:val="auto"/>
                <w:w w:val="91"/>
              </w:rPr>
              <w:t>133%</w:t>
            </w:r>
          </w:p>
        </w:tc>
      </w:tr>
      <w:tr>
        <w:trPr>
          <w:trHeight w:val="250"/>
        </w:trPr>
        <w:tc>
          <w:tcPr>
            <w:tcW w:w="4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10,814</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$23.8 million and $12.9 million for the three months ended September 30,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of $10.8 million, or 84%, was primarily due to:</w:t>
      </w:r>
    </w:p>
    <w:p>
      <w:pPr>
        <w:spacing w:after="0" w:line="88" w:lineRule="exact"/>
        <w:rPr>
          <w:sz w:val="20"/>
          <w:szCs w:val="20"/>
          <w:color w:val="auto"/>
        </w:rPr>
      </w:pPr>
    </w:p>
    <w:p>
      <w:pPr>
        <w:ind w:left="760" w:right="3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$4.2 million in outside services, including costs incurred for contract research organizations (CROs) on the IND-enabling and other research and development activities, preclinical studies and other external research expenses;</w:t>
      </w:r>
    </w:p>
    <w:p>
      <w:pPr>
        <w:spacing w:after="0" w:line="48"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$3.2 million in facility and laboratory costs, including manufacturing and laboratory supplies and materials and other allocated costs; and</w:t>
      </w:r>
    </w:p>
    <w:p>
      <w:pPr>
        <w:spacing w:after="0" w:line="62"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$3.3 million in employee-related costs reflecting higher stock-based compensation from growth in the number of our research and development employees, partially offset by benefits from estimated employee tax credits.</w:t>
      </w:r>
    </w:p>
    <w:p>
      <w:pPr>
        <w:spacing w:after="0" w:line="49"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86"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will continue to incur legal, accounting, insurance and other expenses in operating our business as a public company, including costs associated with regulatory and compliance activities.</w:t>
      </w:r>
    </w:p>
    <w:p>
      <w:pPr>
        <w:spacing w:after="0" w:line="39"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General and administrative expenses were $7.5 million and $5.4 million for the three months ended September 30, 2022 and 2021, respectively. The change of $2.2 million, or 41%, was primarily due to a $1.8 million increase in employee-related expenses reflecting higher stock-based compensation from growth in the number of employees and $0.4 million increase in professional and outside service expenses.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Interest income primarily consists of interest earned on our cash, cash equivalents and investment balances. The year-over-year increase of $0.6 million was primarily due to higher interest rates on investments in 2022.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gain and loss on disposal of assets and foreign exchange.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w:t>
      </w:r>
    </w:p>
    <w:p>
      <w:pPr>
        <w:spacing w:after="0" w:line="104"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Net loss for the three months ended September 30, 2022, was $30.7 million, compared to a net loss of $18.3 million for the three months ended September 30, 2021.</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5"/>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5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69"/>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52"/>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ind w:left="5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9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68,789</w:t>
            </w:r>
          </w:p>
        </w:tc>
        <w:tc>
          <w:tcPr>
            <w:tcW w:w="280" w:type="dxa"/>
            <w:vAlign w:val="bottom"/>
          </w:tcPr>
          <w:p>
            <w:pPr>
              <w:spacing w:after="0"/>
              <w:rPr>
                <w:sz w:val="18"/>
                <w:szCs w:val="18"/>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33,440</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35,349</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22,282</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9,080</w:t>
            </w:r>
          </w:p>
        </w:tc>
        <w:tc>
          <w:tcPr>
            <w:tcW w:w="2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09"/>
        </w:trPr>
        <w:tc>
          <w:tcPr>
            <w:tcW w:w="4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91,071</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44,429</w:t>
            </w:r>
          </w:p>
        </w:tc>
        <w:tc>
          <w:tcPr>
            <w:tcW w:w="2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95%</w:t>
            </w: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(91,071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(46,642</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95%</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2,137%</w:t>
            </w: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(26 )</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84%</w:t>
            </w:r>
          </w:p>
        </w:tc>
      </w:tr>
      <w:tr>
        <w:trPr>
          <w:trHeight w:val="210"/>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1,181%</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(90,149 )</w:t>
            </w: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(46,570 )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(43,579 )</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94%</w:t>
            </w:r>
          </w:p>
        </w:tc>
      </w:tr>
      <w:tr>
        <w:trPr>
          <w:trHeight w:val="20"/>
        </w:trPr>
        <w:tc>
          <w:tcPr>
            <w:tcW w:w="4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-1019810</wp:posOffset>
            </wp:positionV>
            <wp:extent cx="7747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-1019810</wp:posOffset>
            </wp:positionV>
            <wp:extent cx="6858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-1019810</wp:posOffset>
            </wp:positionV>
            <wp:extent cx="6858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7747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5"/>
        </w:trPr>
        <w:tc>
          <w:tcPr>
            <w:tcW w:w="49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rPr>
              <w:t>%</w:t>
            </w:r>
          </w:p>
        </w:tc>
      </w:tr>
      <w:tr>
        <w:trPr>
          <w:trHeight w:val="169"/>
        </w:trPr>
        <w:tc>
          <w:tcPr>
            <w:tcW w:w="49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services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22,740</w:t>
            </w:r>
          </w:p>
        </w:tc>
        <w:tc>
          <w:tcPr>
            <w:tcW w:w="800" w:type="dxa"/>
            <w:vAlign w:val="bottom"/>
            <w:gridSpan w:val="2"/>
            <w:shd w:val="clear" w:color="auto" w:fill="CFF0FC"/>
          </w:tcPr>
          <w:p>
            <w:pPr>
              <w:jc w:val="right"/>
              <w:ind w:right="3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14,708</w:t>
            </w:r>
          </w:p>
        </w:tc>
        <w:tc>
          <w:tcPr>
            <w:tcW w:w="172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1"/>
              </w:rPr>
              <w:t>183%</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Facility and laboratory costs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24,126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10,631</w:t>
            </w:r>
          </w:p>
        </w:tc>
        <w:tc>
          <w:tcPr>
            <w:tcW w:w="1720" w:type="dxa"/>
            <w:vAlign w:val="bottom"/>
            <w:gridSpan w:val="2"/>
          </w:tcPr>
          <w:p>
            <w:pPr>
              <w:jc w:val="center"/>
              <w:ind w:left="154"/>
              <w:spacing w:after="0"/>
              <w:rPr>
                <w:sz w:val="20"/>
                <w:szCs w:val="20"/>
                <w:color w:val="auto"/>
              </w:rPr>
            </w:pPr>
            <w:r>
              <w:rPr>
                <w:rFonts w:ascii="Arial" w:cs="Arial" w:eastAsia="Arial" w:hAnsi="Arial"/>
                <w:sz w:val="18"/>
                <w:szCs w:val="18"/>
                <w:color w:val="auto"/>
                <w:w w:val="88"/>
              </w:rPr>
              <w:t>79%</w:t>
            </w: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21,189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9,540</w:t>
            </w:r>
          </w:p>
        </w:tc>
        <w:tc>
          <w:tcPr>
            <w:tcW w:w="172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88"/>
              </w:rPr>
              <w:t>82%</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Other research and development expenses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1720" w:type="dxa"/>
            <w:vAlign w:val="bottom"/>
            <w:gridSpan w:val="2"/>
          </w:tcPr>
          <w:p>
            <w:pPr>
              <w:jc w:val="center"/>
              <w:ind w:left="174"/>
              <w:spacing w:after="0"/>
              <w:rPr>
                <w:sz w:val="20"/>
                <w:szCs w:val="20"/>
                <w:color w:val="auto"/>
              </w:rPr>
            </w:pPr>
            <w:r>
              <w:rPr>
                <w:rFonts w:ascii="Arial" w:cs="Arial" w:eastAsia="Arial" w:hAnsi="Arial"/>
                <w:sz w:val="18"/>
                <w:szCs w:val="18"/>
                <w:color w:val="auto"/>
                <w:w w:val="91"/>
              </w:rPr>
              <w:t>178%</w:t>
            </w:r>
          </w:p>
        </w:tc>
      </w:tr>
      <w:tr>
        <w:trPr>
          <w:trHeight w:val="249"/>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68,789</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35,349</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$68.8 million and $33.4 million for the nine months ended September 30,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of $35.3 million, or 106%, was primarily due to:</w:t>
      </w:r>
    </w:p>
    <w:p>
      <w:pPr>
        <w:spacing w:after="0" w:line="88" w:lineRule="exact"/>
        <w:rPr>
          <w:sz w:val="20"/>
          <w:szCs w:val="20"/>
          <w:color w:val="auto"/>
        </w:rPr>
      </w:pPr>
    </w:p>
    <w:p>
      <w:pPr>
        <w:ind w:left="760" w:right="360" w:hanging="378"/>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$14.7 million in outside services, including costs incurred for CROs on the IND-enabling and other research and development activities, preclinical studies and other external research expenses;</w:t>
      </w:r>
    </w:p>
    <w:p>
      <w:pPr>
        <w:spacing w:after="0" w:line="76"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$10.6 million in facility and laboratory costs, including manufacturing and laboratory supplies and materials and other allocated costs; and</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$9.5 million in employee-related costs reflecting higher stock-based compensation from growth in the number of our research and development employees, partially offset by benefits from estimated employee tax credits.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General and administrative expenses were $22.3 million and $13.2 million for the nine months ended September 30, 2022 and 2021, respectively. The change of $9.1 million, or 69%, was primarily due to a $5.8 million increase in employee-related expenses reflecting higher stock-based compensation from growth in the number of employees, partially offset by benefits from estimated employee tax credits. The change is also due to a $1.5 million increase in professional and outside service expenses and a $1.0 million increase in insurance costs.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Interest income primarily consists of interest earned on our cash, cash equivalents and investment balances. The year-over-year increase of $0.9 million was due to higher interest rates on investments in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gain and loss on disposal of assets and foreign exchange.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Net loss for the nine months ended September 30, 2022, was $90.1 million, compared to a net loss of $46.6 million for the nine months ended September 30, 2021.</w:t>
      </w:r>
    </w:p>
    <w:p>
      <w:pPr>
        <w:spacing w:after="0" w:line="63" w:lineRule="exact"/>
        <w:rPr>
          <w:sz w:val="20"/>
          <w:szCs w:val="20"/>
          <w:color w:val="auto"/>
        </w:rPr>
      </w:pPr>
    </w:p>
    <w:p>
      <w:pPr>
        <w:ind w:right="200" w:firstLine="509"/>
        <w:spacing w:after="0" w:line="283" w:lineRule="auto"/>
        <w:rPr>
          <w:sz w:val="20"/>
          <w:szCs w:val="20"/>
          <w:color w:val="auto"/>
        </w:rPr>
      </w:pPr>
      <w:r>
        <w:rPr>
          <w:rFonts w:ascii="Arial" w:cs="Arial" w:eastAsia="Arial" w:hAnsi="Arial"/>
          <w:sz w:val="16"/>
          <w:szCs w:val="16"/>
          <w:color w:val="auto"/>
        </w:rPr>
        <w:t>Since our inception in August 2016, we have incurred net losses each year and we expect to continue to incur significant and increasing losses for the foreseeable future as we continue to advance our platforms, programs and product candidates, and operate as a public company. Our net losses may fluctuate significantly from period to period, depending on the timing of expenditures on our research and development activities. As of September 30, 2022, we had an accumulated deficit of $245.7 million and cash, cash equivalents and investments in marketable securities of $149.5 million. Our net losses resulted primarily from our research and development programs, and, to a lesser extent, general and administrative costs associated with our operations. Historically, we have funded our operations primarily from the sale and issuance of our equity securities.</w:t>
      </w:r>
    </w:p>
    <w:p>
      <w:pPr>
        <w:spacing w:after="0" w:line="152"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Since our inception, we have not generated any revenue and we have incurred significant net losses and negative cash flows from operations. From our inception through September 30, 2022, we have funded our operations primarily from the sale and issuance of our equity securities. As of September 30, 2022, we had cash, cash equivalents and investments in marketable securities of $149.5 million and an accumulated deficit of $245.7 million.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Equity Offering</w:t>
      </w:r>
    </w:p>
    <w:p>
      <w:pPr>
        <w:spacing w:after="0" w:line="104" w:lineRule="exact"/>
        <w:rPr>
          <w:sz w:val="20"/>
          <w:szCs w:val="20"/>
          <w:color w:val="auto"/>
        </w:rPr>
      </w:pPr>
    </w:p>
    <w:p>
      <w:pPr>
        <w:ind w:right="140" w:firstLine="599"/>
        <w:spacing w:after="0" w:line="263" w:lineRule="auto"/>
        <w:rPr>
          <w:sz w:val="20"/>
          <w:szCs w:val="20"/>
          <w:color w:val="auto"/>
        </w:rPr>
      </w:pPr>
      <w:r>
        <w:rPr>
          <w:rFonts w:ascii="Arial" w:cs="Arial" w:eastAsia="Arial" w:hAnsi="Arial"/>
          <w:sz w:val="17"/>
          <w:szCs w:val="17"/>
          <w:color w:val="auto"/>
        </w:rPr>
        <w:t>On August 10, 2022, we entered into a sales agreement (Sales Agreement) with SVB Securities LLC (SVB Securities). Pursuant to the Sales Agreement we may sell, from time to time up to an aggregate of $75.0 million of our common stock through an “at-the-market” offering defined in Rule 415 under the Securities Act. We will pay SVB Securities a commission equal to 3.0% of the gross proceeds from the sale of shares of our common stock under the Sales Agreement. The $75.0 million of common stock that may be offered, issued and sold under the Sales Agreement is included in the $300.0 million of securities that may be offered, issued and sold by us under our registration statement on Form S-3 (File No. 333-266741). As of September 30, 2022, no shares have been sold pursuant to the Sales Agreement.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63" w:lineRule="exact"/>
        <w:rPr>
          <w:sz w:val="20"/>
          <w:szCs w:val="20"/>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 and conduct clinical trials of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our manufacturing facility and develop our manufacturing capabilities;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03" w:lineRule="exact"/>
        <w:rPr>
          <w:rFonts w:ascii="Arial" w:cs="Arial" w:eastAsia="Arial" w:hAnsi="Arial"/>
          <w:sz w:val="18"/>
          <w:szCs w:val="18"/>
          <w:color w:val="auto"/>
        </w:rPr>
      </w:pPr>
    </w:p>
    <w:p>
      <w:pPr>
        <w:ind w:left="900" w:right="160" w:hanging="383"/>
        <w:spacing w:after="0" w:line="29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our operational, financial, and information systems and increase personnel, including personnel to support our preclinical and clinical development, manufacturing, system infrastructure, regulatory compliance and future commercialization efforts;</w:t>
      </w:r>
    </w:p>
    <w:p>
      <w:pPr>
        <w:spacing w:after="0" w:line="52" w:lineRule="exact"/>
        <w:rPr>
          <w:rFonts w:ascii="Arial" w:cs="Arial" w:eastAsia="Arial" w:hAnsi="Arial"/>
          <w:sz w:val="17"/>
          <w:szCs w:val="17"/>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03" w:lineRule="exact"/>
        <w:rPr>
          <w:rFonts w:ascii="Arial" w:cs="Arial" w:eastAsia="Arial" w:hAnsi="Arial"/>
          <w:sz w:val="18"/>
          <w:szCs w:val="18"/>
          <w:color w:val="auto"/>
        </w:rPr>
      </w:pPr>
    </w:p>
    <w:p>
      <w:pPr>
        <w:ind w:left="900" w:right="320" w:hanging="38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incur legal, accounting, insurance and other expenses in operating our business as a public company, including costs associated with regulatory and compliance activities.</w:t>
      </w:r>
    </w:p>
    <w:p>
      <w:pPr>
        <w:spacing w:after="0" w:line="7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spacing w:after="0" w:line="1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 w:name="page23"/>
    <w:bookmarkEnd w:id="22"/>
    <w:p>
      <w:pPr>
        <w:spacing w:after="0" w:line="280" w:lineRule="auto"/>
        <w:rPr>
          <w:sz w:val="20"/>
          <w:szCs w:val="20"/>
          <w:color w:val="auto"/>
        </w:rPr>
      </w:pPr>
      <w:r>
        <w:rPr>
          <w:rFonts w:ascii="Arial" w:cs="Arial" w:eastAsia="Arial" w:hAnsi="Arial"/>
          <w:sz w:val="16"/>
          <w:szCs w:val="16"/>
          <w:color w:val="auto"/>
        </w:rPr>
        <w:t>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51" w:lineRule="exact"/>
        <w:rPr>
          <w:sz w:val="20"/>
          <w:szCs w:val="20"/>
          <w:color w:val="auto"/>
        </w:rPr>
      </w:pPr>
    </w:p>
    <w:p>
      <w:pPr>
        <w:ind w:right="200" w:firstLine="509"/>
        <w:spacing w:after="0" w:line="283" w:lineRule="auto"/>
        <w:rPr>
          <w:sz w:val="20"/>
          <w:szCs w:val="20"/>
          <w:color w:val="auto"/>
        </w:rPr>
      </w:pPr>
      <w:r>
        <w:rPr>
          <w:rFonts w:ascii="Arial" w:cs="Arial" w:eastAsia="Arial" w:hAnsi="Arial"/>
          <w:sz w:val="16"/>
          <w:szCs w:val="16"/>
          <w:color w:val="auto"/>
        </w:rPr>
        <w:t>Our ability to raise additional funds may be adversely impacted by continued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7"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63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167"/>
              <w:spacing w:after="0"/>
              <w:rPr>
                <w:sz w:val="20"/>
                <w:szCs w:val="20"/>
                <w:color w:val="auto"/>
              </w:rPr>
            </w:pPr>
            <w:r>
              <w:rPr>
                <w:rFonts w:ascii="Arial" w:cs="Arial" w:eastAsia="Arial" w:hAnsi="Arial"/>
                <w:sz w:val="14"/>
                <w:szCs w:val="14"/>
                <w:b w:val="1"/>
                <w:bCs w:val="1"/>
                <w:color w:val="auto"/>
                <w:w w:val="74"/>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5"/>
              <w:spacing w:after="0"/>
              <w:rPr>
                <w:sz w:val="20"/>
                <w:szCs w:val="20"/>
                <w:color w:val="auto"/>
              </w:rPr>
            </w:pPr>
            <w:r>
              <w:rPr>
                <w:rFonts w:ascii="Arial" w:cs="Arial" w:eastAsia="Arial" w:hAnsi="Arial"/>
                <w:sz w:val="18"/>
                <w:szCs w:val="18"/>
                <w:color w:val="auto"/>
                <w:w w:val="97"/>
              </w:rPr>
              <w:t>(81,742 )</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(44,465 )</w:t>
            </w:r>
          </w:p>
        </w:tc>
      </w:tr>
      <w:tr>
        <w:trPr>
          <w:trHeight w:val="216"/>
        </w:trPr>
        <w:tc>
          <w:tcPr>
            <w:tcW w:w="6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Investing activities</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77,678</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(175,984 )</w:t>
            </w:r>
          </w:p>
        </w:tc>
      </w:tr>
      <w:tr>
        <w:trPr>
          <w:trHeight w:val="216"/>
        </w:trPr>
        <w:tc>
          <w:tcPr>
            <w:tcW w:w="630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208,991</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change in cash, cash equivalents and restricted cash</w:t>
            </w: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320" w:type="dxa"/>
            <w:vAlign w:val="bottom"/>
            <w:tcBorders>
              <w:bottom w:val="single" w:sz="8" w:color="CFF0FC"/>
            </w:tcBorders>
            <w:shd w:val="clear" w:color="auto" w:fill="CFF0FC"/>
          </w:tcPr>
          <w:p>
            <w:pPr>
              <w:jc w:val="right"/>
              <w:ind w:right="185"/>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00" w:firstLine="509"/>
        <w:spacing w:after="0" w:line="288" w:lineRule="auto"/>
        <w:rPr>
          <w:sz w:val="20"/>
          <w:szCs w:val="20"/>
          <w:color w:val="auto"/>
        </w:rPr>
      </w:pPr>
      <w:r>
        <w:rPr>
          <w:rFonts w:ascii="Arial" w:cs="Arial" w:eastAsia="Arial" w:hAnsi="Arial"/>
          <w:sz w:val="16"/>
          <w:szCs w:val="16"/>
          <w:color w:val="auto"/>
        </w:rPr>
        <w:t>Net cash used in operating activities for the nine months ended September 30, 2022 was $81.7 million, which consisted primarily of a net loss of $90.1 million and a net change in operating assets and liabilities of $5.8 million, partially offset by $14.2 million in non-cash charges. The change in net operating assets and liabilities was primarily due to an increase in prepaid expenses and other current assets of $3.3 million and a decrease in operating lease liabilities of $2.1 million. Cash flows from operations are generally impacted by the timing of payments to vendors and vendor payment terms. The non-cash charges primarily consisted of stock-based compensation of $8.3 million and depreciation and amortization of $4.4 million.</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for the nine months ended September 30, 2021 was $44.5 million, which consisted primarily of a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$46.6 million and a net change in net operating assets and liabilities of $2.7 million, partially offset by $4.8 million in non-cash charges. The change in net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operating assets and liabilities was primarily due to an increase in other non-current assets of $3.1 million related to a security deposit for a lease entered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into in February 2021, an increase in prepaid expenses and other current assets of $3.0 million, and a decrease in operating lease liabilities of $1.0 million,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an increase in accounts payable and accrued expenses and other current liabilities of $4.2 million. The non-cash charges primarily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consisted of depreciation and amortization of $2.2 million, stock-based compensation of $1.9 million and non-cash operating lease expense of $0.7 million.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Net cash provided by investing activities for the nine months ended September 30, 2022 was $77.7 million, which consisted of proceeds from maturities of marketable securities of $206.3 million, partially offset by purchases of marketable securities of $108.7 million and purchases of property and equipment of $19.8 million primarily related to our manufacturing and office space in Union City, California.</w:t>
      </w:r>
    </w:p>
    <w:p>
      <w:pPr>
        <w:spacing w:after="0" w:line="67"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2021 was $176.0 million, which consisted of purchases of marketable securities of $163.4 million and purchases of property and equipment of $12.6 million primarily related to our manufacturing and office space in Union City, California.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financing activities for the nine months ended September 30, 2022 consisted of proceeds from the exercise of stock options.</w:t>
      </w:r>
    </w:p>
    <w:p>
      <w:pPr>
        <w:spacing w:after="0" w:line="12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2021 was $209.0 million, which primarily consisted of proceeds from our initial public offering, net of issuance costs, of $188.6 million, net proceeds received from the sale and issuance of our Series C convertible preferred stock of $20.0 million, and proceeds from the exercise of stock options of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08"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As of September 30, 2022, there have been no material changes from the contractual obligations and commitments previously disclosed in our Annual Report on Form 10-K for the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0" w:firstLine="509"/>
        <w:spacing w:after="0" w:line="324" w:lineRule="auto"/>
        <w:rPr>
          <w:sz w:val="20"/>
          <w:szCs w:val="20"/>
          <w:color w:val="auto"/>
        </w:rPr>
      </w:pPr>
      <w:r>
        <w:rPr>
          <w:rFonts w:ascii="Arial" w:cs="Arial" w:eastAsia="Arial" w:hAnsi="Arial"/>
          <w:sz w:val="16"/>
          <w:szCs w:val="16"/>
          <w:color w:val="auto"/>
        </w:rPr>
        <w:t>A summary of our critical accounting policies and estimates is presented in Part II, Item 7 of our Annual Report on Form 10-K for the year ended December 31, 2021. There were no material changes to our critical accounting policies and estimates during the nine months ended September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58" w:lineRule="exact"/>
        <w:rPr>
          <w:sz w:val="20"/>
          <w:szCs w:val="20"/>
          <w:color w:val="auto"/>
        </w:rPr>
      </w:pPr>
    </w:p>
    <w:p>
      <w:pPr>
        <w:ind w:right="160" w:firstLine="509"/>
        <w:spacing w:after="0" w:line="260"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5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quarter ended September 30, 2022 that have materially affected, or are reasonably likely to materially affect, our internal control over financial reporting.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right="200" w:firstLine="509"/>
        <w:spacing w:after="0" w:line="278" w:lineRule="auto"/>
        <w:rPr>
          <w:sz w:val="20"/>
          <w:szCs w:val="20"/>
          <w:color w:val="auto"/>
        </w:rPr>
      </w:pPr>
      <w:r>
        <w:rPr>
          <w:rFonts w:ascii="Arial" w:cs="Arial" w:eastAsia="Arial" w:hAnsi="Arial"/>
          <w:sz w:val="17"/>
          <w:szCs w:val="17"/>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80" w:firstLine="509"/>
        <w:spacing w:after="0" w:line="283" w:lineRule="auto"/>
        <w:rPr>
          <w:sz w:val="20"/>
          <w:szCs w:val="20"/>
          <w:color w:val="auto"/>
        </w:rPr>
      </w:pPr>
      <w:r>
        <w:rPr>
          <w:rFonts w:ascii="Arial" w:cs="Arial" w:eastAsia="Arial" w:hAnsi="Arial"/>
          <w:sz w:val="16"/>
          <w:szCs w:val="16"/>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0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251" w:lineRule="exact"/>
        <w:rPr>
          <w:sz w:val="20"/>
          <w:szCs w:val="20"/>
          <w:color w:val="auto"/>
        </w:rPr>
      </w:pPr>
    </w:p>
    <w:p>
      <w:pPr>
        <w:ind w:left="900" w:hanging="383"/>
        <w:spacing w:after="0" w:line="342" w:lineRule="auto"/>
        <w:tabs>
          <w:tab w:leader="none" w:pos="900" w:val="left"/>
        </w:tabs>
        <w:numPr>
          <w:ilvl w:val="0"/>
          <w:numId w:val="15"/>
        </w:numPr>
        <w:rPr>
          <w:rFonts w:ascii="Arial" w:cs="Arial" w:eastAsia="Arial" w:hAnsi="Arial"/>
          <w:sz w:val="11"/>
          <w:szCs w:val="11"/>
          <w:color w:val="auto"/>
        </w:rPr>
      </w:pPr>
      <w:r>
        <w:rPr>
          <w:rFonts w:ascii="Arial" w:cs="Arial" w:eastAsia="Arial" w:hAnsi="Arial"/>
          <w:sz w:val="16"/>
          <w:szCs w:val="16"/>
          <w:color w:val="231F20"/>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spacing w:after="0" w:line="2" w:lineRule="exact"/>
        <w:rPr>
          <w:rFonts w:ascii="Arial" w:cs="Arial" w:eastAsia="Arial" w:hAnsi="Arial"/>
          <w:sz w:val="11"/>
          <w:szCs w:val="11"/>
          <w:color w:val="auto"/>
        </w:rPr>
      </w:pPr>
    </w:p>
    <w:p>
      <w:pPr>
        <w:ind w:left="900" w:right="300" w:hanging="383"/>
        <w:spacing w:after="0" w:line="261"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We have not generated any product revenue to date, have incurred significant net losses since our inception, and expect to continue to incur significant net losses for the foreseeable future.</w:t>
      </w:r>
    </w:p>
    <w:p>
      <w:pPr>
        <w:spacing w:after="0" w:line="76" w:lineRule="exact"/>
        <w:rPr>
          <w:rFonts w:ascii="Arial" w:cs="Arial" w:eastAsia="Arial" w:hAnsi="Arial"/>
          <w:sz w:val="13"/>
          <w:szCs w:val="13"/>
          <w:color w:val="auto"/>
        </w:rPr>
      </w:pPr>
    </w:p>
    <w:p>
      <w:pPr>
        <w:ind w:left="900" w:right="540" w:hanging="383"/>
        <w:spacing w:after="0" w:line="261"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rFonts w:ascii="Arial" w:cs="Arial" w:eastAsia="Arial" w:hAnsi="Arial"/>
          <w:sz w:val="13"/>
          <w:szCs w:val="13"/>
          <w:color w:val="auto"/>
        </w:rPr>
      </w:pPr>
    </w:p>
    <w:p>
      <w:pPr>
        <w:ind w:left="900" w:right="300" w:hanging="383"/>
        <w:spacing w:after="0" w:line="256"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6" w:lineRule="exact"/>
        <w:rPr>
          <w:rFonts w:ascii="Arial" w:cs="Arial" w:eastAsia="Arial" w:hAnsi="Arial"/>
          <w:sz w:val="13"/>
          <w:szCs w:val="13"/>
          <w:color w:val="auto"/>
        </w:rPr>
      </w:pPr>
    </w:p>
    <w:p>
      <w:pPr>
        <w:ind w:left="900" w:right="60" w:hanging="383"/>
        <w:spacing w:after="0" w:line="261"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Our operations and financial results could be adversely impacted by the effects of the COVID-19 pandemic in the United States and the rest of the world.</w:t>
      </w:r>
    </w:p>
    <w:p>
      <w:pPr>
        <w:spacing w:after="0" w:line="76" w:lineRule="exact"/>
        <w:rPr>
          <w:rFonts w:ascii="Arial" w:cs="Arial" w:eastAsia="Arial" w:hAnsi="Arial"/>
          <w:sz w:val="13"/>
          <w:szCs w:val="13"/>
          <w:color w:val="auto"/>
        </w:rPr>
      </w:pPr>
    </w:p>
    <w:p>
      <w:pPr>
        <w:ind w:left="900" w:right="360" w:hanging="383"/>
        <w:spacing w:after="0" w:line="270" w:lineRule="auto"/>
        <w:tabs>
          <w:tab w:leader="none" w:pos="900" w:val="left"/>
        </w:tabs>
        <w:numPr>
          <w:ilvl w:val="0"/>
          <w:numId w:val="15"/>
        </w:numPr>
        <w:rPr>
          <w:rFonts w:ascii="Arial" w:cs="Arial" w:eastAsia="Arial" w:hAnsi="Arial"/>
          <w:sz w:val="12"/>
          <w:szCs w:val="12"/>
          <w:color w:val="auto"/>
        </w:rPr>
      </w:pPr>
      <w:r>
        <w:rPr>
          <w:rFonts w:ascii="Arial" w:cs="Arial" w:eastAsia="Arial" w:hAnsi="Arial"/>
          <w:sz w:val="17"/>
          <w:szCs w:val="17"/>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9" w:lineRule="exact"/>
        <w:rPr>
          <w:rFonts w:ascii="Arial" w:cs="Arial" w:eastAsia="Arial" w:hAnsi="Arial"/>
          <w:sz w:val="12"/>
          <w:szCs w:val="12"/>
          <w:color w:val="auto"/>
        </w:rPr>
      </w:pPr>
    </w:p>
    <w:p>
      <w:pPr>
        <w:ind w:left="900" w:right="120" w:hanging="383"/>
        <w:spacing w:after="0" w:line="270" w:lineRule="auto"/>
        <w:tabs>
          <w:tab w:leader="none" w:pos="900" w:val="left"/>
        </w:tabs>
        <w:numPr>
          <w:ilvl w:val="0"/>
          <w:numId w:val="15"/>
        </w:numPr>
        <w:rPr>
          <w:rFonts w:ascii="Arial" w:cs="Arial" w:eastAsia="Arial" w:hAnsi="Arial"/>
          <w:sz w:val="12"/>
          <w:szCs w:val="12"/>
          <w:color w:val="auto"/>
        </w:rPr>
      </w:pPr>
      <w:r>
        <w:rPr>
          <w:rFonts w:ascii="Arial" w:cs="Arial" w:eastAsia="Arial" w:hAnsi="Arial"/>
          <w:sz w:val="17"/>
          <w:szCs w:val="17"/>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9" w:lineRule="exact"/>
        <w:rPr>
          <w:rFonts w:ascii="Arial" w:cs="Arial" w:eastAsia="Arial" w:hAnsi="Arial"/>
          <w:sz w:val="12"/>
          <w:szCs w:val="12"/>
          <w:color w:val="auto"/>
        </w:rPr>
      </w:pPr>
    </w:p>
    <w:p>
      <w:pPr>
        <w:ind w:left="900" w:right="580" w:hanging="383"/>
        <w:spacing w:after="0" w:line="261"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The mechanisms of action of our product candidates are unproven, and we do not know whether we will be able to develop any drug of commercial value.</w:t>
      </w:r>
    </w:p>
    <w:p>
      <w:pPr>
        <w:spacing w:after="0" w:line="62" w:lineRule="exact"/>
        <w:rPr>
          <w:rFonts w:ascii="Arial" w:cs="Arial" w:eastAsia="Arial" w:hAnsi="Arial"/>
          <w:sz w:val="13"/>
          <w:szCs w:val="13"/>
          <w:color w:val="auto"/>
        </w:rPr>
      </w:pPr>
    </w:p>
    <w:p>
      <w:pPr>
        <w:ind w:left="900" w:right="60" w:hanging="383"/>
        <w:spacing w:after="0" w:line="249"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3" w:lineRule="exact"/>
        <w:rPr>
          <w:rFonts w:ascii="Arial" w:cs="Arial" w:eastAsia="Arial" w:hAnsi="Arial"/>
          <w:sz w:val="13"/>
          <w:szCs w:val="13"/>
          <w:color w:val="auto"/>
        </w:rPr>
      </w:pPr>
    </w:p>
    <w:p>
      <w:pPr>
        <w:ind w:left="900" w:right="100" w:hanging="383"/>
        <w:spacing w:after="0" w:line="248"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6" w:name="page27"/>
    <w:bookmarkEnd w:id="26"/>
    <w:p>
      <w:pPr>
        <w:jc w:val="both"/>
        <w:ind w:left="900" w:right="220" w:hanging="383"/>
        <w:spacing w:after="0" w:line="249"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6" w:lineRule="exact"/>
        <w:rPr>
          <w:rFonts w:ascii="Arial" w:cs="Arial" w:eastAsia="Arial" w:hAnsi="Arial"/>
          <w:sz w:val="13"/>
          <w:szCs w:val="13"/>
          <w:color w:val="auto"/>
        </w:rPr>
      </w:pPr>
    </w:p>
    <w:p>
      <w:pPr>
        <w:ind w:left="900" w:right="600" w:hanging="383"/>
        <w:spacing w:after="0" w:line="324" w:lineRule="auto"/>
        <w:tabs>
          <w:tab w:leader="none" w:pos="900" w:val="left"/>
        </w:tabs>
        <w:numPr>
          <w:ilvl w:val="0"/>
          <w:numId w:val="16"/>
        </w:numPr>
        <w:rPr>
          <w:rFonts w:ascii="Arial" w:cs="Arial" w:eastAsia="Arial" w:hAnsi="Arial"/>
          <w:sz w:val="11"/>
          <w:szCs w:val="11"/>
          <w:color w:val="auto"/>
        </w:rPr>
      </w:pPr>
      <w:r>
        <w:rPr>
          <w:rFonts w:ascii="Arial" w:cs="Arial" w:eastAsia="Arial" w:hAnsi="Arial"/>
          <w:sz w:val="16"/>
          <w:szCs w:val="16"/>
          <w:color w:val="231F20"/>
        </w:rPr>
        <w:t>We have completed the build-out of a manufacturing facility to support the production of certain of our product candidates. We have no experience in manufacturing, and there can be no assurance that we will be able to successfully manufacture product candidates.</w:t>
      </w:r>
    </w:p>
    <w:p>
      <w:pPr>
        <w:spacing w:after="0" w:line="16" w:lineRule="exact"/>
        <w:rPr>
          <w:rFonts w:ascii="Arial" w:cs="Arial" w:eastAsia="Arial" w:hAnsi="Arial"/>
          <w:sz w:val="11"/>
          <w:szCs w:val="11"/>
          <w:color w:val="auto"/>
        </w:rPr>
      </w:pPr>
    </w:p>
    <w:p>
      <w:pPr>
        <w:jc w:val="both"/>
        <w:ind w:left="900" w:right="340" w:hanging="383"/>
        <w:spacing w:after="0" w:line="256"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6" w:lineRule="exact"/>
        <w:rPr>
          <w:rFonts w:ascii="Arial" w:cs="Arial" w:eastAsia="Arial" w:hAnsi="Arial"/>
          <w:sz w:val="13"/>
          <w:szCs w:val="13"/>
          <w:color w:val="auto"/>
        </w:rPr>
      </w:pPr>
    </w:p>
    <w:p>
      <w:pPr>
        <w:jc w:val="both"/>
        <w:ind w:left="900" w:right="40" w:hanging="383"/>
        <w:spacing w:after="0" w:line="256"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6" w:lineRule="exact"/>
        <w:rPr>
          <w:rFonts w:ascii="Arial" w:cs="Arial" w:eastAsia="Arial" w:hAnsi="Arial"/>
          <w:sz w:val="13"/>
          <w:szCs w:val="13"/>
          <w:color w:val="auto"/>
        </w:rPr>
      </w:pPr>
    </w:p>
    <w:p>
      <w:pPr>
        <w:ind w:left="900" w:right="120" w:hanging="383"/>
        <w:spacing w:after="0" w:line="268" w:lineRule="auto"/>
        <w:tabs>
          <w:tab w:leader="none" w:pos="900" w:val="left"/>
        </w:tabs>
        <w:numPr>
          <w:ilvl w:val="0"/>
          <w:numId w:val="16"/>
        </w:numPr>
        <w:rPr>
          <w:rFonts w:ascii="Arial" w:cs="Arial" w:eastAsia="Arial" w:hAnsi="Arial"/>
          <w:sz w:val="12"/>
          <w:szCs w:val="12"/>
          <w:color w:val="auto"/>
        </w:rPr>
      </w:pPr>
      <w:r>
        <w:rPr>
          <w:rFonts w:ascii="Arial" w:cs="Arial" w:eastAsia="Arial" w:hAnsi="Arial"/>
          <w:sz w:val="17"/>
          <w:szCs w:val="17"/>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58" w:lineRule="exact"/>
        <w:rPr>
          <w:rFonts w:ascii="Arial" w:cs="Arial" w:eastAsia="Arial" w:hAnsi="Arial"/>
          <w:sz w:val="12"/>
          <w:szCs w:val="12"/>
          <w:color w:val="auto"/>
        </w:rPr>
      </w:pPr>
    </w:p>
    <w:p>
      <w:pPr>
        <w:ind w:left="900" w:right="460" w:hanging="383"/>
        <w:spacing w:after="0" w:line="278" w:lineRule="auto"/>
        <w:tabs>
          <w:tab w:leader="none" w:pos="900" w:val="left"/>
        </w:tabs>
        <w:numPr>
          <w:ilvl w:val="0"/>
          <w:numId w:val="16"/>
        </w:numPr>
        <w:rPr>
          <w:rFonts w:ascii="Arial" w:cs="Arial" w:eastAsia="Arial" w:hAnsi="Arial"/>
          <w:sz w:val="12"/>
          <w:szCs w:val="12"/>
          <w:color w:val="auto"/>
        </w:rPr>
      </w:pPr>
      <w:r>
        <w:rPr>
          <w:rFonts w:ascii="Arial" w:cs="Arial" w:eastAsia="Arial" w:hAnsi="Arial"/>
          <w:sz w:val="17"/>
          <w:szCs w:val="17"/>
          <w:color w:val="231F20"/>
        </w:rPr>
        <w:t>We rely on third parties to conduct our preclinical studies, and our ongoing clinical trial and plan to rely on third parties to conduct future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Need for Additional Capital and Limited Operating History</w:t>
      </w:r>
    </w:p>
    <w:p>
      <w:pPr>
        <w:spacing w:after="0" w:line="229"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b w:val="1"/>
          <w:bCs w:val="1"/>
          <w:i w:val="1"/>
          <w:iCs w:val="1"/>
          <w:color w:val="231F20"/>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spacing w:after="0" w:line="1"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231F20"/>
        </w:rPr>
        <w:t>We recently became a clinical stage biotechnology company and have a limited operating history upon which you can evaluate our business and prospects. We commenced operations in 2016, have not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In September 2022, we initiated a Phase 1 clinical trial evaluating TN-301 and began dosing TN-301 in humans. All of our other product candidates are still in preclinical development and have never been tested in humans. Since our inception,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7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231F20"/>
        </w:rPr>
        <w:t>We have limited experience conducting clinical trials and have not yet demonstrated our ability to successfully complete any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73"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63"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231F20"/>
        </w:rPr>
        <w:t>We have incurred significant net losses since our inception, have not generated any product revenue to date and have financed our operations principally through issuances of our common stock (including in our IPO) and, up until the date of our IPO in July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right="60"/>
        <w:spacing w:after="0" w:line="280" w:lineRule="auto"/>
        <w:rPr>
          <w:sz w:val="20"/>
          <w:szCs w:val="20"/>
          <w:color w:val="auto"/>
        </w:rPr>
      </w:pPr>
      <w:r>
        <w:rPr>
          <w:rFonts w:ascii="Arial" w:cs="Arial" w:eastAsia="Arial" w:hAnsi="Arial"/>
          <w:sz w:val="16"/>
          <w:szCs w:val="16"/>
          <w:color w:val="231F20"/>
        </w:rPr>
        <w:t>2021, through private placements of our convertible preferred stock. Our net loss was $ 90.1 million for the nine months ended September 30, 2022. As of September 30, 2022, we had an accumulated deficit of $245.7 million. Substantially all of our losses have resulted from expenses incurred in connection with our research and development programs and from general and administrative costs associated with our operations. We are still in the early stages of development of our product candidates and we have not yet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51"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5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76"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73" w:lineRule="exact"/>
        <w:rPr>
          <w:sz w:val="20"/>
          <w:szCs w:val="20"/>
          <w:color w:val="auto"/>
        </w:rPr>
      </w:pPr>
    </w:p>
    <w:p>
      <w:pPr>
        <w:ind w:left="900" w:right="280" w:hanging="383"/>
        <w:spacing w:after="0" w:line="261"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obtaining regulatory approval to commence clinical trials of our product candidates;</w:t>
      </w:r>
    </w:p>
    <w:p>
      <w:pPr>
        <w:spacing w:after="0" w:line="103" w:lineRule="exact"/>
        <w:rPr>
          <w:rFonts w:ascii="Arial" w:cs="Arial" w:eastAsia="Arial" w:hAnsi="Arial"/>
          <w:sz w:val="13"/>
          <w:szCs w:val="13"/>
          <w:color w:val="auto"/>
        </w:rPr>
      </w:pPr>
    </w:p>
    <w:p>
      <w:pPr>
        <w:ind w:left="900" w:right="280" w:hanging="383"/>
        <w:spacing w:after="0" w:line="261"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establishing and maintaining relationships with contract research organizations (CROs) and clinical sites for the clinical development of our product candidates and any other future product candidates;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the initiation and successful patient enrollment and completion of clinical trials on a timely basis;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acceptable frequency and severity of adverse events in the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7"/>
          <w:szCs w:val="17"/>
          <w:color w:val="231F20"/>
        </w:rPr>
        <w:t>the efficacy and safety profiles that are satisfactory to the FDA or any comparable foreign regulatory authority for marketing approval;</w:t>
      </w:r>
    </w:p>
    <w:p>
      <w:pPr>
        <w:spacing w:after="0" w:line="115" w:lineRule="exact"/>
        <w:rPr>
          <w:rFonts w:ascii="Arial" w:cs="Arial" w:eastAsia="Arial" w:hAnsi="Arial"/>
          <w:sz w:val="12"/>
          <w:szCs w:val="12"/>
          <w:color w:val="auto"/>
        </w:rPr>
      </w:pPr>
    </w:p>
    <w:p>
      <w:pPr>
        <w:ind w:left="900" w:right="300" w:hanging="383"/>
        <w:spacing w:after="0" w:line="277"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timely receipt of marketing approvals from applicable regulatory authorities for any product candidates for which we successfully complete clinical development;</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complying with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operating a manufacturing facility and developing an efficient and scalable manufacturing process for our product candidates;</w:t>
      </w:r>
    </w:p>
    <w:p>
      <w:pPr>
        <w:spacing w:after="0" w:line="117" w:lineRule="exact"/>
        <w:rPr>
          <w:rFonts w:ascii="Arial" w:cs="Arial" w:eastAsia="Arial" w:hAnsi="Arial"/>
          <w:sz w:val="13"/>
          <w:szCs w:val="13"/>
          <w:color w:val="auto"/>
        </w:rPr>
      </w:pPr>
    </w:p>
    <w:p>
      <w:pPr>
        <w:ind w:left="900" w:right="120" w:hanging="383"/>
        <w:spacing w:after="0" w:line="248"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87" w:lineRule="exact"/>
        <w:rPr>
          <w:rFonts w:ascii="Arial" w:cs="Arial" w:eastAsia="Arial" w:hAnsi="Arial"/>
          <w:sz w:val="13"/>
          <w:szCs w:val="13"/>
          <w:color w:val="auto"/>
        </w:rPr>
      </w:pPr>
    </w:p>
    <w:p>
      <w:pPr>
        <w:ind w:left="900" w:right="120" w:hanging="383"/>
        <w:spacing w:after="0" w:line="261"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successful outputs from our capsid engineering and promotor and regulator elements efforts;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a continued acceptable safety profile following any marketing approval of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commercial acceptance of our product candidates by patients, the medical community and third-party payors;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satisfying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identifying, assessing and developing new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left="900" w:right="60" w:hanging="383"/>
        <w:spacing w:after="0" w:line="277"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obtaining, maintaining, and expanding patent and other intellectual property protection, trade secret protection and regulatory exclusivity, both in the United States and internationally;</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protecting and enforcing our rights in our intellectual property portfolio;</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defending against third-party infringement, misappropriation, or other claims, if any;</w:t>
      </w:r>
    </w:p>
    <w:p>
      <w:pPr>
        <w:spacing w:after="0" w:line="117" w:lineRule="exact"/>
        <w:rPr>
          <w:rFonts w:ascii="Arial" w:cs="Arial" w:eastAsia="Arial" w:hAnsi="Arial"/>
          <w:sz w:val="13"/>
          <w:szCs w:val="13"/>
          <w:color w:val="auto"/>
        </w:rPr>
      </w:pPr>
    </w:p>
    <w:p>
      <w:pPr>
        <w:ind w:left="900" w:right="900" w:hanging="383"/>
        <w:spacing w:after="0" w:line="261"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3"/>
          <w:szCs w:val="13"/>
          <w:color w:val="auto"/>
        </w:rPr>
      </w:pPr>
    </w:p>
    <w:p>
      <w:pPr>
        <w:ind w:left="900" w:right="120" w:hanging="383"/>
        <w:spacing w:after="0" w:line="277"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obtaining coverage and adequate reimbursement by third-party payors for our products and patients’ willingness to pay in the absence of such coverage and adequate reimbursement;</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obtaining additional funding to develop, manufacture and commercialize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addressing any competing therapies and technological and market developments;</w:t>
      </w:r>
    </w:p>
    <w:p>
      <w:pPr>
        <w:spacing w:after="0" w:line="103" w:lineRule="exact"/>
        <w:rPr>
          <w:rFonts w:ascii="Arial" w:cs="Arial" w:eastAsia="Arial" w:hAnsi="Arial"/>
          <w:sz w:val="13"/>
          <w:szCs w:val="13"/>
          <w:color w:val="auto"/>
        </w:rPr>
      </w:pPr>
    </w:p>
    <w:p>
      <w:pPr>
        <w:ind w:left="900" w:right="200" w:hanging="383"/>
        <w:spacing w:after="0" w:line="277"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managing costs, including any unforeseen costs, that we may incur as a result of nonclinical study or clinical trial delays due to the effects of the COVID-19 pandemic, including the emergence of variants, or other causes; and</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attracting, hiring and retaining qualified and key personnel including clinical, scientific, management and administrative personnel.</w:t>
      </w:r>
    </w:p>
    <w:p>
      <w:pPr>
        <w:spacing w:after="0" w:line="104"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94"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231F20"/>
        </w:rPr>
        <w:t>We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6" w:lineRule="exact"/>
        <w:rPr>
          <w:sz w:val="20"/>
          <w:szCs w:val="20"/>
          <w:color w:val="auto"/>
        </w:rPr>
      </w:pPr>
    </w:p>
    <w:p>
      <w:pPr>
        <w:ind w:right="160" w:firstLine="509"/>
        <w:spacing w:after="0" w:line="288" w:lineRule="auto"/>
        <w:rPr>
          <w:sz w:val="20"/>
          <w:szCs w:val="20"/>
          <w:color w:val="auto"/>
        </w:rPr>
      </w:pPr>
      <w:r>
        <w:rPr>
          <w:rFonts w:ascii="Arial" w:cs="Arial" w:eastAsia="Arial" w:hAnsi="Arial"/>
          <w:sz w:val="16"/>
          <w:szCs w:val="16"/>
          <w:color w:val="231F20"/>
        </w:rPr>
        <w:t>As of September 30, 2022, we had $149.5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4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We also expect to incur costs associated with operating as a public company. Accordingly, we will need to obtain substantial additional funding in order to continue our operations.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future capital requirements will depend on may factors, including, but not limited to:</w:t>
      </w:r>
    </w:p>
    <w:p>
      <w:pPr>
        <w:spacing w:after="0" w:line="117" w:lineRule="exact"/>
        <w:rPr>
          <w:sz w:val="20"/>
          <w:szCs w:val="20"/>
          <w:color w:val="auto"/>
        </w:rPr>
      </w:pPr>
    </w:p>
    <w:p>
      <w:pPr>
        <w:ind w:left="900" w:hanging="383"/>
        <w:spacing w:after="0" w:line="261"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scope, progress, results and costs of researching, developing and testing our product candidates including conducting preclinical studies and clinical trials;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timing and outcome of regulatory review of our product candidates or any future candidates;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number and characteristics of other product candidates that we pursue or acquire;</w:t>
      </w:r>
    </w:p>
    <w:p>
      <w:pPr>
        <w:spacing w:after="0" w:line="103" w:lineRule="exact"/>
        <w:rPr>
          <w:rFonts w:ascii="Arial" w:cs="Arial" w:eastAsia="Arial" w:hAnsi="Arial"/>
          <w:sz w:val="13"/>
          <w:szCs w:val="13"/>
          <w:color w:val="auto"/>
        </w:rPr>
      </w:pPr>
    </w:p>
    <w:p>
      <w:pPr>
        <w:ind w:left="900" w:right="600" w:hanging="383"/>
        <w:spacing w:after="0" w:line="261"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of operating our own manufacturing facility;</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of manufacturing commercial-grade products and sufficient inventory to support commercial launch;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ind w:left="900" w:right="100" w:hanging="383"/>
        <w:spacing w:after="0" w:line="277"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cost of commercialization activities, include the cost of building a sales force in anticipation of product commercialization and distribution costs;</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2"/>
          <w:szCs w:val="12"/>
          <w:color w:val="auto"/>
        </w:rPr>
      </w:pPr>
      <w:r>
        <w:rPr>
          <w:rFonts w:ascii="Arial" w:cs="Arial" w:eastAsia="Arial" w:hAnsi="Arial"/>
          <w:sz w:val="17"/>
          <w:szCs w:val="17"/>
          <w:color w:val="231F20"/>
        </w:rPr>
        <w:t>the revenue, if any, received from commercial sale of our products, should any of our product candidates receive marketing approval;</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cost and timing of hiring new employees to support our continued growth;</w:t>
      </w:r>
    </w:p>
    <w:p>
      <w:pPr>
        <w:spacing w:after="0" w:line="117" w:lineRule="exact"/>
        <w:rPr>
          <w:rFonts w:ascii="Arial" w:cs="Arial" w:eastAsia="Arial" w:hAnsi="Arial"/>
          <w:sz w:val="13"/>
          <w:szCs w:val="13"/>
          <w:color w:val="auto"/>
        </w:rPr>
      </w:pPr>
    </w:p>
    <w:p>
      <w:pPr>
        <w:ind w:left="900" w:right="380" w:hanging="383"/>
        <w:spacing w:after="0" w:line="261"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costs of preparing, filing and prosecuting patent applications, maintaining, protecting and enforcing our intellectual property rights and defending intellectual property-related claims;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effect of competing products that may limit market penetration of our products;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ability to establish and maintain collaborations on favorable terms, if at all;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extent to which we acquire or in-license other product candidates and technologies;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6"/>
          <w:szCs w:val="16"/>
          <w:color w:val="231F20"/>
        </w:rPr>
        <w:t>the timing, receipt and amount of sales of, or milestone payments related to or royalties on, our current or future product candidates, if any;</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our need to implement additional internal systems and infrastructure, including financial and reporting systems;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compliance and administrative costs associated with being a public company; and</w:t>
      </w:r>
    </w:p>
    <w:p>
      <w:pPr>
        <w:spacing w:after="0" w:line="103" w:lineRule="exact"/>
        <w:rPr>
          <w:rFonts w:ascii="Arial" w:cs="Arial" w:eastAsia="Arial" w:hAnsi="Arial"/>
          <w:sz w:val="13"/>
          <w:szCs w:val="13"/>
          <w:color w:val="auto"/>
        </w:rPr>
      </w:pPr>
    </w:p>
    <w:p>
      <w:pPr>
        <w:ind w:left="900" w:right="220" w:hanging="383"/>
        <w:spacing w:after="0" w:line="261"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extent to which we acquire or invest in businesses, products, or technologies, although we currently have no commitments or agreements relating to any of these types of transactions.</w:t>
      </w:r>
    </w:p>
    <w:p>
      <w:pPr>
        <w:spacing w:after="0" w:line="7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93"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pre-clinical development programs, ongoing or planned clinical trials or future commercialization efforts.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Our operations and financial results could be adversely impacted by the effects of the COVID-19 pandemic, including the emergence of recent variants, in the United States and the rest of the world.</w:t>
      </w:r>
    </w:p>
    <w:p>
      <w:pPr>
        <w:spacing w:after="0" w:line="76"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231F20"/>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Many of our employees have been working remotely since March 2020, which has required that we devise new ways of working and collaborating.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including the effects of recent variants, that could severely impact our business, including:</w:t>
      </w:r>
    </w:p>
    <w:p>
      <w:pPr>
        <w:spacing w:after="0" w:line="64" w:lineRule="exact"/>
        <w:rPr>
          <w:sz w:val="20"/>
          <w:szCs w:val="20"/>
          <w:color w:val="auto"/>
        </w:rPr>
      </w:pPr>
    </w:p>
    <w:p>
      <w:pPr>
        <w:ind w:left="900" w:right="560" w:hanging="518"/>
        <w:spacing w:after="0" w:line="261" w:lineRule="auto"/>
        <w:tabs>
          <w:tab w:leader="none" w:pos="900" w:val="left"/>
        </w:tabs>
        <w:numPr>
          <w:ilvl w:val="0"/>
          <w:numId w:val="21"/>
        </w:numPr>
        <w:rPr>
          <w:rFonts w:ascii="Arial" w:cs="Arial" w:eastAsia="Arial" w:hAnsi="Arial"/>
          <w:sz w:val="13"/>
          <w:szCs w:val="13"/>
          <w:color w:val="231F20"/>
        </w:rPr>
      </w:pPr>
      <w:r>
        <w:rPr>
          <w:rFonts w:ascii="Arial" w:cs="Arial" w:eastAsia="Arial" w:hAnsi="Arial"/>
          <w:sz w:val="18"/>
          <w:szCs w:val="18"/>
          <w:color w:val="231F20"/>
        </w:rPr>
        <w:t>interruptions, difficulties or delays arising in our existing operations and company culture as a result of many of our employees working remotely, including those hired during the COVID-19 pandemic;</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in the receipt of materials integral to the production of drug product to support our planned clinical trials;</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in receiving approval from local regulatory authorities to initiate our planned clinical trials;</w:t>
      </w:r>
    </w:p>
    <w:p>
      <w:pPr>
        <w:spacing w:after="0" w:line="103" w:lineRule="exact"/>
        <w:rPr>
          <w:rFonts w:ascii="Arial" w:cs="Arial" w:eastAsia="Arial" w:hAnsi="Arial"/>
          <w:sz w:val="18"/>
          <w:szCs w:val="18"/>
          <w:color w:val="231F20"/>
        </w:rPr>
      </w:pPr>
    </w:p>
    <w:p>
      <w:pPr>
        <w:ind w:left="900" w:right="260" w:hanging="383"/>
        <w:spacing w:after="0" w:line="277" w:lineRule="auto"/>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or difficulties in enrolling and retaining patients in clinical trials and incurrence of additional costs as a result of preclinical study and clinical trial delays and adjustments;</w:t>
      </w:r>
    </w:p>
    <w:p>
      <w:pPr>
        <w:spacing w:after="0" w:line="48" w:lineRule="exact"/>
        <w:rPr>
          <w:rFonts w:ascii="Arial" w:cs="Arial" w:eastAsia="Arial" w:hAnsi="Arial"/>
          <w:sz w:val="18"/>
          <w:szCs w:val="18"/>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challenges related to ongoing and increased operational expenses related to the COVID-19 pandemic;</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or difficulties in clinical site initiation, including difficulties in recruiting clinical site investigators and clinical site staff;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left="9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obtaining supplies, supply chain specialists, vendors or other contractors related to clinical trial operations and logistics, which can delay the submission of an IND or our ability to commence a clinical trial on a timely manner;</w:t>
      </w:r>
    </w:p>
    <w:p>
      <w:pPr>
        <w:spacing w:after="0" w:line="48" w:lineRule="exact"/>
        <w:rPr>
          <w:rFonts w:ascii="Arial" w:cs="Arial" w:eastAsia="Arial" w:hAnsi="Arial"/>
          <w:sz w:val="18"/>
          <w:szCs w:val="18"/>
          <w:color w:val="auto"/>
        </w:rPr>
      </w:pPr>
    </w:p>
    <w:p>
      <w:pPr>
        <w:ind w:left="900" w:right="60" w:hanging="383"/>
        <w:spacing w:after="0" w:line="263"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made to manufacturing plans due to delays or interruptions in obtaining manufacturing supplies or other disruptions to the supply chain, which can negatively impact our clinical plans, delay our clinical development timelines, and increase our costs; if supply chain or manufacturing issues result in material changes to our manufacturing process, such material changes could impact the quality and performance of our product candidates, which could delay our clinical trials, require the conduct of bridging clinical trials or the repetition of one or more clinical trials, increase clinical trial costs, and delay approval of our product candidates;</w:t>
      </w:r>
    </w:p>
    <w:p>
      <w:pPr>
        <w:spacing w:after="0" w:line="76" w:lineRule="exact"/>
        <w:rPr>
          <w:rFonts w:ascii="Arial" w:cs="Arial" w:eastAsia="Arial" w:hAnsi="Arial"/>
          <w:sz w:val="17"/>
          <w:szCs w:val="17"/>
          <w:color w:val="auto"/>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delays, difficulties or increased costs to comply with COVID-19 protocols at our leased facilities and clinical sites;</w:t>
      </w:r>
    </w:p>
    <w:p>
      <w:pPr>
        <w:spacing w:after="0" w:line="103" w:lineRule="exact"/>
        <w:rPr>
          <w:rFonts w:ascii="Arial" w:cs="Arial" w:eastAsia="Arial" w:hAnsi="Arial"/>
          <w:sz w:val="18"/>
          <w:szCs w:val="18"/>
          <w:color w:val="231F20"/>
        </w:rPr>
      </w:pPr>
    </w:p>
    <w:p>
      <w:pPr>
        <w:ind w:left="900" w:right="220" w:hanging="383"/>
        <w:spacing w:after="0" w:line="261"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62" w:lineRule="exact"/>
        <w:rPr>
          <w:rFonts w:ascii="Arial" w:cs="Arial" w:eastAsia="Arial" w:hAnsi="Arial"/>
          <w:sz w:val="18"/>
          <w:szCs w:val="18"/>
          <w:color w:val="231F20"/>
        </w:rPr>
      </w:pPr>
    </w:p>
    <w:p>
      <w:pPr>
        <w:ind w:left="900" w:right="20" w:hanging="383"/>
        <w:spacing w:after="0" w:line="277"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interruption of key clinical trial activities, such as clinical trial site monitoring, due to limitations on travel imposed or recommended by federal or state governments, employers and others;</w:t>
      </w:r>
    </w:p>
    <w:p>
      <w:pPr>
        <w:spacing w:after="0" w:line="48" w:lineRule="exact"/>
        <w:rPr>
          <w:rFonts w:ascii="Arial" w:cs="Arial" w:eastAsia="Arial" w:hAnsi="Arial"/>
          <w:sz w:val="18"/>
          <w:szCs w:val="18"/>
          <w:color w:val="231F20"/>
        </w:rPr>
      </w:pPr>
    </w:p>
    <w:p>
      <w:pPr>
        <w:ind w:left="900" w:right="180" w:hanging="383"/>
        <w:spacing w:after="0" w:line="256"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66" w:lineRule="exact"/>
        <w:rPr>
          <w:rFonts w:ascii="Arial" w:cs="Arial" w:eastAsia="Arial" w:hAnsi="Arial"/>
          <w:sz w:val="18"/>
          <w:szCs w:val="18"/>
          <w:color w:val="231F20"/>
        </w:rPr>
      </w:pPr>
    </w:p>
    <w:p>
      <w:pPr>
        <w:ind w:left="900" w:hanging="383"/>
        <w:spacing w:after="0"/>
        <w:tabs>
          <w:tab w:leader="none" w:pos="90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delays in preclinical and clinical sites receiving the supplies and materials needed to conduct our ongoing and planned clinical trials;</w:t>
      </w:r>
    </w:p>
    <w:p>
      <w:pPr>
        <w:spacing w:after="0" w:line="115" w:lineRule="exact"/>
        <w:rPr>
          <w:rFonts w:ascii="Arial" w:cs="Arial" w:eastAsia="Arial" w:hAnsi="Arial"/>
          <w:sz w:val="17"/>
          <w:szCs w:val="17"/>
          <w:color w:val="231F20"/>
        </w:rPr>
      </w:pPr>
    </w:p>
    <w:p>
      <w:pPr>
        <w:ind w:left="900" w:right="340" w:hanging="383"/>
        <w:spacing w:after="0" w:line="277"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interruption in global shipping that may affect the transport of clinical trial materials, such as investigational drug product to be used in our clinical trials;</w:t>
      </w:r>
    </w:p>
    <w:p>
      <w:pPr>
        <w:spacing w:after="0" w:line="48" w:lineRule="exact"/>
        <w:rPr>
          <w:rFonts w:ascii="Arial" w:cs="Arial" w:eastAsia="Arial" w:hAnsi="Arial"/>
          <w:sz w:val="18"/>
          <w:szCs w:val="18"/>
          <w:color w:val="231F20"/>
        </w:rPr>
      </w:pPr>
    </w:p>
    <w:p>
      <w:pPr>
        <w:ind w:left="900" w:right="220" w:hanging="383"/>
        <w:spacing w:after="0" w:line="261"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76" w:lineRule="exact"/>
        <w:rPr>
          <w:rFonts w:ascii="Arial" w:cs="Arial" w:eastAsia="Arial" w:hAnsi="Arial"/>
          <w:sz w:val="18"/>
          <w:szCs w:val="18"/>
          <w:color w:val="231F20"/>
        </w:rPr>
      </w:pPr>
    </w:p>
    <w:p>
      <w:pPr>
        <w:ind w:left="900" w:right="60" w:hanging="383"/>
        <w:spacing w:after="0" w:line="261"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62" w:lineRule="exact"/>
        <w:rPr>
          <w:rFonts w:ascii="Arial" w:cs="Arial" w:eastAsia="Arial" w:hAnsi="Arial"/>
          <w:sz w:val="18"/>
          <w:szCs w:val="18"/>
          <w:color w:val="231F20"/>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refusal of the FDA to accept data from clinical trials in affected geographies outside the United States;</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increased competition for CROs, contract development and manufacturing organizations (CDMOs), suppliers and vendors; and</w:t>
      </w:r>
    </w:p>
    <w:p>
      <w:pPr>
        <w:spacing w:after="0" w:line="103" w:lineRule="exact"/>
        <w:rPr>
          <w:rFonts w:ascii="Arial" w:cs="Arial" w:eastAsia="Arial" w:hAnsi="Arial"/>
          <w:sz w:val="18"/>
          <w:szCs w:val="18"/>
          <w:color w:val="231F20"/>
        </w:rPr>
      </w:pPr>
    </w:p>
    <w:p>
      <w:pPr>
        <w:ind w:left="900" w:right="140" w:hanging="383"/>
        <w:spacing w:after="0" w:line="291" w:lineRule="auto"/>
        <w:tabs>
          <w:tab w:leader="none" w:pos="90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39"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231F20"/>
        </w:rPr>
        <w:t>We continue to assess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67" w:lineRule="exact"/>
        <w:rPr>
          <w:sz w:val="20"/>
          <w:szCs w:val="20"/>
          <w:color w:val="auto"/>
        </w:rPr>
      </w:pPr>
    </w:p>
    <w:p>
      <w:pPr>
        <w:ind w:right="220" w:firstLine="509"/>
        <w:spacing w:after="0" w:line="278" w:lineRule="auto"/>
        <w:rPr>
          <w:sz w:val="20"/>
          <w:szCs w:val="20"/>
          <w:color w:val="auto"/>
        </w:rPr>
      </w:pPr>
      <w:r>
        <w:rPr>
          <w:rFonts w:ascii="Arial" w:cs="Arial" w:eastAsia="Arial" w:hAnsi="Arial"/>
          <w:sz w:val="16"/>
          <w:szCs w:val="16"/>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and build-out our manufacturing facility.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53" w:lineRule="exact"/>
        <w:rPr>
          <w:sz w:val="20"/>
          <w:szCs w:val="20"/>
          <w:color w:val="auto"/>
        </w:rPr>
      </w:pPr>
    </w:p>
    <w:p>
      <w:pPr>
        <w:jc w:val="both"/>
        <w:ind w:right="40" w:firstLine="509"/>
        <w:spacing w:after="0" w:line="303" w:lineRule="auto"/>
        <w:rPr>
          <w:sz w:val="20"/>
          <w:szCs w:val="20"/>
          <w:color w:val="auto"/>
        </w:rPr>
      </w:pPr>
      <w:r>
        <w:rPr>
          <w:rFonts w:ascii="Arial" w:cs="Arial" w:eastAsia="Arial" w:hAnsi="Arial"/>
          <w:sz w:val="16"/>
          <w:szCs w:val="16"/>
          <w:color w:val="231F20"/>
        </w:rPr>
        <w:t>The demand for COVID-19 vaccines and related treatment options, and the potential for manufacturing facilities and materials to be commandeered under the Defense Production Act of 1950, or equivalent foreign legislation, have made it more difficult to obtain materials and manufacturing slots for our product candidates needed for our preclinical studies and clinical trials, which could lead to delays in these studies and trials.</w:t>
      </w:r>
    </w:p>
    <w:p>
      <w:pPr>
        <w:spacing w:after="0" w:line="3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231F20"/>
        </w:rPr>
        <w:t>The extent to which the COVID-19 pandemic, including recent variants, impacts our business will depend on future developments such as the rate of the spread of the disease, emergence of new variants, re-imposition of travel restrictions and social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160"/>
        <w:spacing w:after="0" w:line="249" w:lineRule="auto"/>
        <w:rPr>
          <w:sz w:val="20"/>
          <w:szCs w:val="20"/>
          <w:color w:val="auto"/>
        </w:rPr>
      </w:pPr>
      <w:r>
        <w:rPr>
          <w:rFonts w:ascii="Arial" w:cs="Arial" w:eastAsia="Arial" w:hAnsi="Arial"/>
          <w:sz w:val="18"/>
          <w:szCs w:val="18"/>
          <w:color w:val="231F20"/>
        </w:rPr>
        <w:t>distancing in the United States and other countries, business closures or business disruptions, and continued demand for vaccines, the continued effectiveness of the vaccines against new variants, and the effectiveness of actions taken in the United States and other countries to contain and treat the disease and to address its impact, including on financial markets or otherwise.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7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231F20"/>
        </w:rPr>
        <w:t>To the extent the COVID-19 pandemic adversely affects our business, financial condition and operating results, it may also have the effect of heightening many of the risks described in this “Risk Factors” section.</w:t>
      </w:r>
    </w:p>
    <w:p>
      <w:pPr>
        <w:spacing w:after="0" w:line="18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231F20"/>
        </w:rPr>
        <w:t>Raising additional capital will cause dilution to our stockholders, restrict our operations or require us to relinquish rights to our technologies or product candidates.</w:t>
      </w:r>
    </w:p>
    <w:p>
      <w:pPr>
        <w:spacing w:after="0" w:line="15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 xml:space="preserve">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t>
      </w:r>
      <w:r>
        <w:rPr>
          <w:rFonts w:ascii="Arial" w:cs="Arial" w:eastAsia="Arial" w:hAnsi="Arial"/>
          <w:sz w:val="16"/>
          <w:szCs w:val="16"/>
          <w:color w:val="000000"/>
        </w:rPr>
        <w:t>We filed: (i) on August 10, 2022, a shelf registration statement on Form S-3 with the SEC that became effective on August 17, 2022 and allows us to undertake various equity and debt offerings up to $300.0 million; and (ii) on August 17, 2022, a prospectus supplement to the shelf registration statement that covers the offering, issuance and sale of up to $75.0 million of our common stock from time to time through an “at-the-market” program under the Securities Act</w:t>
      </w:r>
      <w:r>
        <w:rPr>
          <w:rFonts w:ascii="Arial" w:cs="Arial" w:eastAsia="Arial" w:hAnsi="Arial"/>
          <w:sz w:val="16"/>
          <w:szCs w:val="16"/>
          <w:color w:val="231F20"/>
        </w:rPr>
        <w:t>. However, we do not have any committed external source of funds. Adequate additional financing may not be available to us on acceptable</w:t>
      </w:r>
      <w:r>
        <w:rPr>
          <w:rFonts w:ascii="Arial" w:cs="Arial" w:eastAsia="Arial" w:hAnsi="Arial"/>
          <w:sz w:val="16"/>
          <w:szCs w:val="16"/>
          <w:color w:val="000000"/>
        </w:rPr>
        <w:t xml:space="preserve"> </w:t>
      </w:r>
      <w:r>
        <w:rPr>
          <w:rFonts w:ascii="Arial" w:cs="Arial" w:eastAsia="Arial" w:hAnsi="Arial"/>
          <w:sz w:val="16"/>
          <w:szCs w:val="16"/>
          <w:color w:val="231F20"/>
        </w:rPr>
        <w:t>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53" w:lineRule="exact"/>
        <w:rPr>
          <w:sz w:val="20"/>
          <w:szCs w:val="20"/>
          <w:color w:val="auto"/>
        </w:rPr>
      </w:pPr>
    </w:p>
    <w:p>
      <w:pPr>
        <w:ind w:right="200" w:firstLine="509"/>
        <w:spacing w:after="0" w:line="283" w:lineRule="auto"/>
        <w:rPr>
          <w:sz w:val="20"/>
          <w:szCs w:val="20"/>
          <w:color w:val="auto"/>
        </w:rPr>
      </w:pPr>
      <w:r>
        <w:rPr>
          <w:rFonts w:ascii="Arial" w:cs="Arial" w:eastAsia="Arial" w:hAnsi="Arial"/>
          <w:sz w:val="16"/>
          <w:szCs w:val="16"/>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utilize our net operating loss carryforwards and certain other tax attributes to offset future taxable income may be limited.</w:t>
      </w:r>
    </w:p>
    <w:p>
      <w:pPr>
        <w:spacing w:after="0" w:line="115"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231F20"/>
        </w:rPr>
        <w:t>Our net operating loss (NOL) carryforwards may be unavailable to offset future taxable income because of restrictions under U.S. tax law. Under current law, our federal NOLs generated in tax years beginning after December 31, 2017 may be carried forward indefinitely, but is limited to 80% of our current year taxable income. Federal NOLs generated in tax years ending on or prior to December 31, 2017 expire after 20 taxable years. Different restrictions apply under state law.</w:t>
      </w:r>
    </w:p>
    <w:p>
      <w:pPr>
        <w:spacing w:after="0" w:line="7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Discovery, Development, Manufacturing and Commercialization of Our Product Candidates</w:t>
      </w:r>
    </w:p>
    <w:p>
      <w:pPr>
        <w:spacing w:after="0" w:line="2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231F20"/>
        </w:rPr>
        <w:t>We are very early in our development efforts. We initiated our first clinical trial in September 2022 for TN-301. All of our other product candidates are in preclinical development and have never been tested in humans. We do not have any products that are approved for commercial sale, and we may never be able to develop or commercialize marketable products. Before we generate 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17"/>
          <w:szCs w:val="17"/>
          <w:color w:val="231F20"/>
        </w:rPr>
        <w:t>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60"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231F20"/>
        </w:rPr>
        <w:t>If we do not successfully initiate and complete our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50"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successful and timely completion of our ongoing preclinical studies and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generating sufficient data to support the initiation or continuation of clinical trials;</w:t>
      </w:r>
    </w:p>
    <w:p>
      <w:pPr>
        <w:spacing w:after="0" w:line="103" w:lineRule="exact"/>
        <w:rPr>
          <w:rFonts w:ascii="Arial" w:cs="Arial" w:eastAsia="Arial" w:hAnsi="Arial"/>
          <w:sz w:val="13"/>
          <w:szCs w:val="13"/>
          <w:color w:val="auto"/>
        </w:rPr>
      </w:pPr>
    </w:p>
    <w:p>
      <w:pPr>
        <w:ind w:left="900" w:right="180" w:hanging="383"/>
        <w:spacing w:after="0" w:line="277"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addressing any delays, necessary adjustments and additional costs in preclinical studies and clinical trials resulting from factors related to the COVID-19 pandemic;</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6"/>
          <w:szCs w:val="16"/>
          <w:color w:val="231F20"/>
        </w:rPr>
        <w:t>submission of INDs or other regulatory applications for our planned clinical trials and authorizations from regulators to initiate clinical trials;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contracting with the necessary parties to conduct clinical trials;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successful enrollment in, and completion of, clinical trials on a timely basis;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achieving favorable results from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timely manufacture of sufficient quantities of a product candidate for use in clinical trials and, if approved, commercialization;</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successful outputs from our capsid engineering and promotor and regulator elements efforts;</w:t>
      </w:r>
    </w:p>
    <w:p>
      <w:pPr>
        <w:spacing w:after="0" w:line="103" w:lineRule="exact"/>
        <w:rPr>
          <w:rFonts w:ascii="Arial" w:cs="Arial" w:eastAsia="Arial" w:hAnsi="Arial"/>
          <w:sz w:val="13"/>
          <w:szCs w:val="13"/>
          <w:color w:val="auto"/>
        </w:rPr>
      </w:pPr>
    </w:p>
    <w:p>
      <w:pPr>
        <w:ind w:left="900" w:right="72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sufficiency of our financial and other resources to complete the necessary preclinical studies and clinical trials and commercialization activities;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frequency and severity of adverse events in clinical trials;</w:t>
      </w:r>
    </w:p>
    <w:p>
      <w:pPr>
        <w:spacing w:after="0" w:line="117" w:lineRule="exact"/>
        <w:rPr>
          <w:rFonts w:ascii="Arial" w:cs="Arial" w:eastAsia="Arial" w:hAnsi="Arial"/>
          <w:sz w:val="13"/>
          <w:szCs w:val="13"/>
          <w:color w:val="auto"/>
        </w:rPr>
      </w:pPr>
    </w:p>
    <w:p>
      <w:pPr>
        <w:ind w:left="900" w:right="22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timely receipt of marketing approvals from applicable regulatory authorities;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extent of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operational, technical and clinical development challenges associated with pediatric indications that we may pursue, including challenges associated with recruiting and enrolling eligible pediatric patients in clinical trials;</w:t>
      </w:r>
    </w:p>
    <w:p>
      <w:pPr>
        <w:spacing w:after="0" w:line="76" w:lineRule="exact"/>
        <w:rPr>
          <w:rFonts w:ascii="Arial" w:cs="Arial" w:eastAsia="Arial" w:hAnsi="Arial"/>
          <w:sz w:val="13"/>
          <w:szCs w:val="13"/>
          <w:color w:val="auto"/>
        </w:rPr>
      </w:pPr>
    </w:p>
    <w:p>
      <w:pPr>
        <w:ind w:left="900" w:right="100" w:hanging="383"/>
        <w:spacing w:after="0" w:line="248"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87" w:lineRule="exact"/>
        <w:rPr>
          <w:rFonts w:ascii="Arial" w:cs="Arial" w:eastAsia="Arial" w:hAnsi="Arial"/>
          <w:sz w:val="13"/>
          <w:szCs w:val="13"/>
          <w:color w:val="auto"/>
        </w:rPr>
      </w:pPr>
    </w:p>
    <w:p>
      <w:pPr>
        <w:ind w:left="900" w:right="30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maintenance of existing or the establishment of new supply arrangements with third-party drug product suppliers and manufacturers for clinical development and, if approved, commercialization;</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maintaining consistent quality, purity, and potency across clinical supplies and commercial supplies for any approved products;</w:t>
      </w:r>
    </w:p>
    <w:p>
      <w:pPr>
        <w:spacing w:after="0" w:line="117" w:lineRule="exact"/>
        <w:rPr>
          <w:rFonts w:ascii="Arial" w:cs="Arial" w:eastAsia="Arial" w:hAnsi="Arial"/>
          <w:sz w:val="13"/>
          <w:szCs w:val="13"/>
          <w:color w:val="auto"/>
        </w:rPr>
      </w:pPr>
    </w:p>
    <w:p>
      <w:pPr>
        <w:ind w:left="900" w:right="50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obtaining and maintaining patent and other intellectual property protection, trade secret protection and regulatory exclusivity, both in the United States and internationally;</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protecting, enforcing and defending our rights in our intellectual property portfolio;</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our ability to expand into multiple indications;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the successful launch of commercial sales following any marketing approval;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a continued acceptable safety profile and sustained therapeutic effect of our therapies following any marketing approval;</w:t>
      </w:r>
    </w:p>
    <w:p>
      <w:pPr>
        <w:spacing w:after="0" w:line="103" w:lineRule="exact"/>
        <w:rPr>
          <w:rFonts w:ascii="Arial" w:cs="Arial" w:eastAsia="Arial" w:hAnsi="Arial"/>
          <w:sz w:val="13"/>
          <w:szCs w:val="13"/>
          <w:color w:val="auto"/>
        </w:rPr>
      </w:pPr>
    </w:p>
    <w:p>
      <w:pPr>
        <w:ind w:left="900" w:right="120" w:hanging="383"/>
        <w:spacing w:after="0" w:line="277"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the actual market-size, ability to identify patients and the demographics of patients eligible for our product candidates, which may be different than expected;</w:t>
      </w:r>
    </w:p>
    <w:p>
      <w:pPr>
        <w:spacing w:after="0" w:line="48" w:lineRule="exact"/>
        <w:rPr>
          <w:rFonts w:ascii="Arial" w:cs="Arial" w:eastAsia="Arial" w:hAnsi="Arial"/>
          <w:sz w:val="13"/>
          <w:szCs w:val="13"/>
          <w:color w:val="auto"/>
        </w:rPr>
      </w:pPr>
    </w:p>
    <w:p>
      <w:pPr>
        <w:ind w:left="900" w:right="180" w:hanging="383"/>
        <w:spacing w:after="0" w:line="261"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commercial acceptance by patients, the medical community and third-party payors, particularly since the product candidates we develop may be novel; and</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our ability to compete with other therapies.</w:t>
      </w:r>
    </w:p>
    <w:p>
      <w:pPr>
        <w:spacing w:after="0" w:line="104"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231F20"/>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5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To become and remain profitable, we must develop, obtain approval for and eventually commercialize products candidates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93"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231F20"/>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73" w:lineRule="exact"/>
        <w:rPr>
          <w:sz w:val="20"/>
          <w:szCs w:val="20"/>
          <w:color w:val="auto"/>
        </w:rPr>
      </w:pPr>
    </w:p>
    <w:p>
      <w:pPr>
        <w:jc w:val="both"/>
        <w:ind w:right="560" w:firstLine="509"/>
        <w:spacing w:after="0" w:line="303" w:lineRule="auto"/>
        <w:rPr>
          <w:sz w:val="20"/>
          <w:szCs w:val="20"/>
          <w:color w:val="auto"/>
        </w:rPr>
      </w:pPr>
      <w:r>
        <w:rPr>
          <w:rFonts w:ascii="Arial" w:cs="Arial" w:eastAsia="Arial" w:hAnsi="Arial"/>
          <w:sz w:val="16"/>
          <w:szCs w:val="16"/>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32"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9"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49"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231F20"/>
        </w:rPr>
        <w:t>To date, only a limited number of products that utilize AAV-mediated gene transfer have been approved in the United States or Europe, including Novartis Pharmaceuticals’ Zolgensma (developed by AveXis), Roche’s Luxturna (developed by Spark Therapeutics), PTC Therapeutics’ Upstaza and bluebird's Zynteglo.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7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United States, the FDA has established the Office of Tissues and Advanced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231F20"/>
        </w:rPr>
        <w:t>Therapies within its Center for Biologics Evaluation and Research (CBER) to consolidate the review of gene therapy and related products, and the Cellular, Tissue and Gene Therapies Advisory Committee to advise CBER on its review.</w:t>
      </w:r>
    </w:p>
    <w:p>
      <w:pPr>
        <w:spacing w:after="0" w:line="4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231F20"/>
        </w:rPr>
        <w:t>The same applies in the European Union. The EMA’s Committee for Advanced Therapies (CAT) is responsible for assessing the quality, safety, and efficacy of advanced-therapy medicinal products. Advanced- 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50"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231F20"/>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67"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66"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300"/>
        <w:spacing w:after="0" w:line="277" w:lineRule="auto"/>
        <w:rPr>
          <w:sz w:val="20"/>
          <w:szCs w:val="20"/>
          <w:color w:val="auto"/>
        </w:rPr>
      </w:pPr>
      <w:r>
        <w:rPr>
          <w:rFonts w:ascii="Arial" w:cs="Arial" w:eastAsia="Arial" w:hAnsi="Arial"/>
          <w:sz w:val="18"/>
          <w:szCs w:val="18"/>
          <w:b w:val="1"/>
          <w:bCs w:val="1"/>
          <w:i w:val="1"/>
          <w:iCs w:val="1"/>
          <w:color w:val="231F20"/>
        </w:rPr>
        <w:t>The mechanisms of action of our product candidates are unproven, and we do not know whether we will be able to develop any drug of commercial value.</w:t>
      </w:r>
    </w:p>
    <w:p>
      <w:pPr>
        <w:spacing w:after="0" w:line="4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7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 xml:space="preserve">It is impossible to predict when or if any product candidate that we develop will prove effective or safe in humans or will receive marketing approval. Before obtaining marketing approval from the FDA, European Commission, following a positive opinion from the EMA, or other comparable foreign regulatory authorities for the sale of our product candidates, we must complete </w:t>
      </w:r>
      <w:r>
        <w:rPr>
          <w:rFonts w:ascii="Arial" w:cs="Arial" w:eastAsia="Arial" w:hAnsi="Arial"/>
          <w:sz w:val="18"/>
          <w:szCs w:val="18"/>
          <w:color w:val="000000"/>
        </w:rPr>
        <w:t>lengthy, complex and extensive</w:t>
      </w:r>
      <w:r>
        <w:rPr>
          <w:rFonts w:ascii="Arial" w:cs="Arial" w:eastAsia="Arial" w:hAnsi="Arial"/>
          <w:sz w:val="18"/>
          <w:szCs w:val="18"/>
          <w:color w:val="231F20"/>
        </w:rPr>
        <w:t xml:space="preserve"> preclinical studies and clinical trials to demonstrate with substantial evidence the safety and efficacy of such product candidates.</w:t>
      </w:r>
    </w:p>
    <w:p>
      <w:pPr>
        <w:spacing w:after="0" w:line="73"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 xml:space="preserve">Preclinical and </w:t>
      </w:r>
      <w:r>
        <w:rPr>
          <w:rFonts w:ascii="Arial" w:cs="Arial" w:eastAsia="Arial" w:hAnsi="Arial"/>
          <w:sz w:val="17"/>
          <w:szCs w:val="17"/>
          <w:color w:val="231F20"/>
        </w:rPr>
        <w:t>clinical testing is expensive, difficult to design and implement, can take many years to complete and its ultimate outcome is</w:t>
      </w:r>
      <w:r>
        <w:rPr>
          <w:rFonts w:ascii="Arial" w:cs="Arial" w:eastAsia="Arial" w:hAnsi="Arial"/>
          <w:sz w:val="17"/>
          <w:szCs w:val="17"/>
          <w:color w:val="auto"/>
        </w:rPr>
        <w:t xml:space="preserve"> </w:t>
      </w:r>
      <w:r>
        <w:rPr>
          <w:rFonts w:ascii="Arial" w:cs="Arial" w:eastAsia="Arial" w:hAnsi="Arial"/>
          <w:sz w:val="17"/>
          <w:szCs w:val="17"/>
          <w:color w:val="231F20"/>
        </w:rPr>
        <w:t xml:space="preserve">uncertain. We cannot guarantee that any of our preclinical studies, clinical trials or post-marketing studies will be initiated, conducted or completed on schedule or as planned, or at all. </w:t>
      </w:r>
      <w:r>
        <w:rPr>
          <w:rFonts w:ascii="Arial" w:cs="Arial" w:eastAsia="Arial" w:hAnsi="Arial"/>
          <w:sz w:val="17"/>
          <w:szCs w:val="17"/>
          <w:color w:val="000000"/>
        </w:rPr>
        <w:t>Failure can occur at any stage of testing.</w:t>
      </w:r>
      <w:r>
        <w:rPr>
          <w:rFonts w:ascii="Arial" w:cs="Arial" w:eastAsia="Arial" w:hAnsi="Arial"/>
          <w:sz w:val="17"/>
          <w:szCs w:val="17"/>
          <w:color w:val="231F20"/>
        </w:rPr>
        <w:t xml:space="preserve"> Such failure may result from a multitude of factors, including, among other things, flaws in study design, dose selection issues, placebo effects, patient enrollment criteria and failure to demonstrate favorable safety or efficacy traits, which could delay or prevent the submission of an IND, initiation of clinical trials,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and post-marketing studies.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or maintain marketing approval.</w:t>
      </w:r>
    </w:p>
    <w:p>
      <w:pPr>
        <w:spacing w:after="0" w:line="72"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6" w:name="page37"/>
    <w:bookmarkEnd w:id="36"/>
    <w:p>
      <w:pPr>
        <w:ind w:firstLine="509"/>
        <w:spacing w:after="0" w:line="276" w:lineRule="auto"/>
        <w:rPr>
          <w:sz w:val="20"/>
          <w:szCs w:val="20"/>
          <w:color w:val="auto"/>
        </w:rPr>
      </w:pPr>
      <w:r>
        <w:rPr>
          <w:rFonts w:ascii="Arial" w:cs="Arial" w:eastAsia="Arial" w:hAnsi="Arial"/>
          <w:sz w:val="16"/>
          <w:szCs w:val="16"/>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53" w:lineRule="exact"/>
        <w:rPr>
          <w:sz w:val="20"/>
          <w:szCs w:val="20"/>
          <w:color w:val="auto"/>
        </w:rPr>
      </w:pPr>
    </w:p>
    <w:p>
      <w:pPr>
        <w:ind w:right="440" w:firstLine="509"/>
        <w:spacing w:after="0" w:line="256" w:lineRule="auto"/>
        <w:rPr>
          <w:sz w:val="20"/>
          <w:szCs w:val="20"/>
          <w:color w:val="auto"/>
        </w:rPr>
      </w:pPr>
      <w:r>
        <w:rPr>
          <w:rFonts w:ascii="Arial" w:cs="Arial" w:eastAsia="Arial" w:hAnsi="Arial"/>
          <w:sz w:val="18"/>
          <w:szCs w:val="18"/>
          <w:color w:val="231F20"/>
        </w:rPr>
        <w:t>Other than the initiation of our first clinical trial in September 2022 for TN-301, we have not initiated or completed any clinical trials. We may experience numerous unforeseen events during, or as a result of, preclinical studies or clinical trials that could delay or prevent receipt of marketing approval or our ability to commercialize our product candidates, including:</w:t>
      </w:r>
    </w:p>
    <w:p>
      <w:pPr>
        <w:spacing w:after="0" w:line="377" w:lineRule="exact"/>
        <w:rPr>
          <w:sz w:val="20"/>
          <w:szCs w:val="20"/>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 xml:space="preserve">inability to generate sufficient preclinical, toxicology, or other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or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data to support the initiation of clinical trials;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delays in sufficiently developing, characterizing or controlling a manufacturing process suitable for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receipt of feedback from regulatory authorities that requires us to modify the design of our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preclinical study or clinical trial observations or results that require us to modify the design of our clinical trials;</w:t>
      </w:r>
    </w:p>
    <w:p>
      <w:pPr>
        <w:spacing w:after="0" w:line="117"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obtaining approval from one or more IRBs;</w:t>
      </w:r>
    </w:p>
    <w:p>
      <w:pPr>
        <w:spacing w:after="0" w:line="117" w:lineRule="exact"/>
        <w:rPr>
          <w:rFonts w:ascii="Arial" w:cs="Arial" w:eastAsia="Arial" w:hAnsi="Arial"/>
          <w:sz w:val="13"/>
          <w:szCs w:val="13"/>
          <w:color w:val="auto"/>
        </w:rPr>
      </w:pPr>
    </w:p>
    <w:p>
      <w:pPr>
        <w:ind w:left="900" w:right="14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76" w:lineRule="exact"/>
        <w:rPr>
          <w:rFonts w:ascii="Arial" w:cs="Arial" w:eastAsia="Arial" w:hAnsi="Arial"/>
          <w:sz w:val="13"/>
          <w:szCs w:val="13"/>
          <w:color w:val="auto"/>
        </w:rPr>
      </w:pPr>
    </w:p>
    <w:p>
      <w:pPr>
        <w:ind w:left="900" w:right="420" w:hanging="383"/>
        <w:spacing w:after="0" w:line="248"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 xml:space="preserve">the suspension or termination of our clinical trials, as a result of </w:t>
      </w:r>
      <w:r>
        <w:rPr>
          <w:rFonts w:ascii="Arial" w:cs="Arial" w:eastAsia="Arial" w:hAnsi="Arial"/>
          <w:sz w:val="18"/>
          <w:szCs w:val="18"/>
          <w:color w:val="000000"/>
        </w:rPr>
        <w:t>a clinical hold by regulatory authorities or otherwise,</w:t>
      </w:r>
      <w:r>
        <w:rPr>
          <w:rFonts w:ascii="Arial" w:cs="Arial" w:eastAsia="Arial" w:hAnsi="Arial"/>
          <w:sz w:val="18"/>
          <w:szCs w:val="18"/>
          <w:color w:val="231F20"/>
        </w:rPr>
        <w:t xml:space="preserve"> for various reasons, including non-compliance with regulatory requirements, a finding that our product candidates have undesirable side effects or other unfavorable or unexpected characteristics or risks;</w:t>
      </w:r>
    </w:p>
    <w:p>
      <w:pPr>
        <w:spacing w:after="0" w:line="87"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changes to clinical trial protocol;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clinical sites deviating from trial protocol or dropping out of a trial;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the costs of preclinical studies or clinical trials being greater than anticipated;</w:t>
      </w:r>
    </w:p>
    <w:p>
      <w:pPr>
        <w:spacing w:after="0" w:line="117" w:lineRule="exact"/>
        <w:rPr>
          <w:rFonts w:ascii="Arial" w:cs="Arial" w:eastAsia="Arial" w:hAnsi="Arial"/>
          <w:sz w:val="13"/>
          <w:szCs w:val="13"/>
          <w:color w:val="auto"/>
        </w:rPr>
      </w:pPr>
    </w:p>
    <w:p>
      <w:pPr>
        <w:ind w:left="900" w:right="80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subjects experiencing severe or unexpected drug-related adverse effects;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03" w:lineRule="exact"/>
        <w:rPr>
          <w:rFonts w:ascii="Arial" w:cs="Arial" w:eastAsia="Arial" w:hAnsi="Arial"/>
          <w:sz w:val="13"/>
          <w:szCs w:val="13"/>
          <w:color w:val="auto"/>
        </w:rPr>
      </w:pPr>
    </w:p>
    <w:p>
      <w:pPr>
        <w:ind w:left="900" w:right="260" w:hanging="383"/>
        <w:spacing w:after="0" w:line="303" w:lineRule="auto"/>
        <w:tabs>
          <w:tab w:leader="none" w:pos="900" w:val="left"/>
        </w:tabs>
        <w:numPr>
          <w:ilvl w:val="0"/>
          <w:numId w:val="25"/>
        </w:numPr>
        <w:rPr>
          <w:rFonts w:ascii="Arial" w:cs="Arial" w:eastAsia="Arial" w:hAnsi="Arial"/>
          <w:sz w:val="11"/>
          <w:szCs w:val="11"/>
          <w:color w:val="auto"/>
        </w:rPr>
      </w:pPr>
      <w:r>
        <w:rPr>
          <w:rFonts w:ascii="Arial" w:cs="Arial" w:eastAsia="Arial" w:hAnsi="Arial"/>
          <w:sz w:val="16"/>
          <w:szCs w:val="16"/>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32" w:lineRule="exact"/>
        <w:rPr>
          <w:rFonts w:ascii="Arial" w:cs="Arial" w:eastAsia="Arial" w:hAnsi="Arial"/>
          <w:sz w:val="11"/>
          <w:szCs w:val="11"/>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any changes to our manufacturing process that may be necessary or desired;</w:t>
      </w:r>
    </w:p>
    <w:p>
      <w:pPr>
        <w:spacing w:after="0" w:line="103" w:lineRule="exact"/>
        <w:rPr>
          <w:rFonts w:ascii="Arial" w:cs="Arial" w:eastAsia="Arial" w:hAnsi="Arial"/>
          <w:sz w:val="13"/>
          <w:szCs w:val="13"/>
          <w:color w:val="auto"/>
        </w:rPr>
      </w:pPr>
    </w:p>
    <w:p>
      <w:pPr>
        <w:ind w:left="900" w:right="120" w:hanging="383"/>
        <w:spacing w:after="0" w:line="291" w:lineRule="auto"/>
        <w:tabs>
          <w:tab w:leader="none" w:pos="900" w:val="left"/>
        </w:tabs>
        <w:numPr>
          <w:ilvl w:val="0"/>
          <w:numId w:val="25"/>
        </w:numPr>
        <w:rPr>
          <w:rFonts w:ascii="Arial" w:cs="Arial" w:eastAsia="Arial" w:hAnsi="Arial"/>
          <w:sz w:val="12"/>
          <w:szCs w:val="12"/>
          <w:color w:val="auto"/>
        </w:rPr>
      </w:pPr>
      <w:r>
        <w:rPr>
          <w:rFonts w:ascii="Arial" w:cs="Arial" w:eastAsia="Arial" w:hAnsi="Arial"/>
          <w:sz w:val="17"/>
          <w:szCs w:val="17"/>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52" w:lineRule="exact"/>
        <w:rPr>
          <w:rFonts w:ascii="Arial" w:cs="Arial" w:eastAsia="Arial" w:hAnsi="Arial"/>
          <w:sz w:val="12"/>
          <w:szCs w:val="12"/>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third-party contractors not performing data collection or analysis in a timely or accurate manner;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jc w:val="both"/>
        <w:ind w:left="900" w:right="160" w:hanging="383"/>
        <w:spacing w:after="0" w:line="256" w:lineRule="auto"/>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regulators revising the requirements for approving our product candidates;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an unsuccessful post-marketing study or failure to complete such a study;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7"/>
          <w:szCs w:val="17"/>
          <w:color w:val="231F20"/>
        </w:rPr>
        <w:t>absence in some countries of established groups with sufficient regulatory expertise for review of AAV gene therapy protocols; and</w:t>
      </w:r>
    </w:p>
    <w:p>
      <w:pPr>
        <w:spacing w:after="0" w:line="115" w:lineRule="exact"/>
        <w:rPr>
          <w:rFonts w:ascii="Arial" w:cs="Arial" w:eastAsia="Arial" w:hAnsi="Arial"/>
          <w:sz w:val="12"/>
          <w:szCs w:val="12"/>
          <w:color w:val="auto"/>
        </w:rPr>
      </w:pPr>
    </w:p>
    <w:p>
      <w:pPr>
        <w:ind w:left="900" w:right="280" w:hanging="383"/>
        <w:spacing w:after="0" w:line="277" w:lineRule="auto"/>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49"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Arial" w:cs="Arial" w:eastAsia="Arial" w:hAnsi="Arial"/>
          <w:sz w:val="16"/>
          <w:szCs w:val="16"/>
          <w:color w:val="000000"/>
        </w:rPr>
        <w:t>mitting an IND, initiating clinical trials or seek</w:t>
      </w:r>
      <w:r>
        <w:rPr>
          <w:rFonts w:ascii="Arial" w:cs="Arial" w:eastAsia="Arial" w:hAnsi="Arial"/>
          <w:sz w:val="16"/>
          <w:szCs w:val="16"/>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If we receive approval, it is possible that we may receive limited or restrictive marketing approval, be subject to additional post-marketing testing requirements or have the drug removed from the market after obtaining marketing approval.</w:t>
      </w:r>
    </w:p>
    <w:p>
      <w:pPr>
        <w:spacing w:after="0" w:line="5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8"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58"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68"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231F20"/>
        </w:rPr>
        <w:t>expected that some of the patients enrolled in our clinical trials will die or experience major clinical events either during the course of our clinical trials or after participating in such trials.</w:t>
      </w:r>
    </w:p>
    <w:p>
      <w:pPr>
        <w:spacing w:after="0" w:line="49"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231F20"/>
        </w:rPr>
        <w:t xml:space="preserve">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w:t>
      </w:r>
      <w:r>
        <w:rPr>
          <w:rFonts w:ascii="Arial" w:cs="Arial" w:eastAsia="Arial" w:hAnsi="Arial"/>
          <w:sz w:val="16"/>
          <w:szCs w:val="16"/>
          <w:color w:val="000000"/>
        </w:rPr>
        <w:t>result in marketing approval with restrictive</w:t>
      </w:r>
      <w:r>
        <w:rPr>
          <w:rFonts w:ascii="Arial" w:cs="Arial" w:eastAsia="Arial" w:hAnsi="Arial"/>
          <w:sz w:val="16"/>
          <w:szCs w:val="16"/>
          <w:color w:val="231F20"/>
        </w:rPr>
        <w:t xml:space="preserve"> </w:t>
      </w:r>
      <w:r>
        <w:rPr>
          <w:rFonts w:ascii="Arial" w:cs="Arial" w:eastAsia="Arial" w:hAnsi="Arial"/>
          <w:sz w:val="16"/>
          <w:szCs w:val="16"/>
          <w:color w:val="000000"/>
        </w:rPr>
        <w:t>label warnings or for limited patient populations, or result in potential product liability claims</w:t>
      </w:r>
      <w:r>
        <w:rPr>
          <w:rFonts w:ascii="Arial" w:cs="Arial" w:eastAsia="Arial" w:hAnsi="Arial"/>
          <w:sz w:val="16"/>
          <w:szCs w:val="16"/>
          <w:color w:val="231F20"/>
        </w:rPr>
        <w:t>. Any of these developments could materially harm our</w:t>
      </w:r>
      <w:r>
        <w:rPr>
          <w:rFonts w:ascii="Arial" w:cs="Arial" w:eastAsia="Arial" w:hAnsi="Arial"/>
          <w:sz w:val="16"/>
          <w:szCs w:val="16"/>
          <w:color w:val="000000"/>
        </w:rPr>
        <w:t xml:space="preserve"> </w:t>
      </w:r>
      <w:r>
        <w:rPr>
          <w:rFonts w:ascii="Arial" w:cs="Arial" w:eastAsia="Arial" w:hAnsi="Arial"/>
          <w:sz w:val="16"/>
          <w:szCs w:val="16"/>
          <w:color w:val="231F20"/>
        </w:rPr>
        <w:t xml:space="preserve">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t>
      </w:r>
      <w:r>
        <w:rPr>
          <w:rFonts w:ascii="Arial" w:cs="Arial" w:eastAsia="Arial" w:hAnsi="Arial"/>
          <w:sz w:val="16"/>
          <w:szCs w:val="16"/>
          <w:color w:val="000000"/>
        </w:rPr>
        <w:t>No regulatory agency has made any determination that any of our product candidates or discovery programs is</w:t>
      </w:r>
      <w:r>
        <w:rPr>
          <w:rFonts w:ascii="Arial" w:cs="Arial" w:eastAsia="Arial" w:hAnsi="Arial"/>
          <w:sz w:val="16"/>
          <w:szCs w:val="16"/>
          <w:color w:val="231F20"/>
        </w:rPr>
        <w:t xml:space="preserve"> </w:t>
      </w:r>
      <w:r>
        <w:rPr>
          <w:rFonts w:ascii="Arial" w:cs="Arial" w:eastAsia="Arial" w:hAnsi="Arial"/>
          <w:sz w:val="16"/>
          <w:szCs w:val="16"/>
          <w:color w:val="000000"/>
        </w:rPr>
        <w:t xml:space="preserve">safe or effective for use by the general public for any indication. </w:t>
      </w:r>
      <w:r>
        <w:rPr>
          <w:rFonts w:ascii="Arial" w:cs="Arial" w:eastAsia="Arial" w:hAnsi="Arial"/>
          <w:sz w:val="16"/>
          <w:szCs w:val="16"/>
          <w:color w:val="231F20"/>
        </w:rPr>
        <w:t>We cannot predict whether our product candidates will cause toxicities in humans that</w:t>
      </w:r>
      <w:r>
        <w:rPr>
          <w:rFonts w:ascii="Arial" w:cs="Arial" w:eastAsia="Arial" w:hAnsi="Arial"/>
          <w:sz w:val="16"/>
          <w:szCs w:val="16"/>
          <w:color w:val="000000"/>
        </w:rPr>
        <w:t xml:space="preserve"> </w:t>
      </w:r>
      <w:r>
        <w:rPr>
          <w:rFonts w:ascii="Arial" w:cs="Arial" w:eastAsia="Arial" w:hAnsi="Arial"/>
          <w:sz w:val="16"/>
          <w:szCs w:val="16"/>
          <w:color w:val="231F20"/>
        </w:rPr>
        <w:t>would preclude or lead to the revocation of regulatory approval based on preclinical studies or early-stage clinical trials.</w:t>
      </w:r>
    </w:p>
    <w:p>
      <w:pPr>
        <w:spacing w:after="0" w:line="16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2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8"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4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231F20"/>
        </w:rPr>
        <w:t>We do not know whether any clinical trials we may conduct will demonstrate consistent or adequate efficacy and safety sufficient to obtain approval to market any of our product candidates.</w:t>
      </w:r>
    </w:p>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76" w:lineRule="exact"/>
        <w:rPr>
          <w:sz w:val="20"/>
          <w:szCs w:val="20"/>
          <w:color w:val="auto"/>
        </w:rPr>
      </w:pPr>
    </w:p>
    <w:p>
      <w:pPr>
        <w:ind w:right="340" w:firstLine="509"/>
        <w:spacing w:after="0" w:line="249" w:lineRule="auto"/>
        <w:rPr>
          <w:sz w:val="20"/>
          <w:szCs w:val="20"/>
          <w:color w:val="auto"/>
        </w:rPr>
      </w:pPr>
      <w:r>
        <w:rPr>
          <w:rFonts w:ascii="Arial" w:cs="Arial" w:eastAsia="Arial" w:hAnsi="Arial"/>
          <w:sz w:val="18"/>
          <w:szCs w:val="18"/>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7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We may experience delays if our clinical trial sites limit their onsite staff or temporarily close as a result of the COVID-19 pandemic, including the effects of new variants.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COVID-19 pandemic. These factors resulting from the COVID-19 pandemic could delay the anticipated readouts from our clinical trials and our regulatory submissions.</w:t>
      </w:r>
    </w:p>
    <w:p>
      <w:pPr>
        <w:spacing w:after="0" w:line="78"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231F20"/>
        </w:rPr>
        <w:t>may also use their medical discretion in advising patients enrolled in our clinical trials to withdraw from our studies to try alternative therapies.</w:t>
      </w:r>
    </w:p>
    <w:p>
      <w:pPr>
        <w:spacing w:after="0" w:line="129"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69"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size and nature of the patient population;</w:t>
      </w:r>
    </w:p>
    <w:p>
      <w:pPr>
        <w:spacing w:after="0" w:line="103" w:lineRule="exact"/>
        <w:rPr>
          <w:rFonts w:ascii="Arial" w:cs="Arial" w:eastAsia="Arial" w:hAnsi="Arial"/>
          <w:sz w:val="13"/>
          <w:szCs w:val="13"/>
          <w:color w:val="231F20"/>
        </w:rPr>
      </w:pPr>
    </w:p>
    <w:p>
      <w:pPr>
        <w:ind w:left="900" w:right="240" w:hanging="383"/>
        <w:spacing w:after="0" w:line="303" w:lineRule="auto"/>
        <w:tabs>
          <w:tab w:leader="none" w:pos="900" w:val="left"/>
        </w:tabs>
        <w:numPr>
          <w:ilvl w:val="0"/>
          <w:numId w:val="27"/>
        </w:numPr>
        <w:rPr>
          <w:rFonts w:ascii="Arial" w:cs="Arial" w:eastAsia="Arial" w:hAnsi="Arial"/>
          <w:sz w:val="11"/>
          <w:szCs w:val="11"/>
          <w:color w:val="231F20"/>
        </w:rPr>
      </w:pPr>
      <w:r>
        <w:rPr>
          <w:rFonts w:ascii="Arial" w:cs="Arial" w:eastAsia="Arial" w:hAnsi="Arial"/>
          <w:sz w:val="16"/>
          <w:szCs w:val="16"/>
          <w:color w:val="231F20"/>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 diagnosis or challenges associated with diagnosing pediatric populations with the applicable target disease or condition;</w:t>
      </w:r>
    </w:p>
    <w:p>
      <w:pPr>
        <w:spacing w:after="0" w:line="32" w:lineRule="exact"/>
        <w:rPr>
          <w:rFonts w:ascii="Arial" w:cs="Arial" w:eastAsia="Arial" w:hAnsi="Arial"/>
          <w:sz w:val="11"/>
          <w:szCs w:val="11"/>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perceived risks and benefits of novel, unproven approaches;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severity of the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availability and efficacy of approved drugs for the disease under investigation;</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ongoing clinical trials evaluating other product candidates in the same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patient eligibility criteria for the trial in question as defined in the protocol;</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perceived risks and benefits of the product candidate under study;</w:t>
      </w:r>
    </w:p>
    <w:p>
      <w:pPr>
        <w:spacing w:after="0" w:line="117" w:lineRule="exact"/>
        <w:rPr>
          <w:rFonts w:ascii="Arial" w:cs="Arial" w:eastAsia="Arial" w:hAnsi="Arial"/>
          <w:sz w:val="13"/>
          <w:szCs w:val="13"/>
          <w:color w:val="231F20"/>
        </w:rPr>
      </w:pPr>
    </w:p>
    <w:p>
      <w:pPr>
        <w:jc w:val="both"/>
        <w:ind w:left="900" w:right="660" w:hanging="383"/>
        <w:spacing w:after="0" w:line="248" w:lineRule="auto"/>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7"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patient referral practices of physicians;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ability to monitor patients adequately during and after treatment;</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activities of key opinion leaders (KOLs) and patient advocacy groups;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proximity and availability of clinical trial sites for prospective patients; and</w:t>
      </w:r>
    </w:p>
    <w:p>
      <w:pPr>
        <w:spacing w:after="0" w:line="103" w:lineRule="exact"/>
        <w:rPr>
          <w:rFonts w:ascii="Arial" w:cs="Arial" w:eastAsia="Arial" w:hAnsi="Arial"/>
          <w:sz w:val="13"/>
          <w:szCs w:val="13"/>
          <w:color w:val="231F20"/>
        </w:rPr>
      </w:pPr>
    </w:p>
    <w:p>
      <w:pPr>
        <w:ind w:left="900" w:right="20" w:hanging="383"/>
        <w:spacing w:after="0" w:line="261" w:lineRule="auto"/>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7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69"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0" w:name="page41"/>
    <w:bookmarkEnd w:id="40"/>
    <w:p>
      <w:pPr>
        <w:ind w:right="40"/>
        <w:spacing w:after="0" w:line="308" w:lineRule="auto"/>
        <w:rPr>
          <w:sz w:val="20"/>
          <w:szCs w:val="20"/>
          <w:color w:val="auto"/>
        </w:rPr>
      </w:pPr>
      <w:r>
        <w:rPr>
          <w:rFonts w:ascii="Arial" w:cs="Arial" w:eastAsia="Arial" w:hAnsi="Arial"/>
          <w:sz w:val="17"/>
          <w:szCs w:val="17"/>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25"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6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78"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71"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7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spacing w:after="0" w:line="249" w:lineRule="auto"/>
        <w:rPr>
          <w:sz w:val="20"/>
          <w:szCs w:val="20"/>
          <w:color w:val="auto"/>
        </w:rPr>
      </w:pPr>
      <w:r>
        <w:rPr>
          <w:rFonts w:ascii="Arial" w:cs="Arial" w:eastAsia="Arial" w:hAnsi="Arial"/>
          <w:sz w:val="18"/>
          <w:szCs w:val="18"/>
          <w:color w:val="231F20"/>
        </w:rPr>
        <w:t>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our efforts to utilize our proprietary drug discovery platforms to develop a pipeline of product candidates.</w:t>
      </w:r>
    </w:p>
    <w:p>
      <w:pPr>
        <w:spacing w:after="0" w:line="115"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70"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78"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173"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b w:val="1"/>
          <w:bCs w:val="1"/>
          <w:i w:val="1"/>
          <w:iCs w:val="1"/>
          <w:color w:val="231F20"/>
        </w:rPr>
        <w:t>The manufacture of drugs is complex, and we or our third-party manufacturers and suppliers may encounter difficulties in production. If we or any of our third-party manufacturers or suppliers encounter such difficulties, our ability to provide adequate supply of our product candidates for preclinical studies or clinical trials or our products for patients, if approved, could be delayed or prevented.</w:t>
      </w:r>
    </w:p>
    <w:p>
      <w:pPr>
        <w:spacing w:after="0" w:line="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85" w:lineRule="exact"/>
        <w:rPr>
          <w:sz w:val="20"/>
          <w:szCs w:val="20"/>
          <w:color w:val="auto"/>
        </w:rPr>
      </w:pPr>
    </w:p>
    <w:p>
      <w:pPr>
        <w:ind w:right="440"/>
        <w:spacing w:after="0" w:line="356" w:lineRule="auto"/>
        <w:rPr>
          <w:sz w:val="20"/>
          <w:szCs w:val="20"/>
          <w:color w:val="auto"/>
        </w:rPr>
      </w:pPr>
      <w:r>
        <w:rPr>
          <w:rFonts w:ascii="Arial" w:cs="Arial" w:eastAsia="Arial" w:hAnsi="Arial"/>
          <w:sz w:val="15"/>
          <w:szCs w:val="15"/>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ind w:right="140"/>
        <w:spacing w:after="0" w:line="267" w:lineRule="auto"/>
        <w:rPr>
          <w:sz w:val="20"/>
          <w:szCs w:val="20"/>
          <w:color w:val="auto"/>
        </w:rPr>
      </w:pPr>
      <w:r>
        <w:rPr>
          <w:rFonts w:ascii="Arial" w:cs="Arial" w:eastAsia="Arial" w:hAnsi="Arial"/>
          <w:sz w:val="17"/>
          <w:szCs w:val="17"/>
          <w:color w:val="231F20"/>
        </w:rPr>
        <w:t>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60"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231F20"/>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49"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2"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231F20"/>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231F20"/>
        </w:rPr>
        <w:t>We have completed the build-out of a manufacturing facility to support the production of certain of our product candidates. We have no experience in manufacturing, and there can be no assurance that we will be able to successfully manufacture product candidates.</w:t>
      </w:r>
    </w:p>
    <w:p>
      <w:pPr>
        <w:spacing w:after="0" w:line="39" w:lineRule="exact"/>
        <w:rPr>
          <w:sz w:val="20"/>
          <w:szCs w:val="20"/>
          <w:color w:val="auto"/>
        </w:rPr>
      </w:pPr>
    </w:p>
    <w:p>
      <w:pPr>
        <w:ind w:right="160" w:firstLine="509"/>
        <w:spacing w:after="0" w:line="260" w:lineRule="auto"/>
        <w:rPr>
          <w:sz w:val="20"/>
          <w:szCs w:val="20"/>
          <w:color w:val="auto"/>
        </w:rPr>
      </w:pPr>
      <w:r>
        <w:rPr>
          <w:rFonts w:ascii="Arial" w:cs="Arial" w:eastAsia="Arial" w:hAnsi="Arial"/>
          <w:sz w:val="17"/>
          <w:szCs w:val="17"/>
          <w:color w:val="231F20"/>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In June 2022, we completed the build-out of a dedicated cGMP facility for drug product manufacturing in the San Francisco Bay Area. The facility will initially produce drug product at the 1000L scale to support FIH studies for TN-201, the most advanced product candidate from our MYBPC3 program. The facility will also support cGMP production for TN-401, our gene therapy program being developed for the treatment of genetic ARVC due to PKP2 gene mutations. To optimize our use of resources and utilize extensive third-party experience in small molecule manufacturing, we intend to work with CDMOs for our small molecule programs. We have and may continue to experience delays in supply chain activities due to disruptions caused by the COVID-19 pandemic.</w:t>
      </w:r>
    </w:p>
    <w:p>
      <w:pPr>
        <w:spacing w:after="0" w:line="6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231F20"/>
        </w:rPr>
        <w:t>Although some of our employees have experience in the manufacturing of biopharmaceutical products from prior employment at other companies, we as a company have no prior experience in manufacturing. We may face delays or increased costs in the production of clinical supply at our manufacturing facility, including as a result of COVID-19 or otherwise. We cannot guarantee when our facility will be able to produce sufficient quantities of product candidates needed to support our preclinical studies and ongoing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right="340" w:firstLine="509"/>
        <w:spacing w:after="0" w:line="256" w:lineRule="auto"/>
        <w:rPr>
          <w:sz w:val="20"/>
          <w:szCs w:val="20"/>
          <w:color w:val="auto"/>
        </w:rPr>
      </w:pPr>
      <w:r>
        <w:rPr>
          <w:rFonts w:ascii="Arial" w:cs="Arial" w:eastAsia="Arial" w:hAnsi="Arial"/>
          <w:sz w:val="18"/>
          <w:szCs w:val="18"/>
          <w:color w:val="231F20"/>
        </w:rPr>
        <w:t>Any failure or delay in the development of our manufacturing operations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10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76" w:lineRule="exact"/>
        <w:rPr>
          <w:sz w:val="20"/>
          <w:szCs w:val="20"/>
          <w:color w:val="auto"/>
        </w:rPr>
      </w:pPr>
    </w:p>
    <w:p>
      <w:pPr>
        <w:ind w:right="40" w:firstLine="509"/>
        <w:spacing w:after="0" w:line="256" w:lineRule="auto"/>
        <w:rPr>
          <w:sz w:val="20"/>
          <w:szCs w:val="20"/>
          <w:color w:val="auto"/>
        </w:rPr>
      </w:pPr>
      <w:r>
        <w:rPr>
          <w:rFonts w:ascii="Arial" w:cs="Arial" w:eastAsia="Arial" w:hAnsi="Arial"/>
          <w:sz w:val="17"/>
          <w:szCs w:val="17"/>
          <w:color w:val="231F20"/>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9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63"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231F20"/>
        </w:rPr>
        <w:t>To date, our product candidates have been manufactured in quantities adequate for preclinical studies and our first Phase 1 clinical trial for TN-301.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04"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Even if approved, we may not successfully commercialize our product candidates.</w:t>
      </w:r>
    </w:p>
    <w:p>
      <w:pPr>
        <w:spacing w:after="0" w:line="11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147" w:lineRule="exact"/>
        <w:rPr>
          <w:sz w:val="20"/>
          <w:szCs w:val="20"/>
          <w:color w:val="auto"/>
        </w:rPr>
      </w:pPr>
    </w:p>
    <w:p>
      <w:pPr>
        <w:ind w:left="900" w:right="420" w:hanging="383"/>
        <w:spacing w:after="0" w:line="248" w:lineRule="auto"/>
        <w:tabs>
          <w:tab w:leader="none" w:pos="900" w:val="left"/>
        </w:tabs>
        <w:numPr>
          <w:ilvl w:val="0"/>
          <w:numId w:val="28"/>
        </w:numPr>
        <w:rPr>
          <w:rFonts w:ascii="Arial" w:cs="Arial" w:eastAsia="Arial" w:hAnsi="Arial"/>
          <w:sz w:val="13"/>
          <w:szCs w:val="13"/>
          <w:color w:val="auto"/>
        </w:rPr>
      </w:pPr>
      <w:r>
        <w:rPr>
          <w:rFonts w:ascii="Arial" w:cs="Arial" w:eastAsia="Arial" w:hAnsi="Arial"/>
          <w:sz w:val="18"/>
          <w:szCs w:val="18"/>
          <w:color w:val="231F20"/>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7" w:lineRule="exact"/>
        <w:rPr>
          <w:rFonts w:ascii="Arial" w:cs="Arial" w:eastAsia="Arial" w:hAnsi="Arial"/>
          <w:sz w:val="13"/>
          <w:szCs w:val="13"/>
          <w:color w:val="auto"/>
        </w:rPr>
      </w:pPr>
    </w:p>
    <w:p>
      <w:pPr>
        <w:ind w:left="900" w:hanging="383"/>
        <w:spacing w:after="0"/>
        <w:tabs>
          <w:tab w:leader="none" w:pos="900" w:val="left"/>
        </w:tabs>
        <w:numPr>
          <w:ilvl w:val="0"/>
          <w:numId w:val="28"/>
        </w:numPr>
        <w:rPr>
          <w:rFonts w:ascii="Arial" w:cs="Arial" w:eastAsia="Arial" w:hAnsi="Arial"/>
          <w:sz w:val="11"/>
          <w:szCs w:val="11"/>
          <w:color w:val="auto"/>
        </w:rPr>
      </w:pPr>
      <w:r>
        <w:rPr>
          <w:rFonts w:ascii="Arial" w:cs="Arial" w:eastAsia="Arial" w:hAnsi="Arial"/>
          <w:sz w:val="16"/>
          <w:szCs w:val="16"/>
          <w:color w:val="231F20"/>
        </w:rPr>
        <w:t>it may be difficult to manufacture or market our product candidates on a scale that is necessary to ultimately deliver our products to end-users;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8"/>
          <w:szCs w:val="18"/>
          <w:color w:val="231F20"/>
        </w:rPr>
        <w:t>intellectual property and proprietary rights of third parties may preclude us from marketing our product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nature of our indications as rare diseases means that the potential market size may be limited; and</w:t>
      </w:r>
    </w:p>
    <w:p>
      <w:pPr>
        <w:spacing w:after="0" w:line="117" w:lineRule="exact"/>
        <w:rPr>
          <w:rFonts w:ascii="Arial" w:cs="Arial" w:eastAsia="Arial" w:hAnsi="Arial"/>
          <w:sz w:val="13"/>
          <w:szCs w:val="13"/>
          <w:color w:val="auto"/>
        </w:rPr>
      </w:pPr>
    </w:p>
    <w:p>
      <w:pPr>
        <w:ind w:left="900" w:right="600" w:hanging="383"/>
        <w:spacing w:after="0" w:line="261" w:lineRule="auto"/>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third parties may market superior or equivalent drugs which could adversely affect the commercial viability and success of our product candidates.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49" w:lineRule="exact"/>
        <w:rPr>
          <w:sz w:val="20"/>
          <w:szCs w:val="20"/>
          <w:color w:val="auto"/>
        </w:rPr>
      </w:pPr>
    </w:p>
    <w:p>
      <w:pPr>
        <w:jc w:val="both"/>
        <w:ind w:right="160" w:firstLine="509"/>
        <w:spacing w:after="0" w:line="249" w:lineRule="auto"/>
        <w:rPr>
          <w:sz w:val="20"/>
          <w:szCs w:val="20"/>
          <w:color w:val="auto"/>
        </w:rPr>
      </w:pPr>
      <w:r>
        <w:rPr>
          <w:rFonts w:ascii="Arial" w:cs="Arial" w:eastAsia="Arial" w:hAnsi="Arial"/>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3"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103" w:lineRule="exact"/>
        <w:rPr>
          <w:rFonts w:ascii="Arial" w:cs="Arial" w:eastAsia="Arial" w:hAnsi="Arial"/>
          <w:sz w:val="13"/>
          <w:szCs w:val="13"/>
          <w:color w:val="auto"/>
        </w:rPr>
      </w:pPr>
    </w:p>
    <w:p>
      <w:pPr>
        <w:ind w:left="900" w:right="220" w:hanging="383"/>
        <w:spacing w:after="0" w:line="277" w:lineRule="auto"/>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perceived safety and efficacy profile and ease of use for pediatric patient population if approved for a pediatric indication;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timing of market introduction of the product candidate as well as competitive products;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clinical indications for which a product candidate is approved;</w:t>
      </w:r>
    </w:p>
    <w:p>
      <w:pPr>
        <w:spacing w:after="0" w:line="103" w:lineRule="exact"/>
        <w:rPr>
          <w:rFonts w:ascii="Arial" w:cs="Arial" w:eastAsia="Arial" w:hAnsi="Arial"/>
          <w:sz w:val="13"/>
          <w:szCs w:val="13"/>
          <w:color w:val="auto"/>
        </w:rPr>
      </w:pPr>
    </w:p>
    <w:p>
      <w:pPr>
        <w:ind w:left="900" w:right="80" w:hanging="383"/>
        <w:spacing w:after="0" w:line="324" w:lineRule="auto"/>
        <w:tabs>
          <w:tab w:leader="none" w:pos="900" w:val="left"/>
        </w:tabs>
        <w:numPr>
          <w:ilvl w:val="0"/>
          <w:numId w:val="30"/>
        </w:numPr>
        <w:rPr>
          <w:rFonts w:ascii="Arial" w:cs="Arial" w:eastAsia="Arial" w:hAnsi="Arial"/>
          <w:sz w:val="11"/>
          <w:szCs w:val="11"/>
          <w:color w:val="auto"/>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29" w:lineRule="exact"/>
        <w:rPr>
          <w:rFonts w:ascii="Arial" w:cs="Arial" w:eastAsia="Arial" w:hAnsi="Arial"/>
          <w:sz w:val="11"/>
          <w:szCs w:val="11"/>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physicians, hospitals, treatment centers and patients considering our product candidates as a safe, pure and effective treatment;</w:t>
      </w:r>
    </w:p>
    <w:p>
      <w:pPr>
        <w:spacing w:after="0" w:line="10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potential and perceived advantages of our product candidates over alternative treatments;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cost of treatment in relation to alternative treatments;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relative convenience and ease of administration;</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2"/>
          <w:szCs w:val="12"/>
          <w:color w:val="auto"/>
        </w:rPr>
      </w:pPr>
      <w:r>
        <w:rPr>
          <w:rFonts w:ascii="Arial" w:cs="Arial" w:eastAsia="Arial" w:hAnsi="Arial"/>
          <w:sz w:val="17"/>
          <w:szCs w:val="17"/>
          <w:color w:val="231F20"/>
        </w:rPr>
        <w:t>the willingness of the target patient population or their caregivers to try new therapies and of physicians to prescribe these therapies;</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availability of coverage and adequate reimbursement by third-party payors, including government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patients’ willingness to pay for these therapies in the absence of such coverage and adequate reimbursement;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effectiveness of sales and marketing efforts;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support from KOLs and patient advocacy groups;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unfavorable publicity relating to our product candidates;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approval of other new therapies for the same indications.</w:t>
      </w:r>
    </w:p>
    <w:p>
      <w:pPr>
        <w:spacing w:after="0" w:line="117" w:lineRule="exact"/>
        <w:rPr>
          <w:sz w:val="20"/>
          <w:szCs w:val="20"/>
          <w:color w:val="auto"/>
        </w:rPr>
      </w:pPr>
    </w:p>
    <w:p>
      <w:pPr>
        <w:ind w:right="300" w:firstLine="509"/>
        <w:spacing w:after="0" w:line="324" w:lineRule="auto"/>
        <w:rPr>
          <w:sz w:val="20"/>
          <w:szCs w:val="20"/>
          <w:color w:val="auto"/>
        </w:rPr>
      </w:pPr>
      <w:r>
        <w:rPr>
          <w:rFonts w:ascii="Arial" w:cs="Arial" w:eastAsia="Arial" w:hAnsi="Arial"/>
          <w:sz w:val="16"/>
          <w:szCs w:val="16"/>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49"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73"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5" w:name="page46"/>
    <w:bookmarkEnd w:id="45"/>
    <w:p>
      <w:pPr>
        <w:ind w:right="120"/>
        <w:spacing w:after="0" w:line="249" w:lineRule="auto"/>
        <w:rPr>
          <w:sz w:val="20"/>
          <w:szCs w:val="20"/>
          <w:color w:val="auto"/>
        </w:rPr>
      </w:pPr>
      <w:r>
        <w:rPr>
          <w:rFonts w:ascii="Arial" w:cs="Arial" w:eastAsia="Arial" w:hAnsi="Arial"/>
          <w:sz w:val="18"/>
          <w:szCs w:val="18"/>
          <w:color w:val="231F20"/>
        </w:rPr>
        <w:t>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8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231F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0" w:lineRule="exact"/>
        <w:rPr>
          <w:sz w:val="20"/>
          <w:szCs w:val="20"/>
          <w:color w:val="auto"/>
        </w:rPr>
      </w:pPr>
    </w:p>
    <w:p>
      <w:pPr>
        <w:jc w:val="both"/>
        <w:ind w:right="20" w:firstLine="509"/>
        <w:spacing w:after="0" w:line="249" w:lineRule="auto"/>
        <w:rPr>
          <w:sz w:val="20"/>
          <w:szCs w:val="20"/>
          <w:color w:val="auto"/>
        </w:rPr>
      </w:pPr>
      <w:r>
        <w:rPr>
          <w:rFonts w:ascii="Arial" w:cs="Arial" w:eastAsia="Arial" w:hAnsi="Arial"/>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7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9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98"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right="220"/>
        <w:spacing w:after="0" w:line="249" w:lineRule="auto"/>
        <w:rPr>
          <w:sz w:val="20"/>
          <w:szCs w:val="20"/>
          <w:color w:val="auto"/>
        </w:rPr>
      </w:pPr>
      <w:r>
        <w:rPr>
          <w:rFonts w:ascii="Arial" w:cs="Arial" w:eastAsia="Arial" w:hAnsi="Arial"/>
          <w:sz w:val="18"/>
          <w:szCs w:val="18"/>
          <w:color w:val="231F20"/>
        </w:rPr>
        <w:t>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7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8"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87"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56"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Regardless of the merits or eventual outcome, liability claims may result in:</w:t>
      </w:r>
    </w:p>
    <w:p>
      <w:pPr>
        <w:spacing w:after="0" w:line="104"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3"/>
          <w:szCs w:val="13"/>
          <w:color w:val="auto"/>
        </w:rPr>
      </w:pPr>
      <w:r>
        <w:rPr>
          <w:rFonts w:ascii="Arial" w:cs="Arial" w:eastAsia="Arial" w:hAnsi="Arial"/>
          <w:sz w:val="18"/>
          <w:szCs w:val="18"/>
          <w:color w:val="231F20"/>
        </w:rPr>
        <w:t>delays in the development of our product candidates;</w:t>
      </w:r>
    </w:p>
    <w:p>
      <w:pPr>
        <w:spacing w:after="0" w:line="103" w:lineRule="exact"/>
        <w:rPr>
          <w:rFonts w:ascii="Arial" w:cs="Arial" w:eastAsia="Arial" w:hAnsi="Arial"/>
          <w:sz w:val="13"/>
          <w:szCs w:val="13"/>
          <w:color w:val="auto"/>
        </w:rPr>
      </w:pPr>
    </w:p>
    <w:p>
      <w:pPr>
        <w:ind w:left="900" w:right="580" w:hanging="383"/>
        <w:spacing w:after="0" w:line="277" w:lineRule="auto"/>
        <w:tabs>
          <w:tab w:leader="none" w:pos="900" w:val="left"/>
        </w:tabs>
        <w:numPr>
          <w:ilvl w:val="0"/>
          <w:numId w:val="31"/>
        </w:numPr>
        <w:rPr>
          <w:rFonts w:ascii="Arial" w:cs="Arial" w:eastAsia="Arial" w:hAnsi="Arial"/>
          <w:sz w:val="13"/>
          <w:szCs w:val="13"/>
          <w:color w:val="auto"/>
        </w:rPr>
      </w:pPr>
      <w:r>
        <w:rPr>
          <w:rFonts w:ascii="Arial" w:cs="Arial" w:eastAsia="Arial" w:hAnsi="Arial"/>
          <w:sz w:val="18"/>
          <w:szCs w:val="18"/>
          <w:color w:val="231F20"/>
        </w:rPr>
        <w:t>FDA, EMA or other regulatory authority investigation of the safety and effectiveness of our products, our manufacturing processes and facilities or our marketing programs;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decreased or interrupted demand for our products;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injury to our reputation;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withdrawal of clinical trial participants and inability to continue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initiation of investigations by regulators;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costs to defend the related litigation;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a diversion of management’s time and our resources;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substantial monetary awards to trial participants or patients;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product recalls, withdrawals or labeling, marketing, or promotional restrictions;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loss of revenue;</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exhaustion of any available insurance and our capital resources;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2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53" w:lineRule="exact"/>
        <w:rPr>
          <w:sz w:val="20"/>
          <w:szCs w:val="20"/>
          <w:color w:val="auto"/>
        </w:rPr>
      </w:pPr>
    </w:p>
    <w:p>
      <w:pPr>
        <w:ind w:right="20" w:firstLine="509"/>
        <w:spacing w:after="0" w:line="264" w:lineRule="auto"/>
        <w:rPr>
          <w:sz w:val="20"/>
          <w:szCs w:val="20"/>
          <w:color w:val="auto"/>
        </w:rPr>
      </w:pPr>
      <w:r>
        <w:rPr>
          <w:rFonts w:ascii="Arial" w:cs="Arial" w:eastAsia="Arial" w:hAnsi="Arial"/>
          <w:sz w:val="16"/>
          <w:szCs w:val="16"/>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w:t>
      </w:r>
    </w:p>
    <w:p>
      <w:pPr>
        <w:spacing w:after="0" w:line="5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231F20"/>
        </w:rPr>
        <w:t>In September 2022, the FDA cleared our IND application for TN-301 and we began dosing TN-301 in humans in a Phase 1 clinical trial. We have not submitted for, or obtained, regulatory approval for any other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81"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231F20"/>
        </w:rPr>
        <w:t>Other than the initiation of our first clinical trial in September 2022 for TN-301, 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189"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1"/>
          <w:szCs w:val="11"/>
          <w:color w:val="auto"/>
        </w:rPr>
      </w:pPr>
      <w:r>
        <w:rPr>
          <w:rFonts w:ascii="Arial" w:cs="Arial" w:eastAsia="Arial" w:hAnsi="Arial"/>
          <w:sz w:val="16"/>
          <w:szCs w:val="16"/>
          <w:color w:val="231F20"/>
        </w:rPr>
        <w:t>the FDA, EMA or other comparable foreign regulatory authorities may disagree with the design, implementation or results of our clinical trials;</w:t>
      </w:r>
    </w:p>
    <w:p>
      <w:pPr>
        <w:spacing w:after="0" w:line="126" w:lineRule="exact"/>
        <w:rPr>
          <w:rFonts w:ascii="Arial" w:cs="Arial" w:eastAsia="Arial" w:hAnsi="Arial"/>
          <w:sz w:val="11"/>
          <w:szCs w:val="11"/>
          <w:color w:val="auto"/>
        </w:rPr>
      </w:pPr>
    </w:p>
    <w:p>
      <w:pPr>
        <w:ind w:left="900" w:right="300" w:hanging="383"/>
        <w:spacing w:after="0" w:line="256" w:lineRule="auto"/>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6" w:lineRule="exact"/>
        <w:rPr>
          <w:rFonts w:ascii="Arial" w:cs="Arial" w:eastAsia="Arial" w:hAnsi="Arial"/>
          <w:sz w:val="13"/>
          <w:szCs w:val="13"/>
          <w:color w:val="auto"/>
        </w:rPr>
      </w:pPr>
    </w:p>
    <w:p>
      <w:pPr>
        <w:ind w:left="900" w:right="80" w:hanging="383"/>
        <w:spacing w:after="0" w:line="277" w:lineRule="auto"/>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48"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76"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its proposed indication is acceptable;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ind w:left="900" w:right="560" w:hanging="383"/>
        <w:spacing w:after="0" w:line="342" w:lineRule="auto"/>
        <w:tabs>
          <w:tab w:leader="none" w:pos="900" w:val="left"/>
        </w:tabs>
        <w:numPr>
          <w:ilvl w:val="0"/>
          <w:numId w:val="34"/>
        </w:numPr>
        <w:rPr>
          <w:rFonts w:ascii="Arial" w:cs="Arial" w:eastAsia="Arial" w:hAnsi="Arial"/>
          <w:sz w:val="11"/>
          <w:szCs w:val="11"/>
          <w:color w:val="auto"/>
        </w:rPr>
      </w:pPr>
      <w:r>
        <w:rPr>
          <w:rFonts w:ascii="Arial" w:cs="Arial" w:eastAsia="Arial" w:hAnsi="Arial"/>
          <w:sz w:val="16"/>
          <w:szCs w:val="16"/>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 w:lineRule="exact"/>
        <w:rPr>
          <w:rFonts w:ascii="Arial" w:cs="Arial" w:eastAsia="Arial" w:hAnsi="Arial"/>
          <w:sz w:val="11"/>
          <w:szCs w:val="11"/>
          <w:color w:val="auto"/>
        </w:rPr>
      </w:pPr>
    </w:p>
    <w:p>
      <w:pPr>
        <w:ind w:left="900" w:right="60" w:hanging="383"/>
        <w:spacing w:after="0" w:line="261" w:lineRule="auto"/>
        <w:tabs>
          <w:tab w:leader="none" w:pos="900" w:val="left"/>
        </w:tabs>
        <w:numPr>
          <w:ilvl w:val="0"/>
          <w:numId w:val="34"/>
        </w:numPr>
        <w:rPr>
          <w:rFonts w:ascii="Arial" w:cs="Arial" w:eastAsia="Arial" w:hAnsi="Arial"/>
          <w:sz w:val="13"/>
          <w:szCs w:val="13"/>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0"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166"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76"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231F20"/>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5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231F20"/>
        </w:rPr>
        <w:t>We cannot commercialize a product candidate until the appropriate regulatory authorities have reviewed and approved the product candidate. We have not received approval from regulatory authorities in any jurisdiction to market any of our product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80"/>
        <w:spacing w:after="0" w:line="278" w:lineRule="auto"/>
        <w:rPr>
          <w:sz w:val="20"/>
          <w:szCs w:val="20"/>
          <w:color w:val="auto"/>
        </w:rPr>
      </w:pPr>
      <w:r>
        <w:rPr>
          <w:rFonts w:ascii="Arial" w:cs="Arial" w:eastAsia="Arial" w:hAnsi="Arial"/>
          <w:sz w:val="17"/>
          <w:szCs w:val="17"/>
          <w:color w:val="231F20"/>
        </w:rPr>
        <w:t>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w:t>
      </w:r>
    </w:p>
    <w:p>
      <w:pPr>
        <w:spacing w:after="0" w:line="50"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We may also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74"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231F20"/>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Even if our product candidates receive regulatory approval, they will be subject to significant post- marketing regulatory requirements and oversight.</w:t>
      </w:r>
    </w:p>
    <w:p>
      <w:pPr>
        <w:spacing w:after="0" w:line="13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 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168"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delays in or the rejection of product approvals;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restrictions on the products, manufacturers or manufacturing process;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warning or untitled letters;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civil and criminal penalties;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injunctions;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suspension or withdrawal of regulatory approvals;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product seizures, detentions or import bans;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voluntary or mandatory product recalls and publicity requirements;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total or partial suspension of production;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imposition of restrictions on operations, including costly new manufacturing requirements.</w:t>
      </w:r>
    </w:p>
    <w:p>
      <w:pPr>
        <w:spacing w:after="0" w:line="11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231F20"/>
        </w:rPr>
        <w:t>including safety monitoring and with requirements related to the development of products for the pediatric population can also result in significant financial penalties.</w:t>
      </w:r>
    </w:p>
    <w:p>
      <w:pPr>
        <w:spacing w:after="0" w:line="157"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3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67" w:lineRule="exact"/>
        <w:rPr>
          <w:sz w:val="20"/>
          <w:szCs w:val="20"/>
          <w:color w:val="auto"/>
        </w:rPr>
      </w:pPr>
    </w:p>
    <w:p>
      <w:pPr>
        <w:ind w:right="160" w:firstLine="509"/>
        <w:spacing w:after="0" w:line="283"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4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231F20"/>
        </w:rPr>
        <w:t>The FDA and the European Commission have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FDA and healthcare regulations and future legislation.</w:t>
      </w:r>
    </w:p>
    <w:p>
      <w:pPr>
        <w:spacing w:after="0" w:line="104"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231F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ind w:right="40"/>
        <w:spacing w:after="0" w:line="249" w:lineRule="auto"/>
        <w:rPr>
          <w:sz w:val="20"/>
          <w:szCs w:val="20"/>
          <w:color w:val="auto"/>
        </w:rPr>
      </w:pPr>
      <w:r>
        <w:rPr>
          <w:rFonts w:ascii="Arial" w:cs="Arial" w:eastAsia="Arial" w:hAnsi="Arial"/>
          <w:sz w:val="18"/>
          <w:szCs w:val="18"/>
          <w:color w:val="231F20"/>
        </w:rPr>
        <w:t>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8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6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2031, with the exception of a temporary suspension from May 1, 2020 through March 31, 2022. Under current legislation, starting on April 1, 2022, the actual reduction in Medicare payments will vary from 1% in 2022 to up to 4% in the final fiscal year of the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78" w:lineRule="exact"/>
        <w:rPr>
          <w:sz w:val="20"/>
          <w:szCs w:val="20"/>
          <w:color w:val="auto"/>
        </w:rPr>
      </w:pPr>
    </w:p>
    <w:p>
      <w:pPr>
        <w:ind w:right="200" w:firstLine="509"/>
        <w:spacing w:after="0" w:line="283"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w:t>
      </w:r>
    </w:p>
    <w:p>
      <w:pPr>
        <w:spacing w:after="0" w:line="4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w:t>
      </w:r>
    </w:p>
    <w:p>
      <w:pPr>
        <w:spacing w:after="0" w:line="70"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right="260"/>
        <w:spacing w:after="0" w:line="277" w:lineRule="auto"/>
        <w:rPr>
          <w:sz w:val="20"/>
          <w:szCs w:val="20"/>
          <w:color w:val="auto"/>
        </w:rPr>
      </w:pPr>
      <w:r>
        <w:rPr>
          <w:rFonts w:ascii="Arial" w:cs="Arial" w:eastAsia="Arial" w:hAnsi="Arial"/>
          <w:sz w:val="18"/>
          <w:szCs w:val="18"/>
          <w:color w:val="231F20"/>
        </w:rPr>
        <w:t>of healthcare. These and any further changes in the law or regulatory framework that reduce our revenue or increase our costs could also have a material and adverse effect on our business, financial condition and results of operations.</w:t>
      </w:r>
    </w:p>
    <w:p>
      <w:pPr>
        <w:spacing w:after="0" w:line="49"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7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6"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3"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86"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231F20"/>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Court of Justice of the European Union (CJEU) invalidated the EU-U.S. Privacy Shield, which had enabled the transfer of personal data from the European Union to the United States for companies that had self-certified to the Privacy Shield. The CJEU decision also raised questions about the continued validity of one of the primary alternatives to the EU-U.S. Privacy Shield, namely the European Commission’s Standard Contractual Clauses (SCCs), and EU regulators have issued additional guidance regarding considerations and requirements that we and other companies must consider and undertake when using the SCCs. Although the European Commission has presented a new set of SCCs in June 2021, which are required to be implemented, there are few, if any, viable alternatives to the EU-U.S. Privacy Shield and the SCCs and it remains to be seen whether additional means for lawful data transfers will become available. On September 8, 2020, the Swiss Federal Data Protection and Information Commissioner invalidated the Swiss-U.S. Privacy Shield in light of the CJEU’s decision. To the extent that we were to rely on the EU-U.S. or Swiss-U.S. Privacy Shield programs, we will not be able to do so in the future, and the CJEU’s decision and other regulatory guidance or developments may impose additional obligations with respect to the transfer of personal data from the European Economic Area and Switzerland to the United States,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European Economic Area and Switzerland to the United States.</w:t>
      </w:r>
    </w:p>
    <w:p>
      <w:pPr>
        <w:spacing w:after="0" w:line="27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231F20"/>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right="140"/>
        <w:spacing w:after="0" w:line="258" w:lineRule="auto"/>
        <w:rPr>
          <w:sz w:val="20"/>
          <w:szCs w:val="20"/>
          <w:color w:val="auto"/>
        </w:rPr>
      </w:pPr>
      <w:r>
        <w:rPr>
          <w:rFonts w:ascii="Arial" w:cs="Arial" w:eastAsia="Arial" w:hAnsi="Arial"/>
          <w:sz w:val="17"/>
          <w:szCs w:val="17"/>
          <w:color w:val="231F20"/>
        </w:rPr>
        <w:t>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7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 xml:space="preserve">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t>
      </w:r>
      <w:r>
        <w:rPr>
          <w:rFonts w:ascii="Arial" w:cs="Arial" w:eastAsia="Arial" w:hAnsi="Arial"/>
          <w:sz w:val="16"/>
          <w:szCs w:val="16"/>
          <w:color w:val="000000"/>
        </w:rPr>
        <w:t>Additionally, other state legislatures have enacted or are currently contemplating, and may pass, their own comprehensive data privacy and security laws, with potentially greater penalties and more rigorous compliance requirements relevant to our business. For example, in March 2021, Virginia enacted the Virginia Consumer Data Protection Act (CDPA), which becomes effective on January 1, 2023, and in June 2021, Colorado enacted the Colorado Privacy Act, (CPA), which takes effect on July 1, 2023, in March 2022, Utah enacted a the Utah Consumer Privacy Act (UCPA), which will take effect on December 31, 2023, and in May 2022, Connecticut enacted an Act Concerning Personal Data Privacy and Online Monitoring (CTDPA), which will take effect on July 1, 2023. The CPA, CDPA, UCPA, and CTDPA share similarities with the CCPA, the CPRA, and legislation proposed in other states.</w:t>
      </w:r>
    </w:p>
    <w:p>
      <w:pPr>
        <w:spacing w:after="0" w:line="72"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231F20"/>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5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ind w:right="300"/>
        <w:spacing w:after="0" w:line="331" w:lineRule="auto"/>
        <w:rPr>
          <w:sz w:val="20"/>
          <w:szCs w:val="20"/>
          <w:color w:val="auto"/>
        </w:rPr>
      </w:pPr>
      <w:r>
        <w:rPr>
          <w:rFonts w:ascii="Arial" w:cs="Arial" w:eastAsia="Arial" w:hAnsi="Arial"/>
          <w:sz w:val="15"/>
          <w:szCs w:val="15"/>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74" w:lineRule="exact"/>
        <w:rPr>
          <w:sz w:val="20"/>
          <w:szCs w:val="20"/>
          <w:color w:val="auto"/>
        </w:rPr>
      </w:pPr>
    </w:p>
    <w:p>
      <w:pPr>
        <w:ind w:right="40" w:firstLine="509"/>
        <w:spacing w:after="0" w:line="256" w:lineRule="auto"/>
        <w:rPr>
          <w:sz w:val="20"/>
          <w:szCs w:val="20"/>
          <w:color w:val="auto"/>
        </w:rPr>
      </w:pPr>
      <w:r>
        <w:rPr>
          <w:rFonts w:ascii="Arial" w:cs="Arial" w:eastAsia="Arial" w:hAnsi="Arial"/>
          <w:sz w:val="17"/>
          <w:szCs w:val="17"/>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In February 2022, the FDA announced that it will resume routine domestic surveillance inspections. The FDA also announced 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93"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8" w:lineRule="exact"/>
        <w:rPr>
          <w:sz w:val="20"/>
          <w:szCs w:val="20"/>
          <w:color w:val="auto"/>
        </w:rPr>
      </w:pPr>
    </w:p>
    <w:p>
      <w:pPr>
        <w:ind w:right="340" w:firstLine="509"/>
        <w:spacing w:after="0" w:line="263" w:lineRule="auto"/>
        <w:rPr>
          <w:sz w:val="20"/>
          <w:szCs w:val="20"/>
          <w:color w:val="auto"/>
        </w:rPr>
      </w:pPr>
      <w:r>
        <w:rPr>
          <w:rFonts w:ascii="Arial" w:cs="Arial" w:eastAsia="Arial" w:hAnsi="Arial"/>
          <w:sz w:val="17"/>
          <w:szCs w:val="17"/>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6" w:lineRule="exact"/>
        <w:rPr>
          <w:sz w:val="20"/>
          <w:szCs w:val="20"/>
          <w:color w:val="auto"/>
        </w:rPr>
      </w:pPr>
    </w:p>
    <w:p>
      <w:pPr>
        <w:ind w:left="900" w:right="180" w:hanging="383"/>
        <w:spacing w:after="0" w:line="249" w:lineRule="auto"/>
        <w:tabs>
          <w:tab w:leader="none" w:pos="900" w:val="left"/>
        </w:tabs>
        <w:numPr>
          <w:ilvl w:val="0"/>
          <w:numId w:val="36"/>
        </w:numPr>
        <w:rPr>
          <w:rFonts w:ascii="Arial" w:cs="Arial" w:eastAsia="Arial" w:hAnsi="Arial"/>
          <w:sz w:val="13"/>
          <w:szCs w:val="13"/>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2" w:lineRule="exact"/>
        <w:rPr>
          <w:rFonts w:ascii="Arial" w:cs="Arial" w:eastAsia="Arial" w:hAnsi="Arial"/>
          <w:sz w:val="13"/>
          <w:szCs w:val="13"/>
          <w:color w:val="auto"/>
        </w:rPr>
      </w:pPr>
    </w:p>
    <w:p>
      <w:pPr>
        <w:ind w:left="900" w:right="20" w:hanging="383"/>
        <w:spacing w:after="0" w:line="249" w:lineRule="auto"/>
        <w:tabs>
          <w:tab w:leader="none" w:pos="900" w:val="left"/>
        </w:tabs>
        <w:numPr>
          <w:ilvl w:val="0"/>
          <w:numId w:val="36"/>
        </w:numPr>
        <w:rPr>
          <w:rFonts w:ascii="Arial" w:cs="Arial" w:eastAsia="Arial" w:hAnsi="Arial"/>
          <w:sz w:val="13"/>
          <w:szCs w:val="13"/>
          <w:color w:val="auto"/>
        </w:rPr>
      </w:pPr>
      <w:r>
        <w:rPr>
          <w:rFonts w:ascii="Arial" w:cs="Arial" w:eastAsia="Arial" w:hAnsi="Arial"/>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2" w:lineRule="exact"/>
        <w:rPr>
          <w:rFonts w:ascii="Arial" w:cs="Arial" w:eastAsia="Arial" w:hAnsi="Arial"/>
          <w:sz w:val="13"/>
          <w:szCs w:val="13"/>
          <w:color w:val="auto"/>
        </w:rPr>
      </w:pPr>
    </w:p>
    <w:p>
      <w:pPr>
        <w:ind w:left="900" w:right="280" w:hanging="383"/>
        <w:spacing w:after="0" w:line="291" w:lineRule="auto"/>
        <w:tabs>
          <w:tab w:leader="none" w:pos="900" w:val="left"/>
        </w:tabs>
        <w:numPr>
          <w:ilvl w:val="0"/>
          <w:numId w:val="36"/>
        </w:numPr>
        <w:rPr>
          <w:rFonts w:ascii="Arial" w:cs="Arial" w:eastAsia="Arial" w:hAnsi="Arial"/>
          <w:sz w:val="12"/>
          <w:szCs w:val="12"/>
          <w:color w:val="auto"/>
        </w:rPr>
      </w:pPr>
      <w:r>
        <w:rPr>
          <w:rFonts w:ascii="Arial" w:cs="Arial" w:eastAsia="Arial" w:hAnsi="Arial"/>
          <w:sz w:val="17"/>
          <w:szCs w:val="17"/>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52" w:lineRule="exact"/>
        <w:rPr>
          <w:rFonts w:ascii="Arial" w:cs="Arial" w:eastAsia="Arial" w:hAnsi="Arial"/>
          <w:sz w:val="12"/>
          <w:szCs w:val="12"/>
          <w:color w:val="auto"/>
        </w:rPr>
      </w:pPr>
    </w:p>
    <w:p>
      <w:pPr>
        <w:ind w:left="900" w:right="20" w:hanging="383"/>
        <w:spacing w:after="0" w:line="245" w:lineRule="auto"/>
        <w:tabs>
          <w:tab w:leader="none" w:pos="900" w:val="left"/>
        </w:tabs>
        <w:numPr>
          <w:ilvl w:val="0"/>
          <w:numId w:val="36"/>
        </w:numPr>
        <w:rPr>
          <w:rFonts w:ascii="Arial" w:cs="Arial" w:eastAsia="Arial" w:hAnsi="Arial"/>
          <w:sz w:val="13"/>
          <w:szCs w:val="13"/>
          <w:color w:val="auto"/>
        </w:rPr>
      </w:pPr>
      <w:r>
        <w:rPr>
          <w:rFonts w:ascii="Arial" w:cs="Arial" w:eastAsia="Arial" w:hAnsi="Arial"/>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ind w:left="900" w:right="480" w:hanging="383"/>
        <w:spacing w:after="0" w:line="290" w:lineRule="auto"/>
        <w:tabs>
          <w:tab w:leader="none" w:pos="900" w:val="left"/>
        </w:tabs>
        <w:numPr>
          <w:ilvl w:val="0"/>
          <w:numId w:val="37"/>
        </w:numPr>
        <w:rPr>
          <w:rFonts w:ascii="Arial" w:cs="Arial" w:eastAsia="Arial" w:hAnsi="Arial"/>
          <w:sz w:val="11"/>
          <w:szCs w:val="11"/>
          <w:color w:val="auto"/>
        </w:rPr>
      </w:pPr>
      <w:r>
        <w:rPr>
          <w:rFonts w:ascii="Arial" w:cs="Arial" w:eastAsia="Arial" w:hAnsi="Arial"/>
          <w:sz w:val="16"/>
          <w:szCs w:val="16"/>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55" w:lineRule="exact"/>
        <w:rPr>
          <w:rFonts w:ascii="Arial" w:cs="Arial" w:eastAsia="Arial" w:hAnsi="Arial"/>
          <w:sz w:val="11"/>
          <w:szCs w:val="11"/>
          <w:color w:val="auto"/>
        </w:rPr>
      </w:pPr>
    </w:p>
    <w:p>
      <w:pPr>
        <w:ind w:left="900" w:right="360" w:hanging="383"/>
        <w:spacing w:after="0" w:line="261" w:lineRule="auto"/>
        <w:tabs>
          <w:tab w:leader="none" w:pos="900" w:val="left"/>
        </w:tabs>
        <w:numPr>
          <w:ilvl w:val="0"/>
          <w:numId w:val="37"/>
        </w:numPr>
        <w:rPr>
          <w:rFonts w:ascii="Arial" w:cs="Arial" w:eastAsia="Arial" w:hAnsi="Arial"/>
          <w:sz w:val="13"/>
          <w:szCs w:val="13"/>
          <w:color w:val="auto"/>
        </w:rPr>
      </w:pPr>
      <w:r>
        <w:rPr>
          <w:rFonts w:ascii="Arial" w:cs="Arial" w:eastAsia="Arial" w:hAnsi="Arial"/>
          <w:sz w:val="18"/>
          <w:szCs w:val="18"/>
          <w:color w:val="231F20"/>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3"/>
          <w:szCs w:val="13"/>
          <w:color w:val="auto"/>
        </w:rPr>
      </w:pPr>
    </w:p>
    <w:p>
      <w:pPr>
        <w:ind w:left="900" w:right="60" w:hanging="383"/>
        <w:spacing w:after="0" w:line="246" w:lineRule="auto"/>
        <w:tabs>
          <w:tab w:leader="none" w:pos="900" w:val="left"/>
        </w:tabs>
        <w:numPr>
          <w:ilvl w:val="0"/>
          <w:numId w:val="37"/>
        </w:numPr>
        <w:rPr>
          <w:rFonts w:ascii="Arial" w:cs="Arial" w:eastAsia="Arial" w:hAnsi="Arial"/>
          <w:sz w:val="13"/>
          <w:szCs w:val="13"/>
          <w:color w:val="auto"/>
        </w:rPr>
      </w:pPr>
      <w:r>
        <w:rPr>
          <w:rFonts w:ascii="Arial" w:cs="Arial" w:eastAsia="Arial" w:hAnsi="Arial"/>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7" w:lineRule="exact"/>
        <w:rPr>
          <w:rFonts w:ascii="Arial" w:cs="Arial" w:eastAsia="Arial" w:hAnsi="Arial"/>
          <w:sz w:val="13"/>
          <w:szCs w:val="13"/>
          <w:color w:val="auto"/>
        </w:rPr>
      </w:pPr>
    </w:p>
    <w:p>
      <w:pPr>
        <w:ind w:left="900" w:right="20" w:hanging="383"/>
        <w:spacing w:after="0" w:line="259" w:lineRule="auto"/>
        <w:tabs>
          <w:tab w:leader="none" w:pos="900" w:val="left"/>
        </w:tabs>
        <w:numPr>
          <w:ilvl w:val="0"/>
          <w:numId w:val="37"/>
        </w:numPr>
        <w:rPr>
          <w:rFonts w:ascii="Arial" w:cs="Arial" w:eastAsia="Arial" w:hAnsi="Arial"/>
          <w:sz w:val="12"/>
          <w:szCs w:val="12"/>
          <w:color w:val="auto"/>
        </w:rPr>
      </w:pPr>
      <w:r>
        <w:rPr>
          <w:rFonts w:ascii="Arial" w:cs="Arial" w:eastAsia="Arial" w:hAnsi="Arial"/>
          <w:sz w:val="17"/>
          <w:szCs w:val="17"/>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1"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39"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right="300"/>
        <w:spacing w:after="0" w:line="277" w:lineRule="auto"/>
        <w:rPr>
          <w:sz w:val="20"/>
          <w:szCs w:val="20"/>
          <w:color w:val="auto"/>
        </w:rPr>
      </w:pPr>
      <w:r>
        <w:rPr>
          <w:rFonts w:ascii="Arial" w:cs="Arial" w:eastAsia="Arial" w:hAnsi="Arial"/>
          <w:sz w:val="18"/>
          <w:szCs w:val="18"/>
          <w:color w:val="231F20"/>
        </w:rPr>
        <w:t>as Medicare and Medicaid, integrity oversight and reporting obligations, contractual damages, reputational harm, diminished profits and future earnings and the curtailment or restructuring of our operations.</w:t>
      </w:r>
    </w:p>
    <w:p>
      <w:pPr>
        <w:spacing w:after="0" w:line="15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76"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6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86"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3"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56"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231F20"/>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65"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there is no certainty that all of our employees, agents, representatives, business partners and third-party intermediaries, or those of our affiliates, will comply with our policies or applicable laws and regulations, for which we may be ultimately held responsible.</w:t>
      </w:r>
    </w:p>
    <w:p>
      <w:pPr>
        <w:spacing w:after="0" w:line="9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right="60" w:firstLine="509"/>
        <w:spacing w:after="0" w:line="276"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Changes in tax law could increase the tax burden on our orphan drug programs and adversely affect our business and financial condition.</w:t>
      </w:r>
    </w:p>
    <w:p>
      <w:pPr>
        <w:spacing w:after="0" w:line="115"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In 2017, the U.S. government enacted the Tax Act, which as modified by the CARES Act, includes significant changes to the taxation of business entities. These changes include, among others, a reduction in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may increase our total federal tax liability attributable to such programs. Further, on January 1, 2022, a provision of the Tax Act went into effect that eliminates the option to deduct research or experimental expenditures in the year incurred and instead requires taxpayers to amortize such costs over five years or 15 years in case of any expenditures attributable to foreign research. We are currently evaluating the potential impact. Additionally, in August 2022, the U.S. government enacted the Inflation Reduction Act, which implements a 15% tax on book income, and the current administration has proposed a number of other tax law changes applicable to our business. These changes would further increase our total federal tax liability when and if we become profitable</w:t>
      </w:r>
      <w:r>
        <w:rPr>
          <w:rFonts w:ascii="Arial" w:cs="Arial" w:eastAsia="Arial" w:hAnsi="Arial"/>
          <w:sz w:val="17"/>
          <w:szCs w:val="17"/>
          <w:color w:val="231F20"/>
        </w:rPr>
        <w:t>.</w:t>
      </w:r>
    </w:p>
    <w:p>
      <w:pPr>
        <w:spacing w:after="0" w:line="10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231F20"/>
        </w:rPr>
        <w:t>It is uncertain if and to what extent various states will conform to the Tax Act and proposed tax legislation, and states may enact suspensions or limitations on the use of NOLs and tax credits.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is highly dependent on our ability to attract and retain highly skilled executive officers and employees.</w:t>
      </w:r>
    </w:p>
    <w:p>
      <w:pPr>
        <w:spacing w:after="0" w:line="10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effects of the COVID-19 pandemic may interfere with our ability to hire or retain qualified and key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8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ind w:right="320"/>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right="100" w:firstLine="509"/>
        <w:spacing w:after="0" w:line="303" w:lineRule="auto"/>
        <w:rPr>
          <w:sz w:val="20"/>
          <w:szCs w:val="20"/>
          <w:color w:val="auto"/>
        </w:rPr>
      </w:pPr>
      <w:r>
        <w:rPr>
          <w:rFonts w:ascii="Arial" w:cs="Arial" w:eastAsia="Arial" w:hAnsi="Arial"/>
          <w:sz w:val="16"/>
          <w:szCs w:val="16"/>
          <w:color w:val="231F20"/>
        </w:rPr>
        <w:t>As of September 30, 2022, we had more than 140 full-time employees. In order to successfully implement our development and commercialization plans and strategies, and as we continue to operate as a public company, we expect to need additional managerial, operational, sales, marketing, financial and other personnel. Future growth would impose significant added responsibilities on members of management, including:</w:t>
      </w:r>
    </w:p>
    <w:p>
      <w:pPr>
        <w:spacing w:after="0" w:line="32"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3"/>
          <w:szCs w:val="13"/>
          <w:color w:val="auto"/>
        </w:rPr>
      </w:pPr>
      <w:r>
        <w:rPr>
          <w:rFonts w:ascii="Arial" w:cs="Arial" w:eastAsia="Arial" w:hAnsi="Arial"/>
          <w:sz w:val="18"/>
          <w:szCs w:val="18"/>
          <w:color w:val="231F20"/>
        </w:rPr>
        <w:t>identifying, recruiting, integrating, maintaining and motivating additional employees;</w:t>
      </w:r>
    </w:p>
    <w:p>
      <w:pPr>
        <w:spacing w:after="0" w:line="103" w:lineRule="exact"/>
        <w:rPr>
          <w:rFonts w:ascii="Arial" w:cs="Arial" w:eastAsia="Arial" w:hAnsi="Arial"/>
          <w:sz w:val="13"/>
          <w:szCs w:val="13"/>
          <w:color w:val="auto"/>
        </w:rPr>
      </w:pPr>
    </w:p>
    <w:p>
      <w:pPr>
        <w:ind w:left="900" w:right="220" w:hanging="383"/>
        <w:spacing w:after="0" w:line="256" w:lineRule="auto"/>
        <w:tabs>
          <w:tab w:leader="none" w:pos="900" w:val="left"/>
        </w:tabs>
        <w:numPr>
          <w:ilvl w:val="0"/>
          <w:numId w:val="38"/>
        </w:numPr>
        <w:rPr>
          <w:rFonts w:ascii="Arial" w:cs="Arial" w:eastAsia="Arial" w:hAnsi="Arial"/>
          <w:sz w:val="13"/>
          <w:szCs w:val="13"/>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38"/>
        </w:numPr>
        <w:rPr>
          <w:rFonts w:ascii="Arial" w:cs="Arial" w:eastAsia="Arial" w:hAnsi="Arial"/>
          <w:sz w:val="13"/>
          <w:szCs w:val="13"/>
          <w:color w:val="auto"/>
        </w:rPr>
      </w:pPr>
      <w:r>
        <w:rPr>
          <w:rFonts w:ascii="Arial" w:cs="Arial" w:eastAsia="Arial" w:hAnsi="Arial"/>
          <w:sz w:val="18"/>
          <w:szCs w:val="18"/>
          <w:color w:val="231F20"/>
        </w:rPr>
        <w:t>improving our operational, financial and management controls, reporting systems and procedures.</w:t>
      </w:r>
    </w:p>
    <w:p>
      <w:pPr>
        <w:spacing w:after="0" w:line="104"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7"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68"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3"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86"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6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9" w:name="page60"/>
    <w:bookmarkEnd w:id="59"/>
    <w:p>
      <w:pPr>
        <w:ind w:right="80"/>
        <w:spacing w:after="0" w:line="258" w:lineRule="auto"/>
        <w:rPr>
          <w:sz w:val="20"/>
          <w:szCs w:val="20"/>
          <w:color w:val="auto"/>
        </w:rPr>
      </w:pPr>
      <w:r>
        <w:rPr>
          <w:rFonts w:ascii="Arial" w:cs="Arial" w:eastAsia="Arial" w:hAnsi="Arial"/>
          <w:sz w:val="17"/>
          <w:szCs w:val="17"/>
          <w:color w:val="231F20"/>
        </w:rPr>
        <w:t>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(DDoS)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spacing w:after="0" w:line="72"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231F20"/>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59"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231F20"/>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72"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231F20"/>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4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231F20"/>
        </w:rPr>
        <w:t>Our facilities are located in the San Francisco Bay Area. We have not undertaken a systematic analysis of the potential consequences to our business and financial results from a major flood, blizzard, wildfire, earthquake, power loss, terrorist activity,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right="180"/>
        <w:spacing w:after="0" w:line="267" w:lineRule="auto"/>
        <w:rPr>
          <w:sz w:val="20"/>
          <w:szCs w:val="20"/>
          <w:color w:val="auto"/>
        </w:rPr>
      </w:pPr>
      <w:r>
        <w:rPr>
          <w:rFonts w:ascii="Arial" w:cs="Arial" w:eastAsia="Arial" w:hAnsi="Arial"/>
          <w:sz w:val="17"/>
          <w:szCs w:val="17"/>
          <w:color w:val="231F20"/>
        </w:rPr>
        <w:t>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variety of risks associated with marketing our product candidates internationally could materially adversely affect our business.</w:t>
      </w:r>
    </w:p>
    <w:p>
      <w:pPr>
        <w:spacing w:after="0" w:line="104"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49"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differing regulatory requirements and reimbursement regimes in foreign countries;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compliance with tax, employment, immigration and labor laws for employees living or traveling abroad;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foreign taxes, including withholding of payroll taxes;</w:t>
      </w:r>
    </w:p>
    <w:p>
      <w:pPr>
        <w:spacing w:after="0" w:line="103" w:lineRule="exact"/>
        <w:rPr>
          <w:rFonts w:ascii="Arial" w:cs="Arial" w:eastAsia="Arial" w:hAnsi="Arial"/>
          <w:sz w:val="13"/>
          <w:szCs w:val="13"/>
          <w:color w:val="231F20"/>
        </w:rPr>
      </w:pPr>
    </w:p>
    <w:p>
      <w:pPr>
        <w:ind w:left="900" w:right="80" w:hanging="383"/>
        <w:spacing w:after="0" w:line="277" w:lineRule="auto"/>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difficulties staffing and managing foreign operations;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potential liability under the FCPA or comparable foreign regulations;</w:t>
      </w:r>
    </w:p>
    <w:p>
      <w:pPr>
        <w:spacing w:after="0" w:line="103" w:lineRule="exact"/>
        <w:rPr>
          <w:rFonts w:ascii="Arial" w:cs="Arial" w:eastAsia="Arial" w:hAnsi="Arial"/>
          <w:sz w:val="13"/>
          <w:szCs w:val="13"/>
          <w:color w:val="231F20"/>
        </w:rPr>
      </w:pPr>
    </w:p>
    <w:p>
      <w:pPr>
        <w:ind w:left="900" w:right="420" w:hanging="383"/>
        <w:spacing w:after="0" w:line="291" w:lineRule="auto"/>
        <w:tabs>
          <w:tab w:leader="none" w:pos="900" w:val="left"/>
        </w:tabs>
        <w:numPr>
          <w:ilvl w:val="0"/>
          <w:numId w:val="39"/>
        </w:numPr>
        <w:rPr>
          <w:rFonts w:ascii="Arial" w:cs="Arial" w:eastAsia="Arial" w:hAnsi="Arial"/>
          <w:sz w:val="12"/>
          <w:szCs w:val="12"/>
          <w:color w:val="231F20"/>
        </w:rPr>
      </w:pPr>
      <w:r>
        <w:rPr>
          <w:rFonts w:ascii="Arial" w:cs="Arial" w:eastAsia="Arial" w:hAnsi="Arial"/>
          <w:sz w:val="17"/>
          <w:szCs w:val="17"/>
          <w:color w:val="231F20"/>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52" w:lineRule="exact"/>
        <w:rPr>
          <w:rFonts w:ascii="Arial" w:cs="Arial" w:eastAsia="Arial" w:hAnsi="Arial"/>
          <w:sz w:val="12"/>
          <w:szCs w:val="12"/>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1"/>
          <w:szCs w:val="11"/>
          <w:color w:val="231F20"/>
        </w:rPr>
      </w:pPr>
      <w:r>
        <w:rPr>
          <w:rFonts w:ascii="Arial" w:cs="Arial" w:eastAsia="Arial" w:hAnsi="Arial"/>
          <w:sz w:val="16"/>
          <w:szCs w:val="16"/>
          <w:color w:val="231F20"/>
        </w:rPr>
        <w:t>business interruptions resulting from geo-political actions, including war and terrorism, including effects of the recent Russia-Ukraine conflict.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31F20"/>
        </w:rPr>
        <w:t>These and other risks associated with our international operations may materially adversely affect our ability to attain or maintain profitable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216"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5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6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1" w:name="page62"/>
    <w:bookmarkEnd w:id="61"/>
    <w:p>
      <w:pPr>
        <w:ind w:right="120"/>
        <w:spacing w:after="0" w:line="277" w:lineRule="auto"/>
        <w:rPr>
          <w:sz w:val="20"/>
          <w:szCs w:val="20"/>
          <w:color w:val="auto"/>
        </w:rPr>
      </w:pPr>
      <w:r>
        <w:rPr>
          <w:rFonts w:ascii="Arial" w:cs="Arial" w:eastAsia="Arial" w:hAnsi="Arial"/>
          <w:sz w:val="18"/>
          <w:szCs w:val="18"/>
          <w:color w:val="231F20"/>
        </w:rPr>
        <w:t>any such issued patents will afford sufficient protection against competitors with similar technology, nor can there be any assurance that the patents issued will not be infringed, designed around, or invalidated by third parties.</w:t>
      </w:r>
    </w:p>
    <w:p>
      <w:pPr>
        <w:spacing w:after="0" w:line="49"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231F20"/>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231F20"/>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60"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7" w:lineRule="exact"/>
        <w:rPr>
          <w:sz w:val="20"/>
          <w:szCs w:val="20"/>
          <w:color w:val="auto"/>
        </w:rPr>
      </w:pPr>
    </w:p>
    <w:p>
      <w:pPr>
        <w:jc w:val="both"/>
        <w:ind w:left="900" w:right="60" w:hanging="383"/>
        <w:spacing w:after="0" w:line="248"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7" w:lineRule="exact"/>
        <w:rPr>
          <w:rFonts w:ascii="Arial" w:cs="Arial" w:eastAsia="Arial" w:hAnsi="Arial"/>
          <w:sz w:val="13"/>
          <w:szCs w:val="13"/>
          <w:color w:val="231F20"/>
        </w:rPr>
      </w:pPr>
    </w:p>
    <w:p>
      <w:pPr>
        <w:ind w:left="900" w:hanging="383"/>
        <w:spacing w:after="0"/>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patent applications may not result in any patents being issued;</w:t>
      </w:r>
    </w:p>
    <w:p>
      <w:pPr>
        <w:spacing w:after="0" w:line="103" w:lineRule="exact"/>
        <w:rPr>
          <w:rFonts w:ascii="Arial" w:cs="Arial" w:eastAsia="Arial" w:hAnsi="Arial"/>
          <w:sz w:val="13"/>
          <w:szCs w:val="13"/>
          <w:color w:val="231F20"/>
        </w:rPr>
      </w:pPr>
    </w:p>
    <w:p>
      <w:pPr>
        <w:ind w:left="900" w:right="100" w:hanging="383"/>
        <w:spacing w:after="0" w:line="261"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patents may be challenged, invalidated, modified, revoked, circumvented, found to be unenforceable, narrowed in scope or otherwise may not provide any competitive advantage;</w:t>
      </w:r>
    </w:p>
    <w:p>
      <w:pPr>
        <w:spacing w:after="0" w:line="76" w:lineRule="exact"/>
        <w:rPr>
          <w:rFonts w:ascii="Arial" w:cs="Arial" w:eastAsia="Arial" w:hAnsi="Arial"/>
          <w:sz w:val="13"/>
          <w:szCs w:val="13"/>
          <w:color w:val="231F20"/>
        </w:rPr>
      </w:pPr>
    </w:p>
    <w:p>
      <w:pPr>
        <w:ind w:left="900" w:right="80" w:hanging="383"/>
        <w:spacing w:after="0" w:line="248"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7" w:lineRule="exact"/>
        <w:rPr>
          <w:rFonts w:ascii="Arial" w:cs="Arial" w:eastAsia="Arial" w:hAnsi="Arial"/>
          <w:sz w:val="13"/>
          <w:szCs w:val="13"/>
          <w:color w:val="231F20"/>
        </w:rPr>
      </w:pPr>
    </w:p>
    <w:p>
      <w:pPr>
        <w:ind w:left="900" w:right="280" w:hanging="383"/>
        <w:spacing w:after="0" w:line="248"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7" w:lineRule="exact"/>
        <w:rPr>
          <w:rFonts w:ascii="Arial" w:cs="Arial" w:eastAsia="Arial" w:hAnsi="Arial"/>
          <w:sz w:val="13"/>
          <w:szCs w:val="13"/>
          <w:color w:val="231F20"/>
        </w:rPr>
      </w:pPr>
    </w:p>
    <w:p>
      <w:pPr>
        <w:ind w:left="900" w:right="420" w:hanging="383"/>
        <w:spacing w:after="0" w:line="248"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7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2" w:name="page63"/>
    <w:bookmarkEnd w:id="62"/>
    <w:p>
      <w:pPr>
        <w:ind w:right="80" w:firstLine="509"/>
        <w:spacing w:after="0" w:line="267" w:lineRule="auto"/>
        <w:rPr>
          <w:sz w:val="20"/>
          <w:szCs w:val="20"/>
          <w:color w:val="auto"/>
        </w:rPr>
      </w:pPr>
      <w:r>
        <w:rPr>
          <w:rFonts w:ascii="Arial" w:cs="Arial" w:eastAsia="Arial" w:hAnsi="Arial"/>
          <w:sz w:val="17"/>
          <w:szCs w:val="17"/>
          <w:color w:val="231F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60"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72"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231F20"/>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particularly in areas such as gene therapies directed to ARVC, which is an active area of research and development by multiple third parties.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58"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right="140"/>
        <w:spacing w:after="0" w:line="249" w:lineRule="auto"/>
        <w:rPr>
          <w:sz w:val="20"/>
          <w:szCs w:val="20"/>
          <w:color w:val="auto"/>
        </w:rPr>
      </w:pPr>
      <w:r>
        <w:rPr>
          <w:rFonts w:ascii="Arial" w:cs="Arial" w:eastAsia="Arial" w:hAnsi="Arial"/>
          <w:sz w:val="18"/>
          <w:szCs w:val="18"/>
          <w:color w:val="231F20"/>
        </w:rPr>
        <w:t>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04" w:lineRule="exact"/>
        <w:rPr>
          <w:sz w:val="20"/>
          <w:szCs w:val="20"/>
          <w:color w:val="auto"/>
        </w:rPr>
      </w:pPr>
    </w:p>
    <w:p>
      <w:pPr>
        <w:ind w:right="640" w:firstLine="509"/>
        <w:spacing w:after="0" w:line="308" w:lineRule="auto"/>
        <w:rPr>
          <w:sz w:val="20"/>
          <w:szCs w:val="20"/>
          <w:color w:val="auto"/>
        </w:rPr>
      </w:pPr>
      <w:r>
        <w:rPr>
          <w:rFonts w:ascii="Arial" w:cs="Arial" w:eastAsia="Arial" w:hAnsi="Arial"/>
          <w:sz w:val="17"/>
          <w:szCs w:val="17"/>
          <w:color w:val="231F20"/>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25" w:lineRule="exact"/>
        <w:rPr>
          <w:sz w:val="20"/>
          <w:szCs w:val="20"/>
          <w:color w:val="auto"/>
        </w:rPr>
      </w:pPr>
    </w:p>
    <w:p>
      <w:pPr>
        <w:ind w:left="900" w:right="820" w:hanging="383"/>
        <w:spacing w:after="0" w:line="261" w:lineRule="auto"/>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others may be able to develop products that are similar to our product candidates but that are not covered by the claims of the patent applications that we own or license;</w:t>
      </w:r>
    </w:p>
    <w:p>
      <w:pPr>
        <w:spacing w:after="0" w:line="62" w:lineRule="exact"/>
        <w:rPr>
          <w:rFonts w:ascii="Arial" w:cs="Arial" w:eastAsia="Arial" w:hAnsi="Arial"/>
          <w:sz w:val="13"/>
          <w:szCs w:val="13"/>
          <w:color w:val="231F20"/>
        </w:rPr>
      </w:pPr>
    </w:p>
    <w:p>
      <w:pPr>
        <w:ind w:left="900" w:right="260" w:hanging="383"/>
        <w:spacing w:after="0" w:line="277" w:lineRule="auto"/>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we or our current or future licensors or collaborators might not have been the first to make the inventions covered by the patent applications that we own or license now or may own or license in the future;</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41"/>
        </w:numPr>
        <w:rPr>
          <w:rFonts w:ascii="Arial" w:cs="Arial" w:eastAsia="Arial" w:hAnsi="Arial"/>
          <w:sz w:val="11"/>
          <w:szCs w:val="11"/>
          <w:color w:val="231F20"/>
        </w:rPr>
      </w:pPr>
      <w:r>
        <w:rPr>
          <w:rFonts w:ascii="Arial" w:cs="Arial" w:eastAsia="Arial" w:hAnsi="Arial"/>
          <w:sz w:val="16"/>
          <w:szCs w:val="16"/>
          <w:color w:val="231F20"/>
        </w:rPr>
        <w:t>we or our current or future licensors or collaborators might not have been the first to file patent applications covering certain of our inventions;</w:t>
      </w:r>
    </w:p>
    <w:p>
      <w:pPr>
        <w:spacing w:after="0" w:line="126" w:lineRule="exact"/>
        <w:rPr>
          <w:rFonts w:ascii="Arial" w:cs="Arial" w:eastAsia="Arial" w:hAnsi="Arial"/>
          <w:sz w:val="11"/>
          <w:szCs w:val="11"/>
          <w:color w:val="231F20"/>
        </w:rPr>
      </w:pPr>
    </w:p>
    <w:p>
      <w:pPr>
        <w:ind w:left="900" w:right="240" w:hanging="383"/>
        <w:spacing w:after="0" w:line="277" w:lineRule="auto"/>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it is possible that the pending patent applications we own or license will not lead to issued patents;</w:t>
      </w:r>
    </w:p>
    <w:p>
      <w:pPr>
        <w:spacing w:after="0" w:line="103" w:lineRule="exact"/>
        <w:rPr>
          <w:rFonts w:ascii="Arial" w:cs="Arial" w:eastAsia="Arial" w:hAnsi="Arial"/>
          <w:sz w:val="13"/>
          <w:szCs w:val="13"/>
          <w:color w:val="231F20"/>
        </w:rPr>
      </w:pPr>
    </w:p>
    <w:p>
      <w:pPr>
        <w:ind w:left="900" w:right="140" w:hanging="383"/>
        <w:spacing w:after="0" w:line="277" w:lineRule="auto"/>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issued patents that we may hold rights to may be held invalid or unenforceable, including as a result of legal challenges by our competitors or other third parties;</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others may have access to the same intellectual property rights licensed to us in the future on a nonexclusive basis;</w:t>
      </w:r>
    </w:p>
    <w:p>
      <w:pPr>
        <w:spacing w:after="0" w:line="103" w:lineRule="exact"/>
        <w:rPr>
          <w:rFonts w:ascii="Arial" w:cs="Arial" w:eastAsia="Arial" w:hAnsi="Arial"/>
          <w:sz w:val="13"/>
          <w:szCs w:val="13"/>
          <w:color w:val="231F20"/>
        </w:rPr>
      </w:pPr>
    </w:p>
    <w:p>
      <w:pPr>
        <w:ind w:left="900" w:right="840" w:hanging="383"/>
        <w:spacing w:after="0" w:line="308" w:lineRule="auto"/>
        <w:tabs>
          <w:tab w:leader="none" w:pos="900" w:val="left"/>
        </w:tabs>
        <w:numPr>
          <w:ilvl w:val="0"/>
          <w:numId w:val="41"/>
        </w:numPr>
        <w:rPr>
          <w:rFonts w:ascii="Arial" w:cs="Arial" w:eastAsia="Arial" w:hAnsi="Arial"/>
          <w:sz w:val="12"/>
          <w:szCs w:val="12"/>
          <w:color w:val="231F20"/>
        </w:rPr>
      </w:pPr>
      <w:r>
        <w:rPr>
          <w:rFonts w:ascii="Arial" w:cs="Arial" w:eastAsia="Arial" w:hAnsi="Arial"/>
          <w:sz w:val="17"/>
          <w:szCs w:val="17"/>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4" w:lineRule="exact"/>
        <w:rPr>
          <w:rFonts w:ascii="Arial" w:cs="Arial" w:eastAsia="Arial" w:hAnsi="Arial"/>
          <w:sz w:val="12"/>
          <w:szCs w:val="12"/>
          <w:color w:val="231F20"/>
        </w:rPr>
      </w:pPr>
    </w:p>
    <w:p>
      <w:pPr>
        <w:ind w:left="900" w:hanging="383"/>
        <w:spacing w:after="0"/>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we may not develop additional proprietary technologies that are patentable;</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the patents of others may have an adverse effect on our business; and</w:t>
      </w:r>
    </w:p>
    <w:p>
      <w:pPr>
        <w:spacing w:after="0" w:line="117" w:lineRule="exact"/>
        <w:rPr>
          <w:rFonts w:ascii="Arial" w:cs="Arial" w:eastAsia="Arial" w:hAnsi="Arial"/>
          <w:sz w:val="13"/>
          <w:szCs w:val="13"/>
          <w:color w:val="231F20"/>
        </w:rPr>
      </w:pPr>
    </w:p>
    <w:p>
      <w:pPr>
        <w:ind w:left="900" w:right="360" w:hanging="383"/>
        <w:spacing w:after="0" w:line="261" w:lineRule="auto"/>
        <w:tabs>
          <w:tab w:leader="none" w:pos="900" w:val="left"/>
        </w:tabs>
        <w:numPr>
          <w:ilvl w:val="0"/>
          <w:numId w:val="41"/>
        </w:numPr>
        <w:rPr>
          <w:rFonts w:ascii="Arial" w:cs="Arial" w:eastAsia="Arial" w:hAnsi="Arial"/>
          <w:sz w:val="13"/>
          <w:szCs w:val="13"/>
          <w:color w:val="231F20"/>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Should any of these events occur, it could significantly harm our business, results of operations and prospects.</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i w:val="1"/>
          <w:iCs w:val="1"/>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7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73"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ind w:right="160"/>
        <w:spacing w:after="0" w:line="268" w:lineRule="auto"/>
        <w:rPr>
          <w:sz w:val="20"/>
          <w:szCs w:val="20"/>
          <w:color w:val="auto"/>
        </w:rPr>
      </w:pPr>
      <w:r>
        <w:rPr>
          <w:rFonts w:ascii="Arial" w:cs="Arial" w:eastAsia="Arial" w:hAnsi="Arial"/>
          <w:sz w:val="17"/>
          <w:szCs w:val="17"/>
          <w:color w:val="231F20"/>
        </w:rPr>
        <w:t>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7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87" w:lineRule="exact"/>
        <w:rPr>
          <w:sz w:val="20"/>
          <w:szCs w:val="20"/>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result in costly litigation that may cause negative publicity;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divert the time and attention of our technical personnel and management;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cause development delays;</w:t>
      </w:r>
    </w:p>
    <w:p>
      <w:pPr>
        <w:spacing w:after="0" w:line="103" w:lineRule="exact"/>
        <w:rPr>
          <w:rFonts w:ascii="Arial" w:cs="Arial" w:eastAsia="Arial" w:hAnsi="Arial"/>
          <w:sz w:val="13"/>
          <w:szCs w:val="13"/>
          <w:color w:val="auto"/>
        </w:rPr>
      </w:pPr>
    </w:p>
    <w:p>
      <w:pPr>
        <w:ind w:left="900" w:right="180" w:hanging="383"/>
        <w:spacing w:after="0" w:line="277"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require us to develop non-infringing technology, which may not be possible on a cost-effective basis;</w:t>
      </w:r>
    </w:p>
    <w:p>
      <w:pPr>
        <w:spacing w:after="0" w:line="103" w:lineRule="exact"/>
        <w:rPr>
          <w:rFonts w:ascii="Arial" w:cs="Arial" w:eastAsia="Arial" w:hAnsi="Arial"/>
          <w:sz w:val="13"/>
          <w:szCs w:val="13"/>
          <w:color w:val="auto"/>
        </w:rPr>
      </w:pPr>
    </w:p>
    <w:p>
      <w:pPr>
        <w:ind w:left="900" w:right="620" w:hanging="383"/>
        <w:spacing w:after="0" w:line="277"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subject us to significant liability and damages to third parties, including treble damages if we are found to willfully infringe third-party intellectual property; or</w:t>
      </w:r>
    </w:p>
    <w:p>
      <w:pPr>
        <w:spacing w:after="0" w:line="48"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76"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periodic report,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7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In addition, even if we or our future strategic partners were able to obtain a license, the rights may be nonexclusive, which could result in our competitors gaining access to the same intellectual property. Moreover,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5" w:name="page66"/>
    <w:bookmarkEnd w:id="65"/>
    <w:p>
      <w:pPr>
        <w:ind w:right="40" w:firstLine="509"/>
        <w:spacing w:after="0" w:line="267" w:lineRule="auto"/>
        <w:rPr>
          <w:sz w:val="20"/>
          <w:szCs w:val="20"/>
          <w:color w:val="auto"/>
        </w:rPr>
      </w:pPr>
      <w:r>
        <w:rPr>
          <w:rFonts w:ascii="Arial" w:cs="Arial" w:eastAsia="Arial" w:hAnsi="Arial"/>
          <w:sz w:val="17"/>
          <w:szCs w:val="17"/>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0" w:lineRule="exact"/>
        <w:rPr>
          <w:sz w:val="20"/>
          <w:szCs w:val="20"/>
          <w:color w:val="auto"/>
        </w:rPr>
      </w:pPr>
    </w:p>
    <w:p>
      <w:pPr>
        <w:ind w:right="180" w:firstLine="509"/>
        <w:spacing w:after="0" w:line="258" w:lineRule="auto"/>
        <w:rPr>
          <w:sz w:val="20"/>
          <w:szCs w:val="20"/>
          <w:color w:val="auto"/>
        </w:rPr>
      </w:pPr>
      <w:r>
        <w:rPr>
          <w:rFonts w:ascii="Arial" w:cs="Arial" w:eastAsia="Arial" w:hAnsi="Arial"/>
          <w:sz w:val="17"/>
          <w:szCs w:val="17"/>
          <w:color w:val="231F20"/>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72"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5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2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6" w:name="page67"/>
    <w:bookmarkEnd w:id="66"/>
    <w:p>
      <w:pPr>
        <w:ind w:right="120"/>
        <w:spacing w:after="0" w:line="366" w:lineRule="auto"/>
        <w:rPr>
          <w:sz w:val="20"/>
          <w:szCs w:val="20"/>
          <w:color w:val="auto"/>
        </w:rPr>
      </w:pPr>
      <w:r>
        <w:rPr>
          <w:rFonts w:ascii="Arial" w:cs="Arial" w:eastAsia="Arial" w:hAnsi="Arial"/>
          <w:sz w:val="15"/>
          <w:szCs w:val="15"/>
          <w:b w:val="1"/>
          <w:bCs w:val="1"/>
          <w:i w:val="1"/>
          <w:iCs w:val="1"/>
          <w:color w:val="231F20"/>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ind w:right="40" w:firstLine="509"/>
        <w:spacing w:after="0" w:line="257" w:lineRule="auto"/>
        <w:rPr>
          <w:sz w:val="20"/>
          <w:szCs w:val="20"/>
          <w:color w:val="auto"/>
        </w:rPr>
      </w:pPr>
      <w:r>
        <w:rPr>
          <w:rFonts w:ascii="Arial" w:cs="Arial" w:eastAsia="Arial" w:hAnsi="Arial"/>
          <w:sz w:val="17"/>
          <w:szCs w:val="17"/>
          <w:color w:val="231F20"/>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31F20"/>
        </w:rPr>
        <w:t>Third parties may also raise similar invalidity claims before the USPTO or patent offices abroad, even outside the context of litigation. Such</w:t>
      </w:r>
    </w:p>
    <w:p>
      <w:pPr>
        <w:spacing w:after="0" w:line="2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231F20"/>
        </w:rPr>
        <w:t>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59"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231F20"/>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1"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231F20"/>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16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67" w:name="page68"/>
    <w:bookmarkEnd w:id="67"/>
    <w:p>
      <w:pPr>
        <w:ind w:right="240"/>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49"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5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76"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231F20"/>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Patent reform legislation could increase the uncertainties and costs surrounding the prosecution of patent applications and the enforcement or</w:t>
      </w:r>
    </w:p>
    <w:p>
      <w:pPr>
        <w:spacing w:after="0" w:line="2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231F20"/>
        </w:rPr>
        <w:t xml:space="preserve">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55"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231F20"/>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7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6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8" w:name="page69"/>
    <w:bookmarkEnd w:id="68"/>
    <w:p>
      <w:pPr>
        <w:ind w:right="320"/>
        <w:spacing w:after="0" w:line="249" w:lineRule="auto"/>
        <w:rPr>
          <w:sz w:val="20"/>
          <w:szCs w:val="20"/>
          <w:color w:val="auto"/>
        </w:rPr>
      </w:pPr>
      <w:r>
        <w:rPr>
          <w:rFonts w:ascii="Arial" w:cs="Arial" w:eastAsia="Arial" w:hAnsi="Arial"/>
          <w:sz w:val="18"/>
          <w:szCs w:val="18"/>
          <w:color w:val="231F20"/>
        </w:rPr>
        <w:t>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74"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231F20"/>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6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231F20"/>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231F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231F20"/>
        </w:rPr>
        <w:t>future patents, the patents of our licensors, or other intellectual property rights may not be effective or sufficient to prevent them from competing.</w:t>
      </w:r>
    </w:p>
    <w:p>
      <w:pPr>
        <w:spacing w:after="0" w:line="12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231F20"/>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5"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8"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231F20"/>
        </w:rPr>
        <w:t>In Europe, expected by the end of 2023,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6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3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231F20"/>
        </w:rPr>
        <w:t>We intend to use registered or unregistered trademarks or trade names to brand and market ourselves and our products, but we do not yet own a U.S. registered trademark for our corporate name, “Tenaya”. Our future trademark applications in the United States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spacing w:after="0" w:line="278" w:lineRule="auto"/>
        <w:rPr>
          <w:sz w:val="20"/>
          <w:szCs w:val="20"/>
          <w:color w:val="auto"/>
        </w:rPr>
      </w:pPr>
      <w:r>
        <w:rPr>
          <w:rFonts w:ascii="Arial" w:cs="Arial" w:eastAsia="Arial" w:hAnsi="Arial"/>
          <w:sz w:val="16"/>
          <w:szCs w:val="16"/>
          <w:color w:val="231F20"/>
        </w:rPr>
        <w:t>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53"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76"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1" w:name="page72"/>
    <w:bookmarkEnd w:id="71"/>
    <w:p>
      <w:pPr>
        <w:ind w:right="160"/>
        <w:spacing w:after="0" w:line="288" w:lineRule="auto"/>
        <w:rPr>
          <w:sz w:val="20"/>
          <w:szCs w:val="20"/>
          <w:color w:val="auto"/>
        </w:rPr>
      </w:pPr>
      <w:r>
        <w:rPr>
          <w:rFonts w:ascii="Arial" w:cs="Arial" w:eastAsia="Arial" w:hAnsi="Arial"/>
          <w:sz w:val="16"/>
          <w:szCs w:val="16"/>
          <w:color w:val="231F20"/>
        </w:rPr>
        <w:t>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44"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our competitors or that we or our employees have wrongfully used or disclosed alleged confidential information or trade secrets of their former employers.</w:t>
      </w:r>
    </w:p>
    <w:p>
      <w:pPr>
        <w:spacing w:after="0" w:line="4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63"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231F20"/>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93" w:lineRule="exact"/>
        <w:rPr>
          <w:sz w:val="20"/>
          <w:szCs w:val="20"/>
          <w:color w:val="auto"/>
        </w:rPr>
      </w:pPr>
    </w:p>
    <w:p>
      <w:pPr>
        <w:ind w:right="220" w:firstLine="509"/>
        <w:spacing w:after="0" w:line="24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231F20"/>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6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ind w:right="20"/>
        <w:spacing w:after="0" w:line="246" w:lineRule="auto"/>
        <w:rPr>
          <w:sz w:val="20"/>
          <w:szCs w:val="20"/>
          <w:color w:val="auto"/>
        </w:rPr>
      </w:pPr>
      <w:r>
        <w:rPr>
          <w:rFonts w:ascii="Arial" w:cs="Arial" w:eastAsia="Arial" w:hAnsi="Arial"/>
          <w:sz w:val="18"/>
          <w:szCs w:val="18"/>
          <w:color w:val="231F20"/>
        </w:rPr>
        <w:t>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7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72" w:lineRule="exact"/>
        <w:rPr>
          <w:sz w:val="20"/>
          <w:szCs w:val="20"/>
          <w:color w:val="auto"/>
        </w:rPr>
      </w:pPr>
    </w:p>
    <w:p>
      <w:pPr>
        <w:ind w:right="140" w:firstLine="509"/>
        <w:spacing w:after="0" w:line="288" w:lineRule="auto"/>
        <w:rPr>
          <w:sz w:val="20"/>
          <w:szCs w:val="20"/>
          <w:color w:val="auto"/>
        </w:rPr>
      </w:pPr>
      <w:r>
        <w:rPr>
          <w:rFonts w:ascii="Arial" w:cs="Arial" w:eastAsia="Arial" w:hAnsi="Arial"/>
          <w:sz w:val="16"/>
          <w:szCs w:val="16"/>
          <w:color w:val="231F20"/>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52" w:lineRule="exact"/>
        <w:rPr>
          <w:sz w:val="20"/>
          <w:szCs w:val="20"/>
          <w:color w:val="auto"/>
        </w:rPr>
      </w:pPr>
    </w:p>
    <w:p>
      <w:pPr>
        <w:ind w:right="800"/>
        <w:spacing w:after="0" w:line="362"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Disputes may arise between us and our current or future licensors regarding intellectual property subject to a license agreement, including:</w:t>
      </w:r>
    </w:p>
    <w:p>
      <w:pPr>
        <w:spacing w:after="0" w:line="115"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the scope of rights granted under the license agreement and other interpretation-related issues;</w:t>
      </w:r>
    </w:p>
    <w:p>
      <w:pPr>
        <w:spacing w:after="0" w:line="103"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our right to sublicense patents and other rights to third parties;</w:t>
      </w:r>
    </w:p>
    <w:p>
      <w:pPr>
        <w:spacing w:after="0" w:line="103" w:lineRule="exact"/>
        <w:rPr>
          <w:rFonts w:ascii="Arial" w:cs="Arial" w:eastAsia="Arial" w:hAnsi="Arial"/>
          <w:sz w:val="13"/>
          <w:szCs w:val="13"/>
          <w:color w:val="auto"/>
        </w:rPr>
      </w:pPr>
    </w:p>
    <w:p>
      <w:pPr>
        <w:ind w:left="900" w:right="580" w:hanging="383"/>
        <w:spacing w:after="0" w:line="261"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whether third parties are entitled to compensation or equitable relief, such as an injunction, for our use of the intellectual property rights without their authorization;</w:t>
      </w:r>
    </w:p>
    <w:p>
      <w:pPr>
        <w:spacing w:after="0" w:line="76" w:lineRule="exact"/>
        <w:rPr>
          <w:rFonts w:ascii="Arial" w:cs="Arial" w:eastAsia="Arial" w:hAnsi="Arial"/>
          <w:sz w:val="13"/>
          <w:szCs w:val="13"/>
          <w:color w:val="auto"/>
        </w:rPr>
      </w:pPr>
    </w:p>
    <w:p>
      <w:pPr>
        <w:ind w:left="900" w:right="480" w:hanging="383"/>
        <w:spacing w:after="0" w:line="261"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our involvement or lack of involvement in the prosecution, defense, and enforcement of licensed patents and our licensors’ overall patent enforcement strategy;</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the amounts of royalties, milestones or other payments due under the license agreement;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our right to transfer or assign the license;</w:t>
      </w:r>
    </w:p>
    <w:p>
      <w:pPr>
        <w:spacing w:after="0" w:line="103" w:lineRule="exact"/>
        <w:rPr>
          <w:rFonts w:ascii="Arial" w:cs="Arial" w:eastAsia="Arial" w:hAnsi="Arial"/>
          <w:sz w:val="13"/>
          <w:szCs w:val="13"/>
          <w:color w:val="auto"/>
        </w:rPr>
      </w:pPr>
    </w:p>
    <w:p>
      <w:pPr>
        <w:ind w:left="900" w:right="280" w:hanging="383"/>
        <w:spacing w:after="0" w:line="277"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the priority of invention of patented technology.</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240" w:firstLine="509"/>
        <w:spacing w:after="0" w:line="267" w:lineRule="auto"/>
        <w:rPr>
          <w:sz w:val="20"/>
          <w:szCs w:val="20"/>
          <w:color w:val="auto"/>
        </w:rPr>
      </w:pPr>
      <w:r>
        <w:rPr>
          <w:rFonts w:ascii="Arial" w:cs="Arial" w:eastAsia="Arial" w:hAnsi="Arial"/>
          <w:sz w:val="17"/>
          <w:szCs w:val="17"/>
          <w:color w:val="231F20"/>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patent protection and patent prosecution for some of our product candidates may be dependent on third parties.</w:t>
      </w:r>
    </w:p>
    <w:p>
      <w:pPr>
        <w:spacing w:after="0" w:line="10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7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Dependence on Third Parties</w:t>
      </w:r>
    </w:p>
    <w:p>
      <w:pPr>
        <w:spacing w:after="0" w:line="21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231F20"/>
        </w:rPr>
        <w:t>We rely on third parties to conduct our preclinical studies and our ongoing clinical trial, and plan to rely on third parties to conduct future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69"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231F20"/>
        </w:rPr>
        <w:t>We utilize and depend upon independent investigators and collaborators, such as medical institutions, CROs and strategic partners to conduct and support our preclinical studies and our ongoing clinical trial and plan to continue to do so for our future clinical trials. These third parties have had and will continue to have a significant role in the conduct of our preclinical studies and clinical trials and the subsequent collection and analysis of data.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ind w:right="140" w:firstLine="509"/>
        <w:spacing w:after="0" w:line="278" w:lineRule="auto"/>
        <w:rPr>
          <w:sz w:val="20"/>
          <w:szCs w:val="20"/>
          <w:color w:val="auto"/>
        </w:rPr>
      </w:pPr>
      <w:r>
        <w:rPr>
          <w:rFonts w:ascii="Arial" w:cs="Arial" w:eastAsia="Arial" w:hAnsi="Arial"/>
          <w:sz w:val="16"/>
          <w:szCs w:val="16"/>
          <w:color w:val="231F20"/>
        </w:rPr>
        <w:t>These third parties are not our employees, and except for remedies available to us under our agreements with such third parties, we have limited ability to control the amount or timing of resources that any such third party will devote to our preclinical studies or our clinical trials. Furthermore, the competition for third parties has increased as a result of the COVID-19 pandemic.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5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55" w:lineRule="exact"/>
        <w:rPr>
          <w:sz w:val="20"/>
          <w:szCs w:val="20"/>
          <w:color w:val="auto"/>
        </w:rPr>
      </w:pPr>
    </w:p>
    <w:p>
      <w:pPr>
        <w:ind w:right="100" w:firstLine="509"/>
        <w:spacing w:after="0" w:line="278" w:lineRule="auto"/>
        <w:rPr>
          <w:sz w:val="20"/>
          <w:szCs w:val="20"/>
          <w:color w:val="auto"/>
        </w:rPr>
      </w:pPr>
      <w:r>
        <w:rPr>
          <w:rFonts w:ascii="Arial" w:cs="Arial" w:eastAsia="Arial" w:hAnsi="Arial"/>
          <w:sz w:val="17"/>
          <w:szCs w:val="17"/>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5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i w:val="1"/>
          <w:iCs w:val="1"/>
          <w:color w:val="231F20"/>
        </w:rPr>
        <w:t>We rely on third parties for the production of certain of our product candidates. This reliance on third parties increases the risk that we will not have sufficient quality and quantities of product candidates or such quantities will be available at an acceptable cost, which could delay, prevent or impair our development efforts.</w:t>
      </w:r>
    </w:p>
    <w:p>
      <w:pPr>
        <w:spacing w:after="0" w:line="67" w:lineRule="exact"/>
        <w:rPr>
          <w:sz w:val="20"/>
          <w:szCs w:val="20"/>
          <w:color w:val="auto"/>
        </w:rPr>
      </w:pPr>
    </w:p>
    <w:p>
      <w:pPr>
        <w:ind w:right="320" w:firstLine="509"/>
        <w:spacing w:after="0" w:line="268" w:lineRule="auto"/>
        <w:rPr>
          <w:sz w:val="20"/>
          <w:szCs w:val="20"/>
          <w:color w:val="auto"/>
        </w:rPr>
      </w:pPr>
      <w:r>
        <w:rPr>
          <w:rFonts w:ascii="Arial" w:cs="Arial" w:eastAsia="Arial" w:hAnsi="Arial"/>
          <w:sz w:val="17"/>
          <w:szCs w:val="17"/>
          <w:color w:val="231F20"/>
        </w:rPr>
        <w:t>We completed the build-out and operational launch of our cGMP manufacturing facility in June 2022 and have established end-to-end in-house AAV manufacturing capabilities to support our Gene Therapy and Cellular Regeneration platforms. Notwithstanding our strategy to fully-integrate and internalize AAV manufacturing capabilities, in order to optimize our use of resources and utilize extensive third-party experience in small molecule manufacturing, we intend to continue to rely on third-party manufacturers for our small molecule programs.</w:t>
      </w:r>
    </w:p>
    <w:p>
      <w:pPr>
        <w:spacing w:after="0" w:line="58"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231F20"/>
        </w:rPr>
        <w:t>Competition for third-party manufacturers and supplies has increased as a result of the COVID-19 pandemic and we have experienced delays in supply chain activities as a result. Changing third-party manufacturers could result in delays in our manufacturing supply chain which could delay or otherwise impact development of our programs and result in increased costs.</w:t>
      </w:r>
    </w:p>
    <w:p>
      <w:pPr>
        <w:spacing w:after="0" w:line="67"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231F20"/>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5" w:name="page76"/>
    <w:bookmarkEnd w:id="75"/>
    <w:p>
      <w:pPr>
        <w:ind w:right="140" w:firstLine="509"/>
        <w:spacing w:after="0" w:line="308" w:lineRule="auto"/>
        <w:rPr>
          <w:sz w:val="20"/>
          <w:szCs w:val="20"/>
          <w:color w:val="auto"/>
        </w:rPr>
      </w:pPr>
      <w:r>
        <w:rPr>
          <w:rFonts w:ascii="Arial" w:cs="Arial" w:eastAsia="Arial" w:hAnsi="Arial"/>
          <w:sz w:val="17"/>
          <w:szCs w:val="17"/>
          <w:color w:val="231F20"/>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5" w:lineRule="exact"/>
        <w:rPr>
          <w:sz w:val="20"/>
          <w:szCs w:val="20"/>
          <w:color w:val="auto"/>
        </w:rPr>
      </w:pPr>
    </w:p>
    <w:p>
      <w:pPr>
        <w:ind w:left="900" w:right="20" w:hanging="383"/>
        <w:spacing w:after="0" w:line="256"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44"/>
        </w:numPr>
        <w:rPr>
          <w:rFonts w:ascii="Arial" w:cs="Arial" w:eastAsia="Arial" w:hAnsi="Arial"/>
          <w:sz w:val="12"/>
          <w:szCs w:val="12"/>
          <w:color w:val="auto"/>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breach by the third-party contractors of our agreements with them;</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failure of third-party contractors to comply with applicable regulatory requirements, including cGMPs;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failure of the third party to manufacture our product candidates according to our specifications;</w:t>
      </w:r>
    </w:p>
    <w:p>
      <w:pPr>
        <w:spacing w:after="0" w:line="10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76" w:lineRule="exact"/>
        <w:rPr>
          <w:rFonts w:ascii="Arial" w:cs="Arial" w:eastAsia="Arial" w:hAnsi="Arial"/>
          <w:sz w:val="13"/>
          <w:szCs w:val="13"/>
          <w:color w:val="auto"/>
        </w:rPr>
      </w:pPr>
    </w:p>
    <w:p>
      <w:pPr>
        <w:ind w:left="900" w:right="200" w:hanging="383"/>
        <w:spacing w:after="0" w:line="261"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3"/>
          <w:szCs w:val="13"/>
          <w:color w:val="auto"/>
        </w:rPr>
      </w:pPr>
    </w:p>
    <w:p>
      <w:pPr>
        <w:ind w:left="900" w:right="340" w:hanging="383"/>
        <w:spacing w:after="0" w:line="277"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infringement, misappropriation or other violation of our intellectual property or proprietary information, including our trade secrets and know-how.</w:t>
      </w:r>
    </w:p>
    <w:p>
      <w:pPr>
        <w:spacing w:after="0" w:line="49"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231F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6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231F20"/>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8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especially in light of the supply chain issues caused by the effects of the COVID-19 pandemic,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95" w:lineRule="exact"/>
        <w:rPr>
          <w:sz w:val="20"/>
          <w:szCs w:val="20"/>
          <w:color w:val="auto"/>
        </w:rPr>
      </w:pPr>
    </w:p>
    <w:p>
      <w:pPr>
        <w:ind w:right="400" w:firstLine="509"/>
        <w:spacing w:after="0" w:line="291" w:lineRule="auto"/>
        <w:rPr>
          <w:sz w:val="20"/>
          <w:szCs w:val="20"/>
          <w:color w:val="auto"/>
        </w:rPr>
      </w:pPr>
      <w:r>
        <w:rPr>
          <w:rFonts w:ascii="Arial" w:cs="Arial" w:eastAsia="Arial" w:hAnsi="Arial"/>
          <w:sz w:val="17"/>
          <w:szCs w:val="17"/>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6" w:name="page77"/>
    <w:bookmarkEnd w:id="76"/>
    <w:p>
      <w:pPr>
        <w:ind w:right="200"/>
        <w:spacing w:after="0" w:line="277" w:lineRule="auto"/>
        <w:rPr>
          <w:sz w:val="20"/>
          <w:szCs w:val="20"/>
          <w:color w:val="auto"/>
        </w:rPr>
      </w:pPr>
      <w:r>
        <w:rPr>
          <w:rFonts w:ascii="Arial" w:cs="Arial" w:eastAsia="Arial" w:hAnsi="Arial"/>
          <w:sz w:val="18"/>
          <w:szCs w:val="18"/>
          <w:b w:val="1"/>
          <w:bCs w:val="1"/>
          <w:i w:val="1"/>
          <w:iCs w:val="1"/>
          <w:color w:val="231F20"/>
        </w:rPr>
        <w:t>Our reliance on third parties may require us to share our trade secrets, which increases the possibility that our competitors will discover them or that our trade secrets will be misappropriated or disclosed.</w:t>
      </w:r>
    </w:p>
    <w:p>
      <w:pPr>
        <w:spacing w:after="0" w:line="4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30" w:lineRule="exact"/>
        <w:rPr>
          <w:sz w:val="20"/>
          <w:szCs w:val="20"/>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increased operating expenses and cash requirements;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the assumption of additional indebtedness or contingent liabilities;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the issuance of our equity securities;</w:t>
      </w:r>
    </w:p>
    <w:p>
      <w:pPr>
        <w:spacing w:after="0" w:line="117" w:lineRule="exact"/>
        <w:rPr>
          <w:rFonts w:ascii="Arial" w:cs="Arial" w:eastAsia="Arial" w:hAnsi="Arial"/>
          <w:sz w:val="13"/>
          <w:szCs w:val="13"/>
          <w:color w:val="auto"/>
        </w:rPr>
      </w:pPr>
    </w:p>
    <w:p>
      <w:pPr>
        <w:ind w:left="900" w:right="260" w:hanging="383"/>
        <w:spacing w:after="0" w:line="261"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2"/>
          <w:szCs w:val="12"/>
          <w:color w:val="auto"/>
        </w:rPr>
      </w:pPr>
      <w:r>
        <w:rPr>
          <w:rFonts w:ascii="Arial" w:cs="Arial" w:eastAsia="Arial" w:hAnsi="Arial"/>
          <w:sz w:val="17"/>
          <w:szCs w:val="17"/>
          <w:color w:val="231F20"/>
        </w:rPr>
        <w:t>the diversion of our management’s attention from our existing programs and initiatives in pursuing such a strategic merger or acquisition;</w:t>
      </w:r>
    </w:p>
    <w:p>
      <w:pPr>
        <w:spacing w:after="0" w:line="128" w:lineRule="exact"/>
        <w:rPr>
          <w:rFonts w:ascii="Arial" w:cs="Arial" w:eastAsia="Arial" w:hAnsi="Arial"/>
          <w:sz w:val="12"/>
          <w:szCs w:val="12"/>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03"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w:t>
      </w:r>
    </w:p>
    <w:p>
      <w:pPr>
        <w:spacing w:after="0" w:line="62" w:lineRule="exact"/>
        <w:rPr>
          <w:rFonts w:ascii="Arial" w:cs="Arial" w:eastAsia="Arial" w:hAnsi="Arial"/>
          <w:sz w:val="13"/>
          <w:szCs w:val="13"/>
          <w:color w:val="auto"/>
        </w:rPr>
      </w:pPr>
    </w:p>
    <w:p>
      <w:pPr>
        <w:ind w:left="900" w:right="160" w:hanging="383"/>
        <w:spacing w:after="0" w:line="277"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our inability to realize anticipated efficiencies and strategic benefits from such acquisitions or strategic partnerships.</w:t>
      </w:r>
    </w:p>
    <w:p>
      <w:pPr>
        <w:spacing w:after="0" w:line="10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76" w:lineRule="exact"/>
        <w:rPr>
          <w:sz w:val="20"/>
          <w:szCs w:val="20"/>
          <w:color w:val="auto"/>
        </w:rPr>
      </w:pPr>
    </w:p>
    <w:p>
      <w:pPr>
        <w:ind w:right="360" w:firstLine="509"/>
        <w:spacing w:after="0" w:line="263"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63"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7" w:name="page78"/>
    <w:bookmarkEnd w:id="77"/>
    <w:p>
      <w:pPr>
        <w:ind w:right="240"/>
        <w:spacing w:after="0" w:line="290" w:lineRule="auto"/>
        <w:rPr>
          <w:sz w:val="20"/>
          <w:szCs w:val="20"/>
          <w:color w:val="auto"/>
        </w:rPr>
      </w:pPr>
      <w:r>
        <w:rPr>
          <w:rFonts w:ascii="Arial" w:cs="Arial" w:eastAsia="Arial" w:hAnsi="Arial"/>
          <w:sz w:val="16"/>
          <w:szCs w:val="16"/>
          <w:color w:val="231F20"/>
        </w:rPr>
        <w:t>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6"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8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49"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3" w:lineRule="exact"/>
        <w:rPr>
          <w:sz w:val="20"/>
          <w:szCs w:val="20"/>
          <w:color w:val="auto"/>
        </w:rPr>
      </w:pPr>
    </w:p>
    <w:p>
      <w:pPr>
        <w:ind w:left="900" w:right="80" w:hanging="383"/>
        <w:spacing w:after="0" w:line="277"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collaborators have significant discretion in determining the efforts and resources that they will apply to, and the manner in which they perform their obligations under, these collaborations and may not</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perform their obligations as expected;</w:t>
      </w:r>
    </w:p>
    <w:p>
      <w:pPr>
        <w:spacing w:after="0" w:line="103" w:lineRule="exact"/>
        <w:rPr>
          <w:rFonts w:ascii="Arial" w:cs="Arial" w:eastAsia="Arial" w:hAnsi="Arial"/>
          <w:sz w:val="13"/>
          <w:szCs w:val="13"/>
          <w:color w:val="231F20"/>
        </w:rPr>
      </w:pPr>
    </w:p>
    <w:p>
      <w:pPr>
        <w:ind w:left="900" w:right="100" w:hanging="383"/>
        <w:spacing w:after="0" w:line="249"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2" w:lineRule="exact"/>
        <w:rPr>
          <w:rFonts w:ascii="Arial" w:cs="Arial" w:eastAsia="Arial" w:hAnsi="Arial"/>
          <w:sz w:val="13"/>
          <w:szCs w:val="13"/>
          <w:color w:val="231F20"/>
        </w:rPr>
      </w:pPr>
    </w:p>
    <w:p>
      <w:pPr>
        <w:ind w:left="900" w:right="600" w:hanging="383"/>
        <w:spacing w:after="0" w:line="308" w:lineRule="auto"/>
        <w:tabs>
          <w:tab w:leader="none" w:pos="900" w:val="left"/>
        </w:tabs>
        <w:numPr>
          <w:ilvl w:val="0"/>
          <w:numId w:val="46"/>
        </w:numPr>
        <w:rPr>
          <w:rFonts w:ascii="Arial" w:cs="Arial" w:eastAsia="Arial" w:hAnsi="Arial"/>
          <w:sz w:val="12"/>
          <w:szCs w:val="12"/>
          <w:color w:val="231F20"/>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4" w:lineRule="exact"/>
        <w:rPr>
          <w:rFonts w:ascii="Arial" w:cs="Arial" w:eastAsia="Arial" w:hAnsi="Arial"/>
          <w:sz w:val="12"/>
          <w:szCs w:val="12"/>
          <w:color w:val="231F20"/>
        </w:rPr>
      </w:pPr>
    </w:p>
    <w:p>
      <w:pPr>
        <w:ind w:left="900" w:right="160" w:hanging="383"/>
        <w:spacing w:after="0" w:line="256"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3"/>
          <w:szCs w:val="13"/>
          <w:color w:val="231F20"/>
        </w:rPr>
      </w:pPr>
    </w:p>
    <w:p>
      <w:pPr>
        <w:ind w:left="900" w:right="20" w:hanging="383"/>
        <w:spacing w:after="0" w:line="261"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we may grant exclusive rights to our collaborators that would prevent us from collaborating with others;</w:t>
      </w:r>
    </w:p>
    <w:p>
      <w:pPr>
        <w:spacing w:after="0" w:line="103" w:lineRule="exact"/>
        <w:rPr>
          <w:rFonts w:ascii="Arial" w:cs="Arial" w:eastAsia="Arial" w:hAnsi="Arial"/>
          <w:sz w:val="13"/>
          <w:szCs w:val="13"/>
          <w:color w:val="231F20"/>
        </w:rPr>
      </w:pPr>
    </w:p>
    <w:p>
      <w:pPr>
        <w:ind w:left="900" w:right="20" w:hanging="383"/>
        <w:spacing w:after="0" w:line="249"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2" w:lineRule="exact"/>
        <w:rPr>
          <w:rFonts w:ascii="Arial" w:cs="Arial" w:eastAsia="Arial" w:hAnsi="Arial"/>
          <w:sz w:val="13"/>
          <w:szCs w:val="13"/>
          <w:color w:val="231F20"/>
        </w:rPr>
      </w:pPr>
    </w:p>
    <w:p>
      <w:pPr>
        <w:ind w:left="900" w:hanging="383"/>
        <w:spacing w:after="0" w:line="342" w:lineRule="auto"/>
        <w:tabs>
          <w:tab w:leader="none" w:pos="900" w:val="left"/>
        </w:tabs>
        <w:numPr>
          <w:ilvl w:val="0"/>
          <w:numId w:val="46"/>
        </w:numPr>
        <w:rPr>
          <w:rFonts w:ascii="Arial" w:cs="Arial" w:eastAsia="Arial" w:hAnsi="Arial"/>
          <w:sz w:val="11"/>
          <w:szCs w:val="11"/>
          <w:color w:val="231F20"/>
        </w:rPr>
      </w:pPr>
      <w:r>
        <w:rPr>
          <w:rFonts w:ascii="Arial" w:cs="Arial" w:eastAsia="Arial" w:hAnsi="Arial"/>
          <w:sz w:val="16"/>
          <w:szCs w:val="16"/>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2" w:lineRule="exact"/>
        <w:rPr>
          <w:rFonts w:ascii="Arial" w:cs="Arial" w:eastAsia="Arial" w:hAnsi="Arial"/>
          <w:sz w:val="11"/>
          <w:szCs w:val="11"/>
          <w:color w:val="231F20"/>
        </w:rPr>
      </w:pPr>
    </w:p>
    <w:p>
      <w:pPr>
        <w:ind w:left="900" w:right="1140" w:hanging="383"/>
        <w:spacing w:after="0" w:line="261"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3"/>
          <w:szCs w:val="13"/>
          <w:color w:val="231F20"/>
        </w:rPr>
      </w:pPr>
    </w:p>
    <w:p>
      <w:pPr>
        <w:ind w:left="900" w:hanging="383"/>
        <w:spacing w:after="0"/>
        <w:tabs>
          <w:tab w:leader="none" w:pos="900" w:val="left"/>
        </w:tabs>
        <w:numPr>
          <w:ilvl w:val="0"/>
          <w:numId w:val="46"/>
        </w:numPr>
        <w:rPr>
          <w:rFonts w:ascii="Arial" w:cs="Arial" w:eastAsia="Arial" w:hAnsi="Arial"/>
          <w:sz w:val="12"/>
          <w:szCs w:val="12"/>
          <w:color w:val="231F20"/>
        </w:rPr>
      </w:pPr>
      <w:r>
        <w:rPr>
          <w:rFonts w:ascii="Arial" w:cs="Arial" w:eastAsia="Arial" w:hAnsi="Arial"/>
          <w:sz w:val="17"/>
          <w:szCs w:val="17"/>
          <w:color w:val="231F20"/>
        </w:rPr>
        <w:t>collaboration agreements may not lead to development or commercialization of product candidates in the most efficient manner or at all;</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jc w:val="both"/>
        <w:ind w:left="900" w:right="180" w:hanging="383"/>
        <w:spacing w:after="0" w:line="256"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6" w:lineRule="exact"/>
        <w:rPr>
          <w:rFonts w:ascii="Arial" w:cs="Arial" w:eastAsia="Arial" w:hAnsi="Arial"/>
          <w:sz w:val="13"/>
          <w:szCs w:val="13"/>
          <w:color w:val="231F20"/>
        </w:rPr>
      </w:pPr>
    </w:p>
    <w:p>
      <w:pPr>
        <w:ind w:left="900" w:right="120" w:hanging="383"/>
        <w:spacing w:after="0" w:line="277"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48" w:lineRule="exact"/>
        <w:rPr>
          <w:rFonts w:ascii="Arial" w:cs="Arial" w:eastAsia="Arial" w:hAnsi="Arial"/>
          <w:sz w:val="13"/>
          <w:szCs w:val="13"/>
          <w:color w:val="231F20"/>
        </w:rPr>
      </w:pPr>
    </w:p>
    <w:p>
      <w:pPr>
        <w:ind w:left="900" w:right="140" w:hanging="383"/>
        <w:spacing w:after="0" w:line="261"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76"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231F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2" w:lineRule="exact"/>
        <w:rPr>
          <w:sz w:val="20"/>
          <w:szCs w:val="20"/>
          <w:color w:val="auto"/>
        </w:rPr>
      </w:pPr>
    </w:p>
    <w:p>
      <w:pPr>
        <w:ind w:right="400" w:firstLine="509"/>
        <w:spacing w:after="0" w:line="290" w:lineRule="auto"/>
        <w:rPr>
          <w:sz w:val="20"/>
          <w:szCs w:val="20"/>
          <w:color w:val="auto"/>
        </w:rPr>
      </w:pPr>
      <w:r>
        <w:rPr>
          <w:rFonts w:ascii="Arial" w:cs="Arial" w:eastAsia="Arial" w:hAnsi="Arial"/>
          <w:sz w:val="16"/>
          <w:szCs w:val="16"/>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42"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231F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Factors that may inhibit our efforts to commercialize any approved product on our own include:</w:t>
      </w:r>
    </w:p>
    <w:p>
      <w:pPr>
        <w:spacing w:after="0" w:line="104" w:lineRule="exact"/>
        <w:rPr>
          <w:sz w:val="20"/>
          <w:szCs w:val="20"/>
          <w:color w:val="auto"/>
        </w:rPr>
      </w:pPr>
    </w:p>
    <w:p>
      <w:pPr>
        <w:ind w:left="90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our inability to recruit and retain adequate numbers of effective sales, marketing, reimbursement, compliance, customer service, medical affairs and other support personnel;</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our inability to recruit and build a commercial infrastructure due to the impacts of the COVID-19 pandemic;</w:t>
      </w:r>
    </w:p>
    <w:p>
      <w:pPr>
        <w:spacing w:after="0" w:line="103" w:lineRule="exact"/>
        <w:rPr>
          <w:rFonts w:ascii="Arial" w:cs="Arial" w:eastAsia="Arial" w:hAnsi="Arial"/>
          <w:sz w:val="13"/>
          <w:szCs w:val="13"/>
          <w:color w:val="auto"/>
        </w:rPr>
      </w:pPr>
    </w:p>
    <w:p>
      <w:pPr>
        <w:ind w:left="900" w:right="34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the inability of sales personnel to obtain access to physicians or persuade adequate numbers of physicians to prescribe any future approved products;</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1"/>
          <w:szCs w:val="11"/>
          <w:color w:val="auto"/>
        </w:rPr>
      </w:pPr>
      <w:r>
        <w:rPr>
          <w:rFonts w:ascii="Arial" w:cs="Arial" w:eastAsia="Arial" w:hAnsi="Arial"/>
          <w:sz w:val="16"/>
          <w:szCs w:val="16"/>
          <w:color w:val="231F20"/>
        </w:rPr>
        <w:t>the inability of reimbursement professionals to negotiate arrangements for formulary access, reimbursement, and other acceptance by payors;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the inability to price our products at a sufficient price point to ensure an adequate and attractive level of profitability;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restricted or closed distribution channels that make it difficult to distribute our products to segments of the patient population;</w:t>
      </w:r>
    </w:p>
    <w:p>
      <w:pPr>
        <w:spacing w:after="0" w:line="117" w:lineRule="exact"/>
        <w:rPr>
          <w:rFonts w:ascii="Arial" w:cs="Arial" w:eastAsia="Arial" w:hAnsi="Arial"/>
          <w:sz w:val="13"/>
          <w:szCs w:val="13"/>
          <w:color w:val="auto"/>
        </w:rPr>
      </w:pPr>
    </w:p>
    <w:p>
      <w:pPr>
        <w:ind w:left="900" w:right="28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unforeseen costs and expenses associated with creating an independent commercialization organization.</w:t>
      </w:r>
    </w:p>
    <w:p>
      <w:pPr>
        <w:spacing w:after="0" w:line="11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9" w:name="page80"/>
    <w:bookmarkEnd w:id="79"/>
    <w:p>
      <w:pPr>
        <w:ind w:right="460"/>
        <w:spacing w:after="0" w:line="277" w:lineRule="auto"/>
        <w:rPr>
          <w:sz w:val="20"/>
          <w:szCs w:val="20"/>
          <w:color w:val="auto"/>
        </w:rPr>
      </w:pPr>
      <w:r>
        <w:rPr>
          <w:rFonts w:ascii="Arial" w:cs="Arial" w:eastAsia="Arial" w:hAnsi="Arial"/>
          <w:sz w:val="18"/>
          <w:szCs w:val="18"/>
          <w:color w:val="231F20"/>
        </w:rPr>
        <w:t>commercialization capabilities successfully, either on our own or in collaboration with third parties, we will not be successful in commercializing our product candidates if approved and our business would be seriously harmed.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Securities Market and Ownership of Our Common Stock</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49"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231F20"/>
        </w:rPr>
        <w:t xml:space="preserve">Prior to our initial public offering, no market for shares of our common stock existed. </w:t>
      </w:r>
      <w:r>
        <w:rPr>
          <w:rFonts w:ascii="Arial" w:cs="Arial" w:eastAsia="Arial" w:hAnsi="Arial"/>
          <w:sz w:val="18"/>
          <w:szCs w:val="18"/>
          <w:color w:val="000000"/>
        </w:rPr>
        <w:t>The trading market for our common stock on the Nasdaq</w:t>
      </w:r>
      <w:r>
        <w:rPr>
          <w:rFonts w:ascii="Arial" w:cs="Arial" w:eastAsia="Arial" w:hAnsi="Arial"/>
          <w:sz w:val="18"/>
          <w:szCs w:val="18"/>
          <w:color w:val="231F20"/>
        </w:rPr>
        <w:t xml:space="preserve"> </w:t>
      </w:r>
      <w:r>
        <w:rPr>
          <w:rFonts w:ascii="Arial" w:cs="Arial" w:eastAsia="Arial" w:hAnsi="Arial"/>
          <w:sz w:val="18"/>
          <w:szCs w:val="18"/>
          <w:color w:val="000000"/>
        </w:rPr>
        <w:t xml:space="preserve">Global Select Market has been limited </w:t>
      </w:r>
      <w:r>
        <w:rPr>
          <w:rFonts w:ascii="Arial" w:cs="Arial" w:eastAsia="Arial" w:hAnsi="Arial"/>
          <w:sz w:val="18"/>
          <w:szCs w:val="18"/>
          <w:color w:val="231F20"/>
        </w:rPr>
        <w:t>and an active trading market for our shares may not be sustained. The lack of an active market may also reduce the</w:t>
      </w:r>
      <w:r>
        <w:rPr>
          <w:rFonts w:ascii="Arial" w:cs="Arial" w:eastAsia="Arial" w:hAnsi="Arial"/>
          <w:sz w:val="18"/>
          <w:szCs w:val="18"/>
          <w:color w:val="000000"/>
        </w:rPr>
        <w:t xml:space="preserve"> </w:t>
      </w:r>
      <w:r>
        <w:rPr>
          <w:rFonts w:ascii="Arial" w:cs="Arial" w:eastAsia="Arial" w:hAnsi="Arial"/>
          <w:sz w:val="18"/>
          <w:szCs w:val="18"/>
          <w:color w:val="231F20"/>
        </w:rPr>
        <w:t>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price of our stock is volatile, and you could lose all or part of your investment.</w:t>
      </w:r>
    </w:p>
    <w:p>
      <w:pPr>
        <w:spacing w:after="0" w:line="117"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6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63" w:lineRule="exact"/>
        <w:rPr>
          <w:sz w:val="20"/>
          <w:szCs w:val="20"/>
          <w:color w:val="auto"/>
        </w:rPr>
      </w:pPr>
    </w:p>
    <w:p>
      <w:pPr>
        <w:ind w:left="900" w:right="580" w:hanging="383"/>
        <w:spacing w:after="0" w:line="277" w:lineRule="auto"/>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the timing and results of preclinical studies and clinical trials of our product candidates, those conducted by third parties or those of our competitors;</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the success of competitive products or announcements by potential competitors of their product development efforts;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regulatory actions with respect to our products or our competitors’ products;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actual or anticipated changes in our growth rate relative to our competitors;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regulatory or legal developments in the United States and other countries;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developments or disputes concerning patent applications, issued patents or other intellectual property or proprietary rights;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the recruitment or departure of key personnel;</w:t>
      </w:r>
    </w:p>
    <w:p>
      <w:pPr>
        <w:spacing w:after="0" w:line="103" w:lineRule="exact"/>
        <w:rPr>
          <w:rFonts w:ascii="Arial" w:cs="Arial" w:eastAsia="Arial" w:hAnsi="Arial"/>
          <w:sz w:val="13"/>
          <w:szCs w:val="13"/>
          <w:color w:val="231F20"/>
        </w:rPr>
      </w:pPr>
    </w:p>
    <w:p>
      <w:pPr>
        <w:ind w:left="900" w:right="840" w:hanging="383"/>
        <w:spacing w:after="0" w:line="246" w:lineRule="auto"/>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75" w:lineRule="exact"/>
        <w:rPr>
          <w:rFonts w:ascii="Arial" w:cs="Arial" w:eastAsia="Arial" w:hAnsi="Arial"/>
          <w:sz w:val="13"/>
          <w:szCs w:val="13"/>
          <w:color w:val="231F20"/>
        </w:rPr>
      </w:pPr>
    </w:p>
    <w:p>
      <w:pPr>
        <w:ind w:left="900" w:right="380" w:hanging="383"/>
        <w:spacing w:after="0" w:line="261" w:lineRule="auto"/>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actual or anticipated changes in estimates as to financial results, development timelines or coverage and/or recommendations by securities analysts;</w:t>
      </w:r>
    </w:p>
    <w:p>
      <w:pPr>
        <w:spacing w:after="0" w:line="49"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fluctuations in the valuation of companies perceived by investors to be comparable to us;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market conditions in the pharmaceutical and biotechnology sector;</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changes in the structure of healthcare payment systems;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share price and volume fluctuations attributable to inconsistent trading volume levels of our shares;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announcement or expectation of additional financing efforts;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sales of our common stock by us, our insiders or our other stockholders;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expiration of market stand-off or lock-up agreements;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the impact of any natural disasters or public health emergencies, such as the COVID-19 pandemic;</w:t>
      </w:r>
    </w:p>
    <w:p>
      <w:pPr>
        <w:spacing w:after="0" w:line="103" w:lineRule="exact"/>
        <w:rPr>
          <w:rFonts w:ascii="Arial" w:cs="Arial" w:eastAsia="Arial" w:hAnsi="Arial"/>
          <w:sz w:val="13"/>
          <w:szCs w:val="13"/>
          <w:color w:val="231F20"/>
        </w:rPr>
      </w:pPr>
    </w:p>
    <w:p>
      <w:pPr>
        <w:ind w:left="900" w:right="40" w:hanging="383"/>
        <w:spacing w:after="0" w:line="261" w:lineRule="auto"/>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the availability of fiscal and monetary stimulus measures to counteract the impact of natural disasters or public health emergencies, such as the COVID-19 pandemic;</w:t>
      </w:r>
    </w:p>
    <w:p>
      <w:pPr>
        <w:spacing w:after="0" w:line="49"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fluctuations in interest rates and inflation rates; and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49"/>
        </w:numPr>
        <w:rPr>
          <w:rFonts w:ascii="Arial" w:cs="Arial" w:eastAsia="Arial" w:hAnsi="Arial"/>
          <w:sz w:val="13"/>
          <w:szCs w:val="13"/>
          <w:color w:val="231F20"/>
        </w:rPr>
      </w:pPr>
      <w:r>
        <w:rPr>
          <w:rFonts w:ascii="Arial" w:cs="Arial" w:eastAsia="Arial" w:hAnsi="Arial"/>
          <w:sz w:val="18"/>
          <w:szCs w:val="18"/>
          <w:color w:val="231F20"/>
        </w:rPr>
        <w:t>general economic, political, industry and market conditions.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0" w:name="page81"/>
    <w:bookmarkEnd w:id="80"/>
    <w:p>
      <w:pPr>
        <w:ind w:right="80"/>
        <w:spacing w:after="0" w:line="261" w:lineRule="auto"/>
        <w:rPr>
          <w:sz w:val="20"/>
          <w:szCs w:val="20"/>
          <w:color w:val="auto"/>
        </w:rPr>
      </w:pPr>
      <w:r>
        <w:rPr>
          <w:rFonts w:ascii="Arial" w:cs="Arial" w:eastAsia="Arial" w:hAnsi="Arial"/>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63" w:lineRule="exact"/>
        <w:rPr>
          <w:sz w:val="20"/>
          <w:szCs w:val="20"/>
          <w:color w:val="auto"/>
        </w:rPr>
      </w:pPr>
    </w:p>
    <w:p>
      <w:pPr>
        <w:ind w:right="160" w:firstLine="509"/>
        <w:spacing w:after="0" w:line="234" w:lineRule="auto"/>
        <w:rPr>
          <w:sz w:val="20"/>
          <w:szCs w:val="20"/>
          <w:color w:val="auto"/>
        </w:rPr>
      </w:pPr>
      <w:r>
        <w:rPr>
          <w:rFonts w:ascii="Arial" w:cs="Arial" w:eastAsia="Arial" w:hAnsi="Arial"/>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4"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9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231F20"/>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900" w:right="32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our ability to enroll patients in clinical trials and the timing of enrollment;</w:t>
      </w:r>
    </w:p>
    <w:p>
      <w:pPr>
        <w:spacing w:after="0" w:line="103" w:lineRule="exact"/>
        <w:rPr>
          <w:rFonts w:ascii="Arial" w:cs="Arial" w:eastAsia="Arial" w:hAnsi="Arial"/>
          <w:sz w:val="13"/>
          <w:szCs w:val="13"/>
          <w:color w:val="auto"/>
        </w:rPr>
      </w:pPr>
    </w:p>
    <w:p>
      <w:pPr>
        <w:jc w:val="both"/>
        <w:ind w:left="900" w:right="280" w:hanging="383"/>
        <w:spacing w:after="0" w:line="256"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cost of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expenditures that we will or may incur to acquire or develop additional product candidates and technologies or other assets;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timing and outcomes of clinical trials for our product candidates, or competing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need to conduct unanticipated clinical trials or trials that are larger or more complex than anticipated;</w:t>
      </w:r>
    </w:p>
    <w:p>
      <w:pPr>
        <w:spacing w:after="0" w:line="103" w:lineRule="exact"/>
        <w:rPr>
          <w:rFonts w:ascii="Arial" w:cs="Arial" w:eastAsia="Arial" w:hAnsi="Arial"/>
          <w:sz w:val="13"/>
          <w:szCs w:val="13"/>
          <w:color w:val="auto"/>
        </w:rPr>
      </w:pPr>
    </w:p>
    <w:p>
      <w:pPr>
        <w:ind w:left="900" w:right="880" w:hanging="383"/>
        <w:spacing w:after="0" w:line="277"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competition from existing and potential future products that compete with our programs and product candidates, and changes in the competitive landscape of our industry, including consolidation among our competitors or partners;</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any delays in regulatory review or approval of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level of demand for our product candidates, if approved, which may fluctuate significantly and be difficult to predict;</w:t>
      </w:r>
    </w:p>
    <w:p>
      <w:pPr>
        <w:spacing w:after="0" w:line="117" w:lineRule="exact"/>
        <w:rPr>
          <w:rFonts w:ascii="Arial" w:cs="Arial" w:eastAsia="Arial" w:hAnsi="Arial"/>
          <w:sz w:val="13"/>
          <w:szCs w:val="13"/>
          <w:color w:val="auto"/>
        </w:rPr>
      </w:pPr>
    </w:p>
    <w:p>
      <w:pPr>
        <w:ind w:left="900" w:right="200" w:hanging="383"/>
        <w:spacing w:after="0" w:line="261"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3"/>
          <w:szCs w:val="13"/>
          <w:color w:val="auto"/>
        </w:rPr>
      </w:pPr>
    </w:p>
    <w:p>
      <w:pPr>
        <w:ind w:left="900" w:right="600" w:hanging="383"/>
        <w:spacing w:after="0" w:line="277"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our ability to commercialize any of our product candidates, if approved, inside and outside of the United States, either independently or working with third parties;</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our ability to establish and maintain collaborations, licensing or other arrangements;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our ability to adequately support future growth;</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potential unforeseen business disruptions that increase our costs or expenses;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future accounting pronouncements or changes in our accounting policies;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the changing and volatile global economic and political environment; and</w:t>
      </w:r>
    </w:p>
    <w:p>
      <w:pPr>
        <w:spacing w:after="0" w:line="103" w:lineRule="exact"/>
        <w:rPr>
          <w:rFonts w:ascii="Arial" w:cs="Arial" w:eastAsia="Arial" w:hAnsi="Arial"/>
          <w:sz w:val="13"/>
          <w:szCs w:val="13"/>
          <w:color w:val="auto"/>
        </w:rPr>
      </w:pPr>
    </w:p>
    <w:p>
      <w:pPr>
        <w:ind w:left="900" w:right="500" w:hanging="383"/>
        <w:spacing w:after="0" w:line="277"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8"/>
          <w:szCs w:val="18"/>
          <w:color w:val="231F20"/>
        </w:rPr>
        <w:t>increased impact from the COVID-19 pandemic on the costs and timing associated with the conduct of our clinical trial and other related business activities.</w:t>
      </w:r>
    </w:p>
    <w:p>
      <w:pPr>
        <w:spacing w:after="0" w:line="4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1" w:name="page82"/>
    <w:bookmarkEnd w:id="81"/>
    <w:p>
      <w:pPr>
        <w:ind w:right="40"/>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231F20"/>
        </w:rPr>
        <w:t>As of September 30, 2022, our executive officers, directors, holders of 5% or more of our capital stock and their respective affiliates beneficially owned approximately 75% of our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fall.</w:t>
      </w:r>
    </w:p>
    <w:p>
      <w:pPr>
        <w:spacing w:after="0" w:line="10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 xml:space="preserve">Sales of a substantial number of shares of our common stock in the public market could occur at any time. For example, </w:t>
      </w:r>
      <w:r>
        <w:rPr>
          <w:rFonts w:ascii="Arial" w:cs="Arial" w:eastAsia="Arial" w:hAnsi="Arial"/>
          <w:sz w:val="18"/>
          <w:szCs w:val="18"/>
          <w:color w:val="000000"/>
        </w:rPr>
        <w:t>we filed: (i) on August 10,</w:t>
      </w:r>
      <w:r>
        <w:rPr>
          <w:rFonts w:ascii="Arial" w:cs="Arial" w:eastAsia="Arial" w:hAnsi="Arial"/>
          <w:sz w:val="18"/>
          <w:szCs w:val="18"/>
          <w:color w:val="231F20"/>
        </w:rPr>
        <w:t xml:space="preserve"> </w:t>
      </w:r>
      <w:r>
        <w:rPr>
          <w:rFonts w:ascii="Arial" w:cs="Arial" w:eastAsia="Arial" w:hAnsi="Arial"/>
          <w:sz w:val="18"/>
          <w:szCs w:val="18"/>
          <w:color w:val="000000"/>
        </w:rPr>
        <w:t>2022, a shelf registration statement on Form S-3 with the SEC that became effective on August 17, 2022 and allows us to undertake various equity and debt offerings up to $300.0 million; and (ii) on August 17, 2022, a prospectus supplement to the shelf registration statement that covers the offering, issuance and sale of up to $75.0 million of our common stock from time to time through an “at-the-market” program under the Securities Act</w:t>
      </w:r>
      <w:r>
        <w:rPr>
          <w:rFonts w:ascii="Arial" w:cs="Arial" w:eastAsia="Arial" w:hAnsi="Arial"/>
          <w:sz w:val="18"/>
          <w:szCs w:val="18"/>
          <w:color w:val="231F20"/>
        </w:rPr>
        <w:t>.</w:t>
      </w:r>
      <w:r>
        <w:rPr>
          <w:rFonts w:ascii="Arial" w:cs="Arial" w:eastAsia="Arial" w:hAnsi="Arial"/>
          <w:sz w:val="18"/>
          <w:szCs w:val="18"/>
          <w:color w:val="000000"/>
        </w:rPr>
        <w:t xml:space="preserve"> To date, we had not sold any shares under our “at-the-market” program.</w:t>
      </w:r>
    </w:p>
    <w:p>
      <w:pPr>
        <w:spacing w:after="0" w:line="91"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Moreover, certain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8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231F20"/>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Stock Market LLC (Nasdaq).</w:t>
      </w:r>
    </w:p>
    <w:p>
      <w:pPr>
        <w:spacing w:after="0" w:line="7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231F20"/>
        </w:rPr>
        <w:t>Our management and other personnel need to devote a substantial amount of time to these compliance initiatives. Moreover, these rules, regulations and standards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93"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231F20"/>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53" w:lineRule="exact"/>
        <w:rPr>
          <w:sz w:val="20"/>
          <w:szCs w:val="20"/>
          <w:color w:val="auto"/>
        </w:rPr>
      </w:pPr>
    </w:p>
    <w:p>
      <w:pPr>
        <w:ind w:right="20" w:firstLine="509"/>
        <w:spacing w:after="0" w:line="303" w:lineRule="auto"/>
        <w:rPr>
          <w:sz w:val="20"/>
          <w:szCs w:val="20"/>
          <w:color w:val="auto"/>
        </w:rPr>
      </w:pPr>
      <w:r>
        <w:rPr>
          <w:rFonts w:ascii="Arial" w:cs="Arial" w:eastAsia="Arial" w:hAnsi="Arial"/>
          <w:sz w:val="16"/>
          <w:szCs w:val="16"/>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right="180" w:firstLine="509"/>
        <w:spacing w:after="0" w:line="268" w:lineRule="auto"/>
        <w:rPr>
          <w:sz w:val="20"/>
          <w:szCs w:val="20"/>
          <w:color w:val="auto"/>
        </w:rPr>
      </w:pPr>
      <w:r>
        <w:rPr>
          <w:rFonts w:ascii="Arial" w:cs="Arial" w:eastAsia="Arial" w:hAnsi="Arial"/>
          <w:sz w:val="17"/>
          <w:szCs w:val="17"/>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2"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securities litigation, which is expensive and could divert management attention.</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2"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171" w:lineRule="exact"/>
        <w:rPr>
          <w:sz w:val="20"/>
          <w:szCs w:val="20"/>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establish a classified board of directors so that not all members of our board are elected at one time;</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permit only the board of directors to establish the number of directors and fill vacancies on the board;</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provide that directors may only be removed “for cause” and only with the approval of two-thirds of our stockholders;</w:t>
      </w:r>
    </w:p>
    <w:p>
      <w:pPr>
        <w:spacing w:after="0" w:line="103" w:lineRule="exact"/>
        <w:rPr>
          <w:rFonts w:ascii="Arial" w:cs="Arial" w:eastAsia="Arial" w:hAnsi="Arial"/>
          <w:sz w:val="13"/>
          <w:szCs w:val="13"/>
          <w:color w:val="auto"/>
        </w:rPr>
      </w:pPr>
    </w:p>
    <w:p>
      <w:pPr>
        <w:ind w:left="900" w:right="520" w:hanging="383"/>
        <w:spacing w:after="0" w:line="261" w:lineRule="auto"/>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eliminate the ability of our stockholders to call special meetings of stockholders;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prohibit stockholder action by written consent, which requires all stockholder actions to be taken at a meeting of our stockholders;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prohibit cumulative voting;</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authorize our board of directors to amend the bylaws;</w:t>
      </w:r>
    </w:p>
    <w:p>
      <w:pPr>
        <w:spacing w:after="0" w:line="117"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3"/>
          <w:szCs w:val="13"/>
          <w:color w:val="auto"/>
        </w:rPr>
      </w:pPr>
    </w:p>
    <w:p>
      <w:pPr>
        <w:ind w:left="900" w:right="180" w:hanging="383"/>
        <w:spacing w:after="0" w:line="277" w:lineRule="auto"/>
        <w:tabs>
          <w:tab w:leader="none" w:pos="900" w:val="left"/>
        </w:tabs>
        <w:numPr>
          <w:ilvl w:val="0"/>
          <w:numId w:val="51"/>
        </w:numPr>
        <w:rPr>
          <w:rFonts w:ascii="Arial" w:cs="Arial" w:eastAsia="Arial" w:hAnsi="Arial"/>
          <w:sz w:val="13"/>
          <w:szCs w:val="13"/>
          <w:color w:val="auto"/>
        </w:rPr>
      </w:pPr>
      <w:r>
        <w:rPr>
          <w:rFonts w:ascii="Arial" w:cs="Arial" w:eastAsia="Arial" w:hAnsi="Arial"/>
          <w:sz w:val="18"/>
          <w:szCs w:val="18"/>
          <w:color w:val="231F20"/>
        </w:rPr>
        <w:t>require a super-majority vote of stockholders to amend or repeal specified provisions of our amended and restated certificate of incorporation and amended and restated bylaws.</w:t>
      </w:r>
    </w:p>
    <w:p>
      <w:pPr>
        <w:spacing w:after="0" w:line="49"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3"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ind w:right="60"/>
        <w:spacing w:after="0" w:line="278" w:lineRule="auto"/>
        <w:rPr>
          <w:sz w:val="20"/>
          <w:szCs w:val="20"/>
          <w:color w:val="auto"/>
        </w:rPr>
      </w:pPr>
      <w:r>
        <w:rPr>
          <w:rFonts w:ascii="Arial" w:cs="Arial" w:eastAsia="Arial" w:hAnsi="Arial"/>
          <w:sz w:val="17"/>
          <w:szCs w:val="17"/>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0" w:lineRule="exact"/>
        <w:rPr>
          <w:sz w:val="20"/>
          <w:szCs w:val="20"/>
          <w:color w:val="auto"/>
        </w:rPr>
      </w:pPr>
    </w:p>
    <w:p>
      <w:pPr>
        <w:ind w:right="160" w:firstLine="509"/>
        <w:spacing w:after="0" w:line="267" w:lineRule="auto"/>
        <w:rPr>
          <w:sz w:val="20"/>
          <w:szCs w:val="20"/>
          <w:color w:val="auto"/>
        </w:rPr>
      </w:pPr>
      <w:r>
        <w:rPr>
          <w:rFonts w:ascii="Arial" w:cs="Arial" w:eastAsia="Arial" w:hAnsi="Arial"/>
          <w:sz w:val="17"/>
          <w:szCs w:val="17"/>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55" w:lineRule="exact"/>
        <w:rPr>
          <w:sz w:val="20"/>
          <w:szCs w:val="20"/>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any derivative action or proceeding brought on our behalf;</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any action asserting a claim of breach of fiduciary duty;</w:t>
      </w:r>
    </w:p>
    <w:p>
      <w:pPr>
        <w:spacing w:after="0" w:line="117" w:lineRule="exact"/>
        <w:rPr>
          <w:rFonts w:ascii="Arial" w:cs="Arial" w:eastAsia="Arial" w:hAnsi="Arial"/>
          <w:sz w:val="13"/>
          <w:szCs w:val="13"/>
          <w:color w:val="auto"/>
        </w:rPr>
      </w:pPr>
    </w:p>
    <w:p>
      <w:pPr>
        <w:ind w:left="900" w:right="380" w:hanging="383"/>
        <w:spacing w:after="0" w:line="261" w:lineRule="auto"/>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This provision would not apply to suits brought to enforce a duty or liability created by the Exchange Act or any other claim for which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federal courts have exclusive jurisdiction.</w:t>
      </w:r>
    </w:p>
    <w:p>
      <w:pPr>
        <w:spacing w:after="0" w:line="88"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49" w:lineRule="exact"/>
        <w:rPr>
          <w:sz w:val="20"/>
          <w:szCs w:val="20"/>
          <w:color w:val="auto"/>
        </w:rPr>
      </w:pPr>
    </w:p>
    <w:p>
      <w:pPr>
        <w:ind w:right="60" w:firstLine="509"/>
        <w:spacing w:after="0" w:line="278" w:lineRule="auto"/>
        <w:rPr>
          <w:sz w:val="20"/>
          <w:szCs w:val="20"/>
          <w:color w:val="auto"/>
        </w:rPr>
      </w:pPr>
      <w:r>
        <w:rPr>
          <w:rFonts w:ascii="Arial" w:cs="Arial" w:eastAsia="Arial" w:hAnsi="Arial"/>
          <w:sz w:val="17"/>
          <w:szCs w:val="17"/>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50"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20" w:right="8260" w:hanging="612"/>
        <w:spacing w:after="0" w:line="391" w:lineRule="auto"/>
        <w:tabs>
          <w:tab w:leader="none" w:pos="51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None.</w:t>
      </w:r>
    </w:p>
    <w:p>
      <w:pPr>
        <w:spacing w:after="0" w:line="54" w:lineRule="exact"/>
        <w:rPr>
          <w:rFonts w:ascii="Arial" w:cs="Arial" w:eastAsia="Arial" w:hAnsi="Arial"/>
          <w:sz w:val="18"/>
          <w:szCs w:val="18"/>
          <w:b w:val="1"/>
          <w:bCs w:val="1"/>
          <w:color w:val="auto"/>
        </w:rPr>
      </w:pPr>
    </w:p>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The Registration Statement on Form S-1 (File No. 333-257820) was declared effective by the SEC for our IPO of common stock on July 29, 2021. There has been no material change in the planned use of proceeds from our public offering as described in our final prospectus filed with the SEC pursuant to Rule 424(b)(4) on July 30, 2021.</w:t>
      </w:r>
    </w:p>
    <w:p>
      <w:pPr>
        <w:spacing w:after="0" w:line="191" w:lineRule="exact"/>
        <w:rPr>
          <w:sz w:val="20"/>
          <w:szCs w:val="20"/>
          <w:color w:val="auto"/>
        </w:rPr>
      </w:pPr>
    </w:p>
    <w:p>
      <w:pPr>
        <w:ind w:left="520" w:right="7840" w:hanging="512"/>
        <w:spacing w:after="0" w:line="391" w:lineRule="auto"/>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20" w:type="dxa"/>
            <w:vAlign w:val="bottom"/>
          </w:tcPr>
          <w:p>
            <w:pPr>
              <w:spacing w:after="0"/>
              <w:rPr>
                <w:sz w:val="24"/>
                <w:szCs w:val="24"/>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Exhibit</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780" w:type="dxa"/>
            <w:vAlign w:val="bottom"/>
          </w:tcPr>
          <w:p>
            <w:pPr>
              <w:ind w:left="620"/>
              <w:spacing w:after="0"/>
              <w:rPr>
                <w:sz w:val="20"/>
                <w:szCs w:val="20"/>
                <w:color w:val="auto"/>
              </w:rPr>
            </w:pPr>
            <w:r>
              <w:rPr>
                <w:rFonts w:ascii="Arial" w:cs="Arial" w:eastAsia="Arial" w:hAnsi="Arial"/>
                <w:sz w:val="18"/>
                <w:szCs w:val="18"/>
                <w:b w:val="1"/>
                <w:bCs w:val="1"/>
                <w:color w:val="auto"/>
              </w:rPr>
              <w:t>File No.</w:t>
            </w:r>
          </w:p>
        </w:tc>
        <w:tc>
          <w:tcPr>
            <w:tcW w:w="1280" w:type="dxa"/>
            <w:vAlign w:val="bottom"/>
          </w:tcPr>
          <w:p>
            <w:pPr>
              <w:jc w:val="center"/>
              <w:ind w:left="53"/>
              <w:spacing w:after="0"/>
              <w:rPr>
                <w:sz w:val="20"/>
                <w:szCs w:val="20"/>
                <w:color w:val="auto"/>
              </w:rPr>
            </w:pPr>
            <w:r>
              <w:rPr>
                <w:rFonts w:ascii="Arial" w:cs="Arial" w:eastAsia="Arial" w:hAnsi="Arial"/>
                <w:sz w:val="18"/>
                <w:szCs w:val="18"/>
                <w:b w:val="1"/>
                <w:bCs w:val="1"/>
                <w:color w:val="auto"/>
                <w:w w:val="96"/>
              </w:rPr>
              <w:t>Exhibit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Number</w:t>
            </w:r>
          </w:p>
        </w:tc>
        <w:tc>
          <w:tcPr>
            <w:tcW w:w="2600" w:type="dxa"/>
            <w:vAlign w:val="bottom"/>
            <w:tcBorders>
              <w:bottom w:val="single" w:sz="8" w:color="auto"/>
            </w:tcBorders>
            <w:gridSpan w:val="21"/>
          </w:tcPr>
          <w:p>
            <w:pPr>
              <w:ind w:left="860"/>
              <w:spacing w:after="0"/>
              <w:rPr>
                <w:sz w:val="20"/>
                <w:szCs w:val="20"/>
                <w:color w:val="auto"/>
              </w:rPr>
            </w:pPr>
            <w:r>
              <w:rPr>
                <w:rFonts w:ascii="Arial" w:cs="Arial" w:eastAsia="Arial" w:hAnsi="Arial"/>
                <w:sz w:val="18"/>
                <w:szCs w:val="18"/>
                <w:b w:val="1"/>
                <w:bCs w:val="1"/>
                <w:color w:val="auto"/>
              </w:rPr>
              <w:t>Description</w:t>
            </w:r>
          </w:p>
        </w:tc>
        <w:tc>
          <w:tcPr>
            <w:tcW w:w="1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820" w:type="dxa"/>
            <w:vAlign w:val="bottom"/>
          </w:tcPr>
          <w:p>
            <w:pPr>
              <w:spacing w:after="0" w:line="142" w:lineRule="exact"/>
              <w:rPr>
                <w:sz w:val="20"/>
                <w:szCs w:val="20"/>
                <w:color w:val="auto"/>
              </w:rPr>
            </w:pPr>
            <w:r>
              <w:rPr>
                <w:rFonts w:ascii="Arial" w:cs="Arial" w:eastAsia="Arial" w:hAnsi="Arial"/>
                <w:sz w:val="16"/>
                <w:szCs w:val="16"/>
                <w:color w:val="auto"/>
              </w:rPr>
              <w:t>1.1</w:t>
            </w:r>
          </w:p>
        </w:tc>
        <w:tc>
          <w:tcPr>
            <w:tcW w:w="2600" w:type="dxa"/>
            <w:vAlign w:val="bottom"/>
            <w:gridSpan w:val="21"/>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Sales Agreement, dated August 10,</w:t>
              </w:r>
            </w:hyperlink>
          </w:p>
        </w:tc>
        <w:tc>
          <w:tcPr>
            <w:tcW w:w="1380" w:type="dxa"/>
            <w:vAlign w:val="bottom"/>
          </w:tcPr>
          <w:p>
            <w:pPr>
              <w:jc w:val="center"/>
              <w:spacing w:after="0" w:line="142" w:lineRule="exact"/>
              <w:rPr>
                <w:sz w:val="20"/>
                <w:szCs w:val="20"/>
                <w:color w:val="auto"/>
              </w:rPr>
            </w:pPr>
            <w:r>
              <w:rPr>
                <w:rFonts w:ascii="Arial" w:cs="Arial" w:eastAsia="Arial" w:hAnsi="Arial"/>
                <w:sz w:val="16"/>
                <w:szCs w:val="16"/>
                <w:color w:val="auto"/>
                <w:w w:val="96"/>
              </w:rPr>
              <w:t>S-3</w:t>
            </w:r>
          </w:p>
        </w:tc>
        <w:tc>
          <w:tcPr>
            <w:tcW w:w="1780" w:type="dxa"/>
            <w:vAlign w:val="bottom"/>
          </w:tcPr>
          <w:p>
            <w:pPr>
              <w:jc w:val="center"/>
              <w:spacing w:after="0" w:line="142" w:lineRule="exact"/>
              <w:rPr>
                <w:sz w:val="20"/>
                <w:szCs w:val="20"/>
                <w:color w:val="auto"/>
              </w:rPr>
            </w:pPr>
            <w:r>
              <w:rPr>
                <w:rFonts w:ascii="Arial" w:cs="Arial" w:eastAsia="Arial" w:hAnsi="Arial"/>
                <w:sz w:val="16"/>
                <w:szCs w:val="16"/>
                <w:color w:val="auto"/>
              </w:rPr>
              <w:t>333-266741</w:t>
            </w:r>
          </w:p>
        </w:tc>
        <w:tc>
          <w:tcPr>
            <w:tcW w:w="1280" w:type="dxa"/>
            <w:vAlign w:val="bottom"/>
          </w:tcPr>
          <w:p>
            <w:pPr>
              <w:jc w:val="center"/>
              <w:ind w:left="53"/>
              <w:spacing w:after="0" w:line="142" w:lineRule="exact"/>
              <w:rPr>
                <w:sz w:val="20"/>
                <w:szCs w:val="20"/>
                <w:color w:val="auto"/>
              </w:rPr>
            </w:pPr>
            <w:r>
              <w:rPr>
                <w:rFonts w:ascii="Arial" w:cs="Arial" w:eastAsia="Arial" w:hAnsi="Arial"/>
                <w:sz w:val="16"/>
                <w:szCs w:val="16"/>
                <w:color w:val="auto"/>
                <w:w w:val="98"/>
              </w:rPr>
              <w:t>1.2</w:t>
            </w:r>
          </w:p>
        </w:tc>
        <w:tc>
          <w:tcPr>
            <w:tcW w:w="1360" w:type="dxa"/>
            <w:vAlign w:val="bottom"/>
          </w:tcPr>
          <w:p>
            <w:pPr>
              <w:jc w:val="center"/>
              <w:spacing w:after="0" w:line="142" w:lineRule="exact"/>
              <w:rPr>
                <w:sz w:val="20"/>
                <w:szCs w:val="20"/>
                <w:color w:val="auto"/>
              </w:rPr>
            </w:pPr>
            <w:r>
              <w:rPr>
                <w:rFonts w:ascii="Arial" w:cs="Arial" w:eastAsia="Arial" w:hAnsi="Arial"/>
                <w:sz w:val="16"/>
                <w:szCs w:val="16"/>
                <w:color w:val="auto"/>
              </w:rPr>
              <w:t>8-10-2022</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45">
              <w:r>
                <w:rPr>
                  <w:rFonts w:ascii="Arial" w:cs="Arial" w:eastAsia="Arial" w:hAnsi="Arial"/>
                  <w:sz w:val="18"/>
                  <w:szCs w:val="18"/>
                  <w:color w:val="0000FF"/>
                </w:rPr>
                <w:t>2022, by and between Tenaya</w:t>
              </w:r>
            </w:hyperlink>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Borders>
              <w:top w:val="single" w:sz="8" w:color="0000FF"/>
            </w:tcBorders>
            <w:gridSpan w:val="12"/>
          </w:tcPr>
          <w:p>
            <w:pPr>
              <w:spacing w:after="0" w:line="169" w:lineRule="exact"/>
              <w:rPr>
                <w:rFonts w:ascii="Arial" w:cs="Arial" w:eastAsia="Arial" w:hAnsi="Arial"/>
                <w:sz w:val="18"/>
                <w:szCs w:val="18"/>
                <w:color w:val="0000FF"/>
                <w:w w:val="98"/>
              </w:rPr>
            </w:pPr>
            <w:hyperlink r:id="rId245">
              <w:r>
                <w:rPr>
                  <w:rFonts w:ascii="Arial" w:cs="Arial" w:eastAsia="Arial" w:hAnsi="Arial"/>
                  <w:sz w:val="18"/>
                  <w:szCs w:val="18"/>
                  <w:color w:val="0000FF"/>
                  <w:w w:val="98"/>
                </w:rPr>
                <w:t>Therapeutics, Inc. and SVB</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245">
              <w:r>
                <w:rPr>
                  <w:rFonts w:ascii="Arial" w:cs="Arial" w:eastAsia="Arial" w:hAnsi="Arial"/>
                  <w:sz w:val="18"/>
                  <w:szCs w:val="18"/>
                  <w:color w:val="0000FF"/>
                  <w:w w:val="90"/>
                </w:rPr>
                <w:t>Securities LLC</w:t>
              </w:r>
            </w:hyperlink>
          </w:p>
        </w:tc>
        <w:tc>
          <w:tcPr>
            <w:tcW w:w="20" w:type="dxa"/>
            <w:vAlign w:val="bottom"/>
            <w:tcBorders>
              <w:top w:val="single" w:sz="8" w:color="0000FF"/>
              <w:bottom w:val="single" w:sz="8" w:color="0000EE"/>
            </w:tcBorders>
          </w:tcPr>
          <w:p>
            <w:pPr>
              <w:spacing w:after="0"/>
              <w:rPr>
                <w:sz w:val="14"/>
                <w:szCs w:val="14"/>
                <w:color w:val="auto"/>
              </w:rPr>
            </w:pPr>
          </w:p>
        </w:tc>
        <w:tc>
          <w:tcPr>
            <w:tcW w:w="92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340" w:type="dxa"/>
            <w:vAlign w:val="bottom"/>
            <w:gridSpan w:val="2"/>
          </w:tcPr>
          <w:p>
            <w:pPr>
              <w:ind w:left="520"/>
              <w:spacing w:after="0"/>
              <w:rPr>
                <w:sz w:val="20"/>
                <w:szCs w:val="20"/>
                <w:color w:val="auto"/>
              </w:rPr>
            </w:pPr>
            <w:r>
              <w:rPr>
                <w:rFonts w:ascii="Arial" w:cs="Arial" w:eastAsia="Arial" w:hAnsi="Arial"/>
                <w:sz w:val="18"/>
                <w:szCs w:val="18"/>
                <w:color w:val="auto"/>
              </w:rPr>
              <w:t>3.1</w:t>
            </w:r>
          </w:p>
        </w:tc>
        <w:tc>
          <w:tcPr>
            <w:tcW w:w="2600" w:type="dxa"/>
            <w:vAlign w:val="bottom"/>
            <w:gridSpan w:val="21"/>
          </w:tcPr>
          <w:p>
            <w:pPr>
              <w:spacing w:after="0"/>
              <w:rPr>
                <w:rFonts w:ascii="Arial" w:cs="Arial" w:eastAsia="Arial" w:hAnsi="Arial"/>
                <w:sz w:val="18"/>
                <w:szCs w:val="18"/>
                <w:color w:val="0000FF"/>
                <w:w w:val="93"/>
              </w:rPr>
            </w:pPr>
            <w:hyperlink r:id="rId246">
              <w:r>
                <w:rPr>
                  <w:rFonts w:ascii="Arial" w:cs="Arial" w:eastAsia="Arial" w:hAnsi="Arial"/>
                  <w:sz w:val="18"/>
                  <w:szCs w:val="18"/>
                  <w:color w:val="0000FF"/>
                  <w:w w:val="93"/>
                </w:rPr>
                <w:t>Amended and Restated Certificate</w:t>
              </w:r>
            </w:hyperlink>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001-40656</w:t>
            </w: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87"/>
              </w:rPr>
              <w:t>3.1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8-3-2021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00" w:type="dxa"/>
            <w:vAlign w:val="bottom"/>
            <w:gridSpan w:val="16"/>
          </w:tcPr>
          <w:p>
            <w:pPr>
              <w:spacing w:after="0" w:line="169" w:lineRule="exact"/>
              <w:rPr>
                <w:rFonts w:ascii="Arial" w:cs="Arial" w:eastAsia="Arial" w:hAnsi="Arial"/>
                <w:sz w:val="18"/>
                <w:szCs w:val="18"/>
                <w:color w:val="0000FF"/>
              </w:rPr>
            </w:pPr>
            <w:hyperlink r:id="rId246">
              <w:r>
                <w:rPr>
                  <w:rFonts w:ascii="Arial" w:cs="Arial" w:eastAsia="Arial" w:hAnsi="Arial"/>
                  <w:sz w:val="18"/>
                  <w:szCs w:val="18"/>
                  <w:color w:val="0000FF"/>
                </w:rPr>
                <w:t>of Incorporation of Tenaya</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8"/>
              </w:rPr>
            </w:pPr>
            <w:hyperlink r:id="rId246">
              <w:r>
                <w:rPr>
                  <w:rFonts w:ascii="Arial" w:cs="Arial" w:eastAsia="Arial" w:hAnsi="Arial"/>
                  <w:sz w:val="18"/>
                  <w:szCs w:val="18"/>
                  <w:color w:val="0000FF"/>
                  <w:w w:val="88"/>
                </w:rPr>
                <w:t>Therapeutics,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660" w:type="dxa"/>
            <w:vAlign w:val="bottom"/>
            <w:tcBorders>
              <w:top w:val="single" w:sz="8" w:color="0000FF"/>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2340" w:type="dxa"/>
            <w:vAlign w:val="bottom"/>
            <w:gridSpan w:val="2"/>
          </w:tcPr>
          <w:p>
            <w:pPr>
              <w:ind w:left="520"/>
              <w:spacing w:after="0"/>
              <w:rPr>
                <w:sz w:val="20"/>
                <w:szCs w:val="20"/>
                <w:color w:val="auto"/>
              </w:rPr>
            </w:pPr>
            <w:r>
              <w:rPr>
                <w:rFonts w:ascii="Arial" w:cs="Arial" w:eastAsia="Arial" w:hAnsi="Arial"/>
                <w:sz w:val="18"/>
                <w:szCs w:val="18"/>
                <w:color w:val="auto"/>
              </w:rPr>
              <w:t>3.2</w:t>
            </w:r>
          </w:p>
        </w:tc>
        <w:tc>
          <w:tcPr>
            <w:tcW w:w="2600" w:type="dxa"/>
            <w:vAlign w:val="bottom"/>
            <w:gridSpan w:val="21"/>
          </w:tcPr>
          <w:p>
            <w:pPr>
              <w:spacing w:after="0"/>
              <w:rPr>
                <w:rFonts w:ascii="Arial" w:cs="Arial" w:eastAsia="Arial" w:hAnsi="Arial"/>
                <w:sz w:val="18"/>
                <w:szCs w:val="18"/>
                <w:color w:val="0000FF"/>
                <w:w w:val="95"/>
              </w:rPr>
            </w:pPr>
            <w:hyperlink r:id="rId247">
              <w:r>
                <w:rPr>
                  <w:rFonts w:ascii="Arial" w:cs="Arial" w:eastAsia="Arial" w:hAnsi="Arial"/>
                  <w:sz w:val="18"/>
                  <w:szCs w:val="18"/>
                  <w:color w:val="0000FF"/>
                  <w:w w:val="95"/>
                </w:rPr>
                <w:t>Amended and Restated Bylaws of</w:t>
              </w:r>
            </w:hyperlink>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001-40656</w:t>
            </w: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87"/>
              </w:rPr>
              <w:t>3.2</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8-3-2021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7"/>
              </w:rPr>
            </w:pPr>
            <w:hyperlink r:id="rId247">
              <w:r>
                <w:rPr>
                  <w:rFonts w:ascii="Arial" w:cs="Arial" w:eastAsia="Arial" w:hAnsi="Arial"/>
                  <w:sz w:val="18"/>
                  <w:szCs w:val="18"/>
                  <w:color w:val="0000FF"/>
                  <w:w w:val="87"/>
                </w:rPr>
                <w:t>Tenaya Therapeutics,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6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340" w:type="dxa"/>
            <w:vAlign w:val="bottom"/>
            <w:gridSpan w:val="2"/>
          </w:tcPr>
          <w:p>
            <w:pPr>
              <w:ind w:left="520"/>
              <w:spacing w:after="0"/>
              <w:rPr>
                <w:sz w:val="20"/>
                <w:szCs w:val="20"/>
                <w:color w:val="auto"/>
              </w:rPr>
            </w:pPr>
            <w:r>
              <w:rPr>
                <w:rFonts w:ascii="Arial" w:cs="Arial" w:eastAsia="Arial" w:hAnsi="Arial"/>
                <w:sz w:val="18"/>
                <w:szCs w:val="18"/>
                <w:color w:val="auto"/>
              </w:rPr>
              <w:t>31.1*</w:t>
            </w:r>
          </w:p>
        </w:tc>
        <w:tc>
          <w:tcPr>
            <w:tcW w:w="2600" w:type="dxa"/>
            <w:vAlign w:val="bottom"/>
            <w:gridSpan w:val="21"/>
          </w:tcPr>
          <w:p>
            <w:pPr>
              <w:spacing w:after="0"/>
              <w:rPr>
                <w:sz w:val="20"/>
                <w:szCs w:val="20"/>
                <w:color w:val="auto"/>
              </w:rPr>
            </w:pPr>
            <w:r>
              <w:rPr>
                <w:rFonts w:ascii="Arial" w:cs="Arial" w:eastAsia="Arial" w:hAnsi="Arial"/>
                <w:sz w:val="18"/>
                <w:szCs w:val="18"/>
                <w:color w:val="0000FF"/>
                <w:w w:val="94"/>
              </w:rPr>
              <w:t>Certification of Principal Executive</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21"/>
          </w:tcPr>
          <w:p>
            <w:pPr>
              <w:spacing w:after="0" w:line="169" w:lineRule="exact"/>
              <w:rPr>
                <w:sz w:val="20"/>
                <w:szCs w:val="20"/>
                <w:color w:val="auto"/>
              </w:rPr>
            </w:pPr>
            <w:r>
              <w:rPr>
                <w:rFonts w:ascii="Arial" w:cs="Arial" w:eastAsia="Arial" w:hAnsi="Arial"/>
                <w:sz w:val="18"/>
                <w:szCs w:val="18"/>
                <w:color w:val="0000FF"/>
                <w:w w:val="90"/>
              </w:rPr>
              <w:t>Officer Pursuant to Rules 13a-14(a)</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gridSpan w:val="21"/>
          </w:tcPr>
          <w:p>
            <w:pPr>
              <w:spacing w:after="0" w:line="169" w:lineRule="exact"/>
              <w:rPr>
                <w:sz w:val="20"/>
                <w:szCs w:val="20"/>
                <w:color w:val="auto"/>
              </w:rPr>
            </w:pPr>
            <w:r>
              <w:rPr>
                <w:rFonts w:ascii="Arial" w:cs="Arial" w:eastAsia="Arial" w:hAnsi="Arial"/>
                <w:sz w:val="18"/>
                <w:szCs w:val="18"/>
                <w:color w:val="0000FF"/>
                <w:w w:val="92"/>
              </w:rPr>
              <w:t>and 15d-14(a) under the Securities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0"/>
              </w:rPr>
              <w:t>Exchange Act of 1934, as Adopted</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tcBorders>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90"/>
              </w:rPr>
              <w:t>Pursuant to Section 302 of the</w:t>
            </w:r>
          </w:p>
        </w:tc>
        <w:tc>
          <w:tcPr>
            <w:tcW w:w="3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gridSpan w:val="13"/>
          </w:tcPr>
          <w:p>
            <w:pPr>
              <w:spacing w:after="0" w:line="169" w:lineRule="exact"/>
              <w:rPr>
                <w:sz w:val="20"/>
                <w:szCs w:val="20"/>
                <w:color w:val="auto"/>
              </w:rPr>
            </w:pPr>
            <w:r>
              <w:rPr>
                <w:rFonts w:ascii="Arial" w:cs="Arial" w:eastAsia="Arial" w:hAnsi="Arial"/>
                <w:sz w:val="18"/>
                <w:szCs w:val="18"/>
                <w:color w:val="0000FF"/>
                <w:w w:val="94"/>
              </w:rPr>
              <w:t>Sarbanes-Oxley Act of 2002.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Borders>
              <w:right w:val="single" w:sz="8" w:color="0000EE"/>
            </w:tcBorders>
            <w:gridSpan w:val="2"/>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40" w:type="dxa"/>
            <w:vAlign w:val="bottom"/>
            <w:gridSpan w:val="2"/>
          </w:tcPr>
          <w:p>
            <w:pPr>
              <w:ind w:left="520"/>
              <w:spacing w:after="0"/>
              <w:rPr>
                <w:sz w:val="20"/>
                <w:szCs w:val="20"/>
                <w:color w:val="auto"/>
              </w:rPr>
            </w:pPr>
            <w:r>
              <w:rPr>
                <w:rFonts w:ascii="Arial" w:cs="Arial" w:eastAsia="Arial" w:hAnsi="Arial"/>
                <w:sz w:val="18"/>
                <w:szCs w:val="18"/>
                <w:color w:val="auto"/>
              </w:rPr>
              <w:t>31.2*</w:t>
            </w:r>
          </w:p>
        </w:tc>
        <w:tc>
          <w:tcPr>
            <w:tcW w:w="2600" w:type="dxa"/>
            <w:vAlign w:val="bottom"/>
            <w:gridSpan w:val="21"/>
          </w:tcPr>
          <w:p>
            <w:pPr>
              <w:spacing w:after="0"/>
              <w:rPr>
                <w:sz w:val="20"/>
                <w:szCs w:val="20"/>
                <w:color w:val="auto"/>
              </w:rPr>
            </w:pPr>
            <w:r>
              <w:rPr>
                <w:rFonts w:ascii="Arial" w:cs="Arial" w:eastAsia="Arial" w:hAnsi="Arial"/>
                <w:sz w:val="18"/>
                <w:szCs w:val="18"/>
                <w:color w:val="0000FF"/>
                <w:w w:val="96"/>
              </w:rPr>
              <w:t>Certification of Principal Financial</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88"/>
              </w:rPr>
              <w:t>Officer Pursuant to Rules 13a-14(a)</w:t>
            </w: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gridSpan w:val="21"/>
          </w:tcPr>
          <w:p>
            <w:pPr>
              <w:spacing w:after="0" w:line="169" w:lineRule="exact"/>
              <w:rPr>
                <w:sz w:val="20"/>
                <w:szCs w:val="20"/>
                <w:color w:val="auto"/>
              </w:rPr>
            </w:pPr>
            <w:r>
              <w:rPr>
                <w:rFonts w:ascii="Arial" w:cs="Arial" w:eastAsia="Arial" w:hAnsi="Arial"/>
                <w:sz w:val="18"/>
                <w:szCs w:val="18"/>
                <w:color w:val="0000FF"/>
                <w:w w:val="92"/>
              </w:rPr>
              <w:t>and 15d-14(a) under the Securities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2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0"/>
              </w:rPr>
              <w:t>Exchange Act of 1934, as Adopted</w:t>
            </w: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90"/>
              </w:rPr>
              <w:t>Pursuant to Section 302 of the</w:t>
            </w:r>
          </w:p>
        </w:tc>
        <w:tc>
          <w:tcPr>
            <w:tcW w:w="3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gridSpan w:val="13"/>
          </w:tcPr>
          <w:p>
            <w:pPr>
              <w:spacing w:after="0" w:line="169" w:lineRule="exact"/>
              <w:rPr>
                <w:sz w:val="20"/>
                <w:szCs w:val="20"/>
                <w:color w:val="auto"/>
              </w:rPr>
            </w:pPr>
            <w:r>
              <w:rPr>
                <w:rFonts w:ascii="Arial" w:cs="Arial" w:eastAsia="Arial" w:hAnsi="Arial"/>
                <w:sz w:val="18"/>
                <w:szCs w:val="18"/>
                <w:color w:val="0000FF"/>
                <w:w w:val="94"/>
              </w:rPr>
              <w:t>Sarbanes-Oxley Act of 2002.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32.1†</w:t>
            </w:r>
          </w:p>
        </w:tc>
        <w:tc>
          <w:tcPr>
            <w:tcW w:w="2600" w:type="dxa"/>
            <w:vAlign w:val="bottom"/>
            <w:gridSpan w:val="21"/>
          </w:tcPr>
          <w:p>
            <w:pPr>
              <w:spacing w:after="0"/>
              <w:rPr>
                <w:sz w:val="20"/>
                <w:szCs w:val="20"/>
                <w:color w:val="auto"/>
              </w:rPr>
            </w:pPr>
            <w:r>
              <w:rPr>
                <w:rFonts w:ascii="Arial" w:cs="Arial" w:eastAsia="Arial" w:hAnsi="Arial"/>
                <w:sz w:val="18"/>
                <w:szCs w:val="18"/>
                <w:color w:val="0000FF"/>
                <w:w w:val="94"/>
              </w:rPr>
              <w:t>Certification of Principal Executive</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8"/>
                <w:szCs w:val="18"/>
                <w:color w:val="0000FF"/>
              </w:rPr>
              <w:t>Officer and Principal Financial</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1"/>
              </w:rPr>
              <w:t>Officer Pursuant to 18 U.S.C.</w:t>
            </w:r>
          </w:p>
        </w:tc>
        <w:tc>
          <w:tcPr>
            <w:tcW w:w="100" w:type="dxa"/>
            <w:vAlign w:val="bottom"/>
            <w:tcBorders>
              <w:top w:val="single" w:sz="8" w:color="0000FF"/>
            </w:tcBorders>
            <w:gridSpan w:val="4"/>
          </w:tcPr>
          <w:p>
            <w:pPr>
              <w:spacing w:after="0"/>
              <w:rPr>
                <w:sz w:val="14"/>
                <w:szCs w:val="14"/>
                <w:color w:val="auto"/>
              </w:rPr>
            </w:pPr>
          </w:p>
        </w:tc>
        <w:tc>
          <w:tcPr>
            <w:tcW w:w="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0" w:type="dxa"/>
            <w:vAlign w:val="bottom"/>
            <w:gridSpan w:val="21"/>
          </w:tcPr>
          <w:p>
            <w:pPr>
              <w:spacing w:after="0" w:line="169" w:lineRule="exact"/>
              <w:rPr>
                <w:sz w:val="20"/>
                <w:szCs w:val="20"/>
                <w:color w:val="auto"/>
              </w:rPr>
            </w:pPr>
            <w:r>
              <w:rPr>
                <w:rFonts w:ascii="Arial" w:cs="Arial" w:eastAsia="Arial" w:hAnsi="Arial"/>
                <w:sz w:val="18"/>
                <w:szCs w:val="18"/>
                <w:color w:val="0000FF"/>
                <w:w w:val="91"/>
              </w:rPr>
              <w:t>Section 1350, as Adopted Pursuant</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40" w:type="dxa"/>
            <w:vAlign w:val="bottom"/>
            <w:tcBorders>
              <w:top w:val="single" w:sz="8" w:color="0000FF"/>
              <w:bottom w:val="single" w:sz="8" w:color="0000FF"/>
            </w:tcBorders>
            <w:gridSpan w:val="14"/>
          </w:tcPr>
          <w:p>
            <w:pPr>
              <w:spacing w:after="0" w:line="169" w:lineRule="exact"/>
              <w:rPr>
                <w:sz w:val="20"/>
                <w:szCs w:val="20"/>
                <w:color w:val="auto"/>
              </w:rPr>
            </w:pPr>
            <w:r>
              <w:rPr>
                <w:rFonts w:ascii="Arial" w:cs="Arial" w:eastAsia="Arial" w:hAnsi="Arial"/>
                <w:sz w:val="18"/>
                <w:szCs w:val="18"/>
                <w:color w:val="0000FF"/>
                <w:w w:val="87"/>
              </w:rPr>
              <w:t>to Section 906 of the Sarbanes-</w:t>
            </w:r>
          </w:p>
        </w:tc>
        <w:tc>
          <w:tcPr>
            <w:tcW w:w="3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40" w:type="dxa"/>
            <w:vAlign w:val="bottom"/>
            <w:gridSpan w:val="14"/>
          </w:tcPr>
          <w:p>
            <w:pPr>
              <w:spacing w:after="0" w:line="169" w:lineRule="exact"/>
              <w:rPr>
                <w:sz w:val="20"/>
                <w:szCs w:val="20"/>
                <w:color w:val="auto"/>
              </w:rPr>
            </w:pPr>
            <w:r>
              <w:rPr>
                <w:rFonts w:ascii="Arial" w:cs="Arial" w:eastAsia="Arial" w:hAnsi="Arial"/>
                <w:sz w:val="18"/>
                <w:szCs w:val="18"/>
                <w:color w:val="0000FF"/>
              </w:rPr>
              <w:t>Oxley Act of 2002.</w:t>
            </w:r>
          </w:p>
        </w:tc>
        <w:tc>
          <w:tcPr>
            <w:tcW w:w="360" w:type="dxa"/>
            <w:vAlign w:val="bottom"/>
            <w:gridSpan w:val="7"/>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1200" w:type="dxa"/>
            <w:vAlign w:val="bottom"/>
            <w:gridSpan w:val="16"/>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101.INS*</w:t>
            </w:r>
          </w:p>
        </w:tc>
        <w:tc>
          <w:tcPr>
            <w:tcW w:w="2600" w:type="dxa"/>
            <w:vAlign w:val="bottom"/>
            <w:gridSpan w:val="21"/>
          </w:tcPr>
          <w:p>
            <w:pPr>
              <w:spacing w:after="0"/>
              <w:rPr>
                <w:sz w:val="20"/>
                <w:szCs w:val="20"/>
                <w:color w:val="auto"/>
              </w:rPr>
            </w:pPr>
            <w:r>
              <w:rPr>
                <w:rFonts w:ascii="Arial" w:cs="Arial" w:eastAsia="Arial" w:hAnsi="Arial"/>
                <w:sz w:val="18"/>
                <w:szCs w:val="18"/>
                <w:color w:val="auto"/>
                <w:w w:val="95"/>
              </w:rPr>
              <w:t>Inline XBRL Instance Document –</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0" w:type="dxa"/>
            <w:vAlign w:val="bottom"/>
            <w:gridSpan w:val="21"/>
          </w:tcPr>
          <w:p>
            <w:pPr>
              <w:spacing w:after="0" w:line="189" w:lineRule="exact"/>
              <w:rPr>
                <w:sz w:val="20"/>
                <w:szCs w:val="20"/>
                <w:color w:val="auto"/>
              </w:rPr>
            </w:pPr>
            <w:r>
              <w:rPr>
                <w:rFonts w:ascii="Arial" w:cs="Arial" w:eastAsia="Arial" w:hAnsi="Arial"/>
                <w:sz w:val="18"/>
                <w:szCs w:val="18"/>
                <w:color w:val="auto"/>
              </w:rPr>
              <w:t>the instance document does not</w:t>
            </w:r>
          </w:p>
        </w:tc>
        <w:tc>
          <w:tcPr>
            <w:tcW w:w="1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0" w:type="dxa"/>
            <w:vAlign w:val="bottom"/>
            <w:gridSpan w:val="21"/>
          </w:tcPr>
          <w:p>
            <w:pPr>
              <w:spacing w:after="0" w:line="189" w:lineRule="exact"/>
              <w:rPr>
                <w:sz w:val="20"/>
                <w:szCs w:val="20"/>
                <w:color w:val="auto"/>
              </w:rPr>
            </w:pPr>
            <w:r>
              <w:rPr>
                <w:rFonts w:ascii="Arial" w:cs="Arial" w:eastAsia="Arial" w:hAnsi="Arial"/>
                <w:sz w:val="18"/>
                <w:szCs w:val="18"/>
                <w:color w:val="auto"/>
                <w:w w:val="95"/>
              </w:rPr>
              <w:t>appear in the Interactive Data File</w:t>
            </w:r>
          </w:p>
        </w:tc>
        <w:tc>
          <w:tcPr>
            <w:tcW w:w="1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0" w:type="dxa"/>
            <w:vAlign w:val="bottom"/>
            <w:gridSpan w:val="21"/>
          </w:tcPr>
          <w:p>
            <w:pPr>
              <w:spacing w:after="0" w:line="189" w:lineRule="exact"/>
              <w:rPr>
                <w:sz w:val="20"/>
                <w:szCs w:val="20"/>
                <w:color w:val="auto"/>
              </w:rPr>
            </w:pPr>
            <w:r>
              <w:rPr>
                <w:rFonts w:ascii="Arial" w:cs="Arial" w:eastAsia="Arial" w:hAnsi="Arial"/>
                <w:sz w:val="18"/>
                <w:szCs w:val="18"/>
                <w:color w:val="auto"/>
                <w:w w:val="92"/>
              </w:rPr>
              <w:t>because XBRL tags are embedded</w:t>
            </w:r>
          </w:p>
        </w:tc>
        <w:tc>
          <w:tcPr>
            <w:tcW w:w="1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0" w:type="dxa"/>
            <w:vAlign w:val="bottom"/>
            <w:gridSpan w:val="21"/>
          </w:tcPr>
          <w:p>
            <w:pPr>
              <w:spacing w:after="0"/>
              <w:rPr>
                <w:sz w:val="20"/>
                <w:szCs w:val="20"/>
                <w:color w:val="auto"/>
              </w:rPr>
            </w:pPr>
            <w:r>
              <w:rPr>
                <w:rFonts w:ascii="Arial" w:cs="Arial" w:eastAsia="Arial" w:hAnsi="Arial"/>
                <w:sz w:val="18"/>
                <w:szCs w:val="18"/>
                <w:color w:val="auto"/>
                <w:w w:val="97"/>
              </w:rPr>
              <w:t>within the Inline XBRL document.</w:t>
            </w: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101.SCH*</w:t>
            </w:r>
          </w:p>
        </w:tc>
        <w:tc>
          <w:tcPr>
            <w:tcW w:w="2600" w:type="dxa"/>
            <w:vAlign w:val="bottom"/>
            <w:gridSpan w:val="21"/>
          </w:tcPr>
          <w:p>
            <w:pPr>
              <w:spacing w:after="0"/>
              <w:rPr>
                <w:sz w:val="20"/>
                <w:szCs w:val="20"/>
                <w:color w:val="auto"/>
              </w:rPr>
            </w:pPr>
            <w:r>
              <w:rPr>
                <w:rFonts w:ascii="Arial" w:cs="Arial" w:eastAsia="Arial" w:hAnsi="Arial"/>
                <w:sz w:val="18"/>
                <w:szCs w:val="18"/>
                <w:color w:val="auto"/>
                <w:w w:val="96"/>
              </w:rPr>
              <w:t>Inline XBRL Taxonomy Extension</w:t>
            </w:r>
          </w:p>
        </w:tc>
        <w:tc>
          <w:tcPr>
            <w:tcW w:w="13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0" w:type="dxa"/>
            <w:vAlign w:val="bottom"/>
            <w:gridSpan w:val="21"/>
          </w:tcPr>
          <w:p>
            <w:pPr>
              <w:spacing w:after="0"/>
              <w:rPr>
                <w:sz w:val="20"/>
                <w:szCs w:val="20"/>
                <w:color w:val="auto"/>
              </w:rPr>
            </w:pPr>
            <w:r>
              <w:rPr>
                <w:rFonts w:ascii="Arial" w:cs="Arial" w:eastAsia="Arial" w:hAnsi="Arial"/>
                <w:sz w:val="18"/>
                <w:szCs w:val="18"/>
                <w:color w:val="auto"/>
              </w:rPr>
              <w:t>Schema Document</w:t>
            </w: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101.CAL*</w:t>
            </w:r>
          </w:p>
        </w:tc>
        <w:tc>
          <w:tcPr>
            <w:tcW w:w="2600" w:type="dxa"/>
            <w:vAlign w:val="bottom"/>
            <w:gridSpan w:val="21"/>
          </w:tcPr>
          <w:p>
            <w:pPr>
              <w:spacing w:after="0"/>
              <w:rPr>
                <w:sz w:val="20"/>
                <w:szCs w:val="20"/>
                <w:color w:val="auto"/>
              </w:rPr>
            </w:pPr>
            <w:r>
              <w:rPr>
                <w:rFonts w:ascii="Arial" w:cs="Arial" w:eastAsia="Arial" w:hAnsi="Arial"/>
                <w:sz w:val="18"/>
                <w:szCs w:val="18"/>
                <w:color w:val="auto"/>
                <w:w w:val="96"/>
              </w:rPr>
              <w:t>Inline XBRL Taxonomy Extension</w:t>
            </w:r>
          </w:p>
        </w:tc>
        <w:tc>
          <w:tcPr>
            <w:tcW w:w="13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0" w:type="dxa"/>
            <w:vAlign w:val="bottom"/>
            <w:gridSpan w:val="21"/>
          </w:tcPr>
          <w:p>
            <w:pPr>
              <w:spacing w:after="0"/>
              <w:rPr>
                <w:sz w:val="20"/>
                <w:szCs w:val="20"/>
                <w:color w:val="auto"/>
              </w:rPr>
            </w:pPr>
            <w:r>
              <w:rPr>
                <w:rFonts w:ascii="Arial" w:cs="Arial" w:eastAsia="Arial" w:hAnsi="Arial"/>
                <w:sz w:val="18"/>
                <w:szCs w:val="18"/>
                <w:color w:val="auto"/>
              </w:rPr>
              <w:t>Calculation Linkbase Document</w:t>
            </w: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101.DEF*</w:t>
            </w:r>
          </w:p>
        </w:tc>
        <w:tc>
          <w:tcPr>
            <w:tcW w:w="2600" w:type="dxa"/>
            <w:vAlign w:val="bottom"/>
            <w:gridSpan w:val="21"/>
          </w:tcPr>
          <w:p>
            <w:pPr>
              <w:spacing w:after="0"/>
              <w:rPr>
                <w:sz w:val="20"/>
                <w:szCs w:val="20"/>
                <w:color w:val="auto"/>
              </w:rPr>
            </w:pPr>
            <w:r>
              <w:rPr>
                <w:rFonts w:ascii="Arial" w:cs="Arial" w:eastAsia="Arial" w:hAnsi="Arial"/>
                <w:sz w:val="18"/>
                <w:szCs w:val="18"/>
                <w:color w:val="auto"/>
                <w:w w:val="96"/>
              </w:rPr>
              <w:t>Inline XBRL Taxonomy Extension</w:t>
            </w:r>
          </w:p>
        </w:tc>
        <w:tc>
          <w:tcPr>
            <w:tcW w:w="13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0" w:type="dxa"/>
            <w:vAlign w:val="bottom"/>
            <w:gridSpan w:val="21"/>
          </w:tcPr>
          <w:p>
            <w:pPr>
              <w:spacing w:after="0"/>
              <w:rPr>
                <w:sz w:val="20"/>
                <w:szCs w:val="20"/>
                <w:color w:val="auto"/>
              </w:rPr>
            </w:pPr>
            <w:r>
              <w:rPr>
                <w:rFonts w:ascii="Arial" w:cs="Arial" w:eastAsia="Arial" w:hAnsi="Arial"/>
                <w:sz w:val="18"/>
                <w:szCs w:val="18"/>
                <w:color w:val="auto"/>
              </w:rPr>
              <w:t>Definition Linkbase Document</w:t>
            </w: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3"/>
                <w:szCs w:val="23"/>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101.LAB*</w:t>
            </w:r>
          </w:p>
        </w:tc>
        <w:tc>
          <w:tcPr>
            <w:tcW w:w="2600" w:type="dxa"/>
            <w:vAlign w:val="bottom"/>
            <w:gridSpan w:val="21"/>
          </w:tcPr>
          <w:p>
            <w:pPr>
              <w:spacing w:after="0"/>
              <w:rPr>
                <w:sz w:val="20"/>
                <w:szCs w:val="20"/>
                <w:color w:val="auto"/>
              </w:rPr>
            </w:pPr>
            <w:r>
              <w:rPr>
                <w:rFonts w:ascii="Arial" w:cs="Arial" w:eastAsia="Arial" w:hAnsi="Arial"/>
                <w:sz w:val="18"/>
                <w:szCs w:val="18"/>
                <w:color w:val="auto"/>
                <w:w w:val="96"/>
              </w:rPr>
              <w:t>Inline XBRL Taxonomy Extension</w:t>
            </w:r>
          </w:p>
        </w:tc>
        <w:tc>
          <w:tcPr>
            <w:tcW w:w="13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0" w:type="dxa"/>
            <w:vAlign w:val="bottom"/>
            <w:gridSpan w:val="21"/>
          </w:tcPr>
          <w:p>
            <w:pPr>
              <w:spacing w:after="0"/>
              <w:rPr>
                <w:sz w:val="20"/>
                <w:szCs w:val="20"/>
                <w:color w:val="auto"/>
              </w:rPr>
            </w:pPr>
            <w:r>
              <w:rPr>
                <w:rFonts w:ascii="Arial" w:cs="Arial" w:eastAsia="Arial" w:hAnsi="Arial"/>
                <w:sz w:val="18"/>
                <w:szCs w:val="18"/>
                <w:color w:val="auto"/>
              </w:rPr>
              <w:t>Label Linkbase Document</w:t>
            </w: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5" w:name="page86"/>
    <w:bookmarkEnd w:id="85"/>
    <w:p>
      <w:pPr>
        <w:ind w:left="5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Presentation Linkbase Document</w:t>
      </w:r>
    </w:p>
    <w:p>
      <w:pPr>
        <w:spacing w:after="0" w:line="99" w:lineRule="exact"/>
        <w:rPr>
          <w:sz w:val="20"/>
          <w:szCs w:val="20"/>
          <w:color w:val="auto"/>
        </w:rPr>
      </w:pPr>
    </w:p>
    <w:p>
      <w:pPr>
        <w:sectPr>
          <w:pgSz w:w="11900" w:h="16838" w:orient="portrait"/>
          <w:cols w:equalWidth="0" w:num="2">
            <w:col w:w="1600" w:space="720"/>
            <w:col w:w="7819"/>
          </w:cols>
          <w:pgMar w:left="320" w:top="314" w:right="1440" w:bottom="1440" w:gutter="0" w:footer="0" w:header="0"/>
        </w:sectPr>
      </w:pPr>
    </w:p>
    <w:p>
      <w:pPr>
        <w:ind w:left="52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(formatted as inline XBRL with</w:t>
      </w:r>
    </w:p>
    <w:p>
      <w:pPr>
        <w:spacing w:after="0" w:line="232" w:lineRule="auto"/>
        <w:rPr>
          <w:sz w:val="20"/>
          <w:szCs w:val="20"/>
          <w:color w:val="auto"/>
        </w:rPr>
      </w:pPr>
      <w:r>
        <w:rPr>
          <w:rFonts w:ascii="Arial" w:cs="Arial" w:eastAsia="Arial" w:hAnsi="Arial"/>
          <w:sz w:val="17"/>
          <w:szCs w:val="17"/>
          <w:color w:val="auto"/>
        </w:rPr>
        <w:t>applicable taxonomy extension</w:t>
      </w:r>
    </w:p>
    <w:p>
      <w:pPr>
        <w:spacing w:after="0"/>
        <w:rPr>
          <w:sz w:val="20"/>
          <w:szCs w:val="20"/>
          <w:color w:val="auto"/>
        </w:rPr>
      </w:pPr>
      <w:r>
        <w:rPr>
          <w:rFonts w:ascii="Arial" w:cs="Arial" w:eastAsia="Arial" w:hAnsi="Arial"/>
          <w:sz w:val="16"/>
          <w:szCs w:val="16"/>
          <w:color w:val="auto"/>
        </w:rPr>
        <w:t>information contained in Exhibits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ectPr>
          <w:pgSz w:w="11900" w:h="16838" w:orient="portrait"/>
          <w:cols w:equalWidth="0" w:num="2">
            <w:col w:w="1600" w:space="720"/>
            <w:col w:w="7819"/>
          </w:cols>
          <w:pgMar w:left="320" w:top="314"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ind w:right="459" w:firstLine="8"/>
        <w:spacing w:after="0" w:line="261" w:lineRule="auto"/>
        <w:tabs>
          <w:tab w:leader="none" w:pos="1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4" w:right="1440"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60" w:type="dxa"/>
            <w:vAlign w:val="bottom"/>
            <w:gridSpan w:val="2"/>
          </w:tcPr>
          <w:p>
            <w:pPr>
              <w:ind w:left="1880"/>
              <w:spacing w:after="0"/>
              <w:rPr>
                <w:sz w:val="20"/>
                <w:szCs w:val="20"/>
                <w:color w:val="auto"/>
              </w:rPr>
            </w:pPr>
            <w:r>
              <w:rPr>
                <w:rFonts w:ascii="Arial" w:cs="Arial" w:eastAsia="Arial" w:hAnsi="Arial"/>
                <w:sz w:val="18"/>
                <w:szCs w:val="18"/>
                <w:color w:val="auto"/>
              </w:rPr>
              <w:t>Tenaya Therapeutics, Inc.</w:t>
            </w:r>
          </w:p>
        </w:tc>
      </w:tr>
      <w:tr>
        <w:trPr>
          <w:trHeight w:val="405"/>
        </w:trPr>
        <w:tc>
          <w:tcPr>
            <w:tcW w:w="3760" w:type="dxa"/>
            <w:vAlign w:val="bottom"/>
          </w:tcPr>
          <w:p>
            <w:pPr>
              <w:spacing w:after="0"/>
              <w:rPr>
                <w:sz w:val="20"/>
                <w:szCs w:val="20"/>
                <w:color w:val="auto"/>
              </w:rPr>
            </w:pPr>
            <w:r>
              <w:rPr>
                <w:rFonts w:ascii="Arial" w:cs="Arial" w:eastAsia="Arial" w:hAnsi="Arial"/>
                <w:sz w:val="18"/>
                <w:szCs w:val="18"/>
                <w:color w:val="auto"/>
              </w:rPr>
              <w:t>Date: November 10, 2022</w:t>
            </w:r>
          </w:p>
        </w:tc>
        <w:tc>
          <w:tcPr>
            <w:tcW w:w="2180" w:type="dxa"/>
            <w:vAlign w:val="bottom"/>
          </w:tcPr>
          <w:p>
            <w:pPr>
              <w:ind w:left="18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Faraz Ali, M.B.A.</w:t>
            </w:r>
          </w:p>
        </w:tc>
      </w:tr>
      <w:tr>
        <w:trPr>
          <w:trHeight w:val="168"/>
        </w:trPr>
        <w:tc>
          <w:tcPr>
            <w:tcW w:w="3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280" w:type="dxa"/>
            <w:vAlign w:val="bottom"/>
          </w:tcPr>
          <w:p>
            <w:pPr>
              <w:jc w:val="center"/>
              <w:spacing w:after="0" w:line="168" w:lineRule="exact"/>
              <w:rPr>
                <w:sz w:val="20"/>
                <w:szCs w:val="20"/>
                <w:color w:val="auto"/>
              </w:rPr>
            </w:pPr>
            <w:r>
              <w:rPr>
                <w:rFonts w:ascii="Arial" w:cs="Arial" w:eastAsia="Arial" w:hAnsi="Arial"/>
                <w:sz w:val="18"/>
                <w:szCs w:val="18"/>
                <w:color w:val="auto"/>
                <w:w w:val="97"/>
              </w:rPr>
              <w:t>Faraz Ali, M.B.A.</w:t>
            </w:r>
          </w:p>
        </w:tc>
      </w:tr>
      <w:tr>
        <w:trPr>
          <w:trHeight w:val="189"/>
        </w:trPr>
        <w:tc>
          <w:tcPr>
            <w:tcW w:w="3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05"/>
        </w:trPr>
        <w:tc>
          <w:tcPr>
            <w:tcW w:w="3760" w:type="dxa"/>
            <w:vAlign w:val="bottom"/>
          </w:tcPr>
          <w:p>
            <w:pPr>
              <w:spacing w:after="0"/>
              <w:rPr>
                <w:sz w:val="20"/>
                <w:szCs w:val="20"/>
                <w:color w:val="auto"/>
              </w:rPr>
            </w:pPr>
            <w:r>
              <w:rPr>
                <w:rFonts w:ascii="Arial" w:cs="Arial" w:eastAsia="Arial" w:hAnsi="Arial"/>
                <w:sz w:val="18"/>
                <w:szCs w:val="18"/>
                <w:color w:val="auto"/>
              </w:rPr>
              <w:t>Date: November 10, 2022</w:t>
            </w:r>
          </w:p>
        </w:tc>
        <w:tc>
          <w:tcPr>
            <w:tcW w:w="2180" w:type="dxa"/>
            <w:vAlign w:val="bottom"/>
          </w:tcPr>
          <w:p>
            <w:pPr>
              <w:ind w:left="18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Leone D. Patterson, M.B.A.</w:t>
            </w:r>
          </w:p>
        </w:tc>
      </w:tr>
      <w:tr>
        <w:trPr>
          <w:trHeight w:val="168"/>
        </w:trPr>
        <w:tc>
          <w:tcPr>
            <w:tcW w:w="3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280" w:type="dxa"/>
            <w:vAlign w:val="bottom"/>
          </w:tcPr>
          <w:p>
            <w:pPr>
              <w:jc w:val="center"/>
              <w:spacing w:after="0" w:line="168" w:lineRule="exact"/>
              <w:rPr>
                <w:sz w:val="20"/>
                <w:szCs w:val="20"/>
                <w:color w:val="auto"/>
              </w:rPr>
            </w:pPr>
            <w:r>
              <w:rPr>
                <w:rFonts w:ascii="Arial" w:cs="Arial" w:eastAsia="Arial" w:hAnsi="Arial"/>
                <w:sz w:val="18"/>
                <w:szCs w:val="18"/>
                <w:color w:val="auto"/>
                <w:w w:val="92"/>
              </w:rPr>
              <w:t>Leone D. Patterson, M.B.A.</w:t>
            </w:r>
          </w:p>
        </w:tc>
      </w:tr>
      <w:tr>
        <w:trPr>
          <w:trHeight w:val="205"/>
        </w:trPr>
        <w:tc>
          <w:tcPr>
            <w:tcW w:w="37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80" w:type="dxa"/>
            <w:vAlign w:val="bottom"/>
          </w:tcPr>
          <w:p>
            <w:pPr>
              <w:jc w:val="center"/>
              <w:spacing w:after="0" w:line="205" w:lineRule="exact"/>
              <w:rPr>
                <w:sz w:val="20"/>
                <w:szCs w:val="20"/>
                <w:color w:val="auto"/>
              </w:rPr>
            </w:pPr>
            <w:r>
              <w:rPr>
                <w:rFonts w:ascii="Arial" w:cs="Arial" w:eastAsia="Arial" w:hAnsi="Arial"/>
                <w:sz w:val="18"/>
                <w:szCs w:val="18"/>
                <w:color w:val="auto"/>
                <w:w w:val="92"/>
              </w:rPr>
              <w:t>Chief Financial and Business Officer</w:t>
            </w:r>
          </w:p>
        </w:tc>
      </w:tr>
    </w:tbl>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jc w:val="center"/>
        <w:ind w:right="-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11" w:lineRule="exact"/>
        <w:rPr>
          <w:rFonts w:ascii="Arial" w:cs="Arial" w:eastAsia="Arial" w:hAnsi="Arial"/>
          <w:sz w:val="18"/>
          <w:szCs w:val="18"/>
          <w:color w:val="auto"/>
        </w:rPr>
      </w:pPr>
    </w:p>
    <w:p>
      <w:pPr>
        <w:jc w:val="both"/>
        <w:ind w:left="380" w:right="360" w:hanging="372"/>
        <w:spacing w:after="0" w:line="248"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380" w:right="320" w:hanging="372"/>
        <w:spacing w:after="0" w:line="291"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360" w:hanging="372"/>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rFonts w:ascii="Arial" w:cs="Arial" w:eastAsia="Arial" w:hAnsi="Arial"/>
          <w:sz w:val="18"/>
          <w:szCs w:val="18"/>
          <w:color w:val="auto"/>
        </w:rPr>
      </w:pPr>
    </w:p>
    <w:p>
      <w:pPr>
        <w:ind w:left="760" w:right="240" w:hanging="378"/>
        <w:spacing w:after="0" w:line="256"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60" w:right="720" w:hanging="378"/>
        <w:spacing w:after="0" w:line="324" w:lineRule="auto"/>
        <w:tabs>
          <w:tab w:leader="none" w:pos="7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240" w:hanging="378"/>
        <w:spacing w:after="0" w:line="248"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380" w:right="40" w:hanging="372"/>
        <w:spacing w:after="0" w:line="291"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140" w:hanging="378"/>
        <w:spacing w:after="0" w:line="261"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760" w:right="100" w:hanging="378"/>
        <w:spacing w:after="0" w:line="261"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8" w:name="page89"/>
    <w:bookmarkEnd w:id="88"/>
    <w:p>
      <w:pPr>
        <w:ind w:left="5980"/>
        <w:spacing w:after="0"/>
        <w:rPr>
          <w:sz w:val="20"/>
          <w:szCs w:val="20"/>
          <w:color w:val="auto"/>
        </w:rPr>
      </w:pPr>
      <w:r>
        <w:rPr>
          <w:rFonts w:ascii="Arial" w:cs="Arial" w:eastAsia="Arial" w:hAnsi="Arial"/>
          <w:sz w:val="18"/>
          <w:szCs w:val="18"/>
          <w:color w:val="auto"/>
        </w:rPr>
        <w:t>TENAYA THERAPEUTICS,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ind w:left="59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Faraz Ali, M.B.A.</w:t>
            </w:r>
          </w:p>
        </w:tc>
      </w:tr>
      <w:tr>
        <w:trPr>
          <w:trHeight w:val="250"/>
        </w:trPr>
        <w:tc>
          <w:tcPr>
            <w:tcW w:w="6700" w:type="dxa"/>
            <w:vAlign w:val="bottom"/>
          </w:tcPr>
          <w:p>
            <w:pPr>
              <w:ind w:left="5980"/>
              <w:spacing w:after="0"/>
              <w:rPr>
                <w:sz w:val="20"/>
                <w:szCs w:val="20"/>
                <w:color w:val="auto"/>
              </w:rPr>
            </w:pPr>
            <w:r>
              <w:rPr>
                <w:rFonts w:ascii="Arial" w:cs="Arial" w:eastAsia="Arial" w:hAnsi="Arial"/>
                <w:sz w:val="18"/>
                <w:szCs w:val="18"/>
                <w:color w:val="auto"/>
              </w:rPr>
              <w:t>Name:</w:t>
            </w:r>
          </w:p>
        </w:tc>
        <w:tc>
          <w:tcPr>
            <w:tcW w:w="4540" w:type="dxa"/>
            <w:vAlign w:val="bottom"/>
          </w:tcPr>
          <w:p>
            <w:pPr>
              <w:ind w:left="40"/>
              <w:spacing w:after="0"/>
              <w:rPr>
                <w:sz w:val="20"/>
                <w:szCs w:val="20"/>
                <w:color w:val="auto"/>
              </w:rPr>
            </w:pPr>
            <w:r>
              <w:rPr>
                <w:rFonts w:ascii="Arial" w:cs="Arial" w:eastAsia="Arial" w:hAnsi="Arial"/>
                <w:sz w:val="18"/>
                <w:szCs w:val="18"/>
                <w:color w:val="auto"/>
              </w:rPr>
              <w:t>Faraz Ali, M.B.A.</w:t>
            </w:r>
          </w:p>
        </w:tc>
      </w:tr>
      <w:tr>
        <w:trPr>
          <w:trHeight w:val="229"/>
        </w:trPr>
        <w:tc>
          <w:tcPr>
            <w:tcW w:w="6700" w:type="dxa"/>
            <w:vAlign w:val="bottom"/>
          </w:tcPr>
          <w:p>
            <w:pPr>
              <w:ind w:left="5980"/>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w w:val="99"/>
              </w:rPr>
              <w:t xml:space="preserve">Chief Executive Officer and Director </w:t>
            </w:r>
            <w:r>
              <w:rPr>
                <w:rFonts w:ascii="Arial" w:cs="Arial" w:eastAsia="Arial" w:hAnsi="Arial"/>
                <w:sz w:val="18"/>
                <w:szCs w:val="18"/>
                <w:i w:val="1"/>
                <w:iCs w:val="1"/>
                <w:color w:val="auto"/>
                <w:w w:val="99"/>
              </w:rPr>
              <w:t>(Principal Executive</w:t>
            </w:r>
          </w:p>
        </w:tc>
      </w:tr>
      <w:tr>
        <w:trPr>
          <w:trHeight w:val="230"/>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Officer)</w:t>
            </w:r>
          </w:p>
        </w:tc>
      </w:tr>
      <w:tr>
        <w:trPr>
          <w:trHeight w:val="547"/>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jc w:val="center"/>
        <w:ind w:right="-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Leone D. Patterson, M.B.A., certify that:</w:t>
      </w:r>
    </w:p>
    <w:p>
      <w:pPr>
        <w:spacing w:after="0" w:line="225"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11" w:lineRule="exact"/>
        <w:rPr>
          <w:rFonts w:ascii="Arial" w:cs="Arial" w:eastAsia="Arial" w:hAnsi="Arial"/>
          <w:sz w:val="18"/>
          <w:szCs w:val="18"/>
          <w:color w:val="auto"/>
        </w:rPr>
      </w:pPr>
    </w:p>
    <w:p>
      <w:pPr>
        <w:jc w:val="both"/>
        <w:ind w:left="380" w:right="360" w:hanging="372"/>
        <w:spacing w:after="0" w:line="248"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380" w:right="320" w:hanging="372"/>
        <w:spacing w:after="0" w:line="291"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360" w:hanging="372"/>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rFonts w:ascii="Arial" w:cs="Arial" w:eastAsia="Arial" w:hAnsi="Arial"/>
          <w:sz w:val="18"/>
          <w:szCs w:val="18"/>
          <w:color w:val="auto"/>
        </w:rPr>
      </w:pPr>
    </w:p>
    <w:p>
      <w:pPr>
        <w:ind w:left="760" w:right="240" w:hanging="378"/>
        <w:spacing w:after="0" w:line="256"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60" w:right="720" w:hanging="378"/>
        <w:spacing w:after="0" w:line="324" w:lineRule="auto"/>
        <w:tabs>
          <w:tab w:leader="none" w:pos="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240" w:hanging="378"/>
        <w:spacing w:after="0" w:line="248"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380" w:right="40" w:hanging="372"/>
        <w:spacing w:after="0" w:line="291"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140" w:hanging="378"/>
        <w:spacing w:after="0" w:line="261"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760" w:right="100" w:hanging="378"/>
        <w:spacing w:after="0" w:line="261"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90" w:name="page91"/>
    <w:bookmarkEnd w:id="90"/>
    <w:p>
      <w:pPr>
        <w:ind w:left="5980"/>
        <w:spacing w:after="0"/>
        <w:rPr>
          <w:sz w:val="20"/>
          <w:szCs w:val="20"/>
          <w:color w:val="auto"/>
        </w:rPr>
      </w:pPr>
      <w:r>
        <w:rPr>
          <w:rFonts w:ascii="Arial" w:cs="Arial" w:eastAsia="Arial" w:hAnsi="Arial"/>
          <w:sz w:val="18"/>
          <w:szCs w:val="18"/>
          <w:color w:val="auto"/>
        </w:rPr>
        <w:t>TENAYA THERAPEUTICS,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ind w:left="59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Leone D. Patterson, M.B.A.</w:t>
            </w:r>
          </w:p>
        </w:tc>
      </w:tr>
      <w:tr>
        <w:trPr>
          <w:trHeight w:val="250"/>
        </w:trPr>
        <w:tc>
          <w:tcPr>
            <w:tcW w:w="6700" w:type="dxa"/>
            <w:vAlign w:val="bottom"/>
          </w:tcPr>
          <w:p>
            <w:pPr>
              <w:ind w:left="5980"/>
              <w:spacing w:after="0"/>
              <w:rPr>
                <w:sz w:val="20"/>
                <w:szCs w:val="20"/>
                <w:color w:val="auto"/>
              </w:rPr>
            </w:pPr>
            <w:r>
              <w:rPr>
                <w:rFonts w:ascii="Arial" w:cs="Arial" w:eastAsia="Arial" w:hAnsi="Arial"/>
                <w:sz w:val="18"/>
                <w:szCs w:val="18"/>
                <w:color w:val="auto"/>
              </w:rPr>
              <w:t>Name:</w:t>
            </w:r>
          </w:p>
        </w:tc>
        <w:tc>
          <w:tcPr>
            <w:tcW w:w="4540" w:type="dxa"/>
            <w:vAlign w:val="bottom"/>
          </w:tcPr>
          <w:p>
            <w:pPr>
              <w:ind w:left="40"/>
              <w:spacing w:after="0"/>
              <w:rPr>
                <w:sz w:val="20"/>
                <w:szCs w:val="20"/>
                <w:color w:val="auto"/>
              </w:rPr>
            </w:pPr>
            <w:r>
              <w:rPr>
                <w:rFonts w:ascii="Arial" w:cs="Arial" w:eastAsia="Arial" w:hAnsi="Arial"/>
                <w:sz w:val="18"/>
                <w:szCs w:val="18"/>
                <w:color w:val="auto"/>
              </w:rPr>
              <w:t>Leone D. Patterson, M.B.A.</w:t>
            </w:r>
          </w:p>
        </w:tc>
      </w:tr>
      <w:tr>
        <w:trPr>
          <w:trHeight w:val="229"/>
        </w:trPr>
        <w:tc>
          <w:tcPr>
            <w:tcW w:w="6700" w:type="dxa"/>
            <w:vAlign w:val="bottom"/>
          </w:tcPr>
          <w:p>
            <w:pPr>
              <w:ind w:left="5980"/>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rPr>
              <w:t>Chief Financial and Business Officer</w:t>
            </w:r>
          </w:p>
        </w:tc>
      </w:tr>
      <w:tr>
        <w:trPr>
          <w:trHeight w:val="230"/>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47"/>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PURSUANT TO</w:t>
      </w:r>
    </w:p>
    <w:p>
      <w:pPr>
        <w:ind w:left="4720"/>
        <w:spacing w:after="0" w:line="235" w:lineRule="auto"/>
        <w:rPr>
          <w:sz w:val="20"/>
          <w:szCs w:val="20"/>
          <w:color w:val="auto"/>
        </w:rPr>
      </w:pPr>
      <w:r>
        <w:rPr>
          <w:rFonts w:ascii="Arial" w:cs="Arial" w:eastAsia="Arial" w:hAnsi="Arial"/>
          <w:sz w:val="16"/>
          <w:szCs w:val="16"/>
          <w:b w:val="1"/>
          <w:bCs w:val="1"/>
          <w:color w:val="auto"/>
        </w:rPr>
        <w:t>18 U.S.C. SECTION 1350,</w:t>
      </w: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 Faraz Ali, M.B.A., certify, pursuant to 18 U.S.C. Section 1350 as adopted pursuant to Section 906 of the Sarbanes-Oxley Act of 2002, that, (1) the Quarterly Report on Form 10-Q of Tenaya Therapeutics, Inc. for the quarterly period ended September 30, 2022, as filed with the Securities and Exchange Commission on the date hereof (the “Report”), fully complies with the requirements of Section 13(a) or 15(d) of the Securities Exchange Act of 1934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 the information contained in the Report fairly presents, in all material respects, the financial condition and results of operations of the Company.</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Faraz Ali, M.B.A.</w:t>
      </w:r>
    </w:p>
    <w:p>
      <w:pPr>
        <w:spacing w:after="0" w:line="3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Director</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ind w:left="6320"/>
        <w:spacing w:after="0"/>
        <w:rPr>
          <w:sz w:val="20"/>
          <w:szCs w:val="20"/>
          <w:color w:val="auto"/>
        </w:rPr>
      </w:pPr>
      <w:r>
        <w:rPr>
          <w:rFonts w:ascii="Arial" w:cs="Arial" w:eastAsia="Arial" w:hAnsi="Arial"/>
          <w:sz w:val="18"/>
          <w:szCs w:val="18"/>
          <w:color w:val="auto"/>
        </w:rPr>
        <w:t>Date: November 10, 2022</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 Leone D. Patterson, M.B.A., certify, pursuant to 18 U.S.C. Section 1350 as adopted pursuant to Section 906 of the Sarbanes-Oxley Act of 2002, that, (1) the Quarterly Report on Form 10-Q of Tenaya Therapeutics, Inc. for the quarterly period ended September 30, 2022,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68"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Leone D. Patterson, M.B.A.</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and Business Officer</w:t>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abstractNum>
  <w:abstractNum w:abstractNumId="5">
    <w:nsid w:val="737B8DDC"/>
    <w:multiLevelType w:val="hybridMultilevel"/>
    <w:lvl w:ilvl="0">
      <w:lvlJc w:val="left"/>
      <w:lvlText w:val="%1."/>
      <w:numFmt w:val="decimal"/>
      <w:start w:val="3"/>
    </w:lvl>
  </w:abstractNum>
  <w:abstractNum w:abstractNumId="6">
    <w:nsid w:val="6CEAF087"/>
    <w:multiLevelType w:val="hybridMultilevel"/>
    <w:lvl w:ilvl="0">
      <w:lvlJc w:val="left"/>
      <w:lvlText w:val="%1."/>
      <w:numFmt w:val="decimal"/>
      <w:start w:val="5"/>
    </w:lvl>
  </w:abstractNum>
  <w:abstractNum w:abstractNumId="7">
    <w:nsid w:val="22221A70"/>
    <w:multiLevelType w:val="hybridMultilevel"/>
    <w:lvl w:ilvl="0">
      <w:lvlJc w:val="left"/>
      <w:lvlText w:val="%1."/>
      <w:numFmt w:val="decimal"/>
      <w:start w:val="6"/>
    </w:lvl>
  </w:abstractNum>
  <w:abstractNum w:abstractNumId="8">
    <w:nsid w:val="4516DDE9"/>
    <w:multiLevelType w:val="hybridMultilevel"/>
    <w:lvl w:ilvl="0">
      <w:lvlJc w:val="left"/>
      <w:lvlText w:val="%1."/>
      <w:numFmt w:val="decimal"/>
      <w:start w:val="7"/>
    </w:lvl>
  </w:abstractNum>
  <w:abstractNum w:abstractNumId="9">
    <w:nsid w:val="3006C83E"/>
    <w:multiLevelType w:val="hybridMultilevel"/>
    <w:lvl w:ilvl="0">
      <w:lvlJc w:val="left"/>
      <w:lvlText w:val="%1."/>
      <w:numFmt w:val="decimal"/>
      <w:start w:val="8"/>
    </w:lvl>
  </w:abstractNum>
  <w:abstractNum w:abstractNumId="10">
    <w:nsid w:val="614FD4A1"/>
    <w:multiLevelType w:val="hybridMultilevel"/>
    <w:lvl w:ilvl="0">
      <w:lvlJc w:val="left"/>
      <w:lvlText w:val="%1."/>
      <w:numFmt w:val="decimal"/>
      <w:start w:val="9"/>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lvl w:ilvl="1">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3"/>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45" Type="http://schemas.openxmlformats.org/officeDocument/2006/relationships/hyperlink" Target="https://www.sec.gov/Archives/edgar/data/1858848/000119312522217445/d298774dex12.htm" TargetMode="External"/><Relationship Id="rId246" Type="http://schemas.openxmlformats.org/officeDocument/2006/relationships/hyperlink" Target="https://www.sec.gov/Archives/edgar/data/1858848/000119312521235079/d193163dex31.htm" TargetMode="External"/><Relationship Id="rId247" Type="http://schemas.openxmlformats.org/officeDocument/2006/relationships/hyperlink" Target="https://www.sec.gov/Archives/edgar/data/1858848/000119312521235079/d19316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2022-11-10T17:45:01Z</dcterms:created>
  <dcterms:modified xsi:type="dcterms:W3CDTF">2022-11-10T17:45:01Z</dcterms:modified>
</cp:coreProperties>
</file>