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u w:val="single" w:color="auto"/>
          <w:color w:val="auto"/>
        </w:rPr>
        <w:t>Tenaya Therapeutics, Inc.</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Common Stock, $0.0001 par value per share</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87990A106</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September 30, 2024</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80" w:firstLine="4"/>
        <w:spacing w:after="0" w:line="226" w:lineRule="exact"/>
        <w:tabs>
          <w:tab w:leader="none" w:pos="150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71"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87990A106</w:t>
      </w:r>
    </w:p>
    <w:p>
      <w:pPr>
        <w:spacing w:after="0" w:line="239" w:lineRule="exact"/>
        <w:rPr>
          <w:sz w:val="20"/>
          <w:szCs w:val="20"/>
          <w:color w:val="auto"/>
        </w:rPr>
      </w:pPr>
    </w:p>
    <w:p>
      <w:pPr>
        <w:ind w:left="580" w:hanging="381"/>
        <w:spacing w:after="0"/>
        <w:tabs>
          <w:tab w:leader="none" w:pos="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580" w:right="5080"/>
        <w:spacing w:after="0" w:line="49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RA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-687070</wp:posOffset>
            </wp:positionV>
            <wp:extent cx="7132320" cy="5597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597525"/>
                    </a:xfrm>
                    <a:prstGeom prst="rect">
                      <a:avLst/>
                    </a:prstGeom>
                    <a:noFill/>
                  </pic:spPr>
                </pic:pic>
              </a:graphicData>
            </a:graphic>
          </wp:anchor>
        </w:drawing>
      </w:r>
    </w:p>
    <w:p>
      <w:pPr>
        <w:ind w:left="580" w:hanging="381"/>
        <w:spacing w:after="0"/>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jc w:val="both"/>
        <w:ind w:left="9800"/>
        <w:spacing w:after="0" w:line="207" w:lineRule="exact"/>
        <w:tabs>
          <w:tab w:leader="none" w:pos="103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9800"/>
        <w:spacing w:after="0" w:line="207" w:lineRule="exact"/>
        <w:tabs>
          <w:tab w:leader="none" w:pos="103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5" w:lineRule="exact"/>
        <w:rPr>
          <w:sz w:val="20"/>
          <w:szCs w:val="20"/>
          <w:color w:val="auto"/>
        </w:rPr>
      </w:pPr>
    </w:p>
    <w:p>
      <w:pPr>
        <w:ind w:left="580" w:hanging="381"/>
        <w:spacing w:after="0"/>
        <w:tabs>
          <w:tab w:leader="none" w:pos="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580" w:right="7000" w:hanging="381"/>
        <w:spacing w:after="0" w:line="506" w:lineRule="auto"/>
        <w:tabs>
          <w:tab w:leader="none" w:pos="5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8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r>
      <w:tr>
        <w:trPr>
          <w:trHeight w:val="432"/>
        </w:trPr>
        <w:tc>
          <w:tcPr>
            <w:tcW w:w="1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178"/>
        </w:trPr>
        <w:tc>
          <w:tcPr>
            <w:tcW w:w="1720" w:type="dxa"/>
            <w:vAlign w:val="bottom"/>
          </w:tcPr>
          <w:p>
            <w:pPr>
              <w:jc w:val="center"/>
              <w:ind w:right="37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500" w:type="dxa"/>
            <w:vAlign w:val="bottom"/>
          </w:tcPr>
          <w:p>
            <w:pPr>
              <w:jc w:val="right"/>
              <w:ind w:right="90"/>
              <w:spacing w:after="0" w:line="177" w:lineRule="exact"/>
              <w:rPr>
                <w:sz w:val="20"/>
                <w:szCs w:val="20"/>
                <w:color w:val="auto"/>
              </w:rPr>
            </w:pPr>
            <w:r>
              <w:rPr>
                <w:rFonts w:ascii="Times New Roman" w:cs="Times New Roman" w:eastAsia="Times New Roman" w:hAnsi="Times New Roman"/>
                <w:sz w:val="18"/>
                <w:szCs w:val="18"/>
                <w:b w:val="1"/>
                <w:bCs w:val="1"/>
                <w:color w:val="auto"/>
              </w:rPr>
              <w:t>6</w:t>
            </w:r>
          </w:p>
        </w:tc>
        <w:tc>
          <w:tcPr>
            <w:tcW w:w="85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r>
      <w:tr>
        <w:trPr>
          <w:trHeight w:val="216"/>
        </w:trPr>
        <w:tc>
          <w:tcPr>
            <w:tcW w:w="17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7"/>
              </w:rPr>
              <w:t>BENEFICIALLY</w:t>
            </w:r>
          </w:p>
        </w:tc>
        <w:tc>
          <w:tcPr>
            <w:tcW w:w="500" w:type="dxa"/>
            <w:vAlign w:val="bottom"/>
          </w:tcPr>
          <w:p>
            <w:pPr>
              <w:spacing w:after="0"/>
              <w:rPr>
                <w:sz w:val="18"/>
                <w:szCs w:val="18"/>
                <w:color w:val="auto"/>
              </w:rPr>
            </w:pPr>
          </w:p>
        </w:tc>
        <w:tc>
          <w:tcPr>
            <w:tcW w:w="8580" w:type="dxa"/>
            <w:vAlign w:val="bottom"/>
          </w:tcPr>
          <w:p>
            <w:pPr>
              <w:spacing w:after="0"/>
              <w:rPr>
                <w:sz w:val="18"/>
                <w:szCs w:val="18"/>
                <w:color w:val="auto"/>
              </w:rPr>
            </w:pPr>
          </w:p>
        </w:tc>
      </w:tr>
      <w:tr>
        <w:trPr>
          <w:trHeight w:val="248"/>
        </w:trPr>
        <w:tc>
          <w:tcPr>
            <w:tcW w:w="1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OWNED BY</w:t>
            </w:r>
          </w:p>
        </w:tc>
        <w:tc>
          <w:tcPr>
            <w:tcW w:w="500" w:type="dxa"/>
            <w:vAlign w:val="bottom"/>
            <w:tcBorders>
              <w:bottom w:val="single" w:sz="8" w:color="auto"/>
            </w:tcBorders>
          </w:tcPr>
          <w:p>
            <w:pPr>
              <w:spacing w:after="0"/>
              <w:rPr>
                <w:sz w:val="21"/>
                <w:szCs w:val="21"/>
                <w:color w:val="auto"/>
              </w:rPr>
            </w:pPr>
          </w:p>
        </w:tc>
        <w:tc>
          <w:tcPr>
            <w:tcW w:w="8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7,980,736</w:t>
            </w:r>
          </w:p>
        </w:tc>
      </w:tr>
      <w:tr>
        <w:trPr>
          <w:trHeight w:val="178"/>
        </w:trPr>
        <w:tc>
          <w:tcPr>
            <w:tcW w:w="1720" w:type="dxa"/>
            <w:vAlign w:val="bottom"/>
          </w:tcPr>
          <w:p>
            <w:pPr>
              <w:jc w:val="center"/>
              <w:ind w:right="37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jc w:val="right"/>
              <w:ind w:right="9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85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r>
      <w:tr>
        <w:trPr>
          <w:trHeight w:val="216"/>
        </w:trPr>
        <w:tc>
          <w:tcPr>
            <w:tcW w:w="17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tcPr>
          <w:p>
            <w:pPr>
              <w:spacing w:after="0"/>
              <w:rPr>
                <w:sz w:val="18"/>
                <w:szCs w:val="18"/>
                <w:color w:val="auto"/>
              </w:rPr>
            </w:pPr>
          </w:p>
        </w:tc>
        <w:tc>
          <w:tcPr>
            <w:tcW w:w="8580" w:type="dxa"/>
            <w:vAlign w:val="bottom"/>
          </w:tcPr>
          <w:p>
            <w:pPr>
              <w:spacing w:after="0"/>
              <w:rPr>
                <w:sz w:val="18"/>
                <w:szCs w:val="18"/>
                <w:color w:val="auto"/>
              </w:rPr>
            </w:pPr>
          </w:p>
        </w:tc>
      </w:tr>
      <w:tr>
        <w:trPr>
          <w:trHeight w:val="248"/>
        </w:trPr>
        <w:tc>
          <w:tcPr>
            <w:tcW w:w="1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PERSON</w:t>
            </w:r>
          </w:p>
        </w:tc>
        <w:tc>
          <w:tcPr>
            <w:tcW w:w="500" w:type="dxa"/>
            <w:vAlign w:val="bottom"/>
            <w:tcBorders>
              <w:bottom w:val="single" w:sz="8" w:color="auto"/>
            </w:tcBorders>
          </w:tcPr>
          <w:p>
            <w:pPr>
              <w:spacing w:after="0"/>
              <w:rPr>
                <w:sz w:val="21"/>
                <w:szCs w:val="21"/>
                <w:color w:val="auto"/>
              </w:rPr>
            </w:pPr>
          </w:p>
        </w:tc>
        <w:tc>
          <w:tcPr>
            <w:tcW w:w="8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32"/>
        </w:trPr>
        <w:tc>
          <w:tcPr>
            <w:tcW w:w="17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w:t>
            </w:r>
          </w:p>
        </w:tc>
        <w:tc>
          <w:tcPr>
            <w:tcW w:w="8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r>
    </w:tbl>
    <w:p>
      <w:pPr>
        <w:spacing w:after="0" w:line="17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7,980,736</w:t>
      </w:r>
    </w:p>
    <w:p>
      <w:pPr>
        <w:spacing w:after="0" w:line="27" w:lineRule="exact"/>
        <w:rPr>
          <w:sz w:val="20"/>
          <w:szCs w:val="20"/>
          <w:color w:val="auto"/>
        </w:rPr>
      </w:pPr>
    </w:p>
    <w:p>
      <w:pPr>
        <w:ind w:left="580" w:hanging="381"/>
        <w:spacing w:after="0"/>
        <w:tabs>
          <w:tab w:leader="none" w:pos="5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7,980,736</w:t>
      </w:r>
    </w:p>
    <w:p>
      <w:pPr>
        <w:spacing w:after="0" w:line="27" w:lineRule="exact"/>
        <w:rPr>
          <w:sz w:val="20"/>
          <w:szCs w:val="20"/>
          <w:color w:val="auto"/>
        </w:rPr>
      </w:pPr>
    </w:p>
    <w:p>
      <w:pPr>
        <w:ind w:left="580" w:hanging="377"/>
        <w:spacing w:after="0" w:line="207" w:lineRule="exact"/>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580" w:right="5720" w:hanging="372"/>
        <w:spacing w:after="0" w:line="506" w:lineRule="auto"/>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4" w:lineRule="exact"/>
        <w:rPr>
          <w:rFonts w:ascii="Times New Roman" w:cs="Times New Roman" w:eastAsia="Times New Roman" w:hAnsi="Times New Roman"/>
          <w:sz w:val="18"/>
          <w:szCs w:val="18"/>
          <w:b w:val="1"/>
          <w:bCs w:val="1"/>
          <w:color w:val="auto"/>
        </w:rPr>
      </w:pPr>
    </w:p>
    <w:p>
      <w:pPr>
        <w:ind w:left="580" w:right="6320" w:hanging="377"/>
        <w:spacing w:after="0" w:line="532" w:lineRule="auto"/>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87990A106</w:t>
      </w:r>
    </w:p>
    <w:p>
      <w:pPr>
        <w:spacing w:after="0" w:line="239" w:lineRule="exact"/>
        <w:rPr>
          <w:sz w:val="20"/>
          <w:szCs w:val="20"/>
          <w:color w:val="auto"/>
        </w:rPr>
      </w:pPr>
    </w:p>
    <w:p>
      <w:pPr>
        <w:ind w:left="580" w:hanging="381"/>
        <w:spacing w:after="0"/>
        <w:tabs>
          <w:tab w:leader="none" w:pos="5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580" w:right="5080"/>
        <w:spacing w:after="0" w:line="49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-687070</wp:posOffset>
            </wp:positionV>
            <wp:extent cx="7132320" cy="5597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597525"/>
                    </a:xfrm>
                    <a:prstGeom prst="rect">
                      <a:avLst/>
                    </a:prstGeom>
                    <a:noFill/>
                  </pic:spPr>
                </pic:pic>
              </a:graphicData>
            </a:graphic>
          </wp:anchor>
        </w:drawing>
      </w:r>
    </w:p>
    <w:p>
      <w:pPr>
        <w:ind w:left="580" w:hanging="381"/>
        <w:spacing w:after="0"/>
        <w:tabs>
          <w:tab w:leader="none" w:pos="5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jc w:val="both"/>
        <w:ind w:left="9800"/>
        <w:spacing w:after="0" w:line="207" w:lineRule="exact"/>
        <w:tabs>
          <w:tab w:leader="none" w:pos="103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9800"/>
        <w:spacing w:after="0" w:line="207" w:lineRule="exact"/>
        <w:tabs>
          <w:tab w:leader="none" w:pos="103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5" w:lineRule="exact"/>
        <w:rPr>
          <w:sz w:val="20"/>
          <w:szCs w:val="20"/>
          <w:color w:val="auto"/>
        </w:rPr>
      </w:pPr>
    </w:p>
    <w:p>
      <w:pPr>
        <w:ind w:left="580" w:hanging="381"/>
        <w:spacing w:after="0"/>
        <w:tabs>
          <w:tab w:leader="none" w:pos="5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580" w:right="7000" w:hanging="381"/>
        <w:spacing w:after="0" w:line="506" w:lineRule="auto"/>
        <w:tabs>
          <w:tab w:leader="none" w:pos="5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United States of America</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8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r>
      <w:tr>
        <w:trPr>
          <w:trHeight w:val="432"/>
        </w:trPr>
        <w:tc>
          <w:tcPr>
            <w:tcW w:w="17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178"/>
        </w:trPr>
        <w:tc>
          <w:tcPr>
            <w:tcW w:w="1700" w:type="dxa"/>
            <w:vAlign w:val="bottom"/>
          </w:tcPr>
          <w:p>
            <w:pPr>
              <w:jc w:val="center"/>
              <w:ind w:right="35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500" w:type="dxa"/>
            <w:vAlign w:val="bottom"/>
          </w:tcPr>
          <w:p>
            <w:pPr>
              <w:jc w:val="right"/>
              <w:ind w:right="90"/>
              <w:spacing w:after="0" w:line="177" w:lineRule="exact"/>
              <w:rPr>
                <w:sz w:val="20"/>
                <w:szCs w:val="20"/>
                <w:color w:val="auto"/>
              </w:rPr>
            </w:pPr>
            <w:r>
              <w:rPr>
                <w:rFonts w:ascii="Times New Roman" w:cs="Times New Roman" w:eastAsia="Times New Roman" w:hAnsi="Times New Roman"/>
                <w:sz w:val="18"/>
                <w:szCs w:val="18"/>
                <w:b w:val="1"/>
                <w:bCs w:val="1"/>
                <w:color w:val="auto"/>
              </w:rPr>
              <w:t>6</w:t>
            </w:r>
          </w:p>
        </w:tc>
        <w:tc>
          <w:tcPr>
            <w:tcW w:w="85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r>
      <w:tr>
        <w:trPr>
          <w:trHeight w:val="216"/>
        </w:trPr>
        <w:tc>
          <w:tcPr>
            <w:tcW w:w="17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7"/>
              </w:rPr>
              <w:t>BENEFICIALLY</w:t>
            </w:r>
          </w:p>
        </w:tc>
        <w:tc>
          <w:tcPr>
            <w:tcW w:w="500" w:type="dxa"/>
            <w:vAlign w:val="bottom"/>
          </w:tcPr>
          <w:p>
            <w:pPr>
              <w:spacing w:after="0"/>
              <w:rPr>
                <w:sz w:val="18"/>
                <w:szCs w:val="18"/>
                <w:color w:val="auto"/>
              </w:rPr>
            </w:pPr>
          </w:p>
        </w:tc>
        <w:tc>
          <w:tcPr>
            <w:tcW w:w="8580" w:type="dxa"/>
            <w:vAlign w:val="bottom"/>
          </w:tcPr>
          <w:p>
            <w:pPr>
              <w:spacing w:after="0"/>
              <w:rPr>
                <w:sz w:val="18"/>
                <w:szCs w:val="18"/>
                <w:color w:val="auto"/>
              </w:rPr>
            </w:pPr>
          </w:p>
        </w:tc>
      </w:tr>
      <w:tr>
        <w:trPr>
          <w:trHeight w:val="248"/>
        </w:trPr>
        <w:tc>
          <w:tcPr>
            <w:tcW w:w="17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OWNED BY</w:t>
            </w:r>
          </w:p>
        </w:tc>
        <w:tc>
          <w:tcPr>
            <w:tcW w:w="500" w:type="dxa"/>
            <w:vAlign w:val="bottom"/>
            <w:tcBorders>
              <w:bottom w:val="single" w:sz="8" w:color="auto"/>
            </w:tcBorders>
          </w:tcPr>
          <w:p>
            <w:pPr>
              <w:spacing w:after="0"/>
              <w:rPr>
                <w:sz w:val="21"/>
                <w:szCs w:val="21"/>
                <w:color w:val="auto"/>
              </w:rPr>
            </w:pPr>
          </w:p>
        </w:tc>
        <w:tc>
          <w:tcPr>
            <w:tcW w:w="8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7,980,736</w:t>
            </w:r>
          </w:p>
        </w:tc>
      </w:tr>
      <w:tr>
        <w:trPr>
          <w:trHeight w:val="178"/>
        </w:trPr>
        <w:tc>
          <w:tcPr>
            <w:tcW w:w="1700" w:type="dxa"/>
            <w:vAlign w:val="bottom"/>
          </w:tcPr>
          <w:p>
            <w:pPr>
              <w:jc w:val="center"/>
              <w:ind w:right="35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jc w:val="right"/>
              <w:ind w:right="9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85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r>
      <w:tr>
        <w:trPr>
          <w:trHeight w:val="216"/>
        </w:trPr>
        <w:tc>
          <w:tcPr>
            <w:tcW w:w="17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tcPr>
          <w:p>
            <w:pPr>
              <w:spacing w:after="0"/>
              <w:rPr>
                <w:sz w:val="18"/>
                <w:szCs w:val="18"/>
                <w:color w:val="auto"/>
              </w:rPr>
            </w:pPr>
          </w:p>
        </w:tc>
        <w:tc>
          <w:tcPr>
            <w:tcW w:w="8580" w:type="dxa"/>
            <w:vAlign w:val="bottom"/>
          </w:tcPr>
          <w:p>
            <w:pPr>
              <w:spacing w:after="0"/>
              <w:rPr>
                <w:sz w:val="18"/>
                <w:szCs w:val="18"/>
                <w:color w:val="auto"/>
              </w:rPr>
            </w:pPr>
          </w:p>
        </w:tc>
      </w:tr>
      <w:tr>
        <w:trPr>
          <w:trHeight w:val="248"/>
        </w:trPr>
        <w:tc>
          <w:tcPr>
            <w:tcW w:w="17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PERSON</w:t>
            </w:r>
          </w:p>
        </w:tc>
        <w:tc>
          <w:tcPr>
            <w:tcW w:w="500" w:type="dxa"/>
            <w:vAlign w:val="bottom"/>
            <w:tcBorders>
              <w:bottom w:val="single" w:sz="8" w:color="auto"/>
            </w:tcBorders>
          </w:tcPr>
          <w:p>
            <w:pPr>
              <w:spacing w:after="0"/>
              <w:rPr>
                <w:sz w:val="21"/>
                <w:szCs w:val="21"/>
                <w:color w:val="auto"/>
              </w:rPr>
            </w:pPr>
          </w:p>
        </w:tc>
        <w:tc>
          <w:tcPr>
            <w:tcW w:w="8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32"/>
        </w:trPr>
        <w:tc>
          <w:tcPr>
            <w:tcW w:w="17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w:t>
            </w:r>
          </w:p>
        </w:tc>
        <w:tc>
          <w:tcPr>
            <w:tcW w:w="8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r>
    </w:tbl>
    <w:p>
      <w:pPr>
        <w:spacing w:after="0" w:line="17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7,980,736</w:t>
      </w:r>
    </w:p>
    <w:p>
      <w:pPr>
        <w:spacing w:after="0" w:line="27" w:lineRule="exact"/>
        <w:rPr>
          <w:sz w:val="20"/>
          <w:szCs w:val="20"/>
          <w:color w:val="auto"/>
        </w:rPr>
      </w:pPr>
    </w:p>
    <w:p>
      <w:pPr>
        <w:ind w:left="580" w:hanging="381"/>
        <w:spacing w:after="0"/>
        <w:tabs>
          <w:tab w:leader="none" w:pos="5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7,980,736</w:t>
      </w:r>
    </w:p>
    <w:p>
      <w:pPr>
        <w:spacing w:after="0" w:line="27" w:lineRule="exact"/>
        <w:rPr>
          <w:sz w:val="20"/>
          <w:szCs w:val="20"/>
          <w:color w:val="auto"/>
        </w:rPr>
      </w:pPr>
    </w:p>
    <w:p>
      <w:pPr>
        <w:ind w:left="580" w:hanging="377"/>
        <w:spacing w:after="0" w:line="207" w:lineRule="exact"/>
        <w:tabs>
          <w:tab w:leader="none" w:pos="5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580" w:right="5720" w:hanging="372"/>
        <w:spacing w:after="0" w:line="506" w:lineRule="auto"/>
        <w:tabs>
          <w:tab w:leader="none" w:pos="5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4" w:lineRule="exact"/>
        <w:rPr>
          <w:rFonts w:ascii="Times New Roman" w:cs="Times New Roman" w:eastAsia="Times New Roman" w:hAnsi="Times New Roman"/>
          <w:sz w:val="18"/>
          <w:szCs w:val="18"/>
          <w:b w:val="1"/>
          <w:bCs w:val="1"/>
          <w:color w:val="auto"/>
        </w:rPr>
      </w:pPr>
    </w:p>
    <w:p>
      <w:pPr>
        <w:ind w:left="580" w:right="6320" w:hanging="377"/>
        <w:spacing w:after="0" w:line="532" w:lineRule="auto"/>
        <w:tabs>
          <w:tab w:leader="none" w:pos="5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87990A106</w:t>
      </w:r>
    </w:p>
    <w:p>
      <w:pPr>
        <w:spacing w:after="0" w:line="239" w:lineRule="exact"/>
        <w:rPr>
          <w:sz w:val="20"/>
          <w:szCs w:val="20"/>
          <w:color w:val="auto"/>
        </w:rPr>
      </w:pPr>
    </w:p>
    <w:p>
      <w:pPr>
        <w:ind w:left="580" w:hanging="381"/>
        <w:spacing w:after="0"/>
        <w:tabs>
          <w:tab w:leader="none" w:pos="5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580" w:right="5080"/>
        <w:spacing w:after="0" w:line="49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-687070</wp:posOffset>
            </wp:positionV>
            <wp:extent cx="7132320" cy="5597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597525"/>
                    </a:xfrm>
                    <a:prstGeom prst="rect">
                      <a:avLst/>
                    </a:prstGeom>
                    <a:noFill/>
                  </pic:spPr>
                </pic:pic>
              </a:graphicData>
            </a:graphic>
          </wp:anchor>
        </w:drawing>
      </w:r>
    </w:p>
    <w:p>
      <w:pPr>
        <w:ind w:left="580" w:hanging="381"/>
        <w:spacing w:after="0"/>
        <w:tabs>
          <w:tab w:leader="none" w:pos="5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jc w:val="both"/>
        <w:ind w:left="9800"/>
        <w:spacing w:after="0" w:line="207" w:lineRule="exact"/>
        <w:tabs>
          <w:tab w:leader="none" w:pos="103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9800"/>
        <w:spacing w:after="0" w:line="207" w:lineRule="exact"/>
        <w:tabs>
          <w:tab w:leader="none" w:pos="103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5" w:lineRule="exact"/>
        <w:rPr>
          <w:sz w:val="20"/>
          <w:szCs w:val="20"/>
          <w:color w:val="auto"/>
        </w:rPr>
      </w:pPr>
    </w:p>
    <w:p>
      <w:pPr>
        <w:ind w:left="580" w:hanging="381"/>
        <w:spacing w:after="0"/>
        <w:tabs>
          <w:tab w:leader="none" w:pos="5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580" w:right="7000" w:hanging="381"/>
        <w:spacing w:after="0" w:line="506" w:lineRule="auto"/>
        <w:tabs>
          <w:tab w:leader="none" w:pos="5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United States of America</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8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r>
      <w:tr>
        <w:trPr>
          <w:trHeight w:val="432"/>
        </w:trPr>
        <w:tc>
          <w:tcPr>
            <w:tcW w:w="1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178"/>
        </w:trPr>
        <w:tc>
          <w:tcPr>
            <w:tcW w:w="1720" w:type="dxa"/>
            <w:vAlign w:val="bottom"/>
          </w:tcPr>
          <w:p>
            <w:pPr>
              <w:jc w:val="center"/>
              <w:ind w:right="33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500" w:type="dxa"/>
            <w:vAlign w:val="bottom"/>
          </w:tcPr>
          <w:p>
            <w:pPr>
              <w:jc w:val="right"/>
              <w:ind w:right="90"/>
              <w:spacing w:after="0" w:line="177" w:lineRule="exact"/>
              <w:rPr>
                <w:sz w:val="20"/>
                <w:szCs w:val="20"/>
                <w:color w:val="auto"/>
              </w:rPr>
            </w:pPr>
            <w:r>
              <w:rPr>
                <w:rFonts w:ascii="Times New Roman" w:cs="Times New Roman" w:eastAsia="Times New Roman" w:hAnsi="Times New Roman"/>
                <w:sz w:val="18"/>
                <w:szCs w:val="18"/>
                <w:b w:val="1"/>
                <w:bCs w:val="1"/>
                <w:color w:val="auto"/>
              </w:rPr>
              <w:t>6</w:t>
            </w:r>
          </w:p>
        </w:tc>
        <w:tc>
          <w:tcPr>
            <w:tcW w:w="85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r>
      <w:tr>
        <w:trPr>
          <w:trHeight w:val="216"/>
        </w:trPr>
        <w:tc>
          <w:tcPr>
            <w:tcW w:w="17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7"/>
              </w:rPr>
              <w:t>BENEFICIALLY</w:t>
            </w:r>
          </w:p>
        </w:tc>
        <w:tc>
          <w:tcPr>
            <w:tcW w:w="500" w:type="dxa"/>
            <w:vAlign w:val="bottom"/>
          </w:tcPr>
          <w:p>
            <w:pPr>
              <w:spacing w:after="0"/>
              <w:rPr>
                <w:sz w:val="18"/>
                <w:szCs w:val="18"/>
                <w:color w:val="auto"/>
              </w:rPr>
            </w:pPr>
          </w:p>
        </w:tc>
        <w:tc>
          <w:tcPr>
            <w:tcW w:w="8580" w:type="dxa"/>
            <w:vAlign w:val="bottom"/>
          </w:tcPr>
          <w:p>
            <w:pPr>
              <w:spacing w:after="0"/>
              <w:rPr>
                <w:sz w:val="18"/>
                <w:szCs w:val="18"/>
                <w:color w:val="auto"/>
              </w:rPr>
            </w:pPr>
          </w:p>
        </w:tc>
      </w:tr>
      <w:tr>
        <w:trPr>
          <w:trHeight w:val="248"/>
        </w:trPr>
        <w:tc>
          <w:tcPr>
            <w:tcW w:w="1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OWNED BY</w:t>
            </w:r>
          </w:p>
        </w:tc>
        <w:tc>
          <w:tcPr>
            <w:tcW w:w="500" w:type="dxa"/>
            <w:vAlign w:val="bottom"/>
            <w:tcBorders>
              <w:bottom w:val="single" w:sz="8" w:color="auto"/>
            </w:tcBorders>
          </w:tcPr>
          <w:p>
            <w:pPr>
              <w:spacing w:after="0"/>
              <w:rPr>
                <w:sz w:val="21"/>
                <w:szCs w:val="21"/>
                <w:color w:val="auto"/>
              </w:rPr>
            </w:pPr>
          </w:p>
        </w:tc>
        <w:tc>
          <w:tcPr>
            <w:tcW w:w="8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7,980,736</w:t>
            </w:r>
          </w:p>
        </w:tc>
      </w:tr>
      <w:tr>
        <w:trPr>
          <w:trHeight w:val="178"/>
        </w:trPr>
        <w:tc>
          <w:tcPr>
            <w:tcW w:w="1720" w:type="dxa"/>
            <w:vAlign w:val="bottom"/>
          </w:tcPr>
          <w:p>
            <w:pPr>
              <w:jc w:val="center"/>
              <w:ind w:right="3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jc w:val="right"/>
              <w:ind w:right="9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85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r>
      <w:tr>
        <w:trPr>
          <w:trHeight w:val="216"/>
        </w:trPr>
        <w:tc>
          <w:tcPr>
            <w:tcW w:w="17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tcPr>
          <w:p>
            <w:pPr>
              <w:spacing w:after="0"/>
              <w:rPr>
                <w:sz w:val="18"/>
                <w:szCs w:val="18"/>
                <w:color w:val="auto"/>
              </w:rPr>
            </w:pPr>
          </w:p>
        </w:tc>
        <w:tc>
          <w:tcPr>
            <w:tcW w:w="8580" w:type="dxa"/>
            <w:vAlign w:val="bottom"/>
          </w:tcPr>
          <w:p>
            <w:pPr>
              <w:spacing w:after="0"/>
              <w:rPr>
                <w:sz w:val="18"/>
                <w:szCs w:val="18"/>
                <w:color w:val="auto"/>
              </w:rPr>
            </w:pPr>
          </w:p>
        </w:tc>
      </w:tr>
      <w:tr>
        <w:trPr>
          <w:trHeight w:val="248"/>
        </w:trPr>
        <w:tc>
          <w:tcPr>
            <w:tcW w:w="1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PERSON</w:t>
            </w:r>
          </w:p>
        </w:tc>
        <w:tc>
          <w:tcPr>
            <w:tcW w:w="500" w:type="dxa"/>
            <w:vAlign w:val="bottom"/>
            <w:tcBorders>
              <w:bottom w:val="single" w:sz="8" w:color="auto"/>
            </w:tcBorders>
          </w:tcPr>
          <w:p>
            <w:pPr>
              <w:spacing w:after="0"/>
              <w:rPr>
                <w:sz w:val="21"/>
                <w:szCs w:val="21"/>
                <w:color w:val="auto"/>
              </w:rPr>
            </w:pPr>
          </w:p>
        </w:tc>
        <w:tc>
          <w:tcPr>
            <w:tcW w:w="8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32"/>
        </w:trPr>
        <w:tc>
          <w:tcPr>
            <w:tcW w:w="17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w:t>
            </w:r>
          </w:p>
        </w:tc>
        <w:tc>
          <w:tcPr>
            <w:tcW w:w="8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r>
    </w:tbl>
    <w:p>
      <w:pPr>
        <w:spacing w:after="0" w:line="17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7,980,736</w:t>
      </w:r>
    </w:p>
    <w:p>
      <w:pPr>
        <w:spacing w:after="0" w:line="27" w:lineRule="exact"/>
        <w:rPr>
          <w:sz w:val="20"/>
          <w:szCs w:val="20"/>
          <w:color w:val="auto"/>
        </w:rPr>
      </w:pPr>
    </w:p>
    <w:p>
      <w:pPr>
        <w:ind w:left="580" w:hanging="381"/>
        <w:spacing w:after="0"/>
        <w:tabs>
          <w:tab w:leader="none" w:pos="5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7,980,736</w:t>
      </w:r>
    </w:p>
    <w:p>
      <w:pPr>
        <w:spacing w:after="0" w:line="27" w:lineRule="exact"/>
        <w:rPr>
          <w:sz w:val="20"/>
          <w:szCs w:val="20"/>
          <w:color w:val="auto"/>
        </w:rPr>
      </w:pPr>
    </w:p>
    <w:p>
      <w:pPr>
        <w:ind w:left="580" w:hanging="377"/>
        <w:spacing w:after="0" w:line="207" w:lineRule="exact"/>
        <w:tabs>
          <w:tab w:leader="none" w:pos="5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580" w:right="5720" w:hanging="372"/>
        <w:spacing w:after="0" w:line="506" w:lineRule="auto"/>
        <w:tabs>
          <w:tab w:leader="none" w:pos="5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4" w:lineRule="exact"/>
        <w:rPr>
          <w:rFonts w:ascii="Times New Roman" w:cs="Times New Roman" w:eastAsia="Times New Roman" w:hAnsi="Times New Roman"/>
          <w:sz w:val="18"/>
          <w:szCs w:val="18"/>
          <w:b w:val="1"/>
          <w:bCs w:val="1"/>
          <w:color w:val="auto"/>
        </w:rPr>
      </w:pPr>
    </w:p>
    <w:p>
      <w:pPr>
        <w:ind w:left="580" w:right="6320" w:hanging="377"/>
        <w:spacing w:after="0" w:line="532" w:lineRule="auto"/>
        <w:tabs>
          <w:tab w:leader="none" w:pos="5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87990A106</w:t>
      </w:r>
    </w:p>
    <w:p>
      <w:pPr>
        <w:spacing w:after="0" w:line="239" w:lineRule="exact"/>
        <w:rPr>
          <w:sz w:val="20"/>
          <w:szCs w:val="20"/>
          <w:color w:val="auto"/>
        </w:rPr>
      </w:pPr>
    </w:p>
    <w:p>
      <w:pPr>
        <w:ind w:left="580" w:hanging="381"/>
        <w:spacing w:after="0"/>
        <w:tabs>
          <w:tab w:leader="none" w:pos="5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580" w:right="5080"/>
        <w:spacing w:after="0" w:line="49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RA Capital 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-687070</wp:posOffset>
            </wp:positionV>
            <wp:extent cx="7132320" cy="5597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597525"/>
                    </a:xfrm>
                    <a:prstGeom prst="rect">
                      <a:avLst/>
                    </a:prstGeom>
                    <a:noFill/>
                  </pic:spPr>
                </pic:pic>
              </a:graphicData>
            </a:graphic>
          </wp:anchor>
        </w:drawing>
      </w:r>
    </w:p>
    <w:p>
      <w:pPr>
        <w:ind w:left="580" w:hanging="381"/>
        <w:spacing w:after="0"/>
        <w:tabs>
          <w:tab w:leader="none" w:pos="5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jc w:val="both"/>
        <w:ind w:left="9800"/>
        <w:spacing w:after="0" w:line="207" w:lineRule="exact"/>
        <w:tabs>
          <w:tab w:leader="none" w:pos="103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9800"/>
        <w:spacing w:after="0" w:line="207" w:lineRule="exact"/>
        <w:tabs>
          <w:tab w:leader="none" w:pos="103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5" w:lineRule="exact"/>
        <w:rPr>
          <w:sz w:val="20"/>
          <w:szCs w:val="20"/>
          <w:color w:val="auto"/>
        </w:rPr>
      </w:pPr>
    </w:p>
    <w:p>
      <w:pPr>
        <w:ind w:left="580" w:hanging="381"/>
        <w:spacing w:after="0"/>
        <w:tabs>
          <w:tab w:leader="none" w:pos="5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580" w:right="7000" w:hanging="381"/>
        <w:spacing w:after="0" w:line="506" w:lineRule="auto"/>
        <w:tabs>
          <w:tab w:leader="none" w:pos="5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8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r>
      <w:tr>
        <w:trPr>
          <w:trHeight w:val="432"/>
        </w:trPr>
        <w:tc>
          <w:tcPr>
            <w:tcW w:w="1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178"/>
        </w:trPr>
        <w:tc>
          <w:tcPr>
            <w:tcW w:w="1720" w:type="dxa"/>
            <w:vAlign w:val="bottom"/>
          </w:tcPr>
          <w:p>
            <w:pPr>
              <w:jc w:val="center"/>
              <w:ind w:right="37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500" w:type="dxa"/>
            <w:vAlign w:val="bottom"/>
          </w:tcPr>
          <w:p>
            <w:pPr>
              <w:jc w:val="right"/>
              <w:ind w:right="90"/>
              <w:spacing w:after="0" w:line="177" w:lineRule="exact"/>
              <w:rPr>
                <w:sz w:val="20"/>
                <w:szCs w:val="20"/>
                <w:color w:val="auto"/>
              </w:rPr>
            </w:pPr>
            <w:r>
              <w:rPr>
                <w:rFonts w:ascii="Times New Roman" w:cs="Times New Roman" w:eastAsia="Times New Roman" w:hAnsi="Times New Roman"/>
                <w:sz w:val="18"/>
                <w:szCs w:val="18"/>
                <w:b w:val="1"/>
                <w:bCs w:val="1"/>
                <w:color w:val="auto"/>
              </w:rPr>
              <w:t>6</w:t>
            </w:r>
          </w:p>
        </w:tc>
        <w:tc>
          <w:tcPr>
            <w:tcW w:w="85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r>
      <w:tr>
        <w:trPr>
          <w:trHeight w:val="216"/>
        </w:trPr>
        <w:tc>
          <w:tcPr>
            <w:tcW w:w="17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7"/>
              </w:rPr>
              <w:t>BENEFICIALLY</w:t>
            </w:r>
          </w:p>
        </w:tc>
        <w:tc>
          <w:tcPr>
            <w:tcW w:w="500" w:type="dxa"/>
            <w:vAlign w:val="bottom"/>
          </w:tcPr>
          <w:p>
            <w:pPr>
              <w:spacing w:after="0"/>
              <w:rPr>
                <w:sz w:val="18"/>
                <w:szCs w:val="18"/>
                <w:color w:val="auto"/>
              </w:rPr>
            </w:pPr>
          </w:p>
        </w:tc>
        <w:tc>
          <w:tcPr>
            <w:tcW w:w="8580" w:type="dxa"/>
            <w:vAlign w:val="bottom"/>
          </w:tcPr>
          <w:p>
            <w:pPr>
              <w:spacing w:after="0"/>
              <w:rPr>
                <w:sz w:val="18"/>
                <w:szCs w:val="18"/>
                <w:color w:val="auto"/>
              </w:rPr>
            </w:pPr>
          </w:p>
        </w:tc>
      </w:tr>
      <w:tr>
        <w:trPr>
          <w:trHeight w:val="248"/>
        </w:trPr>
        <w:tc>
          <w:tcPr>
            <w:tcW w:w="1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OWNED BY</w:t>
            </w:r>
          </w:p>
        </w:tc>
        <w:tc>
          <w:tcPr>
            <w:tcW w:w="500" w:type="dxa"/>
            <w:vAlign w:val="bottom"/>
            <w:tcBorders>
              <w:bottom w:val="single" w:sz="8" w:color="auto"/>
            </w:tcBorders>
          </w:tcPr>
          <w:p>
            <w:pPr>
              <w:spacing w:after="0"/>
              <w:rPr>
                <w:sz w:val="21"/>
                <w:szCs w:val="21"/>
                <w:color w:val="auto"/>
              </w:rPr>
            </w:pPr>
          </w:p>
        </w:tc>
        <w:tc>
          <w:tcPr>
            <w:tcW w:w="8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6,869,412</w:t>
            </w:r>
          </w:p>
        </w:tc>
      </w:tr>
      <w:tr>
        <w:trPr>
          <w:trHeight w:val="178"/>
        </w:trPr>
        <w:tc>
          <w:tcPr>
            <w:tcW w:w="1720" w:type="dxa"/>
            <w:vAlign w:val="bottom"/>
          </w:tcPr>
          <w:p>
            <w:pPr>
              <w:jc w:val="center"/>
              <w:ind w:right="3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jc w:val="right"/>
              <w:ind w:right="9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85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r>
      <w:tr>
        <w:trPr>
          <w:trHeight w:val="216"/>
        </w:trPr>
        <w:tc>
          <w:tcPr>
            <w:tcW w:w="17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tcPr>
          <w:p>
            <w:pPr>
              <w:spacing w:after="0"/>
              <w:rPr>
                <w:sz w:val="18"/>
                <w:szCs w:val="18"/>
                <w:color w:val="auto"/>
              </w:rPr>
            </w:pPr>
          </w:p>
        </w:tc>
        <w:tc>
          <w:tcPr>
            <w:tcW w:w="8580" w:type="dxa"/>
            <w:vAlign w:val="bottom"/>
          </w:tcPr>
          <w:p>
            <w:pPr>
              <w:spacing w:after="0"/>
              <w:rPr>
                <w:sz w:val="18"/>
                <w:szCs w:val="18"/>
                <w:color w:val="auto"/>
              </w:rPr>
            </w:pPr>
          </w:p>
        </w:tc>
      </w:tr>
      <w:tr>
        <w:trPr>
          <w:trHeight w:val="248"/>
        </w:trPr>
        <w:tc>
          <w:tcPr>
            <w:tcW w:w="1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PERSON</w:t>
            </w:r>
          </w:p>
        </w:tc>
        <w:tc>
          <w:tcPr>
            <w:tcW w:w="500" w:type="dxa"/>
            <w:vAlign w:val="bottom"/>
            <w:tcBorders>
              <w:bottom w:val="single" w:sz="8" w:color="auto"/>
            </w:tcBorders>
          </w:tcPr>
          <w:p>
            <w:pPr>
              <w:spacing w:after="0"/>
              <w:rPr>
                <w:sz w:val="21"/>
                <w:szCs w:val="21"/>
                <w:color w:val="auto"/>
              </w:rPr>
            </w:pPr>
          </w:p>
        </w:tc>
        <w:tc>
          <w:tcPr>
            <w:tcW w:w="8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r>
      <w:tr>
        <w:trPr>
          <w:trHeight w:val="232"/>
        </w:trPr>
        <w:tc>
          <w:tcPr>
            <w:tcW w:w="17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w:t>
            </w:r>
          </w:p>
        </w:tc>
        <w:tc>
          <w:tcPr>
            <w:tcW w:w="8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r>
    </w:tbl>
    <w:p>
      <w:pPr>
        <w:spacing w:after="0" w:line="17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6,869,412</w:t>
      </w:r>
    </w:p>
    <w:p>
      <w:pPr>
        <w:spacing w:after="0" w:line="27" w:lineRule="exact"/>
        <w:rPr>
          <w:sz w:val="20"/>
          <w:szCs w:val="20"/>
          <w:color w:val="auto"/>
        </w:rPr>
      </w:pPr>
    </w:p>
    <w:p>
      <w:pPr>
        <w:ind w:left="580" w:hanging="381"/>
        <w:spacing w:after="0"/>
        <w:tabs>
          <w:tab w:leader="none" w:pos="5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6,869,412</w:t>
      </w:r>
    </w:p>
    <w:p>
      <w:pPr>
        <w:spacing w:after="0" w:line="27" w:lineRule="exact"/>
        <w:rPr>
          <w:sz w:val="20"/>
          <w:szCs w:val="20"/>
          <w:color w:val="auto"/>
        </w:rPr>
      </w:pPr>
    </w:p>
    <w:p>
      <w:pPr>
        <w:ind w:left="580" w:hanging="377"/>
        <w:spacing w:after="0" w:line="207" w:lineRule="exact"/>
        <w:tabs>
          <w:tab w:leader="none" w:pos="5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580" w:right="5720" w:hanging="372"/>
        <w:spacing w:after="0" w:line="506" w:lineRule="auto"/>
        <w:tabs>
          <w:tab w:leader="none" w:pos="5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9.8%</w:t>
      </w:r>
    </w:p>
    <w:p>
      <w:pPr>
        <w:spacing w:after="0" w:line="4" w:lineRule="exact"/>
        <w:rPr>
          <w:rFonts w:ascii="Times New Roman" w:cs="Times New Roman" w:eastAsia="Times New Roman" w:hAnsi="Times New Roman"/>
          <w:sz w:val="18"/>
          <w:szCs w:val="18"/>
          <w:b w:val="1"/>
          <w:bCs w:val="1"/>
          <w:color w:val="auto"/>
        </w:rPr>
      </w:pPr>
    </w:p>
    <w:p>
      <w:pPr>
        <w:ind w:left="580" w:right="6320" w:hanging="377"/>
        <w:spacing w:after="0" w:line="532" w:lineRule="auto"/>
        <w:tabs>
          <w:tab w:leader="none" w:pos="5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Tenaya Therapeutics, Inc. (the “Issuer”)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171 Oyster Point Boulevard, Suite 500, South San Francisco, California 94080</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Management, L.P. (“RA Capital”)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Healthcare Fund, L.P. (the “Fund”)</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RA Capital Management, L.P., 200 Berkeley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u w:val="single" w:color="auto"/>
          <w:color w:val="auto"/>
        </w:rPr>
        <w:t>Citizenship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and the Fund are Delaware limited partnerships.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$0.0001 par value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87990A106</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The Fund directly holds (i) 6,869,412 shares of Common Stock and (ii) 7,104,853 Pre-funded warrants (“</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through which it has the right to acquire 7,104,853 shares of Common Stock subject to a Beneficial Ownership Blocker (as defined below). The RA Capital Nexus Fund II, L.P. (the “</w:t>
      </w:r>
      <w:r>
        <w:rPr>
          <w:rFonts w:ascii="Times New Roman" w:cs="Times New Roman" w:eastAsia="Times New Roman" w:hAnsi="Times New Roman"/>
          <w:sz w:val="18"/>
          <w:szCs w:val="18"/>
          <w:u w:val="single" w:color="auto"/>
          <w:color w:val="auto"/>
        </w:rPr>
        <w:t>Nexus Fund II</w:t>
      </w:r>
      <w:r>
        <w:rPr>
          <w:rFonts w:ascii="Times New Roman" w:cs="Times New Roman" w:eastAsia="Times New Roman" w:hAnsi="Times New Roman"/>
          <w:sz w:val="18"/>
          <w:szCs w:val="18"/>
          <w:color w:val="auto"/>
        </w:rPr>
        <w:t>”) directly holds 113,175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6" w:name="page7"/>
    <w:bookmarkEnd w:id="6"/>
    <w:p>
      <w:pPr>
        <w:ind w:left="980"/>
        <w:spacing w:after="0" w:line="256" w:lineRule="auto"/>
        <w:rPr>
          <w:sz w:val="20"/>
          <w:szCs w:val="20"/>
          <w:color w:val="auto"/>
        </w:rPr>
      </w:pPr>
      <w:r>
        <w:rPr>
          <w:rFonts w:ascii="Times New Roman" w:cs="Times New Roman" w:eastAsia="Times New Roman" w:hAnsi="Times New Roman"/>
          <w:sz w:val="18"/>
          <w:szCs w:val="18"/>
          <w:color w:val="auto"/>
        </w:rPr>
        <w:t>The shares reported herein for the Reporting Persons represent (i) 6,982,587 shares of Common Stock held directly, and (ii) 998,149 shares of Common Stock that the Reporting Persons beneficially own based on the right to acquire, upon the exercise of the Pre-Funded Warrants. The Pre-Funded Warrants are subject to a beneficial ownership blocker (“</w:t>
      </w:r>
      <w:r>
        <w:rPr>
          <w:rFonts w:ascii="Times New Roman" w:cs="Times New Roman" w:eastAsia="Times New Roman" w:hAnsi="Times New Roman"/>
          <w:sz w:val="18"/>
          <w:szCs w:val="18"/>
          <w:u w:val="single" w:color="auto"/>
          <w:color w:val="auto"/>
        </w:rPr>
        <w:t>Beneficial Ownership Blocker</w:t>
      </w:r>
      <w:r>
        <w:rPr>
          <w:rFonts w:ascii="Times New Roman" w:cs="Times New Roman" w:eastAsia="Times New Roman" w:hAnsi="Times New Roman"/>
          <w:sz w:val="18"/>
          <w:szCs w:val="18"/>
          <w:color w:val="auto"/>
        </w:rPr>
        <w:t>”), which precludes the exercise of the Pre-Funded Warrants to the extent that, following exercise, the Reporting Persons, together with its affiliates and other attribution parties, would own more than 9.99% of the Common Stock outstanding. The Reporting Persons are currently prohibited from exercising the Pre-Funded Warrants to the extent that such exercise would result in beneficial ownership of more than 7,980,736 shares of Common Stock.</w:t>
      </w:r>
    </w:p>
    <w:p>
      <w:pPr>
        <w:spacing w:after="0" w:line="187" w:lineRule="exact"/>
        <w:rPr>
          <w:sz w:val="20"/>
          <w:szCs w:val="20"/>
          <w:color w:val="auto"/>
        </w:rPr>
      </w:pPr>
    </w:p>
    <w:p>
      <w:pPr>
        <w:ind w:left="980" w:right="100"/>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 to this Schedule 13G/A. The beneficial ownership percentages reported are based on (i) 78,889,107 outstanding shares of Common Stock, as reported in the Issuer’s Quarterly Report on Form 10-Q filed with the Securities and Exchange Commission on August 8, 2024, plus (ii) 998,149 shares of Common Stock of which the Reporting Person may acquire beneficial ownership upon the exercise of Pre-Funded Warrants, as limited by the Beneficial Ownership Blocker.</w:t>
      </w:r>
    </w:p>
    <w:p>
      <w:pPr>
        <w:spacing w:after="0" w:line="183" w:lineRule="exact"/>
        <w:rPr>
          <w:sz w:val="20"/>
          <w:szCs w:val="20"/>
          <w:color w:val="auto"/>
        </w:rPr>
      </w:pPr>
    </w:p>
    <w:p>
      <w:pPr>
        <w:ind w:left="980" w:right="20"/>
        <w:spacing w:after="0" w:line="253" w:lineRule="auto"/>
        <w:rPr>
          <w:sz w:val="20"/>
          <w:szCs w:val="20"/>
          <w:color w:val="auto"/>
        </w:rPr>
      </w:pPr>
      <w:r>
        <w:rPr>
          <w:rFonts w:ascii="Times New Roman" w:cs="Times New Roman" w:eastAsia="Times New Roman" w:hAnsi="Times New Roman"/>
          <w:sz w:val="18"/>
          <w:szCs w:val="18"/>
          <w:color w:val="auto"/>
        </w:rPr>
        <w:t>RA Capital Healthcare Fund GP, LLC is the general partner of the Fund and RA Capital Nexus Fund II GP, LLC is the general partner of the Nexus Fund II. The general partner of RA Capital is RA Capital Management GP, LLC, of which Dr. Kolchinsky and Mr. Shah are the controlling persons. RA Capital serves as investment adviser for the Fund and the Nexus Fund II and may be deemed a beneficial owner, for purposes of Section 13(d) of the Securities Exchange Act of 1934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of any securities of the Issuer held by the Fund and the Nexus Fund II. The Fund and the Nexus Fund II have delegated to RA Capital the sole power to vote and the sole power to dispose of all securities held in the Fund’s and the Nexus Fund II’s portfolios, including the shares of the Issuer’s Common Stock reported herein. Because the Fund and the Nexus Fund II have divested voting and investment power over the reported securities they hold and may not revoke that delegation on less than 61 days’ notice, the Fund and the Nexus Fund II disclaim beneficial ownership of the securities they hold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13G/A shall not be deemed an admission that either RA Capital, Dr. Kolchinsky, or Mr. Shah is the beneficial owner of such securities for any other purpose.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right="36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Peter Kolchinsky</w:t>
            </w:r>
          </w:p>
        </w:tc>
      </w:tr>
      <w:tr>
        <w:trPr>
          <w:trHeight w:val="191"/>
        </w:trPr>
        <w:tc>
          <w:tcPr>
            <w:tcW w:w="700" w:type="dxa"/>
            <w:vAlign w:val="bottom"/>
          </w:tcPr>
          <w:p>
            <w:pPr>
              <w:spacing w:after="0"/>
              <w:rPr>
                <w:sz w:val="16"/>
                <w:szCs w:val="16"/>
                <w:color w:val="auto"/>
              </w:rPr>
            </w:pPr>
          </w:p>
        </w:tc>
        <w:tc>
          <w:tcPr>
            <w:tcW w:w="6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Peter Kolchinsky</w:t>
            </w:r>
          </w:p>
        </w:tc>
      </w:tr>
      <w:tr>
        <w:trPr>
          <w:trHeight w:val="234"/>
        </w:trPr>
        <w:tc>
          <w:tcPr>
            <w:tcW w:w="7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0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0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 Capital Healthcare Fund GP, LLC</w:t>
            </w:r>
          </w:p>
        </w:tc>
        <w:tc>
          <w:tcPr>
            <w:tcW w:w="566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c>
          <w:tcPr>
            <w:tcW w:w="566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Peter Kolchinsky</w:t>
            </w:r>
          </w:p>
        </w:tc>
        <w:tc>
          <w:tcPr>
            <w:tcW w:w="5660" w:type="dxa"/>
            <w:vAlign w:val="bottom"/>
          </w:tcPr>
          <w:p>
            <w:pPr>
              <w:spacing w:after="0"/>
              <w:rPr>
                <w:sz w:val="24"/>
                <w:szCs w:val="24"/>
                <w:color w:val="auto"/>
              </w:rPr>
            </w:pPr>
          </w:p>
        </w:tc>
      </w:tr>
      <w:tr>
        <w:trPr>
          <w:trHeight w:val="191"/>
        </w:trPr>
        <w:tc>
          <w:tcPr>
            <w:tcW w:w="700" w:type="dxa"/>
            <w:vAlign w:val="bottom"/>
          </w:tcPr>
          <w:p>
            <w:pPr>
              <w:spacing w:after="0"/>
              <w:rPr>
                <w:sz w:val="16"/>
                <w:szCs w:val="16"/>
                <w:color w:val="auto"/>
              </w:rPr>
            </w:pPr>
          </w:p>
        </w:tc>
        <w:tc>
          <w:tcPr>
            <w:tcW w:w="6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Peter Kolchinsky</w:t>
            </w:r>
          </w:p>
        </w:tc>
        <w:tc>
          <w:tcPr>
            <w:tcW w:w="5660" w:type="dxa"/>
            <w:vAlign w:val="bottom"/>
          </w:tcPr>
          <w:p>
            <w:pPr>
              <w:spacing w:after="0"/>
              <w:rPr>
                <w:sz w:val="16"/>
                <w:szCs w:val="16"/>
                <w:color w:val="auto"/>
              </w:rPr>
            </w:pPr>
          </w:p>
        </w:tc>
      </w:tr>
      <w:tr>
        <w:trPr>
          <w:trHeight w:val="234"/>
        </w:trPr>
        <w:tc>
          <w:tcPr>
            <w:tcW w:w="7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Manager</w:t>
            </w:r>
          </w:p>
        </w:tc>
        <w:tc>
          <w:tcPr>
            <w:tcW w:w="5660" w:type="dxa"/>
            <w:vAlign w:val="bottom"/>
          </w:tcPr>
          <w:p>
            <w:pPr>
              <w:spacing w:after="0"/>
              <w:rPr>
                <w:sz w:val="20"/>
                <w:szCs w:val="20"/>
                <w:color w:val="auto"/>
              </w:rPr>
            </w:pPr>
          </w:p>
        </w:tc>
      </w:tr>
      <w:tr>
        <w:trPr>
          <w:trHeight w:val="675"/>
        </w:trPr>
        <w:tc>
          <w:tcPr>
            <w:tcW w:w="7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November 14, 2024, is by and among RA Capital Management, L.P., Peter Kolchinsky, Rajeev Shah, and RA Capital Healthcare Fund, L.P. (the foregoing are collectively referred to herein as the “</w:t>
      </w:r>
      <w:r>
        <w:rPr>
          <w:rFonts w:ascii="Times New Roman" w:cs="Times New Roman" w:eastAsia="Times New Roman" w:hAnsi="Times New Roman"/>
          <w:sz w:val="18"/>
          <w:szCs w:val="18"/>
          <w:u w:val="single" w:color="auto"/>
          <w:color w:val="auto"/>
        </w:rPr>
        <w:t>Filers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13G and/or 13D with respect to Common Stock, $0.0001 par value per share of Tenaya Therapeutics, Inc. beneficially owned by them from time to time.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terminated by any of the Filers upon one week’s prior written notice or such lesser period of notice as the Filers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RA Capital Healthcare Fund GP,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9"/>
      <w:numFmt w:val="bullet"/>
      <w:start w:val="1"/>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2"/>
      <w:numFmt w:val="bullet"/>
      <w:start w:val="1"/>
    </w:lvl>
  </w:abstractNum>
  <w:abstractNum w:abstractNumId="9">
    <w:nsid w:val="519B500D"/>
    <w:multiLevelType w:val="hybridMultilevel"/>
    <w:lvl w:ilvl="0">
      <w:lvlJc w:val="left"/>
      <w:lvlText w:val="3"/>
      <w:numFmt w:val="bullet"/>
      <w:start w:val="1"/>
    </w:lvl>
  </w:abstractNum>
  <w:abstractNum w:abstractNumId="10">
    <w:nsid w:val="431BD7B7"/>
    <w:multiLevelType w:val="hybridMultilevel"/>
    <w:lvl w:ilvl="0">
      <w:lvlJc w:val="left"/>
      <w:lvlText w:val="4"/>
      <w:numFmt w:val="bullet"/>
      <w:start w:val="1"/>
    </w:lvl>
  </w:abstractNum>
  <w:abstractNum w:abstractNumId="11">
    <w:nsid w:val="3F2DBA31"/>
    <w:multiLevelType w:val="hybridMultilevel"/>
    <w:lvl w:ilvl="0">
      <w:lvlJc w:val="left"/>
      <w:lvlText w:val="9"/>
      <w:numFmt w:val="bullet"/>
      <w:start w:val="1"/>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abstractNum>
  <w:abstractNum w:abstractNumId="17">
    <w:nsid w:val="333AB105"/>
    <w:multiLevelType w:val="hybridMultilevel"/>
    <w:lvl w:ilvl="0">
      <w:lvlJc w:val="left"/>
      <w:lvlText w:val="9"/>
      <w:numFmt w:val="bullet"/>
      <w:start w:val="1"/>
    </w:lvl>
  </w:abstractNum>
  <w:abstractNum w:abstractNumId="18">
    <w:nsid w:val="721DA317"/>
    <w:multiLevelType w:val="hybridMultilevel"/>
    <w:lvl w:ilvl="0">
      <w:lvlJc w:val="left"/>
      <w:lvlText w:val="%1"/>
      <w:numFmt w:val="decimal"/>
      <w:start w:val="10"/>
    </w:lvl>
  </w:abstractNum>
  <w:abstractNum w:abstractNumId="19">
    <w:nsid w:val="2443A858"/>
    <w:multiLevelType w:val="hybridMultilevel"/>
    <w:lvl w:ilvl="0">
      <w:lvlJc w:val="left"/>
      <w:lvlText w:val="1"/>
      <w:numFmt w:val="bullet"/>
      <w:start w:val="1"/>
    </w:lvl>
  </w:abstractNum>
  <w:abstractNum w:abstractNumId="20">
    <w:nsid w:val="2D1D5AE9"/>
    <w:multiLevelType w:val="hybridMultilevel"/>
    <w:lvl w:ilvl="0">
      <w:lvlJc w:val="left"/>
      <w:lvlText w:val="2"/>
      <w:numFmt w:val="bullet"/>
      <w:start w:val="1"/>
    </w:lvl>
  </w:abstractNum>
  <w:abstractNum w:abstractNumId="21">
    <w:nsid w:val="6763845E"/>
    <w:multiLevelType w:val="hybridMultilevel"/>
    <w:lvl w:ilvl="0">
      <w:lvlJc w:val="left"/>
      <w:lvlText w:val="3"/>
      <w:numFmt w:val="bullet"/>
      <w:start w:val="1"/>
    </w:lvl>
  </w:abstractNum>
  <w:abstractNum w:abstractNumId="22">
    <w:nsid w:val="75A2A8D4"/>
    <w:multiLevelType w:val="hybridMultilevel"/>
    <w:lvl w:ilvl="0">
      <w:lvlJc w:val="left"/>
      <w:lvlText w:val="4"/>
      <w:numFmt w:val="bullet"/>
      <w:start w:val="1"/>
    </w:lvl>
  </w:abstractNum>
  <w:abstractNum w:abstractNumId="23">
    <w:nsid w:val="8EDBDAB"/>
    <w:multiLevelType w:val="hybridMultilevel"/>
    <w:lvl w:ilvl="0">
      <w:lvlJc w:val="left"/>
      <w:lvlText w:val="9"/>
      <w:numFmt w:val="bullet"/>
      <w:start w:val="1"/>
    </w:lvl>
  </w:abstractNum>
  <w:abstractNum w:abstractNumId="24">
    <w:nsid w:val="79838CB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2024-11-14T16:52:15Z</dcterms:created>
  <dcterms:modified xsi:type="dcterms:W3CDTF">2024-11-14T16:52:15Z</dcterms:modified>
</cp:coreProperties>
</file>