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333-266741</w:t>
      </w:r>
    </w:p>
    <w:p>
      <w:pPr>
        <w:spacing w:after="0" w:line="9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August 17, 2022)</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Up to $75,000,000</w:t>
      </w: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800735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174625</wp:posOffset>
            </wp:positionV>
            <wp:extent cx="1123315"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2331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entered into a sales agreement with SVB Securities LLC (SVB Securities), relating to shares of our common stock, par value $0.0001 per share, offered by this prospectus supplement and the accompanying prospectus. In accordance with the terms of the sales agreement, we may offer and sell shares of our common stock having an aggregate offering price of up to $75,000,000 from time to time through SVB Securities, acting as our sales agent.</w:t>
      </w:r>
    </w:p>
    <w:p>
      <w:pPr>
        <w:spacing w:after="0" w:line="146" w:lineRule="exact"/>
        <w:rPr>
          <w:sz w:val="24"/>
          <w:szCs w:val="24"/>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“TNYA.” On August 16, 2022, the last reported sale price of our common stock was $5.30 per share.</w:t>
      </w:r>
    </w:p>
    <w:p>
      <w:pPr>
        <w:spacing w:after="0" w:line="130" w:lineRule="exact"/>
        <w:rPr>
          <w:sz w:val="24"/>
          <w:szCs w:val="24"/>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Sales of our common stock, if any, under this prospectus supplement may be made in sales deemed to be “at the market offerings” as defined in Rule 415(a)(4) under the Securities Act of 1933, as amended (the Securities Act). SVB Securities is not required to sell any specific number or dollar amount of securities, but will act as a sales agent using commercially reasonable efforts consistent with its normal trading and sales practices, on mutually agreed terms between SVB Securities and us. There is no arrangement for funds to be received in any escrow, trust or similar arrangement.</w:t>
      </w:r>
    </w:p>
    <w:p>
      <w:pPr>
        <w:spacing w:after="0" w:line="130" w:lineRule="exact"/>
        <w:rPr>
          <w:sz w:val="24"/>
          <w:szCs w:val="24"/>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compensation to SVB Securities for sales of common stock sold pursuant to the sales agreement will be equal to 3% of the gross proceeds of any shares of common stock sold under the sales agreement. In connection with the sale of the common stock on our behalf, SVB Securities will be deemed to be an “underwriter” within the meaning of the Securities Act and the compensation of SVB Securities will be deemed to be underwriting commissions or discounts. We have also agreed to provide indemnification and contribution to SVB Securities with respect to certain liabilities, including liabilities under the Securities Act or the Securities Exchange Act of 1934, as amended (Exchange Act). See “Plan of Distribution” beginning on page S-14 for additional information regarding SVB Securities’ compensation.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190500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120" w:right="660" w:firstLine="440"/>
        <w:spacing w:after="0" w:line="239" w:lineRule="auto"/>
        <w:rPr>
          <w:sz w:val="20"/>
          <w:szCs w:val="20"/>
          <w:color w:val="auto"/>
        </w:rPr>
      </w:pPr>
      <w:r>
        <w:rPr>
          <w:rFonts w:ascii="Arial" w:cs="Arial" w:eastAsia="Arial" w:hAnsi="Arial"/>
          <w:sz w:val="22"/>
          <w:szCs w:val="22"/>
          <w:b w:val="1"/>
          <w:bCs w:val="1"/>
          <w:color w:val="auto"/>
        </w:rPr>
        <w:t>INVESTING IN OUR COMMON STOCK INVOLVES SIGNIFICANT RISKS. YOU SHOULD REVIEW CAREFULLY THE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ON PAGE S-8 OF THIS PROSPECTUS SUPPLEMENT, AND IN THE DOCUMENTS INCORPORATED BY REFERENCE IN THIS PROSPECTUS SUPPLEMENT AND ACCOMPANYING PROSPECTUS BEFORE INVESTING IN OUR COMMON STOCK.</w:t>
      </w:r>
    </w:p>
    <w:p>
      <w:pPr>
        <w:spacing w:after="0" w:line="162" w:lineRule="exact"/>
        <w:rPr>
          <w:sz w:val="24"/>
          <w:szCs w:val="24"/>
          <w:color w:val="auto"/>
        </w:rPr>
      </w:pPr>
    </w:p>
    <w:p>
      <w:pPr>
        <w:ind w:left="120" w:right="160" w:firstLine="44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153670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SVB Securities</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supplement is August 17, 2022.</w:t>
      </w:r>
    </w:p>
    <w:p>
      <w:pPr>
        <w:sectPr>
          <w:pgSz w:w="11900" w:h="16838" w:orient="portrait"/>
          <w:cols w:equalWidth="0" w:num="1">
            <w:col w:w="11140"/>
          </w:cols>
          <w:pgMar w:left="320"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40" w:type="dxa"/>
            <w:vAlign w:val="bottom"/>
            <w:gridSpan w:val="16"/>
            <w:vMerge w:val="restart"/>
          </w:tcPr>
          <w:p>
            <w:pPr>
              <w:spacing w:after="0"/>
              <w:rPr>
                <w:sz w:val="20"/>
                <w:szCs w:val="20"/>
                <w:color w:val="auto"/>
              </w:rPr>
            </w:pPr>
            <w:r>
              <w:rPr>
                <w:rFonts w:ascii="Arial" w:cs="Arial" w:eastAsia="Arial" w:hAnsi="Arial"/>
                <w:sz w:val="18"/>
                <w:szCs w:val="18"/>
                <w:color w:val="0000EE"/>
                <w:w w:val="93"/>
              </w:rPr>
              <w:t>ABOUT THIS PROSPECTUS SUPPLEMENT</w:t>
            </w:r>
          </w:p>
        </w:tc>
        <w:tc>
          <w:tcPr>
            <w:tcW w:w="7120" w:type="dxa"/>
            <w:vAlign w:val="bottom"/>
            <w:gridSpan w:val="6"/>
            <w:vMerge w:val="restart"/>
          </w:tcPr>
          <w:p>
            <w:pPr>
              <w:spacing w:after="0"/>
              <w:rPr>
                <w:sz w:val="14"/>
                <w:szCs w:val="14"/>
                <w:color w:val="auto"/>
              </w:rPr>
            </w:pP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440" w:type="dxa"/>
            <w:vAlign w:val="bottom"/>
            <w:tcBorders>
              <w:bottom w:val="single" w:sz="8" w:color="0000EE"/>
            </w:tcBorders>
            <w:gridSpan w:val="16"/>
            <w:vMerge w:val="continue"/>
          </w:tcPr>
          <w:p>
            <w:pPr>
              <w:spacing w:after="0"/>
              <w:rPr>
                <w:sz w:val="13"/>
                <w:szCs w:val="13"/>
                <w:color w:val="auto"/>
              </w:rPr>
            </w:pPr>
          </w:p>
        </w:tc>
        <w:tc>
          <w:tcPr>
            <w:tcW w:w="7120" w:type="dxa"/>
            <w:vAlign w:val="bottom"/>
            <w:gridSpan w:val="6"/>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560" w:type="dxa"/>
            <w:vAlign w:val="bottom"/>
            <w:gridSpan w:val="22"/>
          </w:tcPr>
          <w:p>
            <w:pPr>
              <w:spacing w:after="0"/>
              <w:rPr>
                <w:sz w:val="20"/>
                <w:szCs w:val="20"/>
                <w:color w:val="auto"/>
              </w:rPr>
            </w:pPr>
            <w:r>
              <w:rPr>
                <w:rFonts w:ascii="Arial" w:cs="Arial" w:eastAsia="Arial" w:hAnsi="Arial"/>
                <w:sz w:val="18"/>
                <w:szCs w:val="18"/>
                <w:color w:val="0000EE"/>
              </w:rPr>
              <w:t>SPECIAL NOTE REGARDING FORWARD-LOOKING STATEMENTS</w:t>
            </w: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S-2</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PROSPECTUS SUPPLEMENT SUMMARY</w:t>
            </w:r>
          </w:p>
        </w:tc>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RISK FACTORS</w:t>
            </w:r>
          </w:p>
        </w:tc>
        <w:tc>
          <w:tcPr>
            <w:tcW w:w="728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USE OF PROCEEDS</w:t>
            </w:r>
          </w:p>
        </w:tc>
        <w:tc>
          <w:tcPr>
            <w:tcW w:w="898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9"/>
              </w:rPr>
              <w:t>DIVIDEND POLICY</w:t>
            </w:r>
          </w:p>
        </w:tc>
        <w:tc>
          <w:tcPr>
            <w:tcW w:w="898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9"/>
              </w:rPr>
              <w:t>DILUTION</w:t>
            </w:r>
          </w:p>
        </w:tc>
        <w:tc>
          <w:tcPr>
            <w:tcW w:w="9700" w:type="dxa"/>
            <w:vAlign w:val="bottom"/>
            <w:gridSpan w:val="2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Arial" w:cs="Arial" w:eastAsia="Arial" w:hAnsi="Arial"/>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3"/>
          </w:tcPr>
          <w:p>
            <w:pPr>
              <w:spacing w:after="0"/>
              <w:rPr>
                <w:sz w:val="17"/>
                <w:szCs w:val="17"/>
                <w:color w:val="auto"/>
              </w:rPr>
            </w:pPr>
          </w:p>
        </w:tc>
        <w:tc>
          <w:tcPr>
            <w:tcW w:w="852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Arial" w:cs="Arial" w:eastAsia="Arial" w:hAnsi="Arial"/>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20"/>
        </w:trPr>
        <w:tc>
          <w:tcPr>
            <w:tcW w:w="158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5"/>
              </w:rPr>
              <w:t>INCORPORATION OF CERTAIN INFORMATION BY REFERENCE</w:t>
            </w:r>
          </w:p>
        </w:tc>
        <w:tc>
          <w:tcPr>
            <w:tcW w:w="538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561"/>
        </w:trPr>
        <w:tc>
          <w:tcPr>
            <w:tcW w:w="10560" w:type="dxa"/>
            <w:vAlign w:val="bottom"/>
            <w:gridSpan w:val="22"/>
          </w:tcPr>
          <w:p>
            <w:pPr>
              <w:spacing w:after="0"/>
              <w:rPr>
                <w:sz w:val="20"/>
                <w:szCs w:val="20"/>
                <w:color w:val="auto"/>
              </w:rPr>
            </w:pPr>
            <w:r>
              <w:rPr>
                <w:rFonts w:ascii="Arial" w:cs="Arial" w:eastAsia="Arial" w:hAnsi="Arial"/>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560" w:type="dxa"/>
            <w:vAlign w:val="bottom"/>
            <w:gridSpan w:val="22"/>
            <w:vMerge w:val="restart"/>
          </w:tcPr>
          <w:p>
            <w:pPr>
              <w:spacing w:after="0"/>
              <w:rPr>
                <w:sz w:val="20"/>
                <w:szCs w:val="20"/>
                <w:color w:val="auto"/>
              </w:rPr>
            </w:pPr>
            <w:r>
              <w:rPr>
                <w:rFonts w:ascii="Arial" w:cs="Arial" w:eastAsia="Arial" w:hAnsi="Arial"/>
                <w:sz w:val="18"/>
                <w:szCs w:val="18"/>
                <w:color w:val="0000EE"/>
              </w:rPr>
              <w:t>ABOUT THIS PROSPECTUS</w:t>
            </w:r>
          </w:p>
        </w:tc>
        <w:tc>
          <w:tcPr>
            <w:tcW w:w="100" w:type="dxa"/>
            <w:vAlign w:val="bottom"/>
          </w:tcPr>
          <w:p>
            <w:pPr>
              <w:spacing w:after="0"/>
              <w:rPr>
                <w:sz w:val="23"/>
                <w:szCs w:val="2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5"/>
        </w:trPr>
        <w:tc>
          <w:tcPr>
            <w:tcW w:w="10560" w:type="dxa"/>
            <w:vAlign w:val="bottom"/>
            <w:gridSpan w:val="22"/>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2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w w:val="99"/>
              </w:rPr>
              <w:t>PROSPECTUS SUMMARY</w:t>
            </w:r>
          </w:p>
        </w:tc>
        <w:tc>
          <w:tcPr>
            <w:tcW w:w="8340" w:type="dxa"/>
            <w:vAlign w:val="bottom"/>
            <w:gridSpan w:val="13"/>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RISK FACTORS</w:t>
            </w:r>
          </w:p>
        </w:tc>
        <w:tc>
          <w:tcPr>
            <w:tcW w:w="848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2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Arial" w:cs="Arial" w:eastAsia="Arial" w:hAnsi="Arial"/>
                <w:sz w:val="18"/>
                <w:szCs w:val="18"/>
                <w:color w:val="0000EE"/>
              </w:rPr>
              <w:t>FORWARD-LOOKING STATEMENTS</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USE OF PROCEEDS</w:t>
            </w:r>
          </w:p>
        </w:tc>
        <w:tc>
          <w:tcPr>
            <w:tcW w:w="1340" w:type="dxa"/>
            <w:vAlign w:val="bottom"/>
            <w:tcBorders>
              <w:top w:val="single" w:sz="8" w:color="0000EE"/>
            </w:tcBorders>
            <w:gridSpan w:val="7"/>
          </w:tcPr>
          <w:p>
            <w:pPr>
              <w:spacing w:after="0"/>
              <w:rPr>
                <w:sz w:val="17"/>
                <w:szCs w:val="17"/>
                <w:color w:val="auto"/>
              </w:rPr>
            </w:pPr>
          </w:p>
        </w:tc>
        <w:tc>
          <w:tcPr>
            <w:tcW w:w="764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2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754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3"/>
              </w:rPr>
              <w:t>DESCRIPTION OF DEPOSITARY SHARES</w:t>
            </w:r>
          </w:p>
        </w:tc>
        <w:tc>
          <w:tcPr>
            <w:tcW w:w="724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808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Arial" w:cs="Arial" w:eastAsia="Arial" w:hAnsi="Arial"/>
                <w:sz w:val="18"/>
                <w:szCs w:val="18"/>
                <w:color w:val="0000EE"/>
              </w:rPr>
              <w:t>DESCRIPTION OF SUBSCRIPTION RIGHTS</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840" w:type="dxa"/>
            <w:vAlign w:val="bottom"/>
            <w:tcBorders>
              <w:right w:val="single" w:sz="8" w:color="0000EE"/>
            </w:tcBorders>
            <w:gridSpan w:val="5"/>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2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Arial" w:cs="Arial" w:eastAsia="Arial" w:hAnsi="Arial"/>
                <w:sz w:val="18"/>
                <w:szCs w:val="18"/>
                <w:color w:val="0000EE"/>
              </w:rPr>
              <w:t>DESCRIPTION OF PURCHASE CONTRACTS</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DESCRIPTION OF UNITS</w:t>
            </w:r>
          </w:p>
        </w:tc>
        <w:tc>
          <w:tcPr>
            <w:tcW w:w="1520" w:type="dxa"/>
            <w:vAlign w:val="bottom"/>
            <w:tcBorders>
              <w:top w:val="single" w:sz="8" w:color="0000EE"/>
            </w:tcBorders>
            <w:gridSpan w:val="12"/>
          </w:tcPr>
          <w:p>
            <w:pPr>
              <w:spacing w:after="0"/>
              <w:rPr>
                <w:sz w:val="17"/>
                <w:szCs w:val="17"/>
                <w:color w:val="auto"/>
              </w:rPr>
            </w:pPr>
          </w:p>
        </w:tc>
        <w:tc>
          <w:tcPr>
            <w:tcW w:w="702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Arial" w:cs="Arial" w:eastAsia="Arial" w:hAnsi="Arial"/>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3"/>
          </w:tcPr>
          <w:p>
            <w:pPr>
              <w:spacing w:after="0"/>
              <w:rPr>
                <w:sz w:val="17"/>
                <w:szCs w:val="17"/>
                <w:color w:val="auto"/>
              </w:rPr>
            </w:pPr>
          </w:p>
        </w:tc>
        <w:tc>
          <w:tcPr>
            <w:tcW w:w="852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Arial" w:cs="Arial" w:eastAsia="Arial" w:hAnsi="Arial"/>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7700" w:type="dxa"/>
            <w:vAlign w:val="bottom"/>
            <w:gridSpan w:val="11"/>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INCORPORATION BY REFERENCE</w:t>
            </w:r>
          </w:p>
        </w:tc>
        <w:tc>
          <w:tcPr>
            <w:tcW w:w="940" w:type="dxa"/>
            <w:vAlign w:val="bottom"/>
            <w:tcBorders>
              <w:top w:val="single" w:sz="8" w:color="0000EE"/>
            </w:tcBorders>
            <w:gridSpan w:val="8"/>
          </w:tcPr>
          <w:p>
            <w:pPr>
              <w:spacing w:after="0"/>
              <w:rPr>
                <w:sz w:val="17"/>
                <w:szCs w:val="17"/>
                <w:color w:val="auto"/>
              </w:rPr>
            </w:pPr>
          </w:p>
        </w:tc>
        <w:tc>
          <w:tcPr>
            <w:tcW w:w="676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This prospectus supplement and the accompanying prospectus are part of a registration statement on Form S-3 that we filed with the Securities and Exchange Commission, which we refer to as the “SEC,” utilizing a “shelf” registration process. Under this shelf registration process, we may from time to time offer shares of our common stock having an aggregate offering price of up to $75,000,000 under this prospectus supplement at prices and on terms to be determined by market conditions at the time of each such offering.</w:t>
      </w:r>
    </w:p>
    <w:p>
      <w:pPr>
        <w:spacing w:after="0" w:line="17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are providing information to you about this offering of our common stock in two parts. The first part is this prospectus supplement, which provides you with specific information regarding the terms of this offering and our common stock,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common stock.</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Before buying any of the common stock that we are offering, we urge you to carefully read this prospectus supplement and all of the information incorporated by reference herein, as well as the additional information described under the headings “Where You Can Find More Information” and “Incorporation of Certain Information by Reference.” These documents contain important information that you should consider when making your investment decision.</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7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have not, and SVB Securities has not, authorized anyone to provide you with any information other than that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You should assume that the information appearing in this prospectus supplement, the documents incorporated by reference and the accompanying prospectus or free writing prospectus is accurate only as of their respective dates. Our business, financial condition, results of operations and prospects may have changed materially since those dates.</w:t>
      </w:r>
    </w:p>
    <w:p>
      <w:pPr>
        <w:spacing w:after="0" w:line="17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Unless the context otherwise indicates, references in this prospectus supplement, the accompanying prospectus and the information incorporated by reference herein and therein to “Tenaya Therapeutics, Inc.,” “Tenaya,” “we,” “our” and “us” refer, collectively, to Tenaya Therapeutics, Inc., a Delaware corporation.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60"/>
          </w:cols>
          <w:pgMar w:left="320" w:top="459" w:right="5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and therein, contain forward-looking statements within the meaning of Section 27A of the Securities Act, and Section 21E of the Exchange Act.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development plans, planned preclinical studies and clinical trials, future results of preclinical studies and clinical trials, expected research and development costs, regulatory strategy, timing and likelihood of success, as well as plans and objectives of management for future operations, are forward-looking statements.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These forward-looking statements include, but are not limited to, statements about:</w:t>
      </w:r>
    </w:p>
    <w:p>
      <w:pPr>
        <w:spacing w:after="0" w:line="72" w:lineRule="exact"/>
        <w:rPr>
          <w:sz w:val="20"/>
          <w:szCs w:val="20"/>
          <w:color w:val="auto"/>
        </w:rPr>
      </w:pPr>
    </w:p>
    <w:p>
      <w:pPr>
        <w:ind w:left="1080" w:right="4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preclinical studies and planned clinical trials to demonstrate safety and efficacy of our product candidates, and other positive results;</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planned clinical trials for our current product candidates and other product candidates we may develop;</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timing of investigational new drugs (INDs), clinical trial applications (CTAs), Food and Drug Administration (FDA) approvals, and final regulatory approval of our current product candidates and any other future product candidates;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develop and advance our current product candidates and programs into, and successfully complete, clinical studies;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plans relating to the further development of our product candidates, including additional indications and targets we may pursue;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existing laws and regulations and regulatory developments in the United States, Europe and other jurisdictions;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effects of the ongoing COVID-19 pandemic on our business, including our preclinical studies and clinical trials;</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9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preclinical studies and planned clinical trials of our product candidates, and for the development and manufacture of our product candidates for preclinical studies and clinical trials;</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partnership, licensing or other arrangements that may be necessary or desirable to develop, manufacture or commercialize our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459"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product candidates and other product candidates we may develop;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expenses, operating losses, future revenue,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cash equivalents, and investments in marketable securities will be sufficient to fund our future operating expenses and capital expenditure requirements;</w:t>
      </w:r>
    </w:p>
    <w:p>
      <w:pPr>
        <w:spacing w:after="0" w:line="75"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will remain an emerging growth company under The Jumpstart Our Business Startups Act of 2012 and a smaller reporting company under the Securities Exchange Act of 1934, as amended;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anticipated use of our existing cash, cash equivalents, and marketable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225"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the accompanying prospectus, and the documents incorporated by reference herein and therein.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supplement, whether as a result of any new information, future events or otherwise.</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00"/>
          </w:cols>
          <w:pgMar w:left="320" w:top="459"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supplement, the accompanying prospectus and in the documents we incorporate by reference. This summary does not contain all of the information you should consider before making an investment decision. You should read this entire prospectus supplement and the accompanying prospectus carefully, especially the risks of investing in our common stock discussed under “Risk Factors” beginning on page S-8 of this prospectus supplement, the “Risk Factors” section of our most recent Annual Report on Form 10-K, as may be updated by our subsequent Quarterly Reports on Form 10-Q and other filings we make with the SEC, along with our consolidated financial statements and notes to those consolidated financial statements and the other information incorporated by reference in this prospectus supplement and the accompanying prospectus and in our filings with the SEC.</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are a biotechnology company focused on discovering, designing, developing and delivering curative therapies that address the underlying drivers of heart disease. Our vision is to change the treatment paradigm for heart disease, and in doing so improve and extend the lives of millions of individuals and families.</w:t>
      </w:r>
    </w:p>
    <w:p>
      <w:pPr>
        <w:spacing w:after="0" w:line="184" w:lineRule="exact"/>
        <w:rPr>
          <w:sz w:val="20"/>
          <w:szCs w:val="20"/>
          <w:color w:val="auto"/>
        </w:rPr>
      </w:pPr>
    </w:p>
    <w:p>
      <w:pPr>
        <w:ind w:left="300" w:right="200" w:firstLine="426"/>
        <w:spacing w:after="0" w:line="259" w:lineRule="auto"/>
        <w:rPr>
          <w:sz w:val="20"/>
          <w:szCs w:val="20"/>
          <w:color w:val="auto"/>
        </w:rPr>
      </w:pPr>
      <w:r>
        <w:rPr>
          <w:rFonts w:ascii="Arial" w:cs="Arial" w:eastAsia="Arial" w:hAnsi="Arial"/>
          <w:sz w:val="18"/>
          <w:szCs w:val="18"/>
          <w:color w:val="auto"/>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in the preclinical stage; we do not have any products approved for sale and have not generated any revenue to date.</w:t>
      </w:r>
    </w:p>
    <w:p>
      <w:pPr>
        <w:spacing w:after="0" w:line="187" w:lineRule="exact"/>
        <w:rPr>
          <w:sz w:val="20"/>
          <w:szCs w:val="20"/>
          <w:color w:val="auto"/>
        </w:rPr>
      </w:pPr>
    </w:p>
    <w:p>
      <w:pPr>
        <w:ind w:left="300" w:right="120" w:firstLine="426"/>
        <w:spacing w:after="0" w:line="290" w:lineRule="auto"/>
        <w:rPr>
          <w:sz w:val="20"/>
          <w:szCs w:val="20"/>
          <w:color w:val="auto"/>
        </w:rPr>
      </w:pPr>
      <w:r>
        <w:rPr>
          <w:rFonts w:ascii="Arial" w:cs="Arial" w:eastAsia="Arial" w:hAnsi="Arial"/>
          <w:sz w:val="16"/>
          <w:szCs w:val="16"/>
          <w:color w:val="auto"/>
        </w:rPr>
        <w:t>The most advanced product candidate from our Gene Therapy Platform is TN-201. TN-201 is an adeno-associated virus (AAV)-based gene therapy that addresses genetic hypertrophic cardiomyopathy (HCM) caused by Myosin Binding Protein C3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These mutations can cause the heart walls of affected individuals to become significantly thickened, leading to fibrosis, abnormal heart rhythms, cardiac dysfunction, heart failure, and sudden cardiac death in some adults and children. TN-201 is designed to deliver a fully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driven by our proprietary heart-specific promoter to restore normal levels of MYBPC3 protein. We remain on track with our Investigational New Drug (IND) submission plans for TN-201 in the second half of 2022 and plan to focus on initial clinical development in adult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 carriers with symptomatic non-obstructive HCM. TN-201 has been granted orphan drug designation by both the U.S. Food and Drug Administration (FDA) and the European Commission for the potential treatment of HCM due to mutations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w:t>
      </w:r>
    </w:p>
    <w:p>
      <w:pPr>
        <w:spacing w:after="0" w:line="165" w:lineRule="exact"/>
        <w:rPr>
          <w:sz w:val="20"/>
          <w:szCs w:val="20"/>
          <w:color w:val="auto"/>
        </w:rPr>
      </w:pPr>
    </w:p>
    <w:p>
      <w:pPr>
        <w:ind w:left="300" w:right="240" w:firstLine="426"/>
        <w:spacing w:after="0" w:line="275" w:lineRule="auto"/>
        <w:rPr>
          <w:sz w:val="20"/>
          <w:szCs w:val="20"/>
          <w:color w:val="auto"/>
        </w:rPr>
      </w:pPr>
      <w:r>
        <w:rPr>
          <w:rFonts w:ascii="Arial" w:cs="Arial" w:eastAsia="Arial" w:hAnsi="Arial"/>
          <w:sz w:val="17"/>
          <w:szCs w:val="17"/>
          <w:color w:val="auto"/>
        </w:rPr>
        <w:t xml:space="preserve">In 2021, we initiated a global natural history study to improve our understanding of disease progression and unmet need in individuals carrying mutations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with an initial focus on pediatric patients under the age of 18. We continue site activation and patient enrollment in the global natural history study to support the future clinical evaluation of TN-201 in pediatric patients after early safety has been established in adults. The natural history study complements existing disease registries focused primarily on adult patient HCM populations and may support and expedite the development of TN-201 in the pediatric patient population.</w:t>
      </w:r>
    </w:p>
    <w:p>
      <w:pPr>
        <w:spacing w:after="0" w:line="176"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color w:val="auto"/>
        </w:rPr>
        <w:t>TN-301, the most advanced product candidate from our Precision Medicine Platform is a highly specific small molecule inhibitor of histone deacetylase 6 (HDAC6i). It has potentially broad utility in both heart failure with preserved ejection fraction (HFpEF) as well as genetic dilated cardiomyopathy. HFpEF is one of the greatest areas of unmet need in heart disease, and is characterized by systemic inflammation, left ventricular hypertrophy, fibrosis, and diastolic dysfunction resulting in high morbidity and mortality in affected individuals. We remain on track with our IND submission plans for TN-301 in the second half of 2022.</w:t>
      </w:r>
    </w:p>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00"/>
          </w:cols>
          <w:pgMar w:left="320" w:top="459" w:right="6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61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4761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TN-401, another product candidate from our Gene Therapy Platform, uses an AAV-based gene therapy to address genetic arrhythmogenic right ventricular cardiomyopathy (ARVC) caused by plakophilin 2 (</w:t>
      </w:r>
      <w:r>
        <w:rPr>
          <w:rFonts w:ascii="Arial" w:cs="Arial" w:eastAsia="Arial" w:hAnsi="Arial"/>
          <w:sz w:val="18"/>
          <w:szCs w:val="18"/>
          <w:i w:val="1"/>
          <w:iCs w:val="1"/>
          <w:color w:val="auto"/>
        </w:rPr>
        <w:t>PKP2</w:t>
      </w:r>
      <w:r>
        <w:rPr>
          <w:rFonts w:ascii="Arial" w:cs="Arial" w:eastAsia="Arial" w:hAnsi="Arial"/>
          <w:sz w:val="18"/>
          <w:szCs w:val="18"/>
          <w:color w:val="auto"/>
        </w:rPr>
        <w:t>) gene mutations. ARVC is characterized by enlargement of the right ventricle in affected individuals, replacement of heart muscle with fibrotic tissue and fatty deposits, and severely abnormal heart rhythms (arrhythmia) that can make it difficult for the heart to function properly and result in sudden cardiac death in some adults and children. We have scaled up production of TN-401 to 200L and are initiating IND-enabling studies. We also intend to support establishment of a global natural history study in 2022 and expect to submit an IND for TN-401 in 2023.</w:t>
      </w:r>
    </w:p>
    <w:p>
      <w:pPr>
        <w:spacing w:after="0" w:line="192" w:lineRule="exact"/>
        <w:rPr>
          <w:sz w:val="20"/>
          <w:szCs w:val="20"/>
          <w:color w:val="auto"/>
        </w:rPr>
      </w:pPr>
    </w:p>
    <w:p>
      <w:pPr>
        <w:ind w:left="300" w:right="40" w:firstLine="426"/>
        <w:spacing w:after="0" w:line="296" w:lineRule="auto"/>
        <w:rPr>
          <w:sz w:val="20"/>
          <w:szCs w:val="20"/>
          <w:color w:val="auto"/>
        </w:rPr>
      </w:pPr>
      <w:r>
        <w:rPr>
          <w:rFonts w:ascii="Arial" w:cs="Arial" w:eastAsia="Arial" w:hAnsi="Arial"/>
          <w:sz w:val="16"/>
          <w:szCs w:val="16"/>
          <w:color w:val="auto"/>
        </w:rPr>
        <w:t>Our earlier-stage discovery programs include an AAV-based gene therapy designed to express the Dwarf Open Reading Frame (</w:t>
      </w:r>
      <w:r>
        <w:rPr>
          <w:rFonts w:ascii="Arial" w:cs="Arial" w:eastAsia="Arial" w:hAnsi="Arial"/>
          <w:sz w:val="16"/>
          <w:szCs w:val="16"/>
          <w:i w:val="1"/>
          <w:iCs w:val="1"/>
          <w:color w:val="auto"/>
        </w:rPr>
        <w:t>DWORF</w:t>
      </w:r>
      <w:r>
        <w:rPr>
          <w:rFonts w:ascii="Arial" w:cs="Arial" w:eastAsia="Arial" w:hAnsi="Arial"/>
          <w:sz w:val="16"/>
          <w:szCs w:val="16"/>
          <w:color w:val="auto"/>
        </w:rPr>
        <w:t>) gene in the heart, which has potentially broad utility in dilated cardiomyopathy and heart failure with reduced ejection fraction (HFrEF) and is currently at the candidate selection stage. Another program is an AAV-approach based on science from our founders that involves converting (or reprogramming) cells to replace cardiomyocytes lost due to heart damage, such as myocardial infarction. This program is currently at the candidate selection stage. In addition, we have numerous emerging programs being explored to address other forms of heart failure.</w:t>
      </w:r>
    </w:p>
    <w:p>
      <w:pPr>
        <w:spacing w:after="0" w:line="161" w:lineRule="exact"/>
        <w:rPr>
          <w:sz w:val="20"/>
          <w:szCs w:val="20"/>
          <w:color w:val="auto"/>
        </w:rPr>
      </w:pPr>
    </w:p>
    <w:p>
      <w:pPr>
        <w:ind w:left="300" w:right="140" w:firstLine="426"/>
        <w:spacing w:after="0" w:line="254" w:lineRule="auto"/>
        <w:rPr>
          <w:sz w:val="20"/>
          <w:szCs w:val="20"/>
          <w:color w:val="auto"/>
        </w:rPr>
      </w:pPr>
      <w:r>
        <w:rPr>
          <w:rFonts w:ascii="Arial" w:cs="Arial" w:eastAsia="Arial" w:hAnsi="Arial"/>
          <w:sz w:val="18"/>
          <w:szCs w:val="18"/>
          <w:color w:val="auto"/>
        </w:rPr>
        <w:t>We have invested in significant gene therapy enabling capabilities, most notably with the build out and operational launch of our Genetic Medicines Manufacturing Center to support the production of our AAV-based programs. In June 2022, this facility obtained a drug manufacturing license from the State of California, Department of Public Health, to enable current Good Manufacturing Practice (cGMP) production of drug product. Located in Union City near our research labs, our Genetic Medicines Manufacturing Center enables scale-up of production to support first-in-human studies. This facility will initially support the production of drug product at multiple scales for clinical studies for all AAV-based programs, including TN-201 and TN-401. We have also initiated cGMP to support the production of TN-301 at a contract development and manufacturing organization (CDMO).</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20" w:firstLine="426"/>
        <w:spacing w:after="0" w:line="279" w:lineRule="auto"/>
        <w:rPr>
          <w:sz w:val="20"/>
          <w:szCs w:val="20"/>
          <w:color w:val="auto"/>
        </w:rPr>
      </w:pPr>
      <w:r>
        <w:rPr>
          <w:rFonts w:ascii="Arial" w:cs="Arial" w:eastAsia="Arial" w:hAnsi="Arial"/>
          <w:sz w:val="17"/>
          <w:szCs w:val="17"/>
          <w:color w:val="auto"/>
        </w:rPr>
        <w:t>We were incorporated in Delaware in August 2016. Our principal executive offices are located at 171 Oyster Point Boulevard, 5th Floor, South San Francisco, CA 94080. Our telephone number is (650) 825-6990. 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171"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01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6019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20"/>
          </w:cols>
          <w:pgMar w:left="320" w:top="459" w:right="65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having an aggregate offering price of up to $75,000,000.</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Up to 55,304,340 shares, assuming the sale of $75,000,000 of shares of our common stock in this offering at an offering price of $5.38 per share, which was the closing price of our common stock on the Nasdaq Global Select Market on August 9, 2022. The actual number of shares issued will vary depending on the sales price under this offering.</w:t>
      </w:r>
    </w:p>
    <w:p>
      <w:pPr>
        <w:spacing w:after="0" w:line="184" w:lineRule="exact"/>
        <w:rPr>
          <w:sz w:val="20"/>
          <w:szCs w:val="20"/>
          <w:color w:val="auto"/>
        </w:rPr>
      </w:pPr>
    </w:p>
    <w:p>
      <w:pPr>
        <w:sectPr>
          <w:pgSz w:w="11900" w:h="16838" w:orient="portrait"/>
          <w:cols w:equalWidth="0" w:num="2">
            <w:col w:w="3740" w:space="60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Plan of Distribution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“At the market offering” that may be made from time to time through our sales agent, SVB Securities. See “Plan of Distribution” on page S-14.</w:t>
      </w:r>
    </w:p>
    <w:p>
      <w:pPr>
        <w:spacing w:after="0" w:line="197"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Arial" w:cs="Arial" w:eastAsia="Arial" w:hAnsi="Arial"/>
          <w:sz w:val="16"/>
          <w:szCs w:val="16"/>
          <w:color w:val="auto"/>
        </w:rPr>
        <w:t>We currently intend to use the net proceeds from this offering, together with our existing cash and cash equivalents, to fund our ongoing and planned preclinical and clinical development of our most advanced product candidates in our MYBPC3, HDAC6i and PKP2 programs, the continued development of our other programs, including our DWORF and Reprogramming programs, our manufacturing operations and the remainder, if any, for working capital and other general corporate purposes. See “Use of Proceeds” on page S-10.</w:t>
      </w:r>
    </w:p>
    <w:p>
      <w:pPr>
        <w:spacing w:after="0" w:line="191"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60"/>
        <w:spacing w:after="0" w:line="301" w:lineRule="auto"/>
        <w:rPr>
          <w:sz w:val="20"/>
          <w:szCs w:val="20"/>
          <w:color w:val="auto"/>
        </w:rPr>
      </w:pPr>
      <w:r>
        <w:rPr>
          <w:rFonts w:ascii="Arial" w:cs="Arial" w:eastAsia="Arial" w:hAnsi="Arial"/>
          <w:sz w:val="16"/>
          <w:szCs w:val="16"/>
          <w:color w:val="auto"/>
        </w:rPr>
        <w:t>Investing in our common stock involves significant risks. You should read the “Risk Factors” section of this prospectus supplement and in the documents incorporated by reference in this prospectus supplement and accompanying prospectus for a discussion of factors to consider carefully before deciding to purchase shares of our common stock.</w:t>
      </w:r>
    </w:p>
    <w:p>
      <w:pPr>
        <w:spacing w:after="0" w:line="184"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“TNYA”</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39"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The number of shares of our common stock outstanding after this offering is based on 41,363,820 shares of our common stock outstanding as of June 30, 2022, and excludes:</w:t>
      </w:r>
    </w:p>
    <w:p>
      <w:pPr>
        <w:spacing w:after="0" w:line="76" w:lineRule="exact"/>
        <w:rPr>
          <w:sz w:val="20"/>
          <w:szCs w:val="20"/>
          <w:color w:val="auto"/>
        </w:rPr>
      </w:pPr>
    </w:p>
    <w:p>
      <w:pPr>
        <w:ind w:left="1240" w:right="20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5,161,710 shares of our common stock issuable upon the exercise of options outstanding as of June 30, 2022, at a weighted-average exercise price of $10.43 per share;</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72,559 shares of our common stock issuable upon the vesting of restricted stock units outstanding as of June 30, 2022;</w:t>
      </w:r>
    </w:p>
    <w:p>
      <w:pPr>
        <w:spacing w:after="0" w:line="130"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47,800 shares of our common stock issuable upon the exercise of options granted after June 30, 2022, at a weighted-average exercise price of $5.20 per share;</w:t>
      </w:r>
    </w:p>
    <w:p>
      <w:pPr>
        <w:spacing w:after="0" w:line="75" w:lineRule="exact"/>
        <w:rPr>
          <w:rFonts w:ascii="Arial" w:cs="Arial" w:eastAsia="Arial" w:hAnsi="Arial"/>
          <w:sz w:val="18"/>
          <w:szCs w:val="18"/>
          <w:color w:val="auto"/>
        </w:rPr>
      </w:pPr>
    </w:p>
    <w:p>
      <w:pPr>
        <w:jc w:val="both"/>
        <w:ind w:left="1240" w:right="220" w:hanging="415"/>
        <w:spacing w:after="0" w:line="311"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2,762,859 shares of our common stock reserved for issuance pursuant to future awards under our 2021 Equity Incentive Plan (2021 Plan), as of June 30, 2022, plus any future increases in the number of shares of common stock reserved for issuance under our 2021 Plan pursuant to provisions thereof that automatically increase the share reserve under the plan each year; and</w:t>
      </w: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20"/>
          </w:cols>
          <w:pgMar w:left="320" w:top="459" w:right="6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058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1058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86"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1,161,305 shares of our common stock reserved for future issuance under our 2021 Employee Stock Purchase Plan (ESPP), as of June 30, 2022, plus any future increases in the number of shares of common stock reserved for issuance under the ESPP pursuant to provisions thereof that automatically increase the share reserve under the plan each year.</w:t>
      </w:r>
    </w:p>
    <w:p>
      <w:pPr>
        <w:spacing w:after="0" w:line="165" w:lineRule="exact"/>
        <w:rPr>
          <w:sz w:val="20"/>
          <w:szCs w:val="20"/>
          <w:color w:val="auto"/>
        </w:rPr>
      </w:pPr>
    </w:p>
    <w:p>
      <w:pPr>
        <w:ind w:left="300" w:right="600" w:firstLine="426"/>
        <w:spacing w:after="0" w:line="277" w:lineRule="auto"/>
        <w:rPr>
          <w:sz w:val="20"/>
          <w:szCs w:val="20"/>
          <w:color w:val="auto"/>
        </w:rPr>
      </w:pPr>
      <w:r>
        <w:rPr>
          <w:rFonts w:ascii="Arial" w:cs="Arial" w:eastAsia="Arial" w:hAnsi="Arial"/>
          <w:sz w:val="18"/>
          <w:szCs w:val="18"/>
          <w:color w:val="auto"/>
        </w:rPr>
        <w:t>Unless otherwise indicated, all information in this prospectus supplement assumes no exercise of outstanding options or vesting of outstanding restricted stock units after June 30, 2022.</w:t>
      </w:r>
    </w:p>
    <w:p>
      <w:pPr>
        <w:spacing w:after="0" w:line="27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720"/>
          </w:cols>
          <w:pgMar w:left="320" w:top="459" w:right="8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i w:val="1"/>
          <w:iCs w:val="1"/>
          <w:color w:val="auto"/>
        </w:rPr>
        <w:t>Investing in our securities involves a high degree of risk. Before making a decision to invest in our securities, in addition to carefully considering the other information contained in this prospectus supplement, in the accompanying prospectus and incorporated by reference herein or therein, you should carefully consider the risks described under the caption “Risk Factors” contained in the accompanying prospectus, and any related free writing prospectus, and the risks discussed under the caption “Risk Factors” contained in our most recent annual report on Form 10-K and in our most recent quarterly reports on Form 10-Q, as well as any amendments thereto, which are incorporated by reference into this prospectus supplement in their entirety, together with other information in this prospectus supplement, the documents incorporated by reference, and any free writing prospectus that we may authorize for use in connection with a specific offering. See “Where You Can Find More Information” and “Incorporation by Reference.”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Investors in this offering may experience immediate and substantial dilution in the book value of their investment.</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last reported sale price of our common stock on the Nasdaq Global Select Market on August 9, 2022 was $5.38 per share, which is less than our net tangible book value per share as of June 30, 2022. For a more detailed discussion regarding the foregoing and the dilution to new investors participating in this offering, assuming that an aggregate of 13,940,520 shares of our common stock are sold at such price for aggregate gross proceeds of approximately $75,000,000, please see the section entitled “Dilution” on page S-12 of this prospectus supplement.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As of June 30, 2022, we had 41,363,820 shares of our common stock outstanding. If our stockholders sell, or the market perceives that our stockholders intend to sell, substantial amount of our common stock in the public market, the market price of our common stock could decline significantly.</w:t>
      </w:r>
    </w:p>
    <w:p>
      <w:pPr>
        <w:spacing w:after="0" w:line="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184"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26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b w:val="1"/>
          <w:bCs w:val="1"/>
          <w:i w:val="1"/>
          <w:iCs w:val="1"/>
          <w:color w:val="auto"/>
        </w:rPr>
        <w:t>Our management team will have broad discretion to use the net proceeds from this offering and its investment of these proceeds may not yield a favorable return.</w:t>
      </w:r>
    </w:p>
    <w:p>
      <w:pPr>
        <w:spacing w:after="0" w:line="6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management team will have broad discretion in the application of the net proceeds from this offering and could spend or invest the proceeds in ways that may not yield a favorable return or enhance the value of our common stock.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proceeds to be received upon the completion of this offering. In addition, the amount, allocation and timing of our actual expenditures will depend upon numerous factors, including any milestone payments received from any future strategic partnerships. Accordingly, we will have broad discretion in using these proceeds. Until the net proceeds are used, they may be placed in investments that do not produce significant income or that may lose value.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We do not anticipate paying cash dividends and, accordingly, stockholders must rely on share appreciation for any return on their investment.</w:t>
      </w:r>
    </w:p>
    <w:p>
      <w:pPr>
        <w:spacing w:after="0" w:line="152"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27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293"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and the terms of the sales agreement,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459"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may issue and sell shares of our common stock having an aggregate gross sales proceeds of up to $75,000,000 from time to time pursuant to the sales agreement. The amount of proceeds from this offering will depend upon the number of shares of our common stock sold and the market price at which they are sold. Because there is no minimum offering amount required as a condition to close this offering, the actual total public offering amount, commissions and proceeds to us, if any, are not determinable at this time.</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currently intend to use the net proceeds from this offering, together with our existing cash and cash equivalents, to fund our ongoing and planned preclinical and clinical development of our most advanced product candidates in our MYBPC3, HDAC6i and PKP2 programs, the continued development of our other programs, including our DWORF and Reprogramming programs, our manufacturing operations and the remainder, if any, for working capital and other general corporate purposes.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6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Our historical net tangible book value as of June 30, 2022 was $223.9 million, or $5.41 per share of our common stock. Historical net tangible book value per share represents the amount of our total tangible assets less total liabilities, divided by the number of shares of our common stock outstanding.</w:t>
      </w:r>
    </w:p>
    <w:p>
      <w:pPr>
        <w:spacing w:after="0" w:line="184" w:lineRule="exact"/>
        <w:rPr>
          <w:sz w:val="20"/>
          <w:szCs w:val="20"/>
          <w:color w:val="auto"/>
        </w:rPr>
      </w:pPr>
    </w:p>
    <w:p>
      <w:pPr>
        <w:jc w:val="both"/>
        <w:ind w:left="120" w:right="220" w:firstLine="440"/>
        <w:spacing w:after="0" w:line="287" w:lineRule="auto"/>
        <w:rPr>
          <w:sz w:val="20"/>
          <w:szCs w:val="20"/>
          <w:color w:val="auto"/>
        </w:rPr>
      </w:pPr>
      <w:r>
        <w:rPr>
          <w:rFonts w:ascii="Arial" w:cs="Arial" w:eastAsia="Arial" w:hAnsi="Arial"/>
          <w:sz w:val="16"/>
          <w:szCs w:val="16"/>
          <w:color w:val="auto"/>
        </w:rPr>
        <w:t>Dilution in historical net tangible book value per share to new investors in this offering represents the difference between the amount per share paid by purchasers of shares of common stock in this offering and the historical net tangible book value per share of common stock immediately after the completion of this offering. After giving effect to the assumed sale by us of shares of our common stock having an aggregate amount of</w:t>
      </w: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$75.0 million at an assumed public offering price of $5.38 per share, which was the last reported sale price of our common stock on the Nasdaq Global Select Market on August 9, 2022 and after deducting estimated commissions and estimated offering expenses payable by us, our as adjusted net tangible book value as of June 30, 2022 would have been $296.0 million, or $5.35 per share. This represents an immediate decrease in net tangible book value per share of $0.06 to existing stockholders and immediate dilution of $0.03 in net tangible book value per share to new investors purchasing common stock in this offering.</w:t>
      </w:r>
    </w:p>
    <w:p>
      <w:pPr>
        <w:spacing w:after="0" w:line="191"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21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Historical net tangible book value per share as of June 30, 2022</w:t>
            </w:r>
          </w:p>
        </w:tc>
        <w:tc>
          <w:tcPr>
            <w:tcW w:w="1700" w:type="dxa"/>
            <w:vAlign w:val="bottom"/>
            <w:gridSpan w:val="3"/>
          </w:tcPr>
          <w:p>
            <w:pPr>
              <w:ind w:left="700"/>
              <w:spacing w:after="0"/>
              <w:rPr>
                <w:sz w:val="20"/>
                <w:szCs w:val="20"/>
                <w:color w:val="auto"/>
              </w:rPr>
            </w:pPr>
            <w:r>
              <w:rPr>
                <w:rFonts w:ascii="Arial" w:cs="Arial" w:eastAsia="Arial" w:hAnsi="Arial"/>
                <w:sz w:val="18"/>
                <w:szCs w:val="18"/>
                <w:color w:val="auto"/>
              </w:rPr>
              <w:t>$ 5.41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w w:val="99"/>
              </w:rPr>
              <w:t>Increase (Decrease) in net tangible book value per share attributable to new investors in this offering</w:t>
            </w:r>
          </w:p>
        </w:tc>
        <w:tc>
          <w:tcPr>
            <w:tcW w:w="1700" w:type="dxa"/>
            <w:vAlign w:val="bottom"/>
            <w:gridSpan w:val="3"/>
            <w:shd w:val="clear" w:color="auto" w:fill="CCEEFF"/>
          </w:tcPr>
          <w:p>
            <w:pPr>
              <w:ind w:left="7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(0.06)</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7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21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as adjusted information is illustrative only and will adjust based on the actual price to the public, the actual number of shares sold and other terms of the offering determined at the time shares of our common stock are sold pursuant to this prospectus supplement. The shares sold in this offering, if any, will be sold from time to time at various prices. An increase of $1.00 per share in the price at which the shares are sold from the assumed offering price of $5.38 per share shown in the table above, assuming all of our common stock in the aggregate amount of $75.0 million during the term of the sales agreement with SVB Securities is sold at that price, would increase our adjusted net tangible book value per share after the offering to $5.57 per share and would increase the dilution in net tangible book value per share to new investors in this offering to $0.81 per share, after deducting commissions and estimated offering expenses payable by us. A decrease of $1.00 per share in the price at which the shares are sold from the assumed offering price of $5.38 per share shown in the table above, assuming all of our common stock in the amount of $75.0 million during the term of the sales agreement with SVB Securities is sold at that price, would decrease our adjusted net tangible book value per share after the offering to $5.06 per share and would result in an accretion in net tangible book value of $0.68 per share to new investors in this offering, after deducting commissions and estimated aggregate offering expenses payable by us. This information is supplied for illustrative purposes only and may differ based on the actual offering price and the actual number of shares offered.</w:t>
      </w:r>
    </w:p>
    <w:p>
      <w:pPr>
        <w:spacing w:after="0" w:line="17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foregoing table and calculations (other than the historical net tangible book value calculations) are based on 41,363,820 shares of our common stock outstanding as of June 30, 2022 and exclude as of such date:</w:t>
      </w:r>
    </w:p>
    <w:p>
      <w:pPr>
        <w:spacing w:after="0" w:line="76" w:lineRule="exact"/>
        <w:rPr>
          <w:sz w:val="20"/>
          <w:szCs w:val="20"/>
          <w:color w:val="auto"/>
        </w:rPr>
      </w:pPr>
    </w:p>
    <w:p>
      <w:pPr>
        <w:ind w:left="1080" w:right="5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5,161,710 shares of our common stock issuable upon the exercise of options outstanding as of June 30, 2022, at a weighted-average exercise price of $10.43 per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72,559 shares of our common stock issuable upon the vesting of restricted stock units outstanding as of June 30, 2022;</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47,800 shares of our common stock issuable upon the exercise of options granted after June 30, 2022, at a weighted-average exercise price of $ 5.20 per share;</w:t>
      </w:r>
    </w:p>
    <w:p>
      <w:pPr>
        <w:spacing w:after="0" w:line="75"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2,762,859 shares of our common stock reserved for issuance pursuant to future awards under our 2021 Equity Incentive Plan (2021 Plan), as of June 30, 2022, plus any future increases in the number of shares of common stock reserved for issuance under our 2021 Plan pursuant to provisions thereof that automatically increase the share reserve under the plan each year; and</w:t>
      </w:r>
    </w:p>
    <w:p>
      <w:pPr>
        <w:spacing w:after="0" w:line="70" w:lineRule="exact"/>
        <w:rPr>
          <w:rFonts w:ascii="Arial" w:cs="Arial" w:eastAsia="Arial" w:hAnsi="Arial"/>
          <w:sz w:val="17"/>
          <w:szCs w:val="17"/>
          <w:color w:val="auto"/>
        </w:rPr>
      </w:pPr>
    </w:p>
    <w:p>
      <w:pPr>
        <w:ind w:left="1080" w:right="1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1,161,305 shares of our common stock reserved for future issuance under our 2021 Employee Stock Purchase Plan (ESPP), as of June 30, 2022, plus any future increases in the number of shares of common stock reserved for issuance under the ESPP pursuant to provisions thereof that automatically increase the share reserve under the plan each year.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We have entered into a sales agreement with SVB Securities under which we may issue and sell from time to time up to an aggregate of</w:t>
      </w:r>
    </w:p>
    <w:p>
      <w:pPr>
        <w:spacing w:after="0" w:line="23" w:lineRule="exact"/>
        <w:rPr>
          <w:sz w:val="20"/>
          <w:szCs w:val="20"/>
          <w:color w:val="auto"/>
        </w:rPr>
      </w:pPr>
    </w:p>
    <w:p>
      <w:pPr>
        <w:ind w:left="120" w:right="220"/>
        <w:spacing w:after="0" w:line="277" w:lineRule="auto"/>
        <w:rPr>
          <w:sz w:val="20"/>
          <w:szCs w:val="20"/>
          <w:color w:val="auto"/>
        </w:rPr>
      </w:pPr>
      <w:r>
        <w:rPr>
          <w:rFonts w:ascii="Arial" w:cs="Arial" w:eastAsia="Arial" w:hAnsi="Arial"/>
          <w:sz w:val="17"/>
          <w:szCs w:val="17"/>
          <w:color w:val="auto"/>
        </w:rPr>
        <w:t>$75.0 million of shares of our common stock through SVB Securities, acting as sales agent or principal. Sales of the shares to which this prospectus relates, if any, will be made by any method deemed to be an “at the market offering” as defined in Rule 415 promulgated under the Securities Act. As our sales agent, SVB Securities will not engage in any transactions that stabilize our common stock.</w:t>
      </w:r>
    </w:p>
    <w:p>
      <w:pPr>
        <w:spacing w:after="0" w:line="173"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SVB Securities will offer the shares of our common stock subject to the terms and conditions of the sales agreement on a daily basis or as otherwise agreed upon by us and SVB Securities. We will designate the maximum number of shares or dollar value of common stock to be sold through SVB Securities on a daily basis or otherwise determine such maximum number together with SVB Securities. Subject to the terms and conditions of the sales agreement, SVB Securities will use its commercially reasonable efforts to sell on our behalf all of the shares of common stock so designated or determined. We may instruct SVB Securities not to sell shares of common stock if the sales cannot be effected at or above the price designated by us in any such instruction. We or SVB Securities may suspend the offering of shares of common stock being made through SVB Securities under the sales agreement upon proper notice to the other party.</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its service as sales agent in connection with the sale of shares of our common stock that may be offered hereby, we will pay SVB Securities an amount equal to 3.0% of the aggregate sales price received by SVB Securities from each sale of shares sold through it acting as our sales agent. The remaining sales proceeds, after deducting any expenses payable by us and any transaction fees imposed by any governmental, regulatory, or self-regulatory organization in connection with the sales, will equal our net proceeds for the sale of such shares. We have also agreed to reimburse SVB Securities for certain specified expenses, including the fees and disbursements of its legal counsel in an amount not to exceed $75,000, payable upon execution of the sales agreement, plus certain ongoing fees of its legal counsel, as provided in the sales agreement.</w:t>
      </w:r>
    </w:p>
    <w:p>
      <w:pPr>
        <w:spacing w:after="0" w:line="16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SVB Securities will provide written confirmation to us following the close of trading on the Nasdaq Global Select Market each day in which shares of common stock are sold by it for us under the sales agreement. Each confirmation will include the number of shares sold on that day, the gross sales price per share, the compensation payable by us to SVB Securities and the proceeds to us net of such compensation.</w:t>
      </w:r>
    </w:p>
    <w:p>
      <w:pPr>
        <w:spacing w:after="0" w:line="16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Settlement for sales of common stock will occur, unless the parties agree otherwise, on the second business day following the date on which any sales were made in return for payment of the proceeds to us net of compensation paid by us to SVB Securities. There is no arrangement for funds to be received in an escrow, trust or similar arrangement.</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We will deliver to the Nasdaq Global Select Market copies of this prospectus pursuant to the rules of the Nasdaq Global Select Market. Unless otherwise required, we will report at least quarterly the number of shares of common stock sold through SVB Securities under the sales agreement, the net proceeds to us and the compensation paid by us to SVB Securities in connection with the sales of common stock.</w:t>
      </w:r>
    </w:p>
    <w:p>
      <w:pPr>
        <w:spacing w:after="0" w:line="165"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In connection with the sale of the common stock on our behalf, SVB Securities will be deemed to be an “underwriter” within the meaning of the Securities Act and the compensation paid to SVB Securities will be deemed to be underwriting commissions or discounts. We have agreed in the sales agreement to provide indemnification and contribution to SVB Securities against certain civil liabilities, including liabilities under the Securities Act.</w:t>
      </w:r>
    </w:p>
    <w:p>
      <w:pPr>
        <w:spacing w:after="0" w:line="14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the ordinary course of their business, SVB Securities and/or its affiliates may perform, investment banking, broker dealer, lending, financial advisory or other services for us for which they have received, or may receive, separate fees.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459"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estimate that the total expenses of the offering payable by us, excluding discounts and commissions payable to SVB Securities under the sales agreement, will be approximately $0.6 million.</w:t>
      </w:r>
    </w:p>
    <w:p>
      <w:pPr>
        <w:spacing w:after="0" w:line="170"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offering of common stock pursuant to the sales agreement will terminate upon the earlier of (1) the sale of all of our shares of common stock provided for in the sales agreement or (2) the termination of the sales agreement, pursuant to its terms, by either SVB Securities or us.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060"/>
          </w:cols>
          <w:pgMar w:left="320" w:top="459" w:right="5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right="340" w:firstLine="440"/>
        <w:spacing w:after="0" w:line="342" w:lineRule="auto"/>
        <w:rPr>
          <w:sz w:val="20"/>
          <w:szCs w:val="20"/>
          <w:color w:val="auto"/>
        </w:rPr>
      </w:pPr>
      <w:r>
        <w:rPr>
          <w:rFonts w:ascii="Arial" w:cs="Arial" w:eastAsia="Arial" w:hAnsi="Arial"/>
          <w:sz w:val="16"/>
          <w:szCs w:val="16"/>
          <w:color w:val="auto"/>
        </w:rPr>
        <w:t>The validity of the securities offered hereby will be passed upon for us by Wilson Sonsini Goodrich &amp; Rosati, Professional Corporation, Palo Alto, California. SVB Securities LLC is being represented in connection with this offering by Davis Polk &amp; Wardwell LLP, Menlo Park, California.</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financial statements of Tenaya Therapeutics, Inc. as of December 31, 2021 and 2020, and for each of the two years in the period ended December 31, 2021, incorporated by reference in this Prospectus by reference to the Annual Report on Form 10-K for the year ended December 31, 2021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We also maintain a website at www.tenayatherapeutics.com where these materials are available. You may access these materials free of charge as soon as reasonably practicable after they are electronically filed with, or furnished to, the SEC.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supplement or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9"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supplement forms a part is terminated or completed:</w:t>
      </w:r>
    </w:p>
    <w:p>
      <w:pPr>
        <w:spacing w:after="0" w:line="74"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35">
        <w:r>
          <w:rPr>
            <w:rFonts w:ascii="Arial" w:cs="Arial" w:eastAsia="Arial" w:hAnsi="Arial"/>
            <w:sz w:val="18"/>
            <w:szCs w:val="18"/>
            <w:u w:val="single" w:color="auto"/>
            <w:color w:val="0000EE"/>
          </w:rPr>
          <w:t>March 31,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6">
        <w:r>
          <w:rPr>
            <w:rFonts w:ascii="Arial" w:cs="Arial" w:eastAsia="Arial" w:hAnsi="Arial"/>
            <w:sz w:val="18"/>
            <w:szCs w:val="18"/>
            <w:u w:val="single" w:color="auto"/>
            <w:color w:val="0000EE"/>
          </w:rPr>
          <w:t>June 30,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portions of our Definitive Proxy Statement on </w:t>
      </w:r>
      <w:hyperlink r:id="rId37">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that are incorporated by reference into our Annual Report on Form 10-K, filed with the SEC on April 28, 2022;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38">
        <w:r>
          <w:rPr>
            <w:rFonts w:ascii="Arial" w:cs="Arial" w:eastAsia="Arial" w:hAnsi="Arial"/>
            <w:sz w:val="18"/>
            <w:szCs w:val="18"/>
            <w:u w:val="single" w:color="auto"/>
            <w:color w:val="0000EE"/>
          </w:rPr>
          <w:t>June 10,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9">
        <w:r>
          <w:rPr>
            <w:rFonts w:ascii="Arial" w:cs="Arial" w:eastAsia="Arial" w:hAnsi="Arial"/>
            <w:sz w:val="18"/>
            <w:szCs w:val="18"/>
            <w:u w:val="single" w:color="auto"/>
            <w:color w:val="0000EE"/>
          </w:rPr>
          <w:t>August 10, 2022</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w:t>
      </w:r>
      <w:hyperlink r:id="rId4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relating thereto, filed on July 23, 2021, including any amendment or report filed for the purpose of updating such description.</w:t>
      </w:r>
    </w:p>
    <w:p>
      <w:pPr>
        <w:spacing w:after="0" w:line="170"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can request a copy of these filings, at no cost, by writing or telephoning us at the following address or telephone number:</w:t>
      </w:r>
    </w:p>
    <w:p>
      <w:pPr>
        <w:spacing w:after="0" w:line="225"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Tenaya Therapeutics, Inc.</w:t>
      </w:r>
    </w:p>
    <w:p>
      <w:pPr>
        <w:spacing w:after="0" w:line="23"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171 Oyster Point Boulevard, 5th Floor</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(650) 825-6990</w:t>
      </w:r>
    </w:p>
    <w:p>
      <w:pPr>
        <w:spacing w:after="0" w:line="211" w:lineRule="exact"/>
        <w:rPr>
          <w:rFonts w:ascii="Arial" w:cs="Arial" w:eastAsia="Arial" w:hAnsi="Arial"/>
          <w:sz w:val="18"/>
          <w:szCs w:val="18"/>
          <w:color w:val="auto"/>
        </w:rPr>
      </w:pPr>
    </w:p>
    <w:p>
      <w:pPr>
        <w:jc w:val="center"/>
        <w:ind w:left="480"/>
        <w:spacing w:after="0" w:line="277" w:lineRule="auto"/>
        <w:rPr>
          <w:sz w:val="20"/>
          <w:szCs w:val="20"/>
          <w:color w:val="auto"/>
        </w:rPr>
      </w:pPr>
      <w:r>
        <w:rPr>
          <w:rFonts w:ascii="Arial" w:cs="Arial" w:eastAsia="Arial" w:hAnsi="Arial"/>
          <w:sz w:val="18"/>
          <w:szCs w:val="18"/>
          <w:color w:val="auto"/>
        </w:rPr>
        <w:t>The information accessible through any website referred to in this prospectus supplement or any document incorporated herein is not, and should not be deemed to be, a part of this prospectus supplement.</w:t>
      </w:r>
    </w:p>
    <w:p>
      <w:pPr>
        <w:spacing w:after="0" w:line="103"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171450</wp:posOffset>
            </wp:positionV>
            <wp:extent cx="2545715" cy="942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25457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auto"/>
        </w:rPr>
        <w:t>Tenaya Therapeutics, Inc.</w:t>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$300,000,000</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Common Stock</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Preferred Stock</w:t>
      </w:r>
    </w:p>
    <w:p>
      <w:pPr>
        <w:jc w:val="center"/>
        <w:ind w:right="-119"/>
        <w:spacing w:after="0" w:line="230" w:lineRule="auto"/>
        <w:rPr>
          <w:sz w:val="20"/>
          <w:szCs w:val="20"/>
          <w:color w:val="auto"/>
        </w:rPr>
      </w:pPr>
      <w:r>
        <w:rPr>
          <w:rFonts w:ascii="Arial" w:cs="Arial" w:eastAsia="Arial" w:hAnsi="Arial"/>
          <w:sz w:val="22"/>
          <w:szCs w:val="22"/>
          <w:b w:val="1"/>
          <w:bCs w:val="1"/>
          <w:color w:val="auto"/>
        </w:rPr>
        <w:t>Debt Securities</w:t>
      </w:r>
    </w:p>
    <w:p>
      <w:pPr>
        <w:jc w:val="center"/>
        <w:ind w:right="-119"/>
        <w:spacing w:after="0" w:line="231" w:lineRule="auto"/>
        <w:rPr>
          <w:sz w:val="20"/>
          <w:szCs w:val="20"/>
          <w:color w:val="auto"/>
        </w:rPr>
      </w:pPr>
      <w:r>
        <w:rPr>
          <w:rFonts w:ascii="Arial" w:cs="Arial" w:eastAsia="Arial" w:hAnsi="Arial"/>
          <w:sz w:val="22"/>
          <w:szCs w:val="22"/>
          <w:b w:val="1"/>
          <w:bCs w:val="1"/>
          <w:color w:val="auto"/>
        </w:rPr>
        <w:t>Depositary Shares</w:t>
      </w:r>
    </w:p>
    <w:p>
      <w:pPr>
        <w:jc w:val="center"/>
        <w:ind w:right="-119"/>
        <w:spacing w:after="0" w:line="230" w:lineRule="auto"/>
        <w:rPr>
          <w:sz w:val="20"/>
          <w:szCs w:val="20"/>
          <w:color w:val="auto"/>
        </w:rPr>
      </w:pPr>
      <w:r>
        <w:rPr>
          <w:rFonts w:ascii="Arial" w:cs="Arial" w:eastAsia="Arial" w:hAnsi="Arial"/>
          <w:sz w:val="22"/>
          <w:szCs w:val="22"/>
          <w:b w:val="1"/>
          <w:bCs w:val="1"/>
          <w:color w:val="auto"/>
        </w:rPr>
        <w:t>Warrants</w:t>
      </w:r>
    </w:p>
    <w:p>
      <w:pPr>
        <w:jc w:val="center"/>
        <w:ind w:right="-119"/>
        <w:spacing w:after="0" w:line="231" w:lineRule="auto"/>
        <w:rPr>
          <w:sz w:val="20"/>
          <w:szCs w:val="20"/>
          <w:color w:val="auto"/>
        </w:rPr>
      </w:pPr>
      <w:r>
        <w:rPr>
          <w:rFonts w:ascii="Arial" w:cs="Arial" w:eastAsia="Arial" w:hAnsi="Arial"/>
          <w:sz w:val="22"/>
          <w:szCs w:val="22"/>
          <w:b w:val="1"/>
          <w:bCs w:val="1"/>
          <w:color w:val="auto"/>
        </w:rPr>
        <w:t>Subscription Rights</w:t>
      </w:r>
    </w:p>
    <w:p>
      <w:pPr>
        <w:jc w:val="center"/>
        <w:ind w:right="-119"/>
        <w:spacing w:after="0" w:line="230" w:lineRule="auto"/>
        <w:rPr>
          <w:sz w:val="20"/>
          <w:szCs w:val="20"/>
          <w:color w:val="auto"/>
        </w:rPr>
      </w:pPr>
      <w:r>
        <w:rPr>
          <w:rFonts w:ascii="Arial" w:cs="Arial" w:eastAsia="Arial" w:hAnsi="Arial"/>
          <w:sz w:val="22"/>
          <w:szCs w:val="22"/>
          <w:b w:val="1"/>
          <w:bCs w:val="1"/>
          <w:color w:val="auto"/>
        </w:rPr>
        <w:t>Purchase Contracts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spacing w:after="0" w:line="16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“TNYA.” Each prospectus supplement will indicate whether the securities offered thereby will be listed on any securities exchange.</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are an “emerging growth company” and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Investing in these securities involves risks. Please carefully read the information under the headings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color w:val="auto"/>
        </w:rPr>
        <w:t>” beginning on page 5 of this prospectus, any similar section contained in the applicable prospectus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supplement, and “Item 1A—Risk Factors” of our most recent report on Form 10-K or 10-Q that is incorporated by</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reference in this prospectus before you invest in our securities.</w:t>
      </w:r>
    </w:p>
    <w:p>
      <w:pPr>
        <w:spacing w:after="0" w:line="191"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date of this prospectus is August 17, 2022.</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1580" w:type="dxa"/>
            <w:vAlign w:val="bottom"/>
            <w:gridSpan w:val="8"/>
            <w:vMerge w:val="restart"/>
          </w:tcPr>
          <w:p>
            <w:pPr>
              <w:spacing w:after="0"/>
              <w:rPr>
                <w:sz w:val="20"/>
                <w:szCs w:val="20"/>
                <w:color w:val="auto"/>
              </w:rPr>
            </w:pPr>
            <w:r>
              <w:rPr>
                <w:rFonts w:ascii="Arial" w:cs="Arial" w:eastAsia="Arial" w:hAnsi="Arial"/>
                <w:sz w:val="18"/>
                <w:szCs w:val="18"/>
                <w:color w:val="0000EE"/>
                <w:w w:val="89"/>
              </w:rPr>
              <w:t>About this Prospectus</w:t>
            </w:r>
          </w:p>
        </w:tc>
        <w:tc>
          <w:tcPr>
            <w:tcW w:w="2120" w:type="dxa"/>
            <w:vAlign w:val="bottom"/>
            <w:gridSpan w:val="9"/>
            <w:vMerge w:val="restart"/>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580" w:type="dxa"/>
            <w:vAlign w:val="bottom"/>
            <w:tcBorders>
              <w:bottom w:val="single" w:sz="8" w:color="0000EE"/>
            </w:tcBorders>
            <w:gridSpan w:val="8"/>
            <w:vMerge w:val="continue"/>
          </w:tcPr>
          <w:p>
            <w:pPr>
              <w:spacing w:after="0"/>
              <w:rPr>
                <w:sz w:val="13"/>
                <w:szCs w:val="13"/>
                <w:color w:val="auto"/>
              </w:rPr>
            </w:pPr>
          </w:p>
        </w:tc>
        <w:tc>
          <w:tcPr>
            <w:tcW w:w="2120" w:type="dxa"/>
            <w:vAlign w:val="bottom"/>
            <w:gridSpan w:val="9"/>
            <w:vMerge w:val="continue"/>
          </w:tcPr>
          <w:p>
            <w:pPr>
              <w:spacing w:after="0"/>
              <w:rPr>
                <w:sz w:val="13"/>
                <w:szCs w:val="13"/>
                <w:color w:val="auto"/>
              </w:rPr>
            </w:pPr>
          </w:p>
        </w:tc>
        <w:tc>
          <w:tcPr>
            <w:tcW w:w="696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700" w:type="dxa"/>
            <w:vAlign w:val="bottom"/>
            <w:gridSpan w:val="17"/>
          </w:tcPr>
          <w:p>
            <w:pPr>
              <w:spacing w:after="0"/>
              <w:rPr>
                <w:sz w:val="20"/>
                <w:szCs w:val="20"/>
                <w:color w:val="auto"/>
              </w:rPr>
            </w:pPr>
            <w:r>
              <w:rPr>
                <w:rFonts w:ascii="Arial" w:cs="Arial" w:eastAsia="Arial" w:hAnsi="Arial"/>
                <w:sz w:val="18"/>
                <w:szCs w:val="18"/>
                <w:color w:val="0000EE"/>
              </w:rPr>
              <w:t>Prospectus Summary</w:t>
            </w:r>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Risk Factors</w:t>
            </w:r>
          </w:p>
        </w:tc>
        <w:tc>
          <w:tcPr>
            <w:tcW w:w="2180" w:type="dxa"/>
            <w:vAlign w:val="bottom"/>
            <w:gridSpan w:val="10"/>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Forward-Looking Statements</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Use of Proceeds</w:t>
            </w:r>
          </w:p>
        </w:tc>
        <w:tc>
          <w:tcPr>
            <w:tcW w:w="160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1520" w:type="dxa"/>
            <w:vAlign w:val="bottom"/>
            <w:gridSpan w:val="5"/>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Description of Depositary Shares</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Description of Warrants</w:t>
            </w:r>
          </w:p>
        </w:tc>
        <w:tc>
          <w:tcPr>
            <w:tcW w:w="132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Description of Subscription Rights</w:t>
            </w:r>
          </w:p>
        </w:tc>
        <w:tc>
          <w:tcPr>
            <w:tcW w:w="120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Description of Purchase Contracts</w:t>
            </w:r>
          </w:p>
        </w:tc>
        <w:tc>
          <w:tcPr>
            <w:tcW w:w="124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Description of Units</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5"/>
              </w:rPr>
              <w:t>Plan of Distribution</w:t>
            </w:r>
          </w:p>
        </w:tc>
        <w:tc>
          <w:tcPr>
            <w:tcW w:w="2240" w:type="dxa"/>
            <w:vAlign w:val="bottom"/>
            <w:gridSpan w:val="11"/>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Legal Matters</w:t>
            </w:r>
          </w:p>
        </w:tc>
        <w:tc>
          <w:tcPr>
            <w:tcW w:w="2280" w:type="dxa"/>
            <w:vAlign w:val="bottom"/>
            <w:gridSpan w:val="1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Experts</w:t>
            </w:r>
          </w:p>
        </w:tc>
        <w:tc>
          <w:tcPr>
            <w:tcW w:w="2700" w:type="dxa"/>
            <w:vAlign w:val="bottom"/>
            <w:gridSpan w:val="1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2"/>
              </w:rPr>
              <w:t>Incorporation by Reference</w:t>
            </w:r>
          </w:p>
        </w:tc>
        <w:tc>
          <w:tcPr>
            <w:tcW w:w="820" w:type="dxa"/>
            <w:vAlign w:val="bottom"/>
            <w:tcBorders>
              <w:top w:val="single" w:sz="8" w:color="0000EE"/>
            </w:tcBorders>
            <w:gridSpan w:val="6"/>
          </w:tcPr>
          <w:p>
            <w:pPr>
              <w:spacing w:after="0"/>
              <w:rPr>
                <w:sz w:val="17"/>
                <w:szCs w:val="17"/>
                <w:color w:val="auto"/>
              </w:rPr>
            </w:pPr>
          </w:p>
        </w:tc>
        <w:tc>
          <w:tcPr>
            <w:tcW w:w="84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(SEC), using a “shelf” registration process. Under this shelf registration process, we may from time to time sell any combination of the securities described in this prospectus in one or more offerings for an aggregate offering price of up to $300,000,000.</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This prospectus provides you with a general description of the securities that may be offered.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You should read both this prospectus and any applicable prospectus supplement and free writing prospectus together with the additional information described under the heading “Where You Can Find More Information” and “Incorporation by Reference.” If there is any inconsistency between the information in this prospectus and the applicable prospectus supplement or free writing prospectus, you should rely on the prospectus supplement or free writing prospectus, as applicable.</w:t>
      </w:r>
    </w:p>
    <w:p>
      <w:pPr>
        <w:spacing w:after="0" w:line="16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59"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“Tenaya Therapeutics, Inc.,” “we,” “our” and “us” refer, collectively, to Tenaya Therapeutics, Inc., a Delaware corporation.</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We are a biotechnology company focused on discovering, designing, developing and delivering curative therapies that address the underlying drivers of heart disease. Our vision is to change the treatment paradigm for heart disease, and in doing so improve and extend the lives of millions of individuals and families.</w:t>
      </w:r>
    </w:p>
    <w:p>
      <w:pPr>
        <w:spacing w:after="0" w:line="184"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in the preclinical stage; we do not have any products approved for sale and have not generated any revenue to date.</w:t>
      </w:r>
    </w:p>
    <w:p>
      <w:pPr>
        <w:spacing w:after="0" w:line="187" w:lineRule="exact"/>
        <w:rPr>
          <w:sz w:val="20"/>
          <w:szCs w:val="20"/>
          <w:color w:val="auto"/>
        </w:rPr>
      </w:pPr>
    </w:p>
    <w:p>
      <w:pPr>
        <w:ind w:left="300" w:right="140" w:firstLine="426"/>
        <w:spacing w:after="0" w:line="290" w:lineRule="auto"/>
        <w:rPr>
          <w:sz w:val="20"/>
          <w:szCs w:val="20"/>
          <w:color w:val="auto"/>
        </w:rPr>
      </w:pPr>
      <w:r>
        <w:rPr>
          <w:rFonts w:ascii="Arial" w:cs="Arial" w:eastAsia="Arial" w:hAnsi="Arial"/>
          <w:sz w:val="16"/>
          <w:szCs w:val="16"/>
          <w:color w:val="auto"/>
        </w:rPr>
        <w:t>The most advanced product candidate from our Gene Therapy Platform is TN-201. TN-201 is an adeno-associated virus (AAV)-based gene therapy that addresses genetic hypertrophic cardiomyopathy (HCM) caused by Myosin Binding Protein C3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These mutations can cause the heart walls of affected individuals to become significantly thickened, leading to fibrosis, abnormal heart rhythms, cardiac dysfunction, heart failure, and sudden cardiac death in some adults and children. TN-201 is designed to deliver a fully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driven by our proprietary heart-specific promoter to restore normal levels of MYBPC3 protein. We remain on track with our Investigational New Drug (IND) submission plans for TN-201 in the second half of 2022 and plan to focus on initial clinical development in adult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 carriers with symptomatic non-obstructive HCM. TN-201 has been granted orphan drug designation by both the U.S. Food and Drug Administration (FDA) and the European Commission for the potential treatment of HCM due to mutations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w:t>
      </w:r>
    </w:p>
    <w:p>
      <w:pPr>
        <w:spacing w:after="0" w:line="165" w:lineRule="exact"/>
        <w:rPr>
          <w:sz w:val="20"/>
          <w:szCs w:val="20"/>
          <w:color w:val="auto"/>
        </w:rPr>
      </w:pPr>
    </w:p>
    <w:p>
      <w:pPr>
        <w:ind w:left="300" w:right="260" w:firstLine="426"/>
        <w:spacing w:after="0" w:line="275" w:lineRule="auto"/>
        <w:rPr>
          <w:sz w:val="20"/>
          <w:szCs w:val="20"/>
          <w:color w:val="auto"/>
        </w:rPr>
      </w:pPr>
      <w:r>
        <w:rPr>
          <w:rFonts w:ascii="Arial" w:cs="Arial" w:eastAsia="Arial" w:hAnsi="Arial"/>
          <w:sz w:val="17"/>
          <w:szCs w:val="17"/>
          <w:color w:val="auto"/>
        </w:rPr>
        <w:t xml:space="preserve">In 2021, we initiated a global natural history study to improve our understanding of disease progression and unmet need in individuals carrying mutations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with an initial focus on pediatric patients under the age of 18. We continue site activation and patient enrollment in the global natural history study to support the future clinical evaluation of TN-201 in pediatric patients after early safety has been established in adults. The natural history study complements existing disease registries focused primarily on adult patient HCM populations and may support and expedite the development of TN-201 in the pediatric patient population.</w:t>
      </w:r>
    </w:p>
    <w:p>
      <w:pPr>
        <w:spacing w:after="0" w:line="176"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color w:val="auto"/>
        </w:rPr>
        <w:t>TN-301, the most advanced product candidate from our Precision Medicine Platform, is a highly specific small molecule inhibitor of histone deacetylase 6 (HDAC6i). It has potentially broad utility in both heart failure with preserved ejection fraction (HFpEF) as well as genetic dilated cardiomyopathy. HFpEF is one of the greatest areas of unmet need in heart disease, and is characterized by systemic inflammation, left ventricular hypertrophy, fibrosis, and diastolic dysfunction resulting in high morbidity and mortality in affected individuals. We remain on track with our IND submission plans for TN-301 in the second half of 2022.</w:t>
      </w:r>
    </w:p>
    <w:p>
      <w:pPr>
        <w:spacing w:after="0" w:line="188"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TN-401, another product candidate from our Gene Therapy Platform, uses an AAV-based gene therapy to address genetic arrhythmogenic right ventricular cardiomyopathy (ARVC) caused by plakophilin 2 (</w:t>
      </w:r>
      <w:r>
        <w:rPr>
          <w:rFonts w:ascii="Arial" w:cs="Arial" w:eastAsia="Arial" w:hAnsi="Arial"/>
          <w:sz w:val="18"/>
          <w:szCs w:val="18"/>
          <w:i w:val="1"/>
          <w:iCs w:val="1"/>
          <w:color w:val="auto"/>
        </w:rPr>
        <w:t>PKP2</w:t>
      </w:r>
      <w:r>
        <w:rPr>
          <w:rFonts w:ascii="Arial" w:cs="Arial" w:eastAsia="Arial" w:hAnsi="Arial"/>
          <w:sz w:val="18"/>
          <w:szCs w:val="18"/>
          <w:color w:val="auto"/>
        </w:rPr>
        <w:t>) gene</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79" w:lineRule="auto"/>
        <w:rPr>
          <w:sz w:val="20"/>
          <w:szCs w:val="20"/>
          <w:color w:val="auto"/>
        </w:rPr>
      </w:pPr>
      <w:r>
        <w:rPr>
          <w:rFonts w:ascii="Arial" w:cs="Arial" w:eastAsia="Arial" w:hAnsi="Arial"/>
          <w:sz w:val="17"/>
          <w:szCs w:val="17"/>
          <w:color w:val="auto"/>
        </w:rPr>
        <w:t>mutations. ARVC is characterized by enlargement of the right ventricle in affected individuals, replacement of heart muscle with fibrotic tissue and fatty deposits, and severely abnormal heart rhythms (arrhythmia) that can make it difficult for the heart to function properly and result in sudden cardiac death in some adults and children. We have scaled up production of TN-401 to 200L and are initiating IND-enabling studies. We also intend to support establishment of a global natural history study in 2022 and expect to submit an IND for TN-401 in 2023.</w:t>
      </w:r>
    </w:p>
    <w:p>
      <w:pPr>
        <w:spacing w:after="0" w:line="171" w:lineRule="exact"/>
        <w:rPr>
          <w:sz w:val="20"/>
          <w:szCs w:val="20"/>
          <w:color w:val="auto"/>
        </w:rPr>
      </w:pPr>
    </w:p>
    <w:p>
      <w:pPr>
        <w:ind w:left="300" w:right="40" w:firstLine="426"/>
        <w:spacing w:after="0" w:line="296" w:lineRule="auto"/>
        <w:rPr>
          <w:sz w:val="20"/>
          <w:szCs w:val="20"/>
          <w:color w:val="auto"/>
        </w:rPr>
      </w:pPr>
      <w:r>
        <w:rPr>
          <w:rFonts w:ascii="Arial" w:cs="Arial" w:eastAsia="Arial" w:hAnsi="Arial"/>
          <w:sz w:val="16"/>
          <w:szCs w:val="16"/>
          <w:color w:val="auto"/>
        </w:rPr>
        <w:t>Our earlier-stage discovery programs include an AAV-based gene therapy designed to express the Dwarf Open Reading Frame (</w:t>
      </w:r>
      <w:r>
        <w:rPr>
          <w:rFonts w:ascii="Arial" w:cs="Arial" w:eastAsia="Arial" w:hAnsi="Arial"/>
          <w:sz w:val="16"/>
          <w:szCs w:val="16"/>
          <w:i w:val="1"/>
          <w:iCs w:val="1"/>
          <w:color w:val="auto"/>
        </w:rPr>
        <w:t>DWORF</w:t>
      </w:r>
      <w:r>
        <w:rPr>
          <w:rFonts w:ascii="Arial" w:cs="Arial" w:eastAsia="Arial" w:hAnsi="Arial"/>
          <w:sz w:val="16"/>
          <w:szCs w:val="16"/>
          <w:color w:val="auto"/>
        </w:rPr>
        <w:t>) gene in the heart, which has potentially broad utility in dilated cardiomyopathy and heart failure with reduced ejection fraction (HFrEF) and is currently at the candidate selection stage. Another program is an AAV-approach based on science from our founders that involves converting (or reprogramming) cells to replace cardiomyocytes lost due to heart damage, such as myocardial infarction. This program is currently at the candidate selection stage. In addition, we have numerous emerging programs being explored to address other forms of heart failure.</w:t>
      </w:r>
    </w:p>
    <w:p>
      <w:pPr>
        <w:spacing w:after="0" w:line="161" w:lineRule="exact"/>
        <w:rPr>
          <w:sz w:val="20"/>
          <w:szCs w:val="20"/>
          <w:color w:val="auto"/>
        </w:rPr>
      </w:pPr>
    </w:p>
    <w:p>
      <w:pPr>
        <w:ind w:left="300" w:right="140" w:firstLine="426"/>
        <w:spacing w:after="0" w:line="254" w:lineRule="auto"/>
        <w:rPr>
          <w:sz w:val="20"/>
          <w:szCs w:val="20"/>
          <w:color w:val="auto"/>
        </w:rPr>
      </w:pPr>
      <w:r>
        <w:rPr>
          <w:rFonts w:ascii="Arial" w:cs="Arial" w:eastAsia="Arial" w:hAnsi="Arial"/>
          <w:sz w:val="18"/>
          <w:szCs w:val="18"/>
          <w:color w:val="auto"/>
        </w:rPr>
        <w:t>We have invested in significant gene therapy enabling capabilities, most notably with the build out and operational launch of our Genetic Medicines Manufacturing Center to support the production of our AAV-based programs. In June 2022, this facility obtained a drug manufacturing license from the State of California, Department of Public Health, to enable current Good Manufacturing Practice (cGMP) production of drug product. Located in Union City near our research labs, our Genetic Medicines Manufacturing Center enables scale-up of production to support first-in-human studies. This facility will initially support the production of drug product at multiple scales for clinical studies for all AAV-based programs, including TN-201 and TN-401. We have also initiated cGMP to support the production of TN-301 at a contract development and manufacturing organization (CDMO).</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20" w:firstLine="426"/>
        <w:spacing w:after="0" w:line="279" w:lineRule="auto"/>
        <w:rPr>
          <w:sz w:val="20"/>
          <w:szCs w:val="20"/>
          <w:color w:val="auto"/>
        </w:rPr>
      </w:pPr>
      <w:r>
        <w:rPr>
          <w:rFonts w:ascii="Arial" w:cs="Arial" w:eastAsia="Arial" w:hAnsi="Arial"/>
          <w:sz w:val="17"/>
          <w:szCs w:val="17"/>
          <w:color w:val="auto"/>
        </w:rPr>
        <w:t>We were incorporated in Delaware in August 2016. Our principal executive offices are located at 171 Oyster Point Boulevard, 5th Floor, South San Francisco, CA 94080. Our telephone number is (650) 825-6990. 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171"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Securities That May Be Offered</w:t>
      </w:r>
    </w:p>
    <w:p>
      <w:pPr>
        <w:spacing w:after="0" w:line="121" w:lineRule="exact"/>
        <w:rPr>
          <w:sz w:val="20"/>
          <w:szCs w:val="20"/>
          <w:color w:val="auto"/>
        </w:rPr>
      </w:pPr>
    </w:p>
    <w:p>
      <w:pPr>
        <w:ind w:left="300" w:right="80" w:firstLine="426"/>
        <w:spacing w:after="0" w:line="301" w:lineRule="auto"/>
        <w:rPr>
          <w:sz w:val="20"/>
          <w:szCs w:val="20"/>
          <w:color w:val="auto"/>
        </w:rPr>
      </w:pPr>
      <w:r>
        <w:rPr>
          <w:rFonts w:ascii="Arial" w:cs="Arial" w:eastAsia="Arial" w:hAnsi="Arial"/>
          <w:sz w:val="16"/>
          <w:szCs w:val="16"/>
          <w:color w:val="auto"/>
        </w:rPr>
        <w:t>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5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392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color w:val="auto"/>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6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300" w:right="120" w:firstLine="426"/>
        <w:spacing w:after="0" w:line="255" w:lineRule="auto"/>
        <w:rPr>
          <w:sz w:val="20"/>
          <w:szCs w:val="20"/>
          <w:color w:val="auto"/>
        </w:rPr>
      </w:pPr>
      <w:r>
        <w:rPr>
          <w:rFonts w:ascii="Arial" w:cs="Arial" w:eastAsia="Arial" w:hAnsi="Arial"/>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Depositary Shares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may issue fractional shares of preferred stock that will be represented by depositary shares and depositary receipts.</w:t>
      </w:r>
    </w:p>
    <w:p>
      <w:pPr>
        <w:spacing w:after="0" w:line="225"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Debt Securities</w:t>
      </w:r>
    </w:p>
    <w:p>
      <w:pPr>
        <w:spacing w:after="0" w:line="117" w:lineRule="exact"/>
        <w:rPr>
          <w:sz w:val="20"/>
          <w:szCs w:val="20"/>
          <w:color w:val="auto"/>
        </w:rPr>
      </w:pPr>
    </w:p>
    <w:p>
      <w:pPr>
        <w:ind w:left="300" w:right="200" w:firstLine="426"/>
        <w:spacing w:after="0" w:line="296" w:lineRule="auto"/>
        <w:rPr>
          <w:sz w:val="20"/>
          <w:szCs w:val="20"/>
          <w:color w:val="auto"/>
        </w:rPr>
      </w:pPr>
      <w:r>
        <w:rPr>
          <w:rFonts w:ascii="Arial" w:cs="Arial" w:eastAsia="Arial" w:hAnsi="Arial"/>
          <w:sz w:val="16"/>
          <w:szCs w:val="16"/>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61" w:lineRule="exact"/>
        <w:rPr>
          <w:sz w:val="20"/>
          <w:szCs w:val="20"/>
          <w:color w:val="auto"/>
        </w:rPr>
      </w:pPr>
    </w:p>
    <w:p>
      <w:pPr>
        <w:jc w:val="both"/>
        <w:ind w:left="300" w:right="240" w:firstLine="426"/>
        <w:spacing w:after="0" w:line="311" w:lineRule="auto"/>
        <w:rPr>
          <w:sz w:val="20"/>
          <w:szCs w:val="20"/>
          <w:color w:val="auto"/>
        </w:rPr>
      </w:pPr>
      <w:r>
        <w:rPr>
          <w:rFonts w:ascii="Arial" w:cs="Arial" w:eastAsia="Arial" w:hAnsi="Arial"/>
          <w:sz w:val="16"/>
          <w:szCs w:val="16"/>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300" w:right="540" w:firstLine="426"/>
        <w:spacing w:after="0" w:line="277" w:lineRule="auto"/>
        <w:rPr>
          <w:sz w:val="20"/>
          <w:szCs w:val="20"/>
          <w:color w:val="auto"/>
        </w:rPr>
      </w:pPr>
      <w:r>
        <w:rPr>
          <w:rFonts w:ascii="Arial" w:cs="Arial" w:eastAsia="Arial" w:hAnsi="Arial"/>
          <w:sz w:val="18"/>
          <w:szCs w:val="18"/>
          <w:color w:val="auto"/>
        </w:rPr>
        <w:t>We may offer warrants for the purchase of common stock, preferred stock, debt securities or depositary shares. We may offer warrants independently or together with other securities.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Subscription Rights</w:t>
      </w:r>
    </w:p>
    <w:p>
      <w:pPr>
        <w:spacing w:after="0" w:line="117" w:lineRule="exact"/>
        <w:rPr>
          <w:sz w:val="20"/>
          <w:szCs w:val="20"/>
          <w:color w:val="auto"/>
        </w:rPr>
      </w:pPr>
    </w:p>
    <w:p>
      <w:pPr>
        <w:ind w:left="300" w:right="640" w:firstLine="426"/>
        <w:spacing w:after="0" w:line="277" w:lineRule="auto"/>
        <w:rPr>
          <w:sz w:val="20"/>
          <w:szCs w:val="20"/>
          <w:color w:val="auto"/>
        </w:rPr>
      </w:pPr>
      <w:r>
        <w:rPr>
          <w:rFonts w:ascii="Arial" w:cs="Arial" w:eastAsia="Arial" w:hAnsi="Arial"/>
          <w:sz w:val="18"/>
          <w:szCs w:val="18"/>
          <w:color w:val="auto"/>
        </w:rPr>
        <w:t>We may offer subscription rights to purchase our common stock, preferred stock, debt securities, depositary shares, warrants or units consisting of some or all of these securities. These subscription rights may be offered</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8815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6998970" cy="18815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77" w:lineRule="auto"/>
        <w:rPr>
          <w:sz w:val="20"/>
          <w:szCs w:val="20"/>
          <w:color w:val="auto"/>
        </w:rPr>
      </w:pPr>
      <w:r>
        <w:rPr>
          <w:rFonts w:ascii="Arial" w:cs="Arial" w:eastAsia="Arial" w:hAnsi="Arial"/>
          <w:sz w:val="18"/>
          <w:szCs w:val="18"/>
          <w:color w:val="auto"/>
        </w:rPr>
        <w:t>independently or together with any other security offered hereby and may or may not be transferable by the stockholder receiving the subscription rights in such offering.</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Purchase Contracts</w:t>
      </w:r>
    </w:p>
    <w:p>
      <w:pPr>
        <w:spacing w:after="0" w:line="117"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We may offer purchase contracts, including contracts obligating holders or us to purchase from the other a specific or variable number of securities at a future date or dates.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Units</w:t>
      </w:r>
    </w:p>
    <w:p>
      <w:pPr>
        <w:spacing w:after="0" w:line="11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Reports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See “Where You Can Find More Information” and “Incorporation by Reference.”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(Securities Act), and Section 21E of the Securities Exchange Act of 1934, as amended (Exchange Act).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set forth in the prospectus supplement our intended use for the net proceeds received from the sale of any securities. We will retain broad discretion over the use of the net proceeds to us from the sale of our securities under this prospectus.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320" w:top="459" w:right="5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4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description of our capital stock is incorporated by reference to </w:t>
      </w:r>
      <w:hyperlink r:id="rId59">
        <w:r>
          <w:rPr>
            <w:rFonts w:ascii="Arial" w:cs="Arial" w:eastAsia="Arial" w:hAnsi="Arial"/>
            <w:sz w:val="18"/>
            <w:szCs w:val="18"/>
            <w:u w:val="single" w:color="auto"/>
            <w:color w:val="0000EE"/>
          </w:rPr>
          <w:t>Exhibit 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year ended December 31, 2021, filed with the SEC on March 23, 2022.</w:t>
      </w:r>
    </w:p>
    <w:p>
      <w:pPr>
        <w:spacing w:after="0" w:line="1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40"/>
          </w:cols>
          <w:pgMar w:left="320" w:top="459" w:right="1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5"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49"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6"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153" w:lineRule="exact"/>
        <w:rPr>
          <w:rFonts w:ascii="Arial" w:cs="Arial" w:eastAsia="Arial" w:hAnsi="Arial"/>
          <w:sz w:val="16"/>
          <w:szCs w:val="16"/>
          <w:color w:val="auto"/>
        </w:rPr>
      </w:pPr>
    </w:p>
    <w:p>
      <w:pPr>
        <w:ind w:left="1080" w:right="18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we denominate the purchase price of any of the debt securities in a foreign currency or currencies or a foreign currency unit or units, or if the principal of and any premium and interest on any series of debt securities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Global Debt Securities and Book-Entry System</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which we refer to as a successor person, unless:</w:t>
      </w:r>
    </w:p>
    <w:p>
      <w:pPr>
        <w:spacing w:after="0" w:line="76" w:lineRule="exact"/>
        <w:rPr>
          <w:sz w:val="20"/>
          <w:szCs w:val="20"/>
          <w:color w:val="auto"/>
        </w:rPr>
      </w:pPr>
    </w:p>
    <w:p>
      <w:pPr>
        <w:ind w:left="1080" w:right="40" w:hanging="424"/>
        <w:spacing w:after="0" w:line="308"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080" w:right="80" w:hanging="424"/>
        <w:spacing w:after="0" w:line="30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debt securities of that series that is described in the applicable prospectus supplement.</w:t>
      </w:r>
    </w:p>
    <w:p>
      <w:pPr>
        <w:spacing w:after="0" w:line="248"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8"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indenture provides that the trustee may refuse to perform any duty or exercise any of its rights or powers under the indenture unless the trustee receives indemnity satisfactory to it against any cost, liability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5540" w:hanging="4884"/>
        <w:spacing w:after="0" w:line="449" w:lineRule="auto"/>
        <w:tabs>
          <w:tab w:leader="none" w:pos="10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debt securities of any series as permitted by the indenture; 13</w:t>
      </w:r>
    </w:p>
    <w:p>
      <w:pPr>
        <w:sectPr>
          <w:pgSz w:w="11900" w:h="16838" w:orient="portrait"/>
          <w:cols w:equalWidth="0" w:num="1">
            <w:col w:w="11100"/>
          </w:cols>
          <w:pgMar w:left="320" w:top="459" w:right="4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7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23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Legal Defeasance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4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Defeasance of Certain Covenants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indenture provides that, unless otherwise provided by the terms of the applicable series of debt securities, upon compliance with certain conditions:</w:t>
      </w:r>
    </w:p>
    <w:p>
      <w:pPr>
        <w:spacing w:after="0" w:line="76" w:lineRule="exact"/>
        <w:rPr>
          <w:sz w:val="20"/>
          <w:szCs w:val="20"/>
          <w:color w:val="auto"/>
        </w:rPr>
      </w:pPr>
    </w:p>
    <w:p>
      <w:pPr>
        <w:ind w:left="1080" w:right="16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refer to this as covenant defeasance. The conditions include:</w:t>
      </w:r>
    </w:p>
    <w:p>
      <w:pPr>
        <w:spacing w:after="0" w:line="131" w:lineRule="exact"/>
        <w:rPr>
          <w:sz w:val="20"/>
          <w:szCs w:val="20"/>
          <w:color w:val="auto"/>
        </w:rPr>
      </w:pPr>
    </w:p>
    <w:p>
      <w:pPr>
        <w:ind w:left="1080" w:right="60" w:hanging="424"/>
        <w:spacing w:after="0" w:line="273"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83"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to which we are a party;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applicable series of debt securities shall have occurred or is continuing on the date of such deposit; and</w:t>
      </w:r>
    </w:p>
    <w:p>
      <w:pPr>
        <w:spacing w:after="0" w:line="75" w:lineRule="exact"/>
        <w:rPr>
          <w:rFonts w:ascii="Arial" w:cs="Arial" w:eastAsia="Arial" w:hAnsi="Arial"/>
          <w:sz w:val="18"/>
          <w:szCs w:val="18"/>
          <w:color w:val="auto"/>
        </w:rPr>
      </w:pPr>
    </w:p>
    <w:p>
      <w:pPr>
        <w:ind w:left="1080" w:hanging="424"/>
        <w:spacing w:after="0" w:line="293"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None of our past, present or future directors, officers, employees or stockholders, as such, will have any liability for any of our obligations under the debt securities or the indenture or for any claim based on, or in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9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jc w:val="both"/>
        <w:ind w:left="120" w:right="200" w:firstLine="440"/>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2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4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Stock</w:t>
      </w:r>
    </w:p>
    <w:p>
      <w:pPr>
        <w:spacing w:after="0" w:line="121" w:lineRule="exact"/>
        <w:rPr>
          <w:sz w:val="20"/>
          <w:szCs w:val="20"/>
          <w:color w:val="auto"/>
        </w:rPr>
      </w:pPr>
    </w:p>
    <w:p>
      <w:pPr>
        <w:jc w:val="both"/>
        <w:ind w:left="120" w:right="360" w:firstLine="440"/>
        <w:spacing w:after="0" w:line="279" w:lineRule="auto"/>
        <w:rPr>
          <w:sz w:val="20"/>
          <w:szCs w:val="20"/>
          <w:color w:val="auto"/>
        </w:rPr>
      </w:pPr>
      <w:r>
        <w:rPr>
          <w:rFonts w:ascii="Arial" w:cs="Arial" w:eastAsia="Arial" w:hAnsi="Arial"/>
          <w:sz w:val="17"/>
          <w:szCs w:val="17"/>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the Preferred Stock</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the Depositary</w:t>
      </w:r>
    </w:p>
    <w:p>
      <w:pPr>
        <w:spacing w:after="0" w:line="12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2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2"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antidilution provisions,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320" w:top="459" w:right="5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may issue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76"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exercise price payable for our common stock, preferred stock, debt securities, depositary shares, warrants or units consisting of some or all of these securities upon the exercise of the subscription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subscription rights to be issued to each stockholder;</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terms of our common stock, preferred stock, debt securities, depositary shares, warrants or units consisting of some or all of these securities which may be purchased per each subscription right;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date on which the right to exercise the subscription rights shall commence, and the date on which the subscription rights shall expire;</w:t>
      </w:r>
    </w:p>
    <w:p>
      <w:pPr>
        <w:spacing w:after="0" w:line="153"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which may be entered into by us in connection with the offering of subscription rights.</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“Where You Can Find More Information.”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we offer any purchase contracts, certain terms of that series of purchase contracts will be described in the applicable prospectus supplement, including, without limitation, the following:</w:t>
      </w:r>
    </w:p>
    <w:p>
      <w:pPr>
        <w:spacing w:after="0" w:line="76" w:lineRule="exact"/>
        <w:rPr>
          <w:sz w:val="20"/>
          <w:szCs w:val="20"/>
          <w:color w:val="auto"/>
        </w:rPr>
      </w:pPr>
    </w:p>
    <w:p>
      <w:pPr>
        <w:ind w:left="1080" w:right="1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of the securities or other property subject to the purchase contracts (which may be determined by reference to a specific formula described in the purchase contracts);</w:t>
      </w:r>
    </w:p>
    <w:p>
      <w:pPr>
        <w:spacing w:after="0" w:line="75" w:lineRule="exact"/>
        <w:rPr>
          <w:rFonts w:ascii="Arial" w:cs="Arial" w:eastAsia="Arial" w:hAnsi="Arial"/>
          <w:sz w:val="18"/>
          <w:szCs w:val="18"/>
          <w:color w:val="auto"/>
        </w:rPr>
      </w:pPr>
    </w:p>
    <w:p>
      <w:pPr>
        <w:ind w:left="1080" w:right="300" w:hanging="424"/>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requirement for us to make periodic payments to holders or vice versa, and whether the payments are unsecured or pre-funded;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purchase contracts;</w:t>
      </w:r>
    </w:p>
    <w:p>
      <w:pPr>
        <w:spacing w:after="0" w:line="130"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7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76" w:lineRule="exact"/>
        <w:rPr>
          <w:sz w:val="20"/>
          <w:szCs w:val="20"/>
          <w:color w:val="auto"/>
        </w:rPr>
      </w:pPr>
    </w:p>
    <w:p>
      <w:pPr>
        <w:ind w:left="1080" w:right="4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we may issue the securities as a dividend or distribution or in a subscription rights offering to our existing securityholders.</w:t>
      </w:r>
    </w:p>
    <w:p>
      <w:pPr>
        <w:spacing w:after="0" w:line="23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 fixed price or prices that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names of any selling securityholders;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84"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70"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80" w:right="1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underwriters and other persons acting as agents will not have any responsibility in respect of the validity or performance of delayed delivery contracts.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9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securities may be new issues of securities and may have no established trading market. Any common stock will be listed on the Nasdaq Global Select Market, but any other securities may or may not be listed on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national securities exchange. We can make no assurance as to the liquidity of or the existence of trading markets for any of the securities.</w:t>
      </w:r>
    </w:p>
    <w:p>
      <w:pPr>
        <w:spacing w:after="0" w:line="248" w:lineRule="exact"/>
        <w:rPr>
          <w:sz w:val="20"/>
          <w:szCs w:val="20"/>
          <w:color w:val="auto"/>
        </w:rPr>
      </w:pPr>
    </w:p>
    <w:p>
      <w:pPr>
        <w:jc w:val="center"/>
        <w:ind w:left="880"/>
        <w:spacing w:after="0" w:line="449" w:lineRule="auto"/>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 26</w:t>
      </w:r>
    </w:p>
    <w:p>
      <w:pPr>
        <w:sectPr>
          <w:pgSz w:w="11900" w:h="16838" w:orient="portrait"/>
          <w:cols w:equalWidth="0" w:num="1">
            <w:col w:w="10320"/>
          </w:cols>
          <w:pgMar w:left="320" w:top="459" w:right="1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The validity of the securities offered hereby will be passed upon for us by Wilson Sonsini Goodrich &amp; Rosati, Professional Corporation, Palo Alto, California. Additional legal matters may be passed on for us, or any underwriters, dealers or agents by counsel we will name in the applicable prospectus supplement.</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financial statements of Tenaya Therapeutics, Inc. as of December 31, 2021 and 2020, and for each of the two years in the period ended December 31, 2021, incorporated by reference in this Prospectus by reference to the Annual Report on Form 10-K for the year ended December 31, 2021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Copies of certain information filed by us with the SEC are also available on our website at </w:t>
      </w:r>
      <w:r>
        <w:rPr>
          <w:rFonts w:ascii="Arial" w:cs="Arial" w:eastAsia="Arial" w:hAnsi="Arial"/>
          <w:sz w:val="17"/>
          <w:szCs w:val="17"/>
          <w:i w:val="1"/>
          <w:iCs w:val="1"/>
          <w:color w:val="auto"/>
        </w:rPr>
        <w:t>www.tenayatherapeutics.com</w:t>
      </w:r>
      <w:r>
        <w:rPr>
          <w:rFonts w:ascii="Arial" w:cs="Arial" w:eastAsia="Arial" w:hAnsi="Arial"/>
          <w:sz w:val="17"/>
          <w:szCs w:val="17"/>
          <w:color w:val="auto"/>
        </w:rPr>
        <w:t>. Information accessible on or through our website is not a part of this prospectus.</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9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35">
        <w:r>
          <w:rPr>
            <w:rFonts w:ascii="Arial" w:cs="Arial" w:eastAsia="Arial" w:hAnsi="Arial"/>
            <w:sz w:val="18"/>
            <w:szCs w:val="18"/>
            <w:u w:val="single" w:color="auto"/>
            <w:color w:val="0000EE"/>
          </w:rPr>
          <w:t>March 31,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6">
        <w:r>
          <w:rPr>
            <w:rFonts w:ascii="Arial" w:cs="Arial" w:eastAsia="Arial" w:hAnsi="Arial"/>
            <w:sz w:val="18"/>
            <w:szCs w:val="18"/>
            <w:u w:val="single" w:color="auto"/>
            <w:color w:val="0000EE"/>
          </w:rPr>
          <w:t>June 30,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portions of our </w:t>
      </w:r>
      <w:hyperlink r:id="rId37">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(other than information furnished rather than filed) that are incorporated by reference into our Annual Report on Form 10-K, filed with the SEC on April 28, 2022;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38">
        <w:r>
          <w:rPr>
            <w:rFonts w:ascii="Arial" w:cs="Arial" w:eastAsia="Arial" w:hAnsi="Arial"/>
            <w:sz w:val="18"/>
            <w:szCs w:val="18"/>
            <w:u w:val="single" w:color="auto"/>
            <w:color w:val="0000EE"/>
          </w:rPr>
          <w:t>June 10,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9">
        <w:r>
          <w:rPr>
            <w:rFonts w:ascii="Arial" w:cs="Arial" w:eastAsia="Arial" w:hAnsi="Arial"/>
            <w:sz w:val="18"/>
            <w:szCs w:val="18"/>
            <w:u w:val="single" w:color="auto"/>
            <w:color w:val="0000EE"/>
          </w:rPr>
          <w:t>August 10, 2022</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w:t>
      </w:r>
      <w:hyperlink r:id="rId4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relating thereto, filed on July 23, 2021, including any amendment or report filed for the purpose of updating such description.</w:t>
      </w:r>
    </w:p>
    <w:p>
      <w:pPr>
        <w:spacing w:after="0" w:line="170"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or telephone number:</w:t>
      </w:r>
    </w:p>
    <w:p>
      <w:pPr>
        <w:spacing w:after="0" w:line="225"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Tenaya Therapeutics, Inc.</w:t>
      </w:r>
    </w:p>
    <w:p>
      <w:pPr>
        <w:spacing w:after="0" w:line="2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171 Oyster Point Boulevard, 5th Floor</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825-6990</w:t>
      </w:r>
    </w:p>
    <w:p>
      <w:pPr>
        <w:spacing w:after="0" w:line="1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28</w:t>
      </w:r>
    </w:p>
    <w:p>
      <w:pPr>
        <w:sectPr>
          <w:pgSz w:w="11900" w:h="16838" w:orient="portrait"/>
          <w:cols w:equalWidth="0" w:num="1">
            <w:col w:w="11020"/>
          </w:cols>
          <w:pgMar w:left="320" w:top="459" w:right="55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306070</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648970</wp:posOffset>
            </wp:positionV>
            <wp:extent cx="2040255" cy="7543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2040255" cy="75438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520"/>
        <w:spacing w:after="0"/>
        <w:rPr>
          <w:sz w:val="20"/>
          <w:szCs w:val="20"/>
          <w:color w:val="auto"/>
        </w:rPr>
      </w:pPr>
      <w:r>
        <w:rPr>
          <w:rFonts w:ascii="Arial" w:cs="Arial" w:eastAsia="Arial" w:hAnsi="Arial"/>
          <w:sz w:val="29"/>
          <w:szCs w:val="29"/>
          <w:b w:val="1"/>
          <w:bCs w:val="1"/>
          <w:color w:val="auto"/>
        </w:rPr>
        <w:t>Up to $75,000,000</w:t>
      </w:r>
    </w:p>
    <w:p>
      <w:pPr>
        <w:spacing w:after="0" w:line="200" w:lineRule="exact"/>
        <w:rPr>
          <w:sz w:val="20"/>
          <w:szCs w:val="20"/>
          <w:color w:val="auto"/>
        </w:rPr>
      </w:pPr>
    </w:p>
    <w:p>
      <w:pPr>
        <w:spacing w:after="0" w:line="245"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2060575</wp:posOffset>
            </wp:positionV>
            <wp:extent cx="1474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241300</wp:posOffset>
            </wp:positionV>
            <wp:extent cx="1474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20"/>
        <w:spacing w:after="0"/>
        <w:rPr>
          <w:sz w:val="20"/>
          <w:szCs w:val="20"/>
          <w:color w:val="auto"/>
        </w:rPr>
      </w:pPr>
      <w:r>
        <w:rPr>
          <w:rFonts w:ascii="Arial" w:cs="Arial" w:eastAsia="Arial" w:hAnsi="Arial"/>
          <w:sz w:val="25"/>
          <w:szCs w:val="25"/>
          <w:b w:val="1"/>
          <w:bCs w:val="1"/>
          <w:color w:val="auto"/>
        </w:rPr>
        <w:t>SVB Securities</w:t>
      </w:r>
    </w:p>
    <w:p>
      <w:pPr>
        <w:spacing w:after="0" w:line="200" w:lineRule="exact"/>
        <w:rPr>
          <w:sz w:val="20"/>
          <w:szCs w:val="20"/>
          <w:color w:val="auto"/>
        </w:rPr>
      </w:pPr>
    </w:p>
    <w:p>
      <w:pPr>
        <w:spacing w:after="0" w:line="24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August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497205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jpe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jpe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34" Type="http://schemas.openxmlformats.org/officeDocument/2006/relationships/hyperlink" Target="http://www.sec.gov/ix?doc=/Archives/edgar/data/1858848/000095017022004426/tnya-20211231.htm" TargetMode="External"/><Relationship Id="rId35" Type="http://schemas.openxmlformats.org/officeDocument/2006/relationships/hyperlink" Target="http://www.sec.gov/ix?doc=/Archives/edgar/data/1858848/000095017022009363/tnya-20220331.htm" TargetMode="External"/><Relationship Id="rId36" Type="http://schemas.openxmlformats.org/officeDocument/2006/relationships/hyperlink" Target="http://www.sec.gov/ix?doc=/Archives/edgar/data/1858848/000095017022016478/tnya-20220630.htm" TargetMode="External"/><Relationship Id="rId37" Type="http://schemas.openxmlformats.org/officeDocument/2006/relationships/hyperlink" Target="http://www.sec.gov/Archives/edgar/data/1858848/000119312522127693/d263092ddef14a.htm" TargetMode="External"/><Relationship Id="rId38" Type="http://schemas.openxmlformats.org/officeDocument/2006/relationships/hyperlink" Target="http://www.sec.gov/ix?doc=/Archives/edgar/data/1858848/000095017022011496/tnya-20220609.htm" TargetMode="External"/><Relationship Id="rId39" Type="http://schemas.openxmlformats.org/officeDocument/2006/relationships/hyperlink" Target="http://www.sec.gov/ix?doc=/Archives/edgar/data/1858848/000119312522217452/d301698d8k.htm" TargetMode="External"/><Relationship Id="rId40" Type="http://schemas.openxmlformats.org/officeDocument/2006/relationships/hyperlink" Target="http://www.sec.gov/Archives/edgar/data/1858848/000119312521223152/d170858d8a12b.htm" TargetMode="External"/><Relationship Id="rId59" Type="http://schemas.openxmlformats.org/officeDocument/2006/relationships/hyperlink" Target="http://www.sec.gov/Archives/edgar/data/1858848/000095017022004426/tnya-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2022-08-17T15:36:47Z</dcterms:created>
  <dcterms:modified xsi:type="dcterms:W3CDTF">2022-08-17T15:36:47Z</dcterms:modified>
</cp:coreProperties>
</file>