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tnya-20250528.htm"/>
      <w:bookmarkStart w:id="1" w:name="kstnya20250528"/>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71" w:type="dxa"/>
        <w:jc w:val="left"/>
        <w:tblInd w:w="0" w:type="dxa"/>
        <w:tblLayout w:type="fixed"/>
        <w:tblCellMar>
          <w:top w:w="28" w:type="dxa"/>
          <w:left w:w="28" w:type="dxa"/>
          <w:bottom w:w="28" w:type="dxa"/>
          <w:right w:w="28" w:type="dxa"/>
        </w:tblCellMar>
      </w:tblPr>
      <w:tblGrid>
        <w:gridCol w:w="5371"/>
      </w:tblGrid>
      <w:tr>
        <w:trPr/>
        <w:tc>
          <w:tcPr>
            <w:tcW w:w="5371" w:type="dxa"/>
            <w:tcBorders/>
            <w:vAlign w:val="center"/>
          </w:tcPr>
          <w:p>
            <w:pPr>
              <w:pStyle w:val="TableContents"/>
              <w:bidi w:val="0"/>
              <w:spacing w:before="0" w:after="283"/>
              <w:jc w:val="left"/>
              <w:rPr>
                <w:sz w:val="4"/>
                <w:szCs w:val="4"/>
              </w:rPr>
            </w:pPr>
            <w:r>
              <w:rPr>
                <w:sz w:val="4"/>
                <w:szCs w:val="4"/>
              </w:rPr>
            </w:r>
          </w:p>
        </w:tc>
      </w:tr>
      <w:tr>
        <w:trPr/>
        <w:tc>
          <w:tcPr>
            <w:tcW w:w="5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May 28, 2025</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Tenaya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001" w:type="dxa"/>
        <w:jc w:val="left"/>
        <w:tblInd w:w="0" w:type="dxa"/>
        <w:tblLayout w:type="fixed"/>
        <w:tblCellMar>
          <w:top w:w="28" w:type="dxa"/>
          <w:left w:w="28" w:type="dxa"/>
          <w:bottom w:w="28" w:type="dxa"/>
          <w:right w:w="28" w:type="dxa"/>
        </w:tblCellMar>
      </w:tblPr>
      <w:tblGrid>
        <w:gridCol w:w="996"/>
        <w:gridCol w:w="909"/>
        <w:gridCol w:w="914"/>
        <w:gridCol w:w="1846"/>
        <w:gridCol w:w="1336"/>
      </w:tblGrid>
      <w:tr>
        <w:trPr/>
        <w:tc>
          <w:tcPr>
            <w:tcW w:w="99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001-40656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81-3789973</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19"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171 Oyster Point Boulevard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500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South San Francisco,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(650)</w:t>
            </w:r>
            <w:r>
              <w:rPr>
                <w:rFonts w:ascii="Times New Roman" w:hAnsi="Times New Roman"/>
                <w:color w:val="000000"/>
                <w:sz w:val="20"/>
              </w:rPr>
              <w:t xml:space="preserve"> </w:t>
            </w:r>
            <w:r>
              <w:rPr>
                <w:rFonts w:ascii="Times New Roman" w:hAnsi="Times New Roman"/>
                <w:b/>
                <w:color w:val="000000"/>
                <w:sz w:val="20"/>
              </w:rPr>
              <w:t>825-6990</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Not Applicable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(Former name or former address, if changed since last report)</w:t>
      </w:r>
      <w:r>
        <w:rPr>
          <w:rFonts w:ascii="Times New Roman" w:hAnsi="Times New Roman"/>
          <w:color w:val="000000"/>
          <w:sz w:val="20"/>
        </w:rPr>
        <w:t xml:space="preserve">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TNYA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color w:val="000000"/>
          <w:sz w:val="20"/>
        </w:rPr>
        <w:t>Item 5.07 Submission of Matters to a Vote of Security Holders.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Tenaya Therapeutics, Inc. (the “Company”) held its annual meeting of stockholders (the “Annual Meeting”) on May 28, 2025. The matters voted upon at the Annual Meeting and the voting results for each proposal are set forth below. Voting results are, when applicable, reported by rounding fractional share voting down to the nearest round number.</w:t>
      </w:r>
    </w:p>
    <w:p>
      <w:pPr>
        <w:pStyle w:val="TextBody"/>
        <w:bidi w:val="0"/>
        <w:spacing w:before="360" w:after="283"/>
        <w:jc w:val="left"/>
        <w:rPr>
          <w:rFonts w:ascii="Times New Roman" w:hAnsi="Times New Roman"/>
          <w:sz w:val="20"/>
        </w:rPr>
      </w:pPr>
      <w:r>
        <w:rPr>
          <w:rFonts w:ascii="Times New Roman" w:hAnsi="Times New Roman"/>
          <w:b/>
          <w:color w:val="000000"/>
          <w:sz w:val="20"/>
        </w:rPr>
        <w:t>Proposal 1: Election of Class I Directors</w:t>
      </w:r>
      <w:r>
        <w:rPr>
          <w:rFonts w:ascii="Times New Roman" w:hAnsi="Times New Roman"/>
          <w:color w:val="000000"/>
          <w:sz w:val="20"/>
        </w:rPr>
        <w:t xml:space="preserve"> </w:t>
      </w:r>
    </w:p>
    <w:p>
      <w:pPr>
        <w:pStyle w:val="TextBody"/>
        <w:bidi w:val="0"/>
        <w:jc w:val="left"/>
        <w:rPr/>
      </w:pPr>
      <w:r>
        <w:rPr/>
        <w:t> </w:t>
      </w:r>
    </w:p>
    <w:tbl>
      <w:tblPr>
        <w:tblW w:w="6211" w:type="dxa"/>
        <w:jc w:val="left"/>
        <w:tblInd w:w="0" w:type="dxa"/>
        <w:tblLayout w:type="fixed"/>
        <w:tblCellMar>
          <w:top w:w="28" w:type="dxa"/>
          <w:left w:w="28" w:type="dxa"/>
          <w:bottom w:w="28" w:type="dxa"/>
          <w:right w:w="28" w:type="dxa"/>
        </w:tblCellMar>
      </w:tblPr>
      <w:tblGrid>
        <w:gridCol w:w="2386"/>
        <w:gridCol w:w="1036"/>
        <w:gridCol w:w="1036"/>
        <w:gridCol w:w="1753"/>
      </w:tblGrid>
      <w:tr>
        <w:trPr/>
        <w:tc>
          <w:tcPr>
            <w:tcW w:w="238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r>
      <w:tr>
        <w:trPr/>
        <w:tc>
          <w:tcPr>
            <w:tcW w:w="238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Director Nominee</w:t>
            </w:r>
          </w:p>
        </w:tc>
        <w:tc>
          <w:tcPr>
            <w:tcW w:w="103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w:t>
            </w:r>
          </w:p>
        </w:tc>
        <w:tc>
          <w:tcPr>
            <w:tcW w:w="103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Withheld</w:t>
            </w:r>
          </w:p>
        </w:tc>
        <w:tc>
          <w:tcPr>
            <w:tcW w:w="1753"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72"/>
              <w:jc w:val="center"/>
              <w:rPr>
                <w:rFonts w:ascii="Times New Roman" w:hAnsi="Times New Roman"/>
                <w:b/>
                <w:color w:val="000000"/>
                <w:sz w:val="20"/>
              </w:rPr>
            </w:pPr>
            <w:r>
              <w:rPr>
                <w:rFonts w:ascii="Times New Roman" w:hAnsi="Times New Roman"/>
                <w:b/>
                <w:color w:val="000000"/>
                <w:sz w:val="20"/>
              </w:rPr>
              <w:t>Broker Non-Votes</w:t>
            </w:r>
          </w:p>
        </w:tc>
      </w:tr>
      <w:tr>
        <w:trPr/>
        <w:tc>
          <w:tcPr>
            <w:tcW w:w="238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72"/>
              <w:jc w:val="left"/>
              <w:rPr>
                <w:rFonts w:ascii="Times New Roman" w:hAnsi="Times New Roman"/>
                <w:color w:val="000000"/>
                <w:sz w:val="20"/>
              </w:rPr>
            </w:pPr>
            <w:r>
              <w:rPr>
                <w:rFonts w:ascii="Times New Roman" w:hAnsi="Times New Roman"/>
                <w:color w:val="000000"/>
                <w:sz w:val="20"/>
              </w:rPr>
              <w:t>David Goeddel, Ph.D.</w:t>
            </w:r>
          </w:p>
        </w:tc>
        <w:tc>
          <w:tcPr>
            <w:tcW w:w="103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80,444,762</w:t>
            </w:r>
          </w:p>
        </w:tc>
        <w:tc>
          <w:tcPr>
            <w:tcW w:w="103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8,262,596</w:t>
            </w:r>
          </w:p>
        </w:tc>
        <w:tc>
          <w:tcPr>
            <w:tcW w:w="175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72"/>
              <w:jc w:val="center"/>
              <w:rPr>
                <w:rFonts w:ascii="Times New Roman" w:hAnsi="Times New Roman"/>
                <w:color w:val="000000"/>
                <w:sz w:val="20"/>
              </w:rPr>
            </w:pPr>
            <w:r>
              <w:rPr>
                <w:rFonts w:ascii="Times New Roman" w:hAnsi="Times New Roman"/>
                <w:color w:val="000000"/>
                <w:sz w:val="20"/>
              </w:rPr>
              <w:t>32,241,417</w:t>
            </w:r>
          </w:p>
        </w:tc>
      </w:tr>
      <w:tr>
        <w:trPr/>
        <w:tc>
          <w:tcPr>
            <w:tcW w:w="238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72"/>
              <w:jc w:val="left"/>
              <w:rPr>
                <w:rFonts w:ascii="Times New Roman" w:hAnsi="Times New Roman"/>
                <w:color w:val="000000"/>
                <w:sz w:val="20"/>
              </w:rPr>
            </w:pPr>
            <w:r>
              <w:rPr>
                <w:rFonts w:ascii="Times New Roman" w:hAnsi="Times New Roman"/>
                <w:color w:val="000000"/>
                <w:sz w:val="20"/>
              </w:rPr>
              <w:t>Jeffrey T. Walsh, M.B.A.</w:t>
            </w:r>
          </w:p>
        </w:tc>
        <w:tc>
          <w:tcPr>
            <w:tcW w:w="103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70,717,277</w:t>
            </w:r>
          </w:p>
        </w:tc>
        <w:tc>
          <w:tcPr>
            <w:tcW w:w="103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17,990,081</w:t>
            </w:r>
          </w:p>
        </w:tc>
        <w:tc>
          <w:tcPr>
            <w:tcW w:w="175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72"/>
              <w:jc w:val="center"/>
              <w:rPr>
                <w:rFonts w:ascii="Times New Roman" w:hAnsi="Times New Roman"/>
                <w:color w:val="000000"/>
                <w:sz w:val="20"/>
              </w:rPr>
            </w:pPr>
            <w:r>
              <w:rPr>
                <w:rFonts w:ascii="Times New Roman" w:hAnsi="Times New Roman"/>
                <w:color w:val="000000"/>
                <w:sz w:val="20"/>
              </w:rPr>
              <w:t>32,241,417</w:t>
            </w:r>
          </w:p>
        </w:tc>
      </w:tr>
      <w:tr>
        <w:trPr/>
        <w:tc>
          <w:tcPr>
            <w:tcW w:w="238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72"/>
              <w:jc w:val="left"/>
              <w:rPr>
                <w:rFonts w:ascii="Times New Roman" w:hAnsi="Times New Roman"/>
                <w:color w:val="000000"/>
                <w:sz w:val="20"/>
              </w:rPr>
            </w:pPr>
            <w:r>
              <w:rPr>
                <w:rFonts w:ascii="Times New Roman" w:hAnsi="Times New Roman"/>
                <w:color w:val="000000"/>
                <w:sz w:val="20"/>
              </w:rPr>
              <w:t>R. Sanders Williams, M.D.</w:t>
            </w:r>
          </w:p>
        </w:tc>
        <w:tc>
          <w:tcPr>
            <w:tcW w:w="103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70,410,874</w:t>
            </w:r>
          </w:p>
        </w:tc>
        <w:tc>
          <w:tcPr>
            <w:tcW w:w="103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18,296,484</w:t>
            </w:r>
          </w:p>
        </w:tc>
        <w:tc>
          <w:tcPr>
            <w:tcW w:w="175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32,241,417</w:t>
            </w:r>
          </w:p>
        </w:tc>
      </w:tr>
    </w:tbl>
    <w:p>
      <w:pPr>
        <w:pStyle w:val="TextBody"/>
        <w:bidi w:val="0"/>
        <w:spacing w:before="360" w:after="283"/>
        <w:jc w:val="left"/>
        <w:rPr>
          <w:rFonts w:ascii="Times New Roman" w:hAnsi="Times New Roman"/>
          <w:color w:val="000000"/>
          <w:sz w:val="20"/>
        </w:rPr>
      </w:pPr>
      <w:r>
        <w:rPr>
          <w:rFonts w:ascii="Times New Roman" w:hAnsi="Times New Roman"/>
          <w:color w:val="000000"/>
          <w:sz w:val="20"/>
        </w:rPr>
        <w:t>Each director nominee was duly elected to serve until the 2028 annual meeting of stockholders and until their successor is duly elected and qualified, subject to earlier resignation or removal.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Proposal 2: Ratification of the Appointment of Independent Registered Public Accounting Firm</w:t>
      </w:r>
    </w:p>
    <w:p>
      <w:pPr>
        <w:pStyle w:val="TextBody"/>
        <w:bidi w:val="0"/>
        <w:jc w:val="left"/>
        <w:rPr/>
      </w:pPr>
      <w:r>
        <w:rPr/>
        <w:t> </w:t>
      </w:r>
    </w:p>
    <w:tbl>
      <w:tblPr>
        <w:tblW w:w="4399" w:type="dxa"/>
        <w:jc w:val="left"/>
        <w:tblInd w:w="0" w:type="dxa"/>
        <w:tblLayout w:type="fixed"/>
        <w:tblCellMar>
          <w:top w:w="28" w:type="dxa"/>
          <w:left w:w="28" w:type="dxa"/>
          <w:bottom w:w="28" w:type="dxa"/>
          <w:right w:w="28" w:type="dxa"/>
        </w:tblCellMar>
      </w:tblPr>
      <w:tblGrid>
        <w:gridCol w:w="1156"/>
        <w:gridCol w:w="781"/>
        <w:gridCol w:w="781"/>
        <w:gridCol w:w="1681"/>
      </w:tblGrid>
      <w:tr>
        <w:trPr/>
        <w:tc>
          <w:tcPr>
            <w:tcW w:w="115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115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w:t>
            </w:r>
          </w:p>
        </w:tc>
        <w:tc>
          <w:tcPr>
            <w:tcW w:w="78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Against</w:t>
            </w:r>
          </w:p>
        </w:tc>
        <w:tc>
          <w:tcPr>
            <w:tcW w:w="78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Abstain</w:t>
            </w:r>
          </w:p>
        </w:tc>
        <w:tc>
          <w:tcPr>
            <w:tcW w:w="168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Broker Non-Votes</w:t>
            </w:r>
          </w:p>
        </w:tc>
      </w:tr>
      <w:tr>
        <w:trPr/>
        <w:tc>
          <w:tcPr>
            <w:tcW w:w="115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120,339,858</w:t>
            </w:r>
          </w:p>
        </w:tc>
        <w:tc>
          <w:tcPr>
            <w:tcW w:w="78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416,705</w:t>
            </w:r>
          </w:p>
        </w:tc>
        <w:tc>
          <w:tcPr>
            <w:tcW w:w="78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192,213</w:t>
            </w:r>
          </w:p>
        </w:tc>
        <w:tc>
          <w:tcPr>
            <w:tcW w:w="168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TextBody"/>
        <w:bidi w:val="0"/>
        <w:spacing w:before="360" w:after="283"/>
        <w:jc w:val="left"/>
        <w:rPr>
          <w:rFonts w:ascii="Times New Roman" w:hAnsi="Times New Roman"/>
          <w:color w:val="000000"/>
          <w:sz w:val="20"/>
        </w:rPr>
      </w:pPr>
      <w:r>
        <w:rPr>
          <w:rFonts w:ascii="Times New Roman" w:hAnsi="Times New Roman"/>
          <w:color w:val="000000"/>
          <w:sz w:val="20"/>
        </w:rPr>
        <w:t>The stockholders ratified the appointment of Deloitte &amp; Touche LLP as the Company’s independent registered public accounting firm for the fiscal year ending December 31, 2025.</w:t>
      </w:r>
    </w:p>
    <w:p>
      <w:pPr>
        <w:pStyle w:val="TextBody"/>
        <w:bidi w:val="0"/>
        <w:jc w:val="left"/>
        <w:rPr/>
      </w:pPr>
      <w:r>
        <w:rPr/>
        <w:t> </w:t>
      </w:r>
    </w:p>
    <w:p>
      <w:pPr>
        <w:pStyle w:val="TextBody"/>
        <w:bidi w:val="0"/>
        <w:spacing w:before="36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187"/>
        <w:jc w:val="left"/>
        <w:rPr/>
      </w:pPr>
      <w:r>
        <w:rPr/>
        <w:t> </w:t>
      </w:r>
    </w:p>
    <w:tbl>
      <w:tblPr>
        <w:tblW w:w="5006" w:type="dxa"/>
        <w:jc w:val="left"/>
        <w:tblInd w:w="0" w:type="dxa"/>
        <w:tblLayout w:type="fixed"/>
        <w:tblCellMar>
          <w:top w:w="28" w:type="dxa"/>
          <w:left w:w="28" w:type="dxa"/>
          <w:bottom w:w="28" w:type="dxa"/>
          <w:right w:w="28" w:type="dxa"/>
        </w:tblCellMar>
      </w:tblPr>
      <w:tblGrid>
        <w:gridCol w:w="1741"/>
        <w:gridCol w:w="109"/>
        <w:gridCol w:w="406"/>
        <w:gridCol w:w="109"/>
        <w:gridCol w:w="264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6"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TENAYA THERAPEUTICS, INC.</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tcBorders>
              <w:bottom w:val="single" w:sz="4" w:space="0" w:color="000000"/>
            </w:tcBorders>
            <w:tcMar>
              <w:top w:w="0" w:type="dxa"/>
              <w:left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/s/ Jennifer Drimmer Rokovich</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Jennifer Drimmer Rokovich</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Counsel and Secretary</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30,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531</Words>
  <Characters>3012</Characters>
  <CharactersWithSpaces>3506</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