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nya-20230608.htm"/>
      <w:bookmarkStart w:id="1" w:name="kstnya20230608"/>
      <w:bookmarkEnd w:id="0"/>
      <w:bookmarkEnd w:id="1"/>
      <w:r>
        <w:rPr/>
        <w:t> </w:t>
      </w:r>
    </w:p>
    <w:p>
      <w:pPr>
        <w:pStyle w:val="TextBody"/>
        <w:bidi w:val="0"/>
        <w:spacing w:before="8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FORM 8-K</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of the Securities Exchange Act of 1934</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Date of Report (Date of earliest event reported):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June 8, 2023</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48"/>
        </w:rPr>
        <w:t>Tenaya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001-40656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81-3789973</w:t>
            </w:r>
          </w:p>
        </w:tc>
      </w:tr>
      <w:tr>
        <w:trPr/>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of incorporation)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240" w:after="0"/>
        <w:jc w:val="center"/>
        <w:rPr>
          <w:rFonts w:ascii="Times New Roman" w:hAnsi="Times New Roman"/>
          <w:sz w:val="20"/>
        </w:rPr>
      </w:pPr>
      <w:r>
        <w:rPr>
          <w:rFonts w:ascii="Times New Roman;serif" w:hAnsi="Times New Roman;serif"/>
          <w:b/>
          <w:sz w:val="20"/>
        </w:rPr>
        <w:t>171 Oyster Point Boulevard, Suite 500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South San Francisco, CA</w:t>
      </w:r>
      <w:r>
        <w:rPr>
          <w:rFonts w:ascii="Times New Roman" w:hAnsi="Times New Roman"/>
          <w:sz w:val="20"/>
        </w:rPr>
        <w:t xml:space="preserve"> </w:t>
      </w:r>
      <w:r>
        <w:rPr>
          <w:rFonts w:ascii="Times New Roman;serif" w:hAnsi="Times New Roman;serif"/>
          <w:b/>
          <w:sz w:val="20"/>
        </w:rPr>
        <w:t>94080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 including zip code)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(650) 825-6990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Not Applicable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(Former name or former address, if changed since last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 (see General Instruction A.2. below):</w:t>
      </w:r>
      <w:r>
        <w:rPr>
          <w:rFonts w:ascii="Times New Roman" w:hAnsi="Times New Roman"/>
          <w:sz w:val="20"/>
        </w:rPr>
        <w:t xml:space="preserve">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74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Written communications pursuant to Rule 425 under the Securities Act (17 CFR 230.425)</w:t>
            </w:r>
            <w:r>
              <w:rPr>
                <w:rFonts w:ascii="Times New Roman" w:hAnsi="Times New Roman"/>
                <w:sz w:val="20"/>
              </w:rPr>
              <w:t xml:space="preserve"> </w:t>
            </w:r>
          </w:p>
        </w:tc>
      </w:tr>
    </w:tbl>
    <w:p>
      <w:pPr>
        <w:pStyle w:val="TextBody"/>
        <w:bidi w:val="0"/>
        <w:spacing w:before="0" w:after="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74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bl>
    <w:p>
      <w:pPr>
        <w:pStyle w:val="TextBody"/>
        <w:bidi w:val="0"/>
        <w:spacing w:before="0" w:after="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bl>
    <w:p>
      <w:pPr>
        <w:pStyle w:val="TextBody"/>
        <w:bidi w:val="0"/>
        <w:spacing w:before="0" w:after="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990" w:type="dxa"/>
        <w:jc w:val="left"/>
        <w:tblInd w:w="0" w:type="dxa"/>
        <w:tblLayout w:type="fixed"/>
        <w:tblCellMar>
          <w:top w:w="28" w:type="dxa"/>
          <w:left w:w="28" w:type="dxa"/>
          <w:bottom w:w="28" w:type="dxa"/>
          <w:right w:w="28" w:type="dxa"/>
        </w:tblCellMar>
      </w:tblPr>
      <w:tblGrid>
        <w:gridCol w:w="3871"/>
        <w:gridCol w:w="146"/>
        <w:gridCol w:w="826"/>
        <w:gridCol w:w="146"/>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exchange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TNYA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Global Select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5.02 Departure of Directors or Certain Officers; Election of Directors; Appointment of Certain Officers; Compensatory Arrangements of Certain Officers.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June 8, 2023, the Tenaya Therapeutics, Inc. (the “Company”) board of directors amended the Company’s Executive Change in Control and Severance Plan (the “Executive Severance Plan”), pursuant to which the Company’s named executive officers and certain other key employees are eligible to receive severance benefits, approved an amended and restated participation agreement for use under the Executive Severance Plan with respect to current participants in the Executive Severance Plan, and approved a new form of participation agreement for use with respect to future participants in the Executive Severance Plan. The material terms of the Executive Severance Plan and participation agreements thereunder remain unchanged and are as previously described in the Company’s Proxy Statement filed on April 27, 2023, except that the severance benefits were modified to provide for the benefits described below.</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event of a “qualifying termination” of the employment of a named executive officer, which generally includes a termination of employment by the Company for a reason other than “cause” or the named executive officer’s death or “disability” (as such terms are defined in the Company's Executive Severance Plan), but in the case of Faraz Ali, the Company’s Chief Executive Officer, includes a termination of employment by him for “good reason” or by the Company for a reason other than “cause” or his death or disability, in all cases, that occurs outside the change in control period (as described below), then the named executive officer will be entitled to the following payments and benefits: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lump sum payment equal to 9 months of the named executive officer’s annual base salary as in effect immediately prior to his or her qualifying termination of employment, or 12 months in the case of Mr. Ali;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continued health coverage under COBRA or a lump sum payment equal to the premium cost of continued health coverage under the Consolidated Omnibus Reconciliation Act of 1985 as amended, or COBRA, for a period of 9 months, or 12 months in the case of Mr. Ali.</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the event of a termination of employment by the named executive officer for “good reason” or by the Company for a reason other than “cause” or the named executive officer’s death or disability, in each case, within a period beginning three months prior to and ending twelve months following a “change in control” (as defined in the Company's Executive Severance Plan) (such period, in either case, the “change in control period”), then the named executive officer will be entitled to the following payments and benefits: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lump sum payment equal to 12 months of the named executive officer’s annual base salary as in effect immediately prior to his or her qualifying termination of employment, or 18 months in the case of Mr. Ali, and 100% of the named executive officer’s target annual bonus for the year in which the qualifying termination occurs, or 150% in the case of Mr. Ali;</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continued health coverage under COBRA or a lump sum payment equal to the cost of continued health coverage under COBRA for a period of 12 months, or 18 months in the case of Mr. Ali;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100% accelerated vesting of all outstanding equity awards, and, with respect to equity awards with performance-based vesting, all performance goals or other vesting criteria will be deemed achieved at 100% of target levels for the relevant performance period(s).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foregoing description is qualified in its entirety by reference to the amended Executive Change in Control and Severance Plan, a copy of which is attached hereto as Exhibit 10.1 and incorporated herein by reference.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5.03 Amendments to Articles of Incorporation or Bylaws; Change in Fiscal Year.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June 8, 2023, immediately following the vote on proposal 3 at the 2023 Annual Meeting of Stockholders (the “Annual Meeting”) of Tenaya Therapeutics, Inc. (the “Company”), the Company filed a Certificate of Amendment to its Amended and Restated Certificate of Incorporation to reflect recently adopted Delaware law provisions regarding officer exculpation, which amendment was effective upon filing. Specifically, the Certificate of Amendment amended Section 1 of Article IX in its entirety to read as follows:</w:t>
      </w:r>
    </w:p>
    <w:p>
      <w:pPr>
        <w:pStyle w:val="TextBody"/>
        <w:bidi w:val="0"/>
        <w:spacing w:before="0" w:after="0"/>
        <w:jc w:val="center"/>
        <w:rPr/>
      </w:pPr>
      <w:r>
        <w:rPr/>
        <w:t>“</w:t>
      </w:r>
      <w:r>
        <w:rPr>
          <w:rFonts w:ascii="Times New Roman;serif" w:hAnsi="Times New Roman;serif"/>
          <w:b/>
          <w:sz w:val="20"/>
        </w:rPr>
        <w:t>ARTICLE IX</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Certificate of Amendment to the Company’s Amended and Restated Certificate of Incorporation is filed as Exhibit 3.1 hereto.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Item 5.07 Submission of Matters to a Vote of Security Holders.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matters voted upon at the Annual Meeting and the voting results for each proposal are set forth below. Voting results are, when applicable, reported by rounding fractional share voting down to the nearest round number.</w:t>
      </w:r>
    </w:p>
    <w:p>
      <w:pPr>
        <w:pStyle w:val="TextBody"/>
        <w:bidi w:val="0"/>
        <w:spacing w:before="360" w:after="0"/>
        <w:jc w:val="left"/>
        <w:rPr>
          <w:rFonts w:ascii="Times New Roman" w:hAnsi="Times New Roman"/>
          <w:sz w:val="20"/>
        </w:rPr>
      </w:pPr>
      <w:r>
        <w:rPr>
          <w:rFonts w:ascii="Times New Roman;serif" w:hAnsi="Times New Roman;serif"/>
          <w:b/>
          <w:sz w:val="20"/>
        </w:rPr>
        <w:t>Proposal 1: Election of Class II Directors</w:t>
      </w:r>
      <w:r>
        <w:rPr>
          <w:rFonts w:ascii="Times New Roman" w:hAnsi="Times New Roman"/>
          <w:sz w:val="20"/>
        </w:rPr>
        <w:t xml:space="preserve"> </w:t>
      </w:r>
    </w:p>
    <w:p>
      <w:pPr>
        <w:pStyle w:val="TextBody"/>
        <w:bidi w:val="0"/>
        <w:spacing w:before="0" w:after="0"/>
        <w:jc w:val="left"/>
        <w:rPr/>
      </w:pPr>
      <w:r>
        <w:rPr/>
        <w:t> </w:t>
      </w:r>
    </w:p>
    <w:tbl>
      <w:tblPr>
        <w:tblW w:w="6421" w:type="dxa"/>
        <w:jc w:val="left"/>
        <w:tblInd w:w="0" w:type="dxa"/>
        <w:tblLayout w:type="fixed"/>
        <w:tblCellMar>
          <w:top w:w="28" w:type="dxa"/>
          <w:left w:w="28" w:type="dxa"/>
          <w:bottom w:w="28" w:type="dxa"/>
          <w:right w:w="28" w:type="dxa"/>
        </w:tblCellMar>
      </w:tblPr>
      <w:tblGrid>
        <w:gridCol w:w="2701"/>
        <w:gridCol w:w="1036"/>
        <w:gridCol w:w="931"/>
        <w:gridCol w:w="1753"/>
      </w:tblGrid>
      <w:tr>
        <w:trPr/>
        <w:tc>
          <w:tcPr>
            <w:tcW w:w="27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27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Name of Director Nominee</w:t>
            </w:r>
          </w:p>
        </w:tc>
        <w:tc>
          <w:tcPr>
            <w:tcW w:w="10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9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Withheld</w:t>
            </w:r>
          </w:p>
        </w:tc>
        <w:tc>
          <w:tcPr>
            <w:tcW w:w="17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72"/>
              <w:jc w:val="center"/>
              <w:rPr>
                <w:rFonts w:ascii="Times New Roman;serif" w:hAnsi="Times New Roman;serif"/>
                <w:b/>
                <w:sz w:val="20"/>
              </w:rPr>
            </w:pPr>
            <w:r>
              <w:rPr>
                <w:rFonts w:ascii="Times New Roman;serif" w:hAnsi="Times New Roman;serif"/>
                <w:b/>
                <w:sz w:val="20"/>
              </w:rPr>
              <w:t>Broker Non-Votes</w:t>
            </w:r>
          </w:p>
        </w:tc>
      </w:tr>
      <w:tr>
        <w:trPr/>
        <w:tc>
          <w:tcPr>
            <w:tcW w:w="27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left"/>
              <w:rPr>
                <w:rFonts w:ascii="Times New Roman;serif" w:hAnsi="Times New Roman;serif"/>
                <w:b w:val="false"/>
                <w:sz w:val="20"/>
              </w:rPr>
            </w:pPr>
            <w:r>
              <w:rPr>
                <w:rFonts w:ascii="Times New Roman;serif" w:hAnsi="Times New Roman;serif"/>
                <w:b w:val="false"/>
                <w:sz w:val="20"/>
              </w:rPr>
              <w:t>Amy Burroughs, M.B.A.</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56,813,999</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120,571</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72"/>
              <w:jc w:val="center"/>
              <w:rPr>
                <w:rFonts w:ascii="Times New Roman;serif" w:hAnsi="Times New Roman;serif"/>
                <w:b w:val="false"/>
                <w:sz w:val="20"/>
              </w:rPr>
            </w:pPr>
            <w:r>
              <w:rPr>
                <w:rFonts w:ascii="Times New Roman;serif" w:hAnsi="Times New Roman;serif"/>
                <w:b w:val="false"/>
                <w:sz w:val="20"/>
              </w:rPr>
              <w:t>3,354,787</w:t>
            </w:r>
          </w:p>
        </w:tc>
      </w:tr>
      <w:tr>
        <w:trPr/>
        <w:tc>
          <w:tcPr>
            <w:tcW w:w="27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left"/>
              <w:rPr>
                <w:rFonts w:ascii="Times New Roman;serif" w:hAnsi="Times New Roman;serif"/>
                <w:b w:val="false"/>
                <w:sz w:val="20"/>
              </w:rPr>
            </w:pPr>
            <w:r>
              <w:rPr>
                <w:rFonts w:ascii="Times New Roman;serif" w:hAnsi="Times New Roman;serif"/>
                <w:b w:val="false"/>
                <w:sz w:val="20"/>
              </w:rPr>
              <w:t>Jin-Long Chen, Ph.D.</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54,315,499</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2,619,071</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72"/>
              <w:jc w:val="center"/>
              <w:rPr>
                <w:rFonts w:ascii="Times New Roman;serif" w:hAnsi="Times New Roman;serif"/>
                <w:b w:val="false"/>
                <w:sz w:val="20"/>
              </w:rPr>
            </w:pPr>
            <w:r>
              <w:rPr>
                <w:rFonts w:ascii="Times New Roman;serif" w:hAnsi="Times New Roman;serif"/>
                <w:b w:val="false"/>
                <w:sz w:val="20"/>
              </w:rPr>
              <w:t>3,354,787</w:t>
            </w:r>
          </w:p>
        </w:tc>
      </w:tr>
      <w:tr>
        <w:trPr/>
        <w:tc>
          <w:tcPr>
            <w:tcW w:w="27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left"/>
              <w:rPr>
                <w:rFonts w:ascii="Times New Roman;serif" w:hAnsi="Times New Roman;serif"/>
                <w:b w:val="false"/>
                <w:sz w:val="20"/>
              </w:rPr>
            </w:pPr>
            <w:r>
              <w:rPr>
                <w:rFonts w:ascii="Times New Roman;serif" w:hAnsi="Times New Roman;serif"/>
                <w:b w:val="false"/>
                <w:sz w:val="20"/>
              </w:rPr>
              <w:t>Catherine Stehman-Breen, M.D.</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56,678,838</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255,732</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3,354,787</w:t>
            </w:r>
          </w:p>
        </w:tc>
      </w:tr>
    </w:tbl>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Each director nominee was duly elected to serve until the 2026 annual meeting of stockholders and until their successor is duly elected and qualified, subject to earlier resignation or removal.</w:t>
      </w:r>
    </w:p>
    <w:p>
      <w:pPr>
        <w:pStyle w:val="TextBody"/>
        <w:bidi w:val="0"/>
        <w:spacing w:before="360" w:after="0"/>
        <w:jc w:val="left"/>
        <w:rPr>
          <w:rFonts w:ascii="Times New Roman;serif" w:hAnsi="Times New Roman;serif"/>
          <w:b/>
          <w:sz w:val="20"/>
        </w:rPr>
      </w:pPr>
      <w:r>
        <w:rPr>
          <w:rFonts w:ascii="Times New Roman;serif" w:hAnsi="Times New Roman;serif"/>
          <w:b/>
          <w:sz w:val="20"/>
        </w:rPr>
        <w:t>Proposal 2: Ratification of the Appointment of Independent Registered Public Accounting Firm</w:t>
      </w:r>
    </w:p>
    <w:p>
      <w:pPr>
        <w:pStyle w:val="TextBody"/>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1051"/>
        <w:gridCol w:w="751"/>
        <w:gridCol w:w="751"/>
        <w:gridCol w:w="1753"/>
      </w:tblGrid>
      <w:tr>
        <w:trPr/>
        <w:tc>
          <w:tcPr>
            <w:tcW w:w="10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75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Against</w:t>
            </w:r>
          </w:p>
        </w:tc>
        <w:tc>
          <w:tcPr>
            <w:tcW w:w="75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Abstain</w:t>
            </w:r>
          </w:p>
        </w:tc>
        <w:tc>
          <w:tcPr>
            <w:tcW w:w="17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72"/>
              <w:jc w:val="center"/>
              <w:rPr>
                <w:rFonts w:ascii="Times New Roman;serif" w:hAnsi="Times New Roman;serif"/>
                <w:b/>
                <w:sz w:val="20"/>
              </w:rPr>
            </w:pPr>
            <w:r>
              <w:rPr>
                <w:rFonts w:ascii="Times New Roman;serif" w:hAnsi="Times New Roman;serif"/>
                <w:b/>
                <w:sz w:val="20"/>
              </w:rPr>
              <w:t>Broker Non-Votes</w:t>
            </w:r>
          </w:p>
        </w:tc>
      </w:tr>
      <w:tr>
        <w:trPr/>
        <w:tc>
          <w:tcPr>
            <w:tcW w:w="10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center"/>
              <w:rPr>
                <w:rFonts w:ascii="Times New Roman;serif" w:hAnsi="Times New Roman;serif"/>
                <w:b w:val="false"/>
                <w:sz w:val="20"/>
              </w:rPr>
            </w:pPr>
            <w:r>
              <w:rPr>
                <w:rFonts w:ascii="Times New Roman;serif" w:hAnsi="Times New Roman;serif"/>
                <w:b w:val="false"/>
                <w:sz w:val="20"/>
              </w:rPr>
              <w:t>60,277,871</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11,275</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211</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The stockholders ratified the appointment of Deloitte &amp; Touche LLP as the Company’s independent registered public accounting firm for the fiscal year ending December 31, 2023.</w:t>
      </w:r>
    </w:p>
    <w:p>
      <w:pPr>
        <w:pStyle w:val="TextBody"/>
        <w:bidi w:val="0"/>
        <w:spacing w:before="360" w:after="0"/>
        <w:jc w:val="left"/>
        <w:rPr>
          <w:rFonts w:ascii="Times New Roman;serif" w:hAnsi="Times New Roman;serif"/>
          <w:b/>
          <w:sz w:val="20"/>
        </w:rPr>
      </w:pPr>
      <w:r>
        <w:rPr>
          <w:rFonts w:ascii="Times New Roman;serif" w:hAnsi="Times New Roman;serif"/>
          <w:b/>
          <w:sz w:val="20"/>
        </w:rPr>
        <w:t>Proposal 3: Approval of Amendment to Amended and Restated Certificate of Incorporation to Reflect Recently Adopted Delaware Law Provisions Regarding Officer Exculpation</w:t>
      </w:r>
    </w:p>
    <w:p>
      <w:pPr>
        <w:pStyle w:val="TextBody"/>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1051"/>
        <w:gridCol w:w="931"/>
        <w:gridCol w:w="751"/>
        <w:gridCol w:w="1753"/>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9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Against</w:t>
            </w:r>
          </w:p>
        </w:tc>
        <w:tc>
          <w:tcPr>
            <w:tcW w:w="75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Abstain</w:t>
            </w:r>
          </w:p>
        </w:tc>
        <w:tc>
          <w:tcPr>
            <w:tcW w:w="17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72"/>
              <w:jc w:val="center"/>
              <w:rPr>
                <w:rFonts w:ascii="Times New Roman;serif" w:hAnsi="Times New Roman;serif"/>
                <w:b/>
                <w:sz w:val="20"/>
              </w:rPr>
            </w:pPr>
            <w:r>
              <w:rPr>
                <w:rFonts w:ascii="Times New Roman;serif" w:hAnsi="Times New Roman;serif"/>
                <w:b/>
                <w:sz w:val="20"/>
              </w:rPr>
              <w:t>Broker Non-Votes</w:t>
            </w:r>
          </w:p>
        </w:tc>
      </w:tr>
      <w:tr>
        <w:trPr/>
        <w:tc>
          <w:tcPr>
            <w:tcW w:w="10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center"/>
              <w:rPr>
                <w:rFonts w:ascii="Times New Roman;serif" w:hAnsi="Times New Roman;serif"/>
                <w:b w:val="false"/>
                <w:sz w:val="20"/>
              </w:rPr>
            </w:pPr>
            <w:r>
              <w:rPr>
                <w:rFonts w:ascii="Times New Roman;serif" w:hAnsi="Times New Roman;serif"/>
                <w:b w:val="false"/>
                <w:sz w:val="20"/>
              </w:rPr>
              <w:t>55,753,278</w:t>
            </w:r>
          </w:p>
        </w:tc>
        <w:tc>
          <w:tcPr>
            <w:tcW w:w="93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1,173,172</w:t>
            </w:r>
          </w:p>
        </w:tc>
        <w:tc>
          <w:tcPr>
            <w:tcW w:w="751"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8,120</w:t>
            </w:r>
          </w:p>
        </w:tc>
        <w:tc>
          <w:tcPr>
            <w:tcW w:w="175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3,354,787</w:t>
            </w:r>
          </w:p>
        </w:tc>
      </w:tr>
    </w:tbl>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The stockholders approved the amendment to the Company’s Amended and Restated Certificate of Incorporation to reflect recently adopted Delaware law provisions regarding officer exculpation.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Exhibits.</w:t>
      </w:r>
    </w:p>
    <w:p>
      <w:pPr>
        <w:pStyle w:val="TextBody"/>
        <w:bidi w:val="0"/>
        <w:spacing w:before="0" w:after="0"/>
        <w:jc w:val="left"/>
        <w:rPr/>
      </w:pPr>
      <w:r>
        <w:rPr/>
        <w:t> </w:t>
      </w:r>
    </w:p>
    <w:tbl>
      <w:tblPr>
        <w:tblW w:w="10139" w:type="dxa"/>
        <w:jc w:val="left"/>
        <w:tblInd w:w="0" w:type="dxa"/>
        <w:tblLayout w:type="fixed"/>
        <w:tblCellMar>
          <w:top w:w="28" w:type="dxa"/>
          <w:left w:w="28" w:type="dxa"/>
          <w:bottom w:w="28" w:type="dxa"/>
          <w:right w:w="28" w:type="dxa"/>
        </w:tblCellMar>
      </w:tblPr>
      <w:tblGrid>
        <w:gridCol w:w="1081"/>
        <w:gridCol w:w="9058"/>
      </w:tblGrid>
      <w:tr>
        <w:trPr/>
        <w:tc>
          <w:tcPr>
            <w:tcW w:w="1081" w:type="dxa"/>
            <w:tcBorders/>
            <w:vAlign w:val="center"/>
          </w:tcPr>
          <w:p>
            <w:pPr>
              <w:pStyle w:val="TableContents"/>
              <w:bidi w:val="0"/>
              <w:spacing w:before="0" w:after="283"/>
              <w:jc w:val="left"/>
              <w:rPr>
                <w:sz w:val="4"/>
                <w:szCs w:val="4"/>
              </w:rPr>
            </w:pPr>
            <w:r>
              <w:rPr>
                <w:sz w:val="4"/>
                <w:szCs w:val="4"/>
              </w:rPr>
            </w:r>
          </w:p>
        </w:tc>
        <w:tc>
          <w:tcPr>
            <w:tcW w:w="9058" w:type="dxa"/>
            <w:tcBorders/>
            <w:vAlign w:val="center"/>
          </w:tcPr>
          <w:p>
            <w:pPr>
              <w:pStyle w:val="TableContents"/>
              <w:bidi w:val="0"/>
              <w:spacing w:before="0" w:after="283"/>
              <w:jc w:val="left"/>
              <w:rPr>
                <w:sz w:val="4"/>
                <w:szCs w:val="4"/>
              </w:rPr>
            </w:pPr>
            <w:r>
              <w:rPr>
                <w:sz w:val="4"/>
                <w:szCs w:val="4"/>
              </w:rPr>
            </w:r>
          </w:p>
        </w:tc>
      </w:tr>
      <w:tr>
        <w:trPr/>
        <w:tc>
          <w:tcPr>
            <w:tcW w:w="10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 No.</w:t>
            </w:r>
          </w:p>
        </w:tc>
        <w:tc>
          <w:tcPr>
            <w:tcW w:w="90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firstLine="72"/>
              <w:jc w:val="center"/>
              <w:rPr>
                <w:rFonts w:ascii="Times New Roman;serif" w:hAnsi="Times New Roman;serif"/>
                <w:b/>
                <w:sz w:val="20"/>
              </w:rPr>
            </w:pPr>
            <w:r>
              <w:rPr>
                <w:rFonts w:ascii="Times New Roman;serif" w:hAnsi="Times New Roman;serif"/>
                <w:b/>
                <w:sz w:val="20"/>
              </w:rPr>
              <w:t>Description</w:t>
            </w:r>
          </w:p>
        </w:tc>
      </w:tr>
      <w:tr>
        <w:trPr/>
        <w:tc>
          <w:tcPr>
            <w:tcW w:w="10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center"/>
              <w:rPr>
                <w:rFonts w:ascii="Times New Roman;serif" w:hAnsi="Times New Roman;serif"/>
                <w:b w:val="false"/>
                <w:sz w:val="20"/>
              </w:rPr>
            </w:pPr>
            <w:r>
              <w:rPr>
                <w:rFonts w:ascii="Times New Roman;serif" w:hAnsi="Times New Roman;serif"/>
                <w:b w:val="false"/>
                <w:sz w:val="20"/>
              </w:rPr>
              <w:t>3.1</w:t>
            </w:r>
          </w:p>
        </w:tc>
        <w:tc>
          <w:tcPr>
            <w:tcW w:w="9058"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72"/>
              <w:jc w:val="left"/>
              <w:rPr/>
            </w:pPr>
            <w:hyperlink w:anchor="tnya-ex3_1.htm">
              <w:r>
                <w:rPr>
                  <w:rStyle w:val="InternetLink"/>
                  <w:rFonts w:ascii="Times New Roman;serif" w:hAnsi="Times New Roman;serif"/>
                  <w:b w:val="false"/>
                  <w:sz w:val="20"/>
                  <w:u w:val="single"/>
                </w:rPr>
                <w:t>Certificate of Amendment of Amended and Restated Certificate of Incorporation of Tenaya Therapeutics, Inc.</w:t>
              </w:r>
            </w:hyperlink>
          </w:p>
        </w:tc>
      </w:tr>
      <w:tr>
        <w:trPr/>
        <w:tc>
          <w:tcPr>
            <w:tcW w:w="10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center"/>
              <w:rPr>
                <w:rFonts w:ascii="Times New Roman;serif" w:hAnsi="Times New Roman;serif"/>
                <w:b w:val="false"/>
                <w:sz w:val="20"/>
              </w:rPr>
            </w:pPr>
            <w:r>
              <w:rPr>
                <w:rFonts w:ascii="Times New Roman;serif" w:hAnsi="Times New Roman;serif"/>
                <w:b w:val="false"/>
                <w:sz w:val="20"/>
              </w:rPr>
              <w:t>10.1</w:t>
            </w:r>
          </w:p>
        </w:tc>
        <w:tc>
          <w:tcPr>
            <w:tcW w:w="9058"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firstLine="72"/>
              <w:jc w:val="left"/>
              <w:rPr/>
            </w:pPr>
            <w:hyperlink w:anchor="tnya-ex10_1.htm">
              <w:r>
                <w:rPr>
                  <w:rStyle w:val="InternetLink"/>
                  <w:rFonts w:ascii="Times New Roman;serif" w:hAnsi="Times New Roman;serif"/>
                  <w:b w:val="false"/>
                  <w:sz w:val="20"/>
                  <w:u w:val="single"/>
                </w:rPr>
                <w:t>Executive Change in Control and Severance Plan, as amended</w:t>
              </w:r>
            </w:hyperlink>
          </w:p>
        </w:tc>
      </w:tr>
      <w:tr>
        <w:trPr/>
        <w:tc>
          <w:tcPr>
            <w:tcW w:w="10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72" w:right="0" w:hanging="0"/>
              <w:jc w:val="center"/>
              <w:rPr>
                <w:rFonts w:ascii="Times New Roman;serif" w:hAnsi="Times New Roman;serif"/>
                <w:b w:val="false"/>
                <w:sz w:val="20"/>
              </w:rPr>
            </w:pPr>
            <w:r>
              <w:rPr>
                <w:rFonts w:ascii="Times New Roman;serif" w:hAnsi="Times New Roman;serif"/>
                <w:b w:val="false"/>
                <w:sz w:val="20"/>
              </w:rPr>
              <w:t>104</w:t>
            </w:r>
          </w:p>
        </w:tc>
        <w:tc>
          <w:tcPr>
            <w:tcW w:w="9058"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36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left"/>
        <w:rPr/>
      </w:pPr>
      <w:r>
        <w:rPr/>
        <w:t> </w:t>
      </w:r>
    </w:p>
    <w:tbl>
      <w:tblPr>
        <w:tblW w:w="5560" w:type="dxa"/>
        <w:jc w:val="left"/>
        <w:tblInd w:w="0" w:type="dxa"/>
        <w:tblLayout w:type="fixed"/>
        <w:tblCellMar>
          <w:top w:w="28" w:type="dxa"/>
          <w:left w:w="28" w:type="dxa"/>
          <w:bottom w:w="28" w:type="dxa"/>
          <w:right w:w="28" w:type="dxa"/>
        </w:tblCellMar>
      </w:tblPr>
      <w:tblGrid>
        <w:gridCol w:w="1741"/>
        <w:gridCol w:w="146"/>
        <w:gridCol w:w="406"/>
        <w:gridCol w:w="146"/>
        <w:gridCol w:w="312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3" w:type="dxa"/>
            <w:gridSpan w:val="3"/>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TENAYA THERAPEUTICS, INC.</w:t>
            </w:r>
          </w:p>
        </w:tc>
      </w:tr>
      <w:tr>
        <w:trPr/>
        <w:tc>
          <w:tcPr>
            <w:tcW w:w="1741" w:type="dxa"/>
            <w:tcBorders/>
            <w:vAlign w:val="center"/>
          </w:tcPr>
          <w:p>
            <w:pPr>
              <w:pStyle w:val="TableContents"/>
              <w:bidi w:val="0"/>
              <w:spacing w:before="0" w:after="20"/>
              <w:ind w:left="0" w:right="0" w:hanging="0"/>
              <w:jc w:val="left"/>
              <w:rPr/>
            </w:pPr>
            <w:r>
              <w:rPr/>
              <w:t> </w:t>
            </w:r>
          </w:p>
        </w:tc>
        <w:tc>
          <w:tcPr>
            <w:tcW w:w="146" w:type="dxa"/>
            <w:tcBorders/>
            <w:vAlign w:val="center"/>
          </w:tcPr>
          <w:p>
            <w:pPr>
              <w:pStyle w:val="TableContents"/>
              <w:bidi w:val="0"/>
              <w:spacing w:before="0" w:after="20"/>
              <w:ind w:left="0" w:right="0" w:hanging="0"/>
              <w:jc w:val="left"/>
              <w:rPr/>
            </w:pPr>
            <w:r>
              <w:rPr/>
              <w:t> </w:t>
            </w:r>
          </w:p>
        </w:tc>
        <w:tc>
          <w:tcPr>
            <w:tcW w:w="406"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0"/>
              <w:ind w:left="0" w:right="0" w:hanging="0"/>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Leone D. Patterson, M.B.A.</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Leone D. Patterson, M.B.A.</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and Business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June 12,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 w:name="tnya-ex3_1.htm"/>
      <w:bookmarkStart w:id="3" w:name="kstnyaex3_1"/>
      <w:bookmarkEnd w:id="2"/>
      <w:bookmarkEnd w:id="3"/>
      <w:r>
        <w:rPr>
          <w:rFonts w:ascii="Times New Roman;serif" w:hAnsi="Times New Roman;serif"/>
          <w:b/>
          <w:sz w:val="24"/>
        </w:rPr>
        <w:t>Exhibit 3.1</w:t>
      </w:r>
      <w:r>
        <w:br w:type="page"/>
      </w:r>
    </w:p>
    <w:p>
      <w:pPr>
        <w:pStyle w:val="TextBody"/>
        <w:bidi w:val="0"/>
        <w:spacing w:before="120" w:after="0"/>
        <w:jc w:val="right"/>
        <w:rPr/>
      </w:pPr>
      <w:r>
        <w:rPr/>
        <w:t> </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Certificate of Amendment to</w:t>
      </w:r>
    </w:p>
    <w:p>
      <w:pPr>
        <w:pStyle w:val="TextBody"/>
        <w:bidi w:val="0"/>
        <w:spacing w:before="120" w:after="0"/>
        <w:jc w:val="center"/>
        <w:rPr>
          <w:rFonts w:ascii="Times New Roman" w:hAnsi="Times New Roman"/>
          <w:sz w:val="20"/>
        </w:rPr>
      </w:pPr>
      <w:r>
        <w:rPr>
          <w:rFonts w:ascii="Times New Roman;serif" w:hAnsi="Times New Roman;serif"/>
          <w:b/>
          <w:caps/>
          <w:sz w:val="22"/>
        </w:rPr>
        <w:t>THE Amended and Restated</w:t>
      </w:r>
      <w:r>
        <w:rPr>
          <w:rFonts w:ascii="Times New Roman" w:hAnsi="Times New Roman"/>
          <w:caps/>
          <w:sz w:val="20"/>
        </w:rPr>
        <w:t xml:space="preserve"> </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Certificate of Incorporation</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of</w:t>
      </w:r>
    </w:p>
    <w:p>
      <w:pPr>
        <w:pStyle w:val="TextBody"/>
        <w:bidi w:val="0"/>
        <w:spacing w:before="120" w:after="0"/>
        <w:jc w:val="center"/>
        <w:rPr>
          <w:rFonts w:ascii="Times New Roman;serif" w:hAnsi="Times New Roman;serif"/>
          <w:b/>
          <w:caps/>
          <w:sz w:val="22"/>
        </w:rPr>
      </w:pPr>
      <w:r>
        <w:rPr>
          <w:rFonts w:ascii="Times New Roman;serif" w:hAnsi="Times New Roman;serif"/>
          <w:b/>
          <w:caps/>
          <w:sz w:val="22"/>
        </w:rPr>
        <w:t>TENAYA THERAPEUTICS, Inc.</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Tenaya Therapeutics, Inc., a corporation organized and existing under the laws of the State of Delaware (the “</w:t>
      </w:r>
      <w:r>
        <w:rPr>
          <w:rFonts w:ascii="Times New Roman;serif" w:hAnsi="Times New Roman;serif"/>
          <w:b/>
          <w:i/>
          <w:sz w:val="22"/>
        </w:rPr>
        <w:t>Corporation</w:t>
      </w:r>
      <w:r>
        <w:rPr>
          <w:rFonts w:ascii="Times New Roman" w:hAnsi="Times New Roman"/>
          <w:sz w:val="20"/>
        </w:rPr>
        <w:t>”</w:t>
      </w:r>
      <w:r>
        <w:rPr>
          <w:rFonts w:ascii="Times New Roman;serif" w:hAnsi="Times New Roman;serif"/>
          <w:b w:val="false"/>
          <w:sz w:val="22"/>
        </w:rPr>
        <w:t>), hereby certifies as follows:</w:t>
      </w:r>
    </w:p>
    <w:p>
      <w:pPr>
        <w:pStyle w:val="TextBody"/>
        <w:bidi w:val="0"/>
        <w:spacing w:before="240" w:after="0"/>
        <w:jc w:val="both"/>
        <w:rPr>
          <w:rFonts w:ascii="Times New Roman" w:hAnsi="Times New Roman"/>
          <w:b w:val="false"/>
          <w:sz w:val="22"/>
        </w:rPr>
      </w:pPr>
      <w:r>
        <w:rPr>
          <w:rFonts w:ascii="Times New Roman" w:hAnsi="Times New Roman"/>
          <w:b w:val="false"/>
          <w:sz w:val="22"/>
        </w:rPr>
        <w:t>1.</w:t>
      </w:r>
    </w:p>
    <w:p>
      <w:pPr>
        <w:pStyle w:val="TextBody"/>
        <w:bidi w:val="0"/>
        <w:spacing w:before="240" w:after="0"/>
        <w:jc w:val="both"/>
        <w:rPr/>
      </w:pPr>
      <w:r>
        <w:rPr>
          <w:rFonts w:ascii="Times New Roman;serif" w:hAnsi="Times New Roman;serif"/>
          <w:b w:val="false"/>
          <w:sz w:val="22"/>
        </w:rPr>
        <w:t>The name of the Corporation is Tenaya Therapeutics, Inc. The original Certificate of Incorporation of the Corporation was filed with the Secretary of State of the State (“</w:t>
      </w:r>
      <w:r>
        <w:rPr>
          <w:rFonts w:ascii="Times New Roman;serif" w:hAnsi="Times New Roman;serif"/>
          <w:b/>
          <w:i/>
          <w:sz w:val="22"/>
        </w:rPr>
        <w:t>SOS</w:t>
      </w:r>
      <w:r>
        <w:rPr/>
        <w:t>”</w:t>
      </w:r>
      <w:r>
        <w:rPr>
          <w:rFonts w:ascii="Times New Roman;serif" w:hAnsi="Times New Roman;serif"/>
          <w:b w:val="false"/>
          <w:sz w:val="22"/>
        </w:rPr>
        <w:t>) of Delaware on August 18, 2016. The Corporation’s most recent Amended and Restated Certificate of Incorporation was filed with the SOS on August 3, 2021 (the “</w:t>
      </w:r>
      <w:r>
        <w:rPr>
          <w:rFonts w:ascii="Times New Roman;serif" w:hAnsi="Times New Roman;serif"/>
          <w:b/>
          <w:i/>
          <w:sz w:val="22"/>
        </w:rPr>
        <w:t>Restated Certificate</w:t>
      </w:r>
      <w:r>
        <w:rPr/>
        <w:t>”</w:t>
      </w:r>
      <w:r>
        <w:rPr>
          <w:rFonts w:ascii="Times New Roman;serif" w:hAnsi="Times New Roman;serif"/>
          <w:b w:val="false"/>
          <w:sz w:val="22"/>
        </w:rPr>
        <w:t xml:space="preserve">). </w:t>
      </w:r>
    </w:p>
    <w:p>
      <w:pPr>
        <w:pStyle w:val="TextBody"/>
        <w:bidi w:val="0"/>
        <w:spacing w:before="240" w:after="0"/>
        <w:jc w:val="both"/>
        <w:rPr>
          <w:rFonts w:ascii="Times New Roman" w:hAnsi="Times New Roman"/>
          <w:b w:val="false"/>
          <w:sz w:val="22"/>
        </w:rPr>
      </w:pPr>
      <w:r>
        <w:rPr>
          <w:rFonts w:ascii="Times New Roman" w:hAnsi="Times New Roman"/>
          <w:b w:val="false"/>
          <w:sz w:val="22"/>
        </w:rPr>
        <w:t>2.</w:t>
      </w:r>
    </w:p>
    <w:p>
      <w:pPr>
        <w:pStyle w:val="TextBody"/>
        <w:bidi w:val="0"/>
        <w:spacing w:before="240" w:after="0"/>
        <w:jc w:val="both"/>
        <w:rPr/>
      </w:pPr>
      <w:r>
        <w:rPr>
          <w:rFonts w:ascii="Times New Roman;serif" w:hAnsi="Times New Roman;serif"/>
          <w:b w:val="false"/>
          <w:sz w:val="22"/>
        </w:rPr>
        <w:t>This Certificate of Amendment to the Restated Certificate (the “</w:t>
      </w:r>
      <w:r>
        <w:rPr>
          <w:rFonts w:ascii="Times New Roman;serif" w:hAnsi="Times New Roman;serif"/>
          <w:b/>
          <w:i/>
          <w:sz w:val="22"/>
        </w:rPr>
        <w:t>Certificate of Amendment</w:t>
      </w:r>
      <w:r>
        <w:rPr/>
        <w:t>”</w:t>
      </w:r>
      <w:r>
        <w:rPr>
          <w:rFonts w:ascii="Times New Roman;serif" w:hAnsi="Times New Roman;serif"/>
          <w:b w:val="false"/>
          <w:sz w:val="22"/>
        </w:rPr>
        <w:t>) has been duly adopted in accordance with Section 242 of the Delaware General Corporation Law (the “</w:t>
      </w:r>
      <w:r>
        <w:rPr>
          <w:rFonts w:ascii="Times New Roman;serif" w:hAnsi="Times New Roman;serif"/>
          <w:b/>
          <w:i/>
          <w:sz w:val="22"/>
        </w:rPr>
        <w:t>DGCL</w:t>
      </w:r>
      <w:r>
        <w:rPr/>
        <w:t>”</w:t>
      </w:r>
      <w:r>
        <w:rPr>
          <w:rFonts w:ascii="Times New Roman;serif" w:hAnsi="Times New Roman;serif"/>
          <w:b w:val="false"/>
          <w:sz w:val="22"/>
        </w:rPr>
        <w:t>) and amends the provisions of the Restated Certificate.</w:t>
      </w:r>
    </w:p>
    <w:p>
      <w:pPr>
        <w:pStyle w:val="TextBody"/>
        <w:bidi w:val="0"/>
        <w:spacing w:before="240" w:after="0"/>
        <w:jc w:val="both"/>
        <w:rPr>
          <w:rFonts w:ascii="Times New Roman" w:hAnsi="Times New Roman"/>
          <w:b w:val="false"/>
          <w:sz w:val="22"/>
        </w:rPr>
      </w:pPr>
      <w:r>
        <w:rPr>
          <w:rFonts w:ascii="Times New Roman" w:hAnsi="Times New Roman"/>
          <w:b w:val="false"/>
          <w:sz w:val="22"/>
        </w:rPr>
        <w:t>3.</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terms and provisions of this Certificate of Amendment have been duly approved by written consent of the required number of shares of outstanding stock of the Corporation pursuant to Subsection 228(a) of the DGCL and written notice pursuant to Subsection 228(e) of the DGCL has been or will be given to those stockholders whose written consent has not been obtained.</w:t>
      </w:r>
    </w:p>
    <w:p>
      <w:pPr>
        <w:pStyle w:val="TextBody"/>
        <w:bidi w:val="0"/>
        <w:spacing w:before="240" w:after="0"/>
        <w:jc w:val="both"/>
        <w:rPr>
          <w:rFonts w:ascii="Times New Roman" w:hAnsi="Times New Roman"/>
          <w:b w:val="false"/>
          <w:sz w:val="22"/>
        </w:rPr>
      </w:pPr>
      <w:r>
        <w:rPr>
          <w:rFonts w:ascii="Times New Roman" w:hAnsi="Times New Roman"/>
          <w:b w:val="false"/>
          <w:sz w:val="22"/>
        </w:rPr>
        <w:t>4.</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Section 1 of ARTICLE IX of the Restated Certificate is hereby amended and restated in its entirety to read as follows:</w:t>
      </w:r>
    </w:p>
    <w:p>
      <w:pPr>
        <w:pStyle w:val="TextBody"/>
        <w:bidi w:val="0"/>
        <w:spacing w:before="240" w:after="0"/>
        <w:jc w:val="both"/>
        <w:rPr/>
      </w:pPr>
      <w:r>
        <w:rPr/>
        <w:t>“</w:t>
      </w:r>
      <w:r>
        <w:rPr>
          <w:rFonts w:ascii="Times New Roman;serif" w:hAnsi="Times New Roman;serif"/>
          <w:b w:val="false"/>
          <w:sz w:val="22"/>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 * *</w:t>
      </w:r>
    </w:p>
    <w:p>
      <w:pPr>
        <w:pStyle w:val="TextBody"/>
        <w:bidi w:val="0"/>
        <w:spacing w:before="240" w:after="0"/>
        <w:jc w:val="center"/>
        <w:rPr/>
      </w:pPr>
      <w:r>
        <w:rPr/>
        <w:t>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smallCaps/>
          <w:sz w:val="22"/>
        </w:rPr>
        <w:t xml:space="preserve">In Witness Whereof, </w:t>
      </w:r>
      <w:r>
        <w:rPr>
          <w:rFonts w:ascii="Times New Roman;serif" w:hAnsi="Times New Roman;serif"/>
          <w:b w:val="false"/>
          <w:sz w:val="24"/>
        </w:rPr>
        <w:t>Tenaya Therapeutics, Inc.</w:t>
      </w:r>
      <w:r>
        <w:rPr>
          <w:rFonts w:ascii="Times New Roman" w:hAnsi="Times New Roman"/>
          <w:sz w:val="20"/>
        </w:rPr>
        <w:t xml:space="preserve"> </w:t>
      </w:r>
      <w:r>
        <w:rPr>
          <w:rFonts w:ascii="Times New Roman;serif" w:hAnsi="Times New Roman;serif"/>
          <w:b w:val="false"/>
          <w:sz w:val="22"/>
        </w:rPr>
        <w:t>has caused this Certificate of Amendment to be signed by its Chief Executive Officer on this 8</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June, 2023.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before="240" w:after="0"/>
        <w:jc w:val="left"/>
        <w:rPr>
          <w:rFonts w:ascii="Times New Roman;serif" w:hAnsi="Times New Roman;serif"/>
          <w:b/>
          <w:smallCaps/>
          <w:sz w:val="22"/>
        </w:rPr>
      </w:pPr>
      <w:r>
        <w:rPr>
          <w:rFonts w:ascii="Times New Roman;serif" w:hAnsi="Times New Roman;serif"/>
          <w:b/>
          <w:smallCaps/>
          <w:sz w:val="22"/>
        </w:rPr>
        <w:t>Tenaya Therapeutics, Inc.</w:t>
      </w:r>
    </w:p>
    <w:p>
      <w:pPr>
        <w:pStyle w:val="TextBody"/>
        <w:bidi w:val="0"/>
        <w:spacing w:before="24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Faraz Ali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Faraz Ali</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4" w:name="tnya-ex10_1.htm"/>
      <w:bookmarkStart w:id="5" w:name="kstnyaex10_1"/>
      <w:bookmarkEnd w:id="4"/>
      <w:bookmarkEnd w:id="5"/>
      <w:r>
        <w:rPr>
          <w:rFonts w:ascii="Times New Roman;serif" w:hAnsi="Times New Roman;serif"/>
          <w:b/>
          <w:sz w:val="24"/>
        </w:rPr>
        <w:t>Exhibit 10.1</w:t>
      </w:r>
      <w:r>
        <w:rPr>
          <w:rFonts w:ascii="Times New Roman" w:hAnsi="Times New Roman"/>
          <w:sz w:val="20"/>
        </w:rPr>
        <w:t xml:space="preserve"> </w:t>
      </w:r>
      <w:r>
        <w:br w:type="page"/>
      </w:r>
    </w:p>
    <w:p>
      <w:pPr>
        <w:pStyle w:val="TextBody"/>
        <w:bidi w:val="0"/>
        <w:spacing w:before="240" w:after="0"/>
        <w:jc w:val="right"/>
        <w:rPr/>
      </w:pPr>
      <w:r>
        <w:rPr/>
        <w:t> </w:t>
      </w:r>
    </w:p>
    <w:p>
      <w:pPr>
        <w:pStyle w:val="TextBody"/>
        <w:bidi w:val="0"/>
        <w:spacing w:before="240" w:after="0"/>
        <w:jc w:val="center"/>
        <w:rPr>
          <w:rFonts w:ascii="Times New Roman;serif" w:hAnsi="Times New Roman;serif"/>
          <w:b/>
          <w:sz w:val="24"/>
        </w:rPr>
      </w:pPr>
      <w:r>
        <w:rPr>
          <w:rFonts w:ascii="Times New Roman;serif" w:hAnsi="Times New Roman;serif"/>
          <w:b/>
          <w:sz w:val="24"/>
        </w:rPr>
        <w:t>TENAYA THERAPEUTICS, INC.</w:t>
      </w:r>
    </w:p>
    <w:p>
      <w:pPr>
        <w:pStyle w:val="TextBody"/>
        <w:bidi w:val="0"/>
        <w:spacing w:before="240" w:after="0"/>
        <w:jc w:val="center"/>
        <w:rPr>
          <w:rFonts w:ascii="Times New Roman;serif" w:hAnsi="Times New Roman;serif"/>
          <w:b/>
          <w:sz w:val="24"/>
        </w:rPr>
      </w:pPr>
      <w:r>
        <w:rPr>
          <w:rFonts w:ascii="Times New Roman;serif" w:hAnsi="Times New Roman;serif"/>
          <w:b/>
          <w:sz w:val="24"/>
        </w:rPr>
        <w:t>EXECUTIVE CHANGE IN CONTROL AND SEVERANCE PLAN</w:t>
      </w:r>
    </w:p>
    <w:p>
      <w:pPr>
        <w:pStyle w:val="TextBody"/>
        <w:bidi w:val="0"/>
        <w:spacing w:before="0" w:after="0"/>
        <w:jc w:val="center"/>
        <w:rPr>
          <w:rFonts w:ascii="Times New Roman;serif" w:hAnsi="Times New Roman;serif"/>
          <w:b/>
          <w:sz w:val="24"/>
        </w:rPr>
      </w:pPr>
      <w:r>
        <w:rPr>
          <w:rFonts w:ascii="Times New Roman;serif" w:hAnsi="Times New Roman;serif"/>
          <w:b/>
          <w:sz w:val="24"/>
        </w:rPr>
        <w:t>AND SUMMARY PLAN DESCRIPTION</w:t>
      </w:r>
    </w:p>
    <w:p>
      <w:pPr>
        <w:pStyle w:val="TextBody"/>
        <w:bidi w:val="0"/>
        <w:spacing w:before="480" w:after="0"/>
        <w:jc w:val="both"/>
        <w:rPr>
          <w:rFonts w:ascii="Times New Roman" w:hAnsi="Times New Roman"/>
          <w:b w:val="false"/>
          <w:sz w:val="24"/>
        </w:rPr>
      </w:pPr>
      <w:r>
        <w:rPr>
          <w:rFonts w:ascii="Times New Roman" w:hAnsi="Times New Roman"/>
          <w:b w:val="false"/>
          <w:sz w:val="24"/>
        </w:rPr>
        <w:t>1.</w:t>
      </w:r>
    </w:p>
    <w:p>
      <w:pPr>
        <w:pStyle w:val="TextBody"/>
        <w:bidi w:val="0"/>
        <w:spacing w:before="480" w:after="0"/>
        <w:jc w:val="both"/>
        <w:rPr/>
      </w:pPr>
      <w:r>
        <w:rPr>
          <w:rFonts w:ascii="Times New Roman;serif" w:hAnsi="Times New Roman;serif"/>
          <w:b w:val="false"/>
          <w:sz w:val="24"/>
          <w:u w:val="single"/>
        </w:rPr>
        <w:t>Introduction</w:t>
      </w:r>
      <w:r>
        <w:rPr>
          <w:rFonts w:ascii="Times New Roman;serif" w:hAnsi="Times New Roman;serif"/>
          <w:b w:val="false"/>
          <w:sz w:val="24"/>
        </w:rPr>
        <w:t>. The purpose of this Tenaya Therapeutics, Inc. Executive Change in Control and Severance Plan (the “</w:t>
      </w:r>
      <w:r>
        <w:rPr>
          <w:rFonts w:ascii="Times New Roman;serif" w:hAnsi="Times New Roman;serif"/>
          <w:b w:val="false"/>
          <w:sz w:val="24"/>
          <w:u w:val="single"/>
        </w:rPr>
        <w:t>Plan</w:t>
      </w:r>
      <w:r>
        <w:rPr/>
        <w:t>”</w:t>
      </w:r>
      <w:r>
        <w:rPr>
          <w:rFonts w:ascii="Times New Roman;serif" w:hAnsi="Times New Roman;serif"/>
          <w:b w:val="false"/>
          <w:sz w:val="24"/>
        </w:rPr>
        <w:t>) is to provide assurances of specified benefits to certain employees of the Company whose employment could be being involuntarily terminated other than for death, Disability, or Cause or voluntarily terminated for Good Reason under the circumstances described in the Plan. This Plan is an “employee welfare benefit plan,” as defined in Section 3(1) of ERISA. This document is both the written instrument under which the Plan is maintained and the required summary plan description for the Plan.</w:t>
      </w:r>
    </w:p>
    <w:p>
      <w:pPr>
        <w:pStyle w:val="TextBody"/>
        <w:bidi w:val="0"/>
        <w:spacing w:before="240" w:after="0"/>
        <w:jc w:val="both"/>
        <w:rPr>
          <w:rFonts w:ascii="Times New Roman" w:hAnsi="Times New Roman"/>
          <w:b w:val="false"/>
          <w:sz w:val="24"/>
        </w:rPr>
      </w:pPr>
      <w:r>
        <w:rPr>
          <w:rFonts w:ascii="Times New Roman" w:hAnsi="Times New Roman"/>
          <w:b w:val="false"/>
          <w:sz w:val="24"/>
        </w:rPr>
        <w:t>2.</w:t>
      </w:r>
    </w:p>
    <w:p>
      <w:pPr>
        <w:pStyle w:val="TextBody"/>
        <w:bidi w:val="0"/>
        <w:spacing w:before="240" w:after="0"/>
        <w:jc w:val="both"/>
        <w:rPr/>
      </w:pPr>
      <w:r>
        <w:rPr>
          <w:rFonts w:ascii="Times New Roman;serif" w:hAnsi="Times New Roman;serif"/>
          <w:b w:val="false"/>
          <w:sz w:val="24"/>
          <w:u w:val="single"/>
        </w:rPr>
        <w:t>Important Terms</w:t>
      </w:r>
      <w:r>
        <w:rPr>
          <w:rFonts w:ascii="Times New Roman;serif" w:hAnsi="Times New Roman;serif"/>
          <w:b w:val="false"/>
          <w:sz w:val="24"/>
        </w:rPr>
        <w:t>. The following words and phrases, when the initial letter of the term is capitalized, will have the meanings set forth in this Section 2, unless a different meaning is plainly required by the context:</w:t>
      </w:r>
    </w:p>
    <w:p>
      <w:pPr>
        <w:pStyle w:val="TextBody"/>
        <w:bidi w:val="0"/>
        <w:spacing w:before="240" w:after="0"/>
        <w:jc w:val="both"/>
        <w:rPr>
          <w:rFonts w:ascii="Times New Roman" w:hAnsi="Times New Roman"/>
          <w:b w:val="false"/>
          <w:sz w:val="24"/>
        </w:rPr>
      </w:pPr>
      <w:r>
        <w:rPr>
          <w:rFonts w:ascii="Times New Roman" w:hAnsi="Times New Roman"/>
          <w:b w:val="false"/>
          <w:sz w:val="24"/>
        </w:rPr>
        <w:t>2.1</w:t>
      </w:r>
    </w:p>
    <w:p>
      <w:pPr>
        <w:pStyle w:val="TextBody"/>
        <w:bidi w:val="0"/>
        <w:spacing w:before="240" w:after="0"/>
        <w:jc w:val="both"/>
        <w:rPr/>
      </w:pPr>
      <w:r>
        <w:rPr/>
        <w:t>“</w:t>
      </w:r>
      <w:r>
        <w:rPr>
          <w:rFonts w:ascii="Times New Roman;serif" w:hAnsi="Times New Roman;serif"/>
          <w:b w:val="false"/>
          <w:sz w:val="24"/>
          <w:u w:val="single"/>
        </w:rPr>
        <w:t>Administrator</w:t>
      </w:r>
      <w:r>
        <w:rPr/>
        <w:t xml:space="preserve">” </w:t>
      </w:r>
      <w:r>
        <w:rPr>
          <w:rFonts w:ascii="Times New Roman;serif" w:hAnsi="Times New Roman;serif"/>
          <w:b w:val="false"/>
          <w:sz w:val="24"/>
        </w:rPr>
        <w:t>means the Company, acting through the Compensation Committee or another duly constituted committee of members of the Board, or any person to whom the Administrator has delegated any authority or responsibility with respect to the Plan pursuant to Section 11, but only to the extent of such delegation.</w:t>
      </w:r>
    </w:p>
    <w:p>
      <w:pPr>
        <w:pStyle w:val="TextBody"/>
        <w:bidi w:val="0"/>
        <w:spacing w:before="240" w:after="0"/>
        <w:jc w:val="both"/>
        <w:rPr>
          <w:rFonts w:ascii="Times New Roman" w:hAnsi="Times New Roman"/>
          <w:b w:val="false"/>
          <w:sz w:val="24"/>
        </w:rPr>
      </w:pPr>
      <w:r>
        <w:rPr>
          <w:rFonts w:ascii="Times New Roman" w:hAnsi="Times New Roman"/>
          <w:b w:val="false"/>
          <w:sz w:val="24"/>
        </w:rPr>
        <w:t>2.2</w:t>
      </w:r>
    </w:p>
    <w:p>
      <w:pPr>
        <w:pStyle w:val="TextBody"/>
        <w:bidi w:val="0"/>
        <w:spacing w:before="240" w:after="0"/>
        <w:jc w:val="both"/>
        <w:rPr/>
      </w:pPr>
      <w:r>
        <w:rPr/>
        <w:t>“</w:t>
      </w:r>
      <w:r>
        <w:rPr>
          <w:rFonts w:ascii="Times New Roman;serif" w:hAnsi="Times New Roman;serif"/>
          <w:b w:val="false"/>
          <w:sz w:val="24"/>
          <w:u w:val="single"/>
        </w:rPr>
        <w:t>Board</w:t>
      </w:r>
      <w:r>
        <w:rPr/>
        <w:t xml:space="preserve">” </w:t>
      </w:r>
      <w:r>
        <w:rPr>
          <w:rFonts w:ascii="Times New Roman;serif" w:hAnsi="Times New Roman;serif"/>
          <w:b w:val="false"/>
          <w:sz w:val="24"/>
        </w:rPr>
        <w:t>means the Board of Directors of the Company.</w:t>
      </w:r>
    </w:p>
    <w:p>
      <w:pPr>
        <w:pStyle w:val="TextBody"/>
        <w:bidi w:val="0"/>
        <w:spacing w:before="240" w:after="0"/>
        <w:jc w:val="both"/>
        <w:rPr>
          <w:rFonts w:ascii="Times New Roman" w:hAnsi="Times New Roman"/>
          <w:b w:val="false"/>
          <w:sz w:val="24"/>
        </w:rPr>
      </w:pPr>
      <w:r>
        <w:rPr>
          <w:rFonts w:ascii="Times New Roman" w:hAnsi="Times New Roman"/>
          <w:b w:val="false"/>
          <w:sz w:val="24"/>
        </w:rPr>
        <w:t>2.3</w:t>
      </w:r>
    </w:p>
    <w:p>
      <w:pPr>
        <w:pStyle w:val="TextBody"/>
        <w:bidi w:val="0"/>
        <w:spacing w:before="240" w:after="0"/>
        <w:jc w:val="both"/>
        <w:rPr/>
      </w:pPr>
      <w:r>
        <w:rPr/>
        <w:t>“</w:t>
      </w:r>
      <w:r>
        <w:rPr>
          <w:rFonts w:ascii="Times New Roman;serif" w:hAnsi="Times New Roman;serif"/>
          <w:b w:val="false"/>
          <w:sz w:val="24"/>
          <w:u w:val="single"/>
        </w:rPr>
        <w:t>Cause</w:t>
      </w:r>
      <w:r>
        <w:rPr/>
        <w:t xml:space="preserve">” </w:t>
      </w:r>
      <w:r>
        <w:rPr>
          <w:rFonts w:ascii="Times New Roman;serif" w:hAnsi="Times New Roman;serif"/>
          <w:b w:val="false"/>
          <w:sz w:val="24"/>
        </w:rPr>
        <w:t>has the meaning set forth in the Participant’s Participation Agreement or, if no definition is set forth therein, means that one or more of the following has occurred: (i) Participant’s commission of fraud, theft, embezzlement or other unlawful act against the Company or involving its property or assets or otherwise; (ii) Participant’s indictment, conviction or nolo contendere or guilty plea with respect to any felony or crime of moral turpitude; (iii) Participant’s willful and continued failure or refusal to perform material, lawful duties required of Participant as an employee of the Company; (iv) Participant’s material breach of this agreement or any proprietary information and inventions agreement; (v) Participant’s material violation of Company policies or procedures as in effect from time to time; and (vi) Participant’s gross negligence, willful misconduct or intentional misrepresentation. Notwithstanding the foregoing, Cause shall only exist in the case of clauses (iii) through (vi) after; (x) the Administrator delivers written notice to Participant of the Administrator’s determination that Cause exists; (y) such notice sets forth in reasonable detail such facts and circumstances; and (z) Participant has failed to fully correct any of the events listed above, if such events are reasonably capable of being fully corrected, within 10 days following delivery to Participant of the Administrator’s written notice of its determination that Cause exists.</w:t>
      </w:r>
    </w:p>
    <w:p>
      <w:pPr>
        <w:pStyle w:val="TextBody"/>
        <w:bidi w:val="0"/>
        <w:spacing w:before="240" w:after="0"/>
        <w:jc w:val="both"/>
        <w:rPr>
          <w:rFonts w:ascii="Times New Roman" w:hAnsi="Times New Roman"/>
          <w:b w:val="false"/>
          <w:sz w:val="24"/>
        </w:rPr>
      </w:pPr>
      <w:r>
        <w:rPr>
          <w:rFonts w:ascii="Times New Roman" w:hAnsi="Times New Roman"/>
          <w:b w:val="false"/>
          <w:sz w:val="24"/>
        </w:rPr>
        <w:t>2.4</w:t>
      </w:r>
    </w:p>
    <w:p>
      <w:pPr>
        <w:pStyle w:val="TextBody"/>
        <w:bidi w:val="0"/>
        <w:spacing w:before="240" w:after="283"/>
        <w:jc w:val="both"/>
        <w:rPr/>
      </w:pPr>
      <w:r>
        <w:rPr/>
        <w:t>“</w:t>
      </w:r>
      <w:r>
        <w:rPr>
          <w:rFonts w:ascii="Times New Roman;serif" w:hAnsi="Times New Roman;serif"/>
          <w:b w:val="false"/>
          <w:sz w:val="24"/>
          <w:u w:val="single"/>
        </w:rPr>
        <w:t>Change in Control</w:t>
      </w:r>
      <w:r>
        <w:rPr/>
        <w:t xml:space="preserve">” </w:t>
      </w:r>
      <w:r>
        <w:rPr>
          <w:rFonts w:ascii="Times New Roman;serif" w:hAnsi="Times New Roman;serif"/>
          <w:b w:val="false"/>
          <w:sz w:val="24"/>
        </w:rPr>
        <w:t>means the occurrence of any of the following events: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 w:hAnsi="Times New Roman"/>
          <w:b w:val="false"/>
          <w:sz w:val="24"/>
        </w:rPr>
      </w:pPr>
      <w:r>
        <w:rPr>
          <w:rFonts w:ascii="Times New Roman" w:hAnsi="Times New Roman"/>
          <w:b w:val="false"/>
          <w:sz w:val="24"/>
        </w:rPr>
        <w:t>(a)</w:t>
      </w:r>
    </w:p>
    <w:p>
      <w:pPr>
        <w:pStyle w:val="TextBody"/>
        <w:bidi w:val="0"/>
        <w:spacing w:before="240" w:after="0"/>
        <w:jc w:val="both"/>
        <w:rPr/>
      </w:pPr>
      <w:r>
        <w:rPr>
          <w:rFonts w:ascii="Times New Roman;serif" w:hAnsi="Times New Roman;serif"/>
          <w:b w:val="false"/>
          <w:sz w:val="24"/>
          <w:u w:val="single"/>
        </w:rPr>
        <w:t>Change in Ownership of the Company</w:t>
      </w:r>
      <w:r>
        <w:rPr>
          <w:rFonts w:ascii="Times New Roman;serif" w:hAnsi="Times New Roman;serif"/>
          <w:b w:val="false"/>
          <w:sz w:val="24"/>
        </w:rPr>
        <w:t>. A change in the ownership of the Company</w:t>
      </w:r>
      <w:r>
        <w:rPr/>
        <w:t xml:space="preserve"> </w:t>
      </w:r>
      <w:r>
        <w:rPr>
          <w:rFonts w:ascii="Times New Roman;serif" w:hAnsi="Times New Roman;serif"/>
          <w:b w:val="false"/>
          <w:sz w:val="24"/>
        </w:rPr>
        <w:t>which occurs on the date that any one person, or more than one person acting as a group (“</w:t>
      </w:r>
      <w:r>
        <w:rPr>
          <w:rFonts w:ascii="Times New Roman;serif" w:hAnsi="Times New Roman;serif"/>
          <w:b w:val="false"/>
          <w:sz w:val="24"/>
          <w:u w:val="single"/>
        </w:rPr>
        <w:t>Person</w:t>
      </w:r>
      <w:r>
        <w:rPr/>
        <w:t>”</w:t>
      </w:r>
      <w:r>
        <w:rPr>
          <w:rFonts w:ascii="Times New Roman;serif" w:hAnsi="Times New Roman;serif"/>
          <w:b w:val="false"/>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0"/>
        <w:jc w:val="both"/>
        <w:rPr>
          <w:rFonts w:ascii="Times New Roman" w:hAnsi="Times New Roman"/>
          <w:b w:val="false"/>
          <w:sz w:val="24"/>
        </w:rPr>
      </w:pPr>
      <w:r>
        <w:rPr>
          <w:rFonts w:ascii="Times New Roman" w:hAnsi="Times New Roman"/>
          <w:b w:val="false"/>
          <w:sz w:val="24"/>
        </w:rPr>
        <w:t>(b)</w:t>
      </w:r>
    </w:p>
    <w:p>
      <w:pPr>
        <w:pStyle w:val="TextBody"/>
        <w:bidi w:val="0"/>
        <w:spacing w:before="240" w:after="0"/>
        <w:jc w:val="both"/>
        <w:rPr/>
      </w:pPr>
      <w:r>
        <w:rPr>
          <w:rFonts w:ascii="Times New Roman;serif" w:hAnsi="Times New Roman;serif"/>
          <w:b w:val="false"/>
          <w:sz w:val="24"/>
          <w:u w:val="single"/>
        </w:rPr>
        <w:t>Change in Effective Control of the Company</w:t>
      </w:r>
      <w:r>
        <w:rPr>
          <w:rFonts w:ascii="Times New Roman;serif" w:hAnsi="Times New Roman;serif"/>
          <w:b w:val="false"/>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0"/>
        <w:jc w:val="both"/>
        <w:rPr>
          <w:rFonts w:ascii="Times New Roman" w:hAnsi="Times New Roman"/>
          <w:b w:val="false"/>
          <w:sz w:val="24"/>
        </w:rPr>
      </w:pPr>
      <w:r>
        <w:rPr>
          <w:rFonts w:ascii="Times New Roman" w:hAnsi="Times New Roman"/>
          <w:b w:val="false"/>
          <w:sz w:val="24"/>
        </w:rPr>
        <w:t>(c)</w:t>
      </w:r>
    </w:p>
    <w:p>
      <w:pPr>
        <w:pStyle w:val="TextBody"/>
        <w:bidi w:val="0"/>
        <w:spacing w:before="240" w:after="283"/>
        <w:jc w:val="both"/>
        <w:rPr/>
      </w:pPr>
      <w:r>
        <w:rPr>
          <w:rFonts w:ascii="Times New Roman;serif" w:hAnsi="Times New Roman;serif"/>
          <w:b w:val="false"/>
          <w:sz w:val="24"/>
          <w:u w:val="single"/>
        </w:rPr>
        <w:t>Change in Ownership of a Substantial Portion of the Company’s Assets</w:t>
      </w:r>
      <w:r>
        <w:rPr>
          <w:rFonts w:ascii="Times New Roman;serif" w:hAnsi="Times New Roman;serif"/>
          <w:b w:val="false"/>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Notwithstanding the foregoing, a transaction will not be deemed a Change in Control unless the transaction qualifies as a change in control event within the meaning of Code Section 409A.</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0"/>
        <w:jc w:val="both"/>
        <w:rPr>
          <w:rFonts w:ascii="Times New Roman" w:hAnsi="Times New Roman"/>
          <w:b w:val="false"/>
          <w:sz w:val="24"/>
        </w:rPr>
      </w:pPr>
      <w:r>
        <w:rPr>
          <w:rFonts w:ascii="Times New Roman" w:hAnsi="Times New Roman"/>
          <w:b w:val="false"/>
          <w:sz w:val="24"/>
        </w:rPr>
        <w:t>2.5</w:t>
      </w:r>
    </w:p>
    <w:p>
      <w:pPr>
        <w:pStyle w:val="TextBody"/>
        <w:bidi w:val="0"/>
        <w:spacing w:before="240" w:after="0"/>
        <w:jc w:val="both"/>
        <w:rPr/>
      </w:pPr>
      <w:r>
        <w:rPr/>
        <w:t>“</w:t>
      </w:r>
      <w:r>
        <w:rPr>
          <w:rFonts w:ascii="Times New Roman;serif" w:hAnsi="Times New Roman;serif"/>
          <w:b w:val="false"/>
          <w:sz w:val="24"/>
          <w:u w:val="single"/>
        </w:rPr>
        <w:t>Change in Control Period</w:t>
      </w:r>
      <w:r>
        <w:rPr/>
        <w:t xml:space="preserve">” </w:t>
      </w:r>
      <w:r>
        <w:rPr>
          <w:rFonts w:ascii="Times New Roman;serif" w:hAnsi="Times New Roman;serif"/>
          <w:b w:val="false"/>
          <w:sz w:val="24"/>
        </w:rPr>
        <w:t>has the meaning set forth in the Participant’s Participation Agreement or, if no definition is set forth therein, means the time period beginning on the date of a Change in Control and ending on the date that is 12 months following a Change in Control.</w:t>
      </w:r>
    </w:p>
    <w:p>
      <w:pPr>
        <w:pStyle w:val="TextBody"/>
        <w:bidi w:val="0"/>
        <w:spacing w:before="240" w:after="0"/>
        <w:jc w:val="both"/>
        <w:rPr>
          <w:rFonts w:ascii="Times New Roman" w:hAnsi="Times New Roman"/>
          <w:b w:val="false"/>
          <w:sz w:val="24"/>
        </w:rPr>
      </w:pPr>
      <w:r>
        <w:rPr>
          <w:rFonts w:ascii="Times New Roman" w:hAnsi="Times New Roman"/>
          <w:b w:val="false"/>
          <w:sz w:val="24"/>
        </w:rPr>
        <w:t>2.6</w:t>
      </w:r>
    </w:p>
    <w:p>
      <w:pPr>
        <w:pStyle w:val="TextBody"/>
        <w:bidi w:val="0"/>
        <w:spacing w:before="240" w:after="0"/>
        <w:jc w:val="both"/>
        <w:rPr/>
      </w:pPr>
      <w:r>
        <w:rPr/>
        <w:t>“</w:t>
      </w:r>
      <w:r>
        <w:rPr>
          <w:rFonts w:ascii="Times New Roman;serif" w:hAnsi="Times New Roman;serif"/>
          <w:b w:val="false"/>
          <w:sz w:val="24"/>
          <w:u w:val="single"/>
        </w:rPr>
        <w:t>CIC Qualifying Termination</w:t>
      </w:r>
      <w:r>
        <w:rPr/>
        <w:t xml:space="preserve">” </w:t>
      </w:r>
      <w:r>
        <w:rPr>
          <w:rFonts w:ascii="Times New Roman;serif" w:hAnsi="Times New Roman;serif"/>
          <w:b w:val="false"/>
          <w:sz w:val="24"/>
        </w:rPr>
        <w:t>means a termination of a Participant’s employment with the Company (or any parent or subsidiary of the Company) within the Change in Control Period by (i) the Participant for Good Reason, or (ii) the Company (or any parent or subsidiary of the Company) without Cause (excluding by reason of the Participant’s death or Disability).</w:t>
      </w:r>
    </w:p>
    <w:p>
      <w:pPr>
        <w:pStyle w:val="TextBody"/>
        <w:bidi w:val="0"/>
        <w:spacing w:before="240" w:after="0"/>
        <w:jc w:val="both"/>
        <w:rPr>
          <w:rFonts w:ascii="Times New Roman" w:hAnsi="Times New Roman"/>
          <w:b w:val="false"/>
          <w:sz w:val="24"/>
        </w:rPr>
      </w:pPr>
      <w:r>
        <w:rPr>
          <w:rFonts w:ascii="Times New Roman" w:hAnsi="Times New Roman"/>
          <w:b w:val="false"/>
          <w:sz w:val="24"/>
        </w:rPr>
        <w:t>2.7</w:t>
      </w:r>
    </w:p>
    <w:p>
      <w:pPr>
        <w:pStyle w:val="TextBody"/>
        <w:bidi w:val="0"/>
        <w:spacing w:before="240" w:after="0"/>
        <w:jc w:val="both"/>
        <w:rPr/>
      </w:pPr>
      <w:r>
        <w:rPr/>
        <w:t>“</w:t>
      </w:r>
      <w:r>
        <w:rPr>
          <w:rFonts w:ascii="Times New Roman;serif" w:hAnsi="Times New Roman;serif"/>
          <w:b w:val="false"/>
          <w:sz w:val="24"/>
          <w:u w:val="single"/>
        </w:rPr>
        <w:t>Code</w:t>
      </w:r>
      <w:r>
        <w:rPr/>
        <w:t xml:space="preserve">” </w:t>
      </w:r>
      <w:r>
        <w:rPr>
          <w:rFonts w:ascii="Times New Roman;serif" w:hAnsi="Times New Roman;serif"/>
          <w:b w:val="false"/>
          <w:sz w:val="24"/>
        </w:rPr>
        <w:t>means the Internal Revenue Code of 1986, as amended.</w:t>
      </w:r>
    </w:p>
    <w:p>
      <w:pPr>
        <w:pStyle w:val="TextBody"/>
        <w:bidi w:val="0"/>
        <w:spacing w:before="240" w:after="0"/>
        <w:jc w:val="both"/>
        <w:rPr>
          <w:rFonts w:ascii="Times New Roman" w:hAnsi="Times New Roman"/>
          <w:b w:val="false"/>
          <w:sz w:val="24"/>
        </w:rPr>
      </w:pPr>
      <w:r>
        <w:rPr>
          <w:rFonts w:ascii="Times New Roman" w:hAnsi="Times New Roman"/>
          <w:b w:val="false"/>
          <w:sz w:val="24"/>
        </w:rPr>
        <w:t>2.8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pPr>
      <w:r>
        <w:rPr/>
        <w:t>“</w:t>
      </w:r>
      <w:r>
        <w:rPr>
          <w:rFonts w:ascii="Times New Roman;serif" w:hAnsi="Times New Roman;serif"/>
          <w:b w:val="false"/>
          <w:sz w:val="24"/>
          <w:u w:val="single"/>
        </w:rPr>
        <w:t>Company</w:t>
      </w:r>
      <w:r>
        <w:rPr/>
        <w:t xml:space="preserve">” </w:t>
      </w:r>
      <w:r>
        <w:rPr>
          <w:rFonts w:ascii="Times New Roman;serif" w:hAnsi="Times New Roman;serif"/>
          <w:b w:val="false"/>
          <w:sz w:val="24"/>
        </w:rPr>
        <w:t>means Tenaya Therapeutics, Inc., a Delaware corporation, and any successor that assumes the obligations of the Company under the Plan, by way of merger, acquisition, consolidation or other transaction.</w:t>
      </w:r>
      <w:bookmarkStart w:id="6" w:name="ole_link10"/>
      <w:bookmarkEnd w:id="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b w:val="false"/>
          <w:sz w:val="24"/>
        </w:rPr>
      </w:pPr>
      <w:r>
        <w:rPr>
          <w:rFonts w:ascii="Times New Roman" w:hAnsi="Times New Roman"/>
          <w:b w:val="false"/>
          <w:sz w:val="24"/>
        </w:rPr>
        <w:t>2.9</w:t>
      </w:r>
    </w:p>
    <w:p>
      <w:pPr>
        <w:pStyle w:val="TextBody"/>
        <w:bidi w:val="0"/>
        <w:spacing w:before="240" w:after="0"/>
        <w:jc w:val="both"/>
        <w:rPr/>
      </w:pPr>
      <w:r>
        <w:rPr/>
        <w:t>“</w:t>
      </w:r>
      <w:r>
        <w:rPr>
          <w:rFonts w:ascii="Times New Roman;serif" w:hAnsi="Times New Roman;serif"/>
          <w:b w:val="false"/>
          <w:sz w:val="24"/>
          <w:u w:val="single"/>
        </w:rPr>
        <w:t>Compensation Committee</w:t>
      </w:r>
      <w:r>
        <w:rPr/>
        <w:t xml:space="preserve">” </w:t>
      </w:r>
      <w:r>
        <w:rPr>
          <w:rFonts w:ascii="Times New Roman;serif" w:hAnsi="Times New Roman;serif"/>
          <w:b w:val="false"/>
          <w:sz w:val="24"/>
        </w:rPr>
        <w:t>means the Compensation Committee of the Board.</w:t>
      </w:r>
    </w:p>
    <w:p>
      <w:pPr>
        <w:pStyle w:val="TextBody"/>
        <w:bidi w:val="0"/>
        <w:spacing w:before="240" w:after="0"/>
        <w:jc w:val="both"/>
        <w:rPr>
          <w:rFonts w:ascii="Times New Roman" w:hAnsi="Times New Roman"/>
          <w:b w:val="false"/>
          <w:sz w:val="24"/>
        </w:rPr>
      </w:pPr>
      <w:r>
        <w:rPr>
          <w:rFonts w:ascii="Times New Roman" w:hAnsi="Times New Roman"/>
          <w:b w:val="false"/>
          <w:sz w:val="24"/>
        </w:rPr>
        <w:t>2.10</w:t>
      </w:r>
    </w:p>
    <w:p>
      <w:pPr>
        <w:pStyle w:val="TextBody"/>
        <w:bidi w:val="0"/>
        <w:spacing w:before="240" w:after="0"/>
        <w:jc w:val="both"/>
        <w:rPr/>
      </w:pPr>
      <w:r>
        <w:rPr/>
        <w:t>“</w:t>
      </w:r>
      <w:r>
        <w:rPr>
          <w:rFonts w:ascii="Times New Roman;serif" w:hAnsi="Times New Roman;serif"/>
          <w:b w:val="false"/>
          <w:sz w:val="24"/>
          <w:u w:val="single"/>
        </w:rPr>
        <w:t>Director</w:t>
      </w:r>
      <w:r>
        <w:rPr/>
        <w:t xml:space="preserve">” </w:t>
      </w:r>
      <w:r>
        <w:rPr>
          <w:rFonts w:ascii="Times New Roman;serif" w:hAnsi="Times New Roman;serif"/>
          <w:b w:val="false"/>
          <w:sz w:val="24"/>
        </w:rPr>
        <w:t>means a member of the Board.</w:t>
      </w:r>
    </w:p>
    <w:p>
      <w:pPr>
        <w:pStyle w:val="TextBody"/>
        <w:bidi w:val="0"/>
        <w:spacing w:before="240" w:after="0"/>
        <w:jc w:val="both"/>
        <w:rPr>
          <w:rFonts w:ascii="Times New Roman" w:hAnsi="Times New Roman"/>
          <w:b w:val="false"/>
          <w:sz w:val="24"/>
        </w:rPr>
      </w:pPr>
      <w:r>
        <w:rPr>
          <w:rFonts w:ascii="Times New Roman" w:hAnsi="Times New Roman"/>
          <w:b w:val="false"/>
          <w:sz w:val="24"/>
        </w:rPr>
        <w:t>2.11</w:t>
      </w:r>
    </w:p>
    <w:p>
      <w:pPr>
        <w:pStyle w:val="TextBody"/>
        <w:bidi w:val="0"/>
        <w:spacing w:before="240" w:after="0"/>
        <w:jc w:val="both"/>
        <w:rPr/>
      </w:pPr>
      <w:r>
        <w:rPr/>
        <w:t>“</w:t>
      </w:r>
      <w:r>
        <w:rPr>
          <w:rFonts w:ascii="Times New Roman;serif" w:hAnsi="Times New Roman;serif"/>
          <w:b w:val="false"/>
          <w:sz w:val="24"/>
          <w:u w:val="single"/>
        </w:rPr>
        <w:t>Disability</w:t>
      </w:r>
      <w:r>
        <w:rPr/>
        <w:t xml:space="preserve">” </w:t>
      </w:r>
      <w:r>
        <w:rPr>
          <w:rFonts w:ascii="Times New Roman;serif" w:hAnsi="Times New Roman;serif"/>
          <w:b w:val="false"/>
          <w:sz w:val="24"/>
        </w:rPr>
        <w:t>means “Disability” as defined in the Company’s long-term disability plan or policy then in effect with respect to that Participant, as such plan or policy may be in effect from time to time, and, if there is no such plan or policy, a total and permanent disability as defined in Code Section 22(e)(3).</w:t>
      </w:r>
    </w:p>
    <w:p>
      <w:pPr>
        <w:pStyle w:val="TextBody"/>
        <w:bidi w:val="0"/>
        <w:spacing w:before="240" w:after="0"/>
        <w:jc w:val="both"/>
        <w:rPr>
          <w:rFonts w:ascii="Times New Roman" w:hAnsi="Times New Roman"/>
          <w:b w:val="false"/>
          <w:sz w:val="24"/>
        </w:rPr>
      </w:pPr>
      <w:r>
        <w:rPr>
          <w:rFonts w:ascii="Times New Roman" w:hAnsi="Times New Roman"/>
          <w:b w:val="false"/>
          <w:sz w:val="24"/>
        </w:rPr>
        <w:t>2.12</w:t>
      </w:r>
    </w:p>
    <w:p>
      <w:pPr>
        <w:pStyle w:val="TextBody"/>
        <w:bidi w:val="0"/>
        <w:spacing w:before="240" w:after="0"/>
        <w:jc w:val="both"/>
        <w:rPr/>
      </w:pPr>
      <w:r>
        <w:rPr/>
        <w:t>“</w:t>
      </w:r>
      <w:r>
        <w:rPr>
          <w:rFonts w:ascii="Times New Roman;serif" w:hAnsi="Times New Roman;serif"/>
          <w:b w:val="false"/>
          <w:sz w:val="24"/>
          <w:u w:val="single"/>
        </w:rPr>
        <w:t>Equity Awards</w:t>
      </w:r>
      <w:r>
        <w:rPr/>
        <w:t xml:space="preserve">” </w:t>
      </w:r>
      <w:r>
        <w:rPr>
          <w:rFonts w:ascii="Times New Roman;serif" w:hAnsi="Times New Roman;serif"/>
          <w:b w:val="false"/>
          <w:sz w:val="24"/>
        </w:rPr>
        <w:t>means a Participant’s outstanding stock options, stock appreciation rights, restricted stock, restricted stock units, performance shares, performance stock units and any other Company equity compensation awards.</w:t>
      </w:r>
    </w:p>
    <w:p>
      <w:pPr>
        <w:pStyle w:val="TextBody"/>
        <w:bidi w:val="0"/>
        <w:spacing w:before="240" w:after="0"/>
        <w:jc w:val="both"/>
        <w:rPr>
          <w:rFonts w:ascii="Times New Roman" w:hAnsi="Times New Roman"/>
          <w:b w:val="false"/>
          <w:sz w:val="24"/>
        </w:rPr>
      </w:pPr>
      <w:r>
        <w:rPr>
          <w:rFonts w:ascii="Times New Roman" w:hAnsi="Times New Roman"/>
          <w:b w:val="false"/>
          <w:sz w:val="24"/>
        </w:rPr>
        <w:t>2.13</w:t>
      </w:r>
    </w:p>
    <w:p>
      <w:pPr>
        <w:pStyle w:val="TextBody"/>
        <w:bidi w:val="0"/>
        <w:spacing w:before="240" w:after="283"/>
        <w:jc w:val="both"/>
        <w:rPr/>
      </w:pPr>
      <w:r>
        <w:rPr/>
        <w:t>“</w:t>
      </w:r>
      <w:r>
        <w:rPr>
          <w:rFonts w:ascii="Times New Roman;serif" w:hAnsi="Times New Roman;serif"/>
          <w:b w:val="false"/>
          <w:sz w:val="24"/>
          <w:u w:val="single"/>
        </w:rPr>
        <w:t>ERISA</w:t>
      </w:r>
      <w:r>
        <w:rPr/>
        <w:t xml:space="preserve">” </w:t>
      </w:r>
      <w:r>
        <w:rPr>
          <w:rFonts w:ascii="Times New Roman;serif" w:hAnsi="Times New Roman;serif"/>
          <w:b w:val="false"/>
          <w:sz w:val="24"/>
        </w:rPr>
        <w:t>means the Employee Retirement Income Security Act of 1974, as amended.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 w:hAnsi="Times New Roman"/>
          <w:b w:val="false"/>
          <w:sz w:val="24"/>
        </w:rPr>
      </w:pPr>
      <w:r>
        <w:rPr>
          <w:rFonts w:ascii="Times New Roman" w:hAnsi="Times New Roman"/>
          <w:b w:val="false"/>
          <w:sz w:val="24"/>
        </w:rPr>
        <w:t>2.14</w:t>
      </w:r>
    </w:p>
    <w:p>
      <w:pPr>
        <w:pStyle w:val="TextBody"/>
        <w:bidi w:val="0"/>
        <w:spacing w:before="240" w:after="0"/>
        <w:jc w:val="both"/>
        <w:rPr/>
      </w:pPr>
      <w:r>
        <w:rPr/>
        <w:t>“</w:t>
      </w:r>
      <w:r>
        <w:rPr>
          <w:rFonts w:ascii="Times New Roman;serif" w:hAnsi="Times New Roman;serif"/>
          <w:b w:val="false"/>
          <w:sz w:val="24"/>
          <w:u w:val="single"/>
        </w:rPr>
        <w:t>Good Reason</w:t>
      </w:r>
      <w:r>
        <w:rPr/>
        <w:t xml:space="preserve">” </w:t>
      </w:r>
      <w:r>
        <w:rPr>
          <w:rFonts w:ascii="Times New Roman;serif" w:hAnsi="Times New Roman;serif"/>
          <w:b w:val="false"/>
          <w:sz w:val="24"/>
        </w:rPr>
        <w:t>has the meaning set forth in the Participant’s Participation Agreement or, if no definition is set forth therein, means Participant’s resignation within thirty (30) days following the expiration of any Company cure period (discussed below) following the occurrence of one or more of the following, without Participant’s consent: (i) a reduction of at least 10% of Participant’s gross base salary (unless pursuant to a salary reduction program applicable generally to the Company’s executive officers); (ii) a material reduction in Participant’s job duties or responsibilities, unless Participant are provided with a comparable position; provided, however, that a reduction in duties or responsibilities solely by virtue of the Company being acquired and made part of a larger entity whether as a subsidiary, business unit or otherwise (as, for example, when the Chief Executive Officer of the Company remains as such following an acquisition where the Company becomes a wholly owned subsidiary of the acquirer, but is not made the Chief Executive Officer of the acquiring corporation) will not constitute “Good Reason”; or (iii) a material change in the geographic location of Participant’s primary work facility or location; provided, that a relocation of fifty (50) miles or less from Participant’s then present location or to Participant’s home as Participant’s primary work location will not be considered a material change in geographic location. In order for an event to qualify as Good Reason, Participant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such grounds must not have been cured during such time.</w:t>
      </w:r>
    </w:p>
    <w:p>
      <w:pPr>
        <w:pStyle w:val="TextBody"/>
        <w:bidi w:val="0"/>
        <w:spacing w:before="240" w:after="0"/>
        <w:jc w:val="both"/>
        <w:rPr>
          <w:rFonts w:ascii="Times New Roman" w:hAnsi="Times New Roman"/>
          <w:b w:val="false"/>
          <w:sz w:val="24"/>
        </w:rPr>
      </w:pPr>
      <w:r>
        <w:rPr>
          <w:rFonts w:ascii="Times New Roman" w:hAnsi="Times New Roman"/>
          <w:b w:val="false"/>
          <w:sz w:val="24"/>
        </w:rPr>
        <w:t>2.15</w:t>
      </w:r>
    </w:p>
    <w:p>
      <w:pPr>
        <w:pStyle w:val="TextBody"/>
        <w:bidi w:val="0"/>
        <w:spacing w:before="240" w:after="0"/>
        <w:jc w:val="both"/>
        <w:rPr/>
      </w:pPr>
      <w:r>
        <w:rPr/>
        <w:t>“</w:t>
      </w:r>
      <w:r>
        <w:rPr>
          <w:rFonts w:ascii="Times New Roman;serif" w:hAnsi="Times New Roman;serif"/>
          <w:b w:val="false"/>
          <w:sz w:val="24"/>
          <w:u w:val="single"/>
        </w:rPr>
        <w:t>Non-CIC Qualifying Termination</w:t>
      </w:r>
      <w:r>
        <w:rPr/>
        <w:t xml:space="preserve">” </w:t>
      </w:r>
      <w:r>
        <w:rPr>
          <w:rFonts w:ascii="Times New Roman;serif" w:hAnsi="Times New Roman;serif"/>
          <w:b w:val="false"/>
          <w:sz w:val="24"/>
        </w:rPr>
        <w:t>means, except as otherwise set forth in the Participant’s Participation Agreement, a termination of a Participant’s employment with the Company (or any parent or subsidiary of the Company) that is not within the Change in Control Period and that is by the Company (or any parent or subsidiary of the Company) without Cause (excluding by reason of the Participant’s death or Disability).</w:t>
      </w:r>
    </w:p>
    <w:p>
      <w:pPr>
        <w:pStyle w:val="TextBody"/>
        <w:bidi w:val="0"/>
        <w:spacing w:before="240" w:after="0"/>
        <w:jc w:val="both"/>
        <w:rPr>
          <w:rFonts w:ascii="Times New Roman" w:hAnsi="Times New Roman"/>
          <w:b w:val="false"/>
          <w:sz w:val="24"/>
        </w:rPr>
      </w:pPr>
      <w:r>
        <w:rPr>
          <w:rFonts w:ascii="Times New Roman" w:hAnsi="Times New Roman"/>
          <w:b w:val="false"/>
          <w:sz w:val="24"/>
        </w:rPr>
        <w:t>2.16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pPr>
      <w:r>
        <w:rPr/>
        <w:t>“</w:t>
      </w:r>
      <w:r>
        <w:rPr>
          <w:rFonts w:ascii="Times New Roman;serif" w:hAnsi="Times New Roman;serif"/>
          <w:b w:val="false"/>
          <w:sz w:val="24"/>
          <w:u w:val="single"/>
        </w:rPr>
        <w:t>Participant</w:t>
      </w:r>
      <w:r>
        <w:rPr/>
        <w:t xml:space="preserve">” </w:t>
      </w:r>
      <w:r>
        <w:rPr>
          <w:rFonts w:ascii="Times New Roman;serif" w:hAnsi="Times New Roman;serif"/>
          <w:b w:val="false"/>
          <w:sz w:val="24"/>
        </w:rPr>
        <w:t xml:space="preserve">means an </w:t>
      </w:r>
      <w:bookmarkStart w:id="7" w:name="ole_link18"/>
      <w:bookmarkEnd w:id="7"/>
      <w:r>
        <w:rPr>
          <w:rFonts w:ascii="Times New Roman;serif" w:hAnsi="Times New Roman;serif"/>
          <w:b w:val="false"/>
          <w:sz w:val="24"/>
        </w:rPr>
        <w:t>employee of the Company or of any subsidiary of the Company who (a) has been designated by the Administrator to participate in the Plan either by position or by name and (b) has timely and properly executed and delivered a Participation Agreement to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b w:val="false"/>
          <w:sz w:val="24"/>
        </w:rPr>
      </w:pPr>
      <w:r>
        <w:rPr>
          <w:rFonts w:ascii="Times New Roman" w:hAnsi="Times New Roman"/>
          <w:b w:val="false"/>
          <w:sz w:val="24"/>
        </w:rPr>
        <w:t>2.17</w:t>
      </w:r>
    </w:p>
    <w:p>
      <w:pPr>
        <w:pStyle w:val="TextBody"/>
        <w:bidi w:val="0"/>
        <w:spacing w:before="240" w:after="0"/>
        <w:jc w:val="both"/>
        <w:rPr/>
      </w:pPr>
      <w:r>
        <w:rPr/>
        <w:t>“</w:t>
      </w:r>
      <w:r>
        <w:rPr>
          <w:rFonts w:ascii="Times New Roman;serif" w:hAnsi="Times New Roman;serif"/>
          <w:b w:val="false"/>
          <w:sz w:val="24"/>
          <w:u w:val="single"/>
        </w:rPr>
        <w:t>Participation Agreement</w:t>
      </w:r>
      <w:r>
        <w:rPr/>
        <w:t xml:space="preserve">” </w:t>
      </w:r>
      <w:r>
        <w:rPr>
          <w:rFonts w:ascii="Times New Roman;serif" w:hAnsi="Times New Roman;serif"/>
          <w:b w:val="false"/>
          <w:sz w:val="24"/>
        </w:rPr>
        <w:t xml:space="preserve">means the individual agreement (as will be provided in separate cover as </w:t>
      </w:r>
      <w:r>
        <w:rPr>
          <w:rFonts w:ascii="Times New Roman;serif" w:hAnsi="Times New Roman;serif"/>
          <w:b w:val="false"/>
          <w:sz w:val="24"/>
          <w:u w:val="single"/>
        </w:rPr>
        <w:t>Appendix A</w:t>
      </w:r>
      <w:r>
        <w:rPr>
          <w:rFonts w:ascii="Times New Roman;serif" w:hAnsi="Times New Roman;serif"/>
          <w:b w:val="false"/>
          <w:sz w:val="24"/>
        </w:rPr>
        <w:t>) provided by the Administrator to a Participant under the Plan, which has been signed and accepted by the Participant.</w:t>
      </w:r>
    </w:p>
    <w:p>
      <w:pPr>
        <w:pStyle w:val="TextBody"/>
        <w:bidi w:val="0"/>
        <w:spacing w:before="240" w:after="0"/>
        <w:jc w:val="both"/>
        <w:rPr>
          <w:rFonts w:ascii="Times New Roman" w:hAnsi="Times New Roman"/>
          <w:b w:val="false"/>
          <w:sz w:val="24"/>
        </w:rPr>
      </w:pPr>
      <w:r>
        <w:rPr>
          <w:rFonts w:ascii="Times New Roman" w:hAnsi="Times New Roman"/>
          <w:b w:val="false"/>
          <w:sz w:val="24"/>
        </w:rPr>
        <w:t>2.18</w:t>
      </w:r>
    </w:p>
    <w:p>
      <w:pPr>
        <w:pStyle w:val="TextBody"/>
        <w:bidi w:val="0"/>
        <w:spacing w:before="240" w:after="0"/>
        <w:jc w:val="both"/>
        <w:rPr/>
      </w:pPr>
      <w:r>
        <w:rPr/>
        <w:t>“</w:t>
      </w:r>
      <w:r>
        <w:rPr>
          <w:rFonts w:ascii="Times New Roman;serif" w:hAnsi="Times New Roman;serif"/>
          <w:b w:val="false"/>
          <w:sz w:val="24"/>
          <w:u w:val="single"/>
        </w:rPr>
        <w:t>Plan</w:t>
      </w:r>
      <w:r>
        <w:rPr/>
        <w:t xml:space="preserve">” </w:t>
      </w:r>
      <w:r>
        <w:rPr>
          <w:rFonts w:ascii="Times New Roman;serif" w:hAnsi="Times New Roman;serif"/>
          <w:b w:val="false"/>
          <w:sz w:val="24"/>
        </w:rPr>
        <w:t>means the Tenaya Therapeutics, Inc. Executive Change in Control and Severance Plan, as set forth in this document, and as hereafter amended from time to time.</w:t>
      </w:r>
    </w:p>
    <w:p>
      <w:pPr>
        <w:pStyle w:val="TextBody"/>
        <w:bidi w:val="0"/>
        <w:spacing w:before="240" w:after="0"/>
        <w:jc w:val="both"/>
        <w:rPr>
          <w:rFonts w:ascii="Times New Roman" w:hAnsi="Times New Roman"/>
          <w:b w:val="false"/>
          <w:sz w:val="24"/>
        </w:rPr>
      </w:pPr>
      <w:r>
        <w:rPr>
          <w:rFonts w:ascii="Times New Roman" w:hAnsi="Times New Roman"/>
          <w:b w:val="false"/>
          <w:sz w:val="24"/>
        </w:rPr>
        <w:t>2.19</w:t>
      </w:r>
    </w:p>
    <w:p>
      <w:pPr>
        <w:pStyle w:val="TextBody"/>
        <w:bidi w:val="0"/>
        <w:spacing w:before="240" w:after="283"/>
        <w:jc w:val="both"/>
        <w:rPr/>
      </w:pPr>
      <w:r>
        <w:rPr/>
        <w:t>“</w:t>
      </w:r>
      <w:r>
        <w:rPr>
          <w:rFonts w:ascii="Times New Roman;serif" w:hAnsi="Times New Roman;serif"/>
          <w:b w:val="false"/>
          <w:sz w:val="24"/>
          <w:u w:val="single"/>
        </w:rPr>
        <w:t>Section 409A Limit</w:t>
      </w:r>
      <w:r>
        <w:rPr/>
        <w:t xml:space="preserve">” </w:t>
      </w:r>
      <w:r>
        <w:rPr>
          <w:rFonts w:ascii="Times New Roman;serif" w:hAnsi="Times New Roman;serif"/>
          <w:b w:val="false"/>
          <w:sz w:val="24"/>
        </w:rPr>
        <w:t xml:space="preserve">means 200% of the lesser of: (i) the Participant’s annualized compensation based upon the annual rate of pay paid to the Participant during the Participant’s taxable year preceding the Participant’s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pursuant to Section 401(a)(17) of the Code for the year in which the Participant’s employment is terminated.</w:t>
      </w:r>
    </w:p>
    <w:p>
      <w:pPr>
        <w:pStyle w:val="TextBody"/>
        <w:bidi w:val="0"/>
        <w:spacing w:before="240" w:after="0"/>
        <w:jc w:val="both"/>
        <w:rPr>
          <w:rFonts w:ascii="Times New Roman" w:hAnsi="Times New Roman"/>
          <w:b w:val="false"/>
          <w:sz w:val="24"/>
        </w:rPr>
      </w:pPr>
      <w:r>
        <w:rPr>
          <w:rFonts w:ascii="Times New Roman" w:hAnsi="Times New Roman"/>
          <w:b w:val="false"/>
          <w:sz w:val="24"/>
        </w:rPr>
        <w:t>2.20</w:t>
      </w:r>
    </w:p>
    <w:p>
      <w:pPr>
        <w:pStyle w:val="TextBody"/>
        <w:bidi w:val="0"/>
        <w:spacing w:before="240" w:after="0"/>
        <w:jc w:val="both"/>
        <w:rPr/>
      </w:pPr>
      <w:r>
        <w:rPr/>
        <w:t>“</w:t>
      </w:r>
      <w:r>
        <w:rPr>
          <w:rFonts w:ascii="Times New Roman;serif" w:hAnsi="Times New Roman;serif"/>
          <w:b w:val="false"/>
          <w:sz w:val="24"/>
          <w:u w:val="single"/>
        </w:rPr>
        <w:t>Severance Benefits</w:t>
      </w:r>
      <w:r>
        <w:rPr/>
        <w:t xml:space="preserve">” </w:t>
      </w:r>
      <w:r>
        <w:rPr>
          <w:rFonts w:ascii="Times New Roman;serif" w:hAnsi="Times New Roman;serif"/>
          <w:b w:val="false"/>
          <w:sz w:val="24"/>
        </w:rPr>
        <w:t>means the compensation and other benefits that the Participant will be provided in the circumstances described in Section 4.</w:t>
      </w:r>
    </w:p>
    <w:p>
      <w:pPr>
        <w:pStyle w:val="TextBody"/>
        <w:bidi w:val="0"/>
        <w:spacing w:before="240" w:after="0"/>
        <w:jc w:val="both"/>
        <w:rPr>
          <w:rFonts w:ascii="Times New Roman" w:hAnsi="Times New Roman"/>
          <w:b w:val="false"/>
          <w:sz w:val="24"/>
        </w:rPr>
      </w:pPr>
      <w:r>
        <w:rPr>
          <w:rFonts w:ascii="Times New Roman" w:hAnsi="Times New Roman"/>
          <w:b w:val="false"/>
          <w:sz w:val="24"/>
        </w:rPr>
        <w:t>2.21</w:t>
      </w:r>
    </w:p>
    <w:p>
      <w:pPr>
        <w:pStyle w:val="TextBody"/>
        <w:bidi w:val="0"/>
        <w:spacing w:before="240" w:after="0"/>
        <w:jc w:val="both"/>
        <w:rPr/>
      </w:pPr>
      <w:r>
        <w:rPr/>
        <w:t>“</w:t>
      </w:r>
      <w:r>
        <w:rPr>
          <w:rFonts w:ascii="Times New Roman;serif" w:hAnsi="Times New Roman;serif"/>
          <w:b w:val="false"/>
          <w:sz w:val="24"/>
          <w:u w:val="single"/>
        </w:rPr>
        <w:t>Qualifying Termination</w:t>
      </w:r>
      <w:r>
        <w:rPr/>
        <w:t xml:space="preserve">” </w:t>
      </w:r>
      <w:r>
        <w:rPr>
          <w:rFonts w:ascii="Times New Roman;serif" w:hAnsi="Times New Roman;serif"/>
          <w:b w:val="false"/>
          <w:sz w:val="24"/>
        </w:rPr>
        <w:t>means a CIC Qualifying Termination or a Non-CIC Qualifying Termination, as applicable.</w:t>
      </w:r>
    </w:p>
    <w:p>
      <w:pPr>
        <w:pStyle w:val="TextBody"/>
        <w:bidi w:val="0"/>
        <w:spacing w:before="240" w:after="0"/>
        <w:jc w:val="both"/>
        <w:rPr>
          <w:rFonts w:ascii="Times New Roman" w:hAnsi="Times New Roman"/>
          <w:b w:val="false"/>
          <w:sz w:val="24"/>
        </w:rPr>
      </w:pPr>
      <w:r>
        <w:rPr>
          <w:rFonts w:ascii="Times New Roman" w:hAnsi="Times New Roman"/>
          <w:b w:val="false"/>
          <w:sz w:val="24"/>
        </w:rPr>
        <w:t>3.</w:t>
      </w:r>
    </w:p>
    <w:p>
      <w:pPr>
        <w:pStyle w:val="TextBody"/>
        <w:bidi w:val="0"/>
        <w:spacing w:before="240" w:after="0"/>
        <w:jc w:val="both"/>
        <w:rPr/>
      </w:pPr>
      <w:r>
        <w:rPr>
          <w:rFonts w:ascii="Times New Roman;serif" w:hAnsi="Times New Roman;serif"/>
          <w:b w:val="false"/>
          <w:sz w:val="24"/>
          <w:u w:val="single"/>
        </w:rPr>
        <w:t>Eligibility for Severance Benefits</w:t>
      </w:r>
      <w:r>
        <w:rPr>
          <w:rFonts w:ascii="Times New Roman;serif" w:hAnsi="Times New Roman;serif"/>
          <w:b w:val="false"/>
          <w:sz w:val="24"/>
        </w:rPr>
        <w:t xml:space="preserve">. A Participant is eligible for Severance Benefits, as described in Section 4, only if he or she experiences a Qualifying Termination. </w:t>
      </w:r>
    </w:p>
    <w:p>
      <w:pPr>
        <w:pStyle w:val="TextBody"/>
        <w:bidi w:val="0"/>
        <w:spacing w:before="240" w:after="0"/>
        <w:jc w:val="both"/>
        <w:rPr>
          <w:rFonts w:ascii="Times New Roman" w:hAnsi="Times New Roman"/>
          <w:b w:val="false"/>
          <w:sz w:val="24"/>
        </w:rPr>
      </w:pPr>
      <w:r>
        <w:rPr>
          <w:rFonts w:ascii="Times New Roman" w:hAnsi="Times New Roman"/>
          <w:b w:val="false"/>
          <w:sz w:val="24"/>
        </w:rPr>
        <w:t>4.</w:t>
      </w:r>
    </w:p>
    <w:p>
      <w:pPr>
        <w:pStyle w:val="TextBody"/>
        <w:bidi w:val="0"/>
        <w:spacing w:before="240" w:after="0"/>
        <w:jc w:val="both"/>
        <w:rPr/>
      </w:pPr>
      <w:r>
        <w:rPr>
          <w:rFonts w:ascii="Times New Roman;serif" w:hAnsi="Times New Roman;serif"/>
          <w:b w:val="false"/>
          <w:sz w:val="24"/>
          <w:u w:val="single"/>
        </w:rPr>
        <w:t>Qualifying Termination</w:t>
      </w:r>
      <w:r>
        <w:rPr>
          <w:rFonts w:ascii="Times New Roman;serif" w:hAnsi="Times New Roman;serif"/>
          <w:b w:val="false"/>
          <w:sz w:val="24"/>
        </w:rPr>
        <w:t>. Upon a Qualifying Termination, then, subject to the Participant’s compliance with Section 6, the Participant will be eligible to receive the following Severance Benefits as described in Participant’s Participation Agreement, subject to the terms and conditions of the Plan and the Participant’s Participation Agreement:</w:t>
      </w:r>
    </w:p>
    <w:p>
      <w:pPr>
        <w:pStyle w:val="TextBody"/>
        <w:bidi w:val="0"/>
        <w:spacing w:before="240" w:after="0"/>
        <w:jc w:val="both"/>
        <w:rPr>
          <w:rFonts w:ascii="Times New Roman" w:hAnsi="Times New Roman"/>
          <w:b w:val="false"/>
          <w:sz w:val="24"/>
        </w:rPr>
      </w:pPr>
      <w:r>
        <w:rPr>
          <w:rFonts w:ascii="Times New Roman" w:hAnsi="Times New Roman"/>
          <w:b w:val="false"/>
          <w:sz w:val="24"/>
        </w:rPr>
        <w:t>4.1</w:t>
      </w:r>
    </w:p>
    <w:p>
      <w:pPr>
        <w:pStyle w:val="TextBody"/>
        <w:bidi w:val="0"/>
        <w:spacing w:before="240" w:after="0"/>
        <w:jc w:val="both"/>
        <w:rPr/>
      </w:pPr>
      <w:r>
        <w:rPr>
          <w:rFonts w:ascii="Times New Roman;serif" w:hAnsi="Times New Roman;serif"/>
          <w:b w:val="false"/>
          <w:sz w:val="24"/>
          <w:u w:val="single"/>
        </w:rPr>
        <w:t>Cash Severance Benefits</w:t>
      </w:r>
      <w:r>
        <w:rPr>
          <w:rFonts w:ascii="Times New Roman;serif" w:hAnsi="Times New Roman;serif"/>
          <w:b w:val="false"/>
          <w:sz w:val="24"/>
        </w:rPr>
        <w:t>. Cash severance equal to the amount set forth in the Participant’s Participation Agreement and payable in cash at the time(s) specified the Participant’s Participation Agreement.</w:t>
      </w:r>
    </w:p>
    <w:p>
      <w:pPr>
        <w:pStyle w:val="TextBody"/>
        <w:bidi w:val="0"/>
        <w:spacing w:before="240" w:after="0"/>
        <w:jc w:val="both"/>
        <w:rPr>
          <w:rFonts w:ascii="Times New Roman" w:hAnsi="Times New Roman"/>
          <w:b w:val="false"/>
          <w:sz w:val="24"/>
        </w:rPr>
      </w:pPr>
      <w:r>
        <w:rPr>
          <w:rFonts w:ascii="Times New Roman" w:hAnsi="Times New Roman"/>
          <w:b w:val="false"/>
          <w:sz w:val="24"/>
        </w:rPr>
        <w:t>4.2</w:t>
      </w:r>
    </w:p>
    <w:p>
      <w:pPr>
        <w:pStyle w:val="TextBody"/>
        <w:bidi w:val="0"/>
        <w:spacing w:before="240" w:after="0"/>
        <w:jc w:val="both"/>
        <w:rPr/>
      </w:pPr>
      <w:r>
        <w:rPr>
          <w:rFonts w:ascii="Times New Roman;serif" w:hAnsi="Times New Roman;serif"/>
          <w:b w:val="false"/>
          <w:sz w:val="24"/>
          <w:u w:val="single"/>
        </w:rPr>
        <w:t>Continued Medical Benefits</w:t>
      </w:r>
      <w:r>
        <w:rPr>
          <w:rFonts w:ascii="Times New Roman;serif" w:hAnsi="Times New Roman;serif"/>
          <w:b w:val="false"/>
          <w:sz w:val="24"/>
        </w:rPr>
        <w:t>. If the Participant, and any spouse and/or dependents of the Participant (“</w:t>
      </w:r>
      <w:r>
        <w:rPr>
          <w:rFonts w:ascii="Times New Roman;serif" w:hAnsi="Times New Roman;serif"/>
          <w:b w:val="false"/>
          <w:sz w:val="24"/>
          <w:u w:val="single"/>
        </w:rPr>
        <w:t>Family Members</w:t>
      </w:r>
      <w:r>
        <w:rPr/>
        <w:t>”</w:t>
      </w:r>
      <w:r>
        <w:rPr>
          <w:rFonts w:ascii="Times New Roman;serif" w:hAnsi="Times New Roman;serif"/>
          <w:b w:val="false"/>
          <w:sz w:val="24"/>
        </w:rPr>
        <w:t>) has or have coverage on the date of the Participant’s Qualifying Termination under a group health plan sponsored by the Company, the Company will reimburse the Participant the total applicable premium cost for continued group health plan coverage under the Consolidated Omnibus Budget Reconciliation Act of 1985, as amended (“</w:t>
      </w:r>
      <w:r>
        <w:rPr>
          <w:rFonts w:ascii="Times New Roman;serif" w:hAnsi="Times New Roman;serif"/>
          <w:b w:val="false"/>
          <w:sz w:val="24"/>
          <w:u w:val="single"/>
        </w:rPr>
        <w:t>COBRA</w:t>
      </w:r>
      <w:r>
        <w:rPr/>
        <w:t>”</w:t>
      </w:r>
      <w:r>
        <w:rPr>
          <w:rFonts w:ascii="Times New Roman;serif" w:hAnsi="Times New Roman;serif"/>
          <w:b w:val="false"/>
          <w:sz w:val="24"/>
        </w:rPr>
        <w:t>) during the period of time following the Participant’s employment termination, as set forth in the Participant’s Participation Agreement, provided that the Participant validly elects and is eligible to continue coverage under COBRA for the Participant and his Family Members. However, if the Company determines in its sole discretion that it cannot provide the COBRA reimbursement benefits without potentially violating applicable laws (including, without limitation, Section 2716 of the Public Health Service Act and the Employee Retirement Income Security Act of 1974, as amended), the Company will in lieu thereof provide to the Participant a lump sum payment equal to the monthly COBRA premium (on an after-tax basis) that the Participant would be required to pay to continue the group health coverage in effect on the date of the Participant’s termination of employment (which amount will be based on the premium for the first month of COBRA coverage), multiplied by the number of months in the period of time set forth in the Participant’s Participation Agreement following the termination, which payments will be made regardless of whether the Participant elects COBRA continuation coverage.</w:t>
      </w:r>
    </w:p>
    <w:p>
      <w:pPr>
        <w:pStyle w:val="TextBody"/>
        <w:bidi w:val="0"/>
        <w:spacing w:before="240" w:after="0"/>
        <w:jc w:val="both"/>
        <w:rPr>
          <w:rFonts w:ascii="Times New Roman" w:hAnsi="Times New Roman"/>
          <w:b w:val="false"/>
          <w:sz w:val="24"/>
        </w:rPr>
      </w:pPr>
      <w:r>
        <w:rPr>
          <w:rFonts w:ascii="Times New Roman" w:hAnsi="Times New Roman"/>
          <w:b w:val="false"/>
          <w:sz w:val="24"/>
        </w:rPr>
        <w:t>4.3</w:t>
      </w:r>
    </w:p>
    <w:p>
      <w:pPr>
        <w:pStyle w:val="TextBody"/>
        <w:bidi w:val="0"/>
        <w:spacing w:before="240" w:after="0"/>
        <w:jc w:val="both"/>
        <w:rPr/>
      </w:pPr>
      <w:r>
        <w:rPr>
          <w:rFonts w:ascii="Times New Roman;serif" w:hAnsi="Times New Roman;serif"/>
          <w:b w:val="false"/>
          <w:sz w:val="24"/>
          <w:u w:val="single"/>
        </w:rPr>
        <w:t>Equity Award Vesting Acceleration Benefit</w:t>
      </w:r>
      <w:r>
        <w:rPr>
          <w:rFonts w:ascii="Times New Roman;serif" w:hAnsi="Times New Roman;serif"/>
          <w:b w:val="false"/>
          <w:sz w:val="24"/>
        </w:rPr>
        <w:t>. Only to the extent specifically provided in the Participant’s Participation Agreement, a portion of Participant’s Equity Awards will vest and, to the extent applicable, become immediately exercisable.</w:t>
      </w:r>
    </w:p>
    <w:p>
      <w:pPr>
        <w:pStyle w:val="TextBody"/>
        <w:bidi w:val="0"/>
        <w:spacing w:before="240" w:after="0"/>
        <w:jc w:val="both"/>
        <w:rPr>
          <w:rFonts w:ascii="Times New Roman" w:hAnsi="Times New Roman"/>
          <w:b w:val="false"/>
          <w:sz w:val="24"/>
        </w:rPr>
      </w:pPr>
      <w:r>
        <w:rPr>
          <w:rFonts w:ascii="Times New Roman" w:hAnsi="Times New Roman"/>
          <w:b w:val="false"/>
          <w:sz w:val="24"/>
        </w:rPr>
        <w:t>5.</w:t>
      </w:r>
    </w:p>
    <w:p>
      <w:pPr>
        <w:pStyle w:val="TextBody"/>
        <w:bidi w:val="0"/>
        <w:spacing w:before="240" w:after="283"/>
        <w:jc w:val="both"/>
        <w:rPr/>
      </w:pPr>
      <w:r>
        <w:rPr>
          <w:rFonts w:ascii="Times New Roman;serif" w:hAnsi="Times New Roman;serif"/>
          <w:b w:val="false"/>
          <w:sz w:val="24"/>
          <w:u w:val="single"/>
        </w:rPr>
        <w:t>Limitation on Payments</w:t>
      </w:r>
      <w:r>
        <w:rPr>
          <w:rFonts w:ascii="Times New Roman;serif" w:hAnsi="Times New Roman;serif"/>
          <w:b w:val="false"/>
          <w:sz w:val="24"/>
        </w:rPr>
        <w:t>. In the event that the severance and other benefits provided for in this Plan or otherwise payable to a Participant (i) constitute “parachute payments” within the meaning of Section 280G of the Code (“</w:t>
      </w:r>
      <w:r>
        <w:rPr>
          <w:rFonts w:ascii="Times New Roman;serif" w:hAnsi="Times New Roman;serif"/>
          <w:b w:val="false"/>
          <w:sz w:val="24"/>
          <w:u w:val="single"/>
        </w:rPr>
        <w:t>280G Payments</w:t>
      </w:r>
      <w:r>
        <w:rPr/>
        <w:t>”</w:t>
      </w:r>
      <w:r>
        <w:rPr>
          <w:rFonts w:ascii="Times New Roman;serif" w:hAnsi="Times New Roman;serif"/>
          <w:b w:val="false"/>
          <w:sz w:val="24"/>
        </w:rPr>
        <w:t xml:space="preserve">), and (ii) but for this Section 5, would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283"/>
        <w:jc w:val="both"/>
        <w:rPr/>
      </w:pPr>
      <w:r>
        <w:rPr>
          <w:rFonts w:ascii="Times New Roman;serif" w:hAnsi="Times New Roman;serif"/>
          <w:b w:val="false"/>
          <w:sz w:val="24"/>
        </w:rPr>
        <w:t>be subject to the excise tax imposed by Section 4999 of the Code (the “</w:t>
      </w:r>
      <w:r>
        <w:rPr>
          <w:rFonts w:ascii="Times New Roman;serif" w:hAnsi="Times New Roman;serif"/>
          <w:b w:val="false"/>
          <w:sz w:val="24"/>
          <w:u w:val="single"/>
        </w:rPr>
        <w:t>Excise Tax</w:t>
      </w:r>
      <w:r>
        <w:rPr/>
        <w:t>”</w:t>
      </w:r>
      <w:r>
        <w:rPr>
          <w:rFonts w:ascii="Times New Roman;serif" w:hAnsi="Times New Roman;serif"/>
          <w:b w:val="false"/>
          <w:sz w:val="24"/>
        </w:rPr>
        <w:t>), then the 280G Payments will be either:</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(x) delivered in full, or</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(y) delivered as to such lesser extent which would result in no portion of such benefits being subject to the Excise Tax, whichever of the foregoing amounts, taking into account the applicable federal, state and local income taxes and the excise tax imposed by Section 4999, results in the receipt by Participant on an after-tax basis, of the greatest amount of benefits, notwithstanding that all or some portion of such benefits may be taxable under Section 4999 of the Code. If a reduction in the 280G Payments is necessary so that no portion of such benefits are subject to the Excise Tax, reduction will occur in the following order: (i) cancellation of awards granted “contingent on a change in ownership or control” (within the meaning of Code Section 280G); (ii) a pro rata reduction of (A) cash payments that are subject to Section 409A as deferred compensation and (B) cash payments not subject to Section 409A of the Code; (iii) a pro rata reduction of (A) employee benefits that are subject to Section 409A as deferred compensation and (B) employee benefits not subject to Section 409A; and (iv) a pro rata cancellation of (A) accelerated vesting equity awards that are subject to Section 409A as deferred compensation and (B) equity awards not subject to Section 409A. In the event that acceleration of vesting of equity awards is to be cancelled, such acceleration of vesting will be cancelled in the reverse order of the date of grant of a Participant’s equity awards.</w:t>
      </w:r>
    </w:p>
    <w:p>
      <w:pPr>
        <w:pStyle w:val="TextBody"/>
        <w:bidi w:val="0"/>
        <w:spacing w:before="240" w:after="0"/>
        <w:jc w:val="both"/>
        <w:rPr>
          <w:rFonts w:ascii="Times New Roman" w:hAnsi="Times New Roman"/>
          <w:sz w:val="20"/>
        </w:rPr>
      </w:pPr>
      <w:r>
        <w:rPr>
          <w:rFonts w:ascii="Times New Roman;serif" w:hAnsi="Times New Roman;serif"/>
          <w:b w:val="false"/>
          <w:sz w:val="24"/>
        </w:rPr>
        <w:t>A nationally recognized professional services firm selected by the Company, the Company’s legal counsel or such other person or entity to which the parties mutually agree (the “</w:t>
      </w:r>
      <w:r>
        <w:rPr>
          <w:rFonts w:ascii="Times New Roman;serif" w:hAnsi="Times New Roman;serif"/>
          <w:b w:val="false"/>
          <w:sz w:val="24"/>
          <w:u w:val="single"/>
        </w:rPr>
        <w:t>Firm”</w:t>
      </w:r>
      <w:r>
        <w:rPr>
          <w:rFonts w:ascii="Times New Roman;serif" w:hAnsi="Times New Roman;serif"/>
          <w:b w:val="false"/>
          <w:sz w:val="24"/>
        </w:rPr>
        <w:t>) will make any determination required under this Section 5. Such determinations will be made in writing by the Firm and any good faith determinations of the Firm will be conclusive and binding upon Participant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Participant and the Company will furnish to the Firm such information and documents as the Firm may reasonably request in order to make a determination under this Section 5. The Company will bear all costs the Firm may incur in connection with any calculations contemplated by this Section 5.</w:t>
      </w:r>
    </w:p>
    <w:p>
      <w:pPr>
        <w:pStyle w:val="TextBody"/>
        <w:bidi w:val="0"/>
        <w:spacing w:before="240" w:after="0"/>
        <w:jc w:val="both"/>
        <w:rPr>
          <w:rFonts w:ascii="Times New Roman" w:hAnsi="Times New Roman"/>
          <w:b w:val="false"/>
          <w:sz w:val="24"/>
        </w:rPr>
      </w:pPr>
      <w:r>
        <w:rPr>
          <w:rFonts w:ascii="Times New Roman" w:hAnsi="Times New Roman"/>
          <w:b w:val="false"/>
          <w:sz w:val="24"/>
        </w:rPr>
        <w:t>6.</w:t>
      </w:r>
    </w:p>
    <w:p>
      <w:pPr>
        <w:pStyle w:val="TextBody"/>
        <w:bidi w:val="0"/>
        <w:spacing w:before="240" w:after="0"/>
        <w:jc w:val="both"/>
        <w:rPr/>
      </w:pPr>
      <w:r>
        <w:rPr>
          <w:rFonts w:ascii="Times New Roman;serif" w:hAnsi="Times New Roman;serif"/>
          <w:b w:val="false"/>
          <w:sz w:val="24"/>
          <w:u w:val="single"/>
        </w:rPr>
        <w:t>Conditions to Receipt of Severance</w:t>
      </w:r>
      <w:r>
        <w:rPr>
          <w:rFonts w:ascii="Times New Roman;serif" w:hAnsi="Times New Roman;serif"/>
          <w:b w:val="false"/>
          <w:sz w:val="24"/>
        </w:rPr>
        <w:t>.</w:t>
      </w:r>
    </w:p>
    <w:p>
      <w:pPr>
        <w:pStyle w:val="TextBody"/>
        <w:bidi w:val="0"/>
        <w:spacing w:before="240" w:after="0"/>
        <w:jc w:val="both"/>
        <w:rPr>
          <w:rFonts w:ascii="Times New Roman" w:hAnsi="Times New Roman"/>
          <w:b w:val="false"/>
          <w:sz w:val="24"/>
        </w:rPr>
      </w:pPr>
      <w:r>
        <w:rPr>
          <w:rFonts w:ascii="Times New Roman" w:hAnsi="Times New Roman"/>
          <w:b w:val="false"/>
          <w:sz w:val="24"/>
        </w:rPr>
        <w:t>6.1</w:t>
      </w:r>
    </w:p>
    <w:p>
      <w:pPr>
        <w:pStyle w:val="TextBody"/>
        <w:bidi w:val="0"/>
        <w:spacing w:before="240" w:after="283"/>
        <w:jc w:val="both"/>
        <w:rPr/>
      </w:pPr>
      <w:r>
        <w:rPr>
          <w:rFonts w:ascii="Times New Roman;serif" w:hAnsi="Times New Roman;serif"/>
          <w:b w:val="false"/>
          <w:sz w:val="24"/>
          <w:u w:val="single"/>
        </w:rPr>
        <w:t>Release Agreement</w:t>
      </w:r>
      <w:r>
        <w:rPr>
          <w:rFonts w:ascii="Times New Roman;serif" w:hAnsi="Times New Roman;serif"/>
          <w:b w:val="false"/>
          <w:sz w:val="24"/>
        </w:rPr>
        <w:t>. As a condition to receiving the Severance Benefits, each Participant will be required to sign and not revoke a separation and release of claims agreement in a form reasonably satisfactory to the Company (the “</w:t>
      </w:r>
      <w:r>
        <w:rPr>
          <w:rFonts w:ascii="Times New Roman;serif" w:hAnsi="Times New Roman;serif"/>
          <w:b w:val="false"/>
          <w:sz w:val="24"/>
          <w:u w:val="single"/>
        </w:rPr>
        <w:t>Release</w:t>
      </w:r>
      <w:r>
        <w:rPr/>
        <w:t>”</w:t>
      </w:r>
      <w:r>
        <w:rPr>
          <w:rFonts w:ascii="Times New Roman;serif" w:hAnsi="Times New Roman;serif"/>
          <w:b w:val="false"/>
          <w:sz w:val="24"/>
        </w:rPr>
        <w:t>). In all cases, the Release must become effective and irrevocable no later than the 60th day following the Participant’s Qualifying Termination (the “</w:t>
      </w:r>
      <w:r>
        <w:rPr>
          <w:rFonts w:ascii="Times New Roman;serif" w:hAnsi="Times New Roman;serif"/>
          <w:b w:val="false"/>
          <w:sz w:val="24"/>
          <w:u w:val="single"/>
        </w:rPr>
        <w:t>Release Deadline Date</w:t>
      </w:r>
      <w:r>
        <w:rPr/>
        <w:t>”</w:t>
      </w:r>
      <w:r>
        <w:rPr>
          <w:rFonts w:ascii="Times New Roman;serif" w:hAnsi="Times New Roman;serif"/>
          <w:b w:val="false"/>
          <w:sz w:val="24"/>
        </w:rPr>
        <w:t xml:space="preserve">). If the Release does not become effective and irrevocable by the Release Deadline Date, the Participant will forfeit any right to the Severance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Benefits. In no event will the Severance Benefits be paid or provided until the Release becomes effective and irrevocable.</w:t>
      </w:r>
    </w:p>
    <w:p>
      <w:pPr>
        <w:pStyle w:val="TextBody"/>
        <w:bidi w:val="0"/>
        <w:spacing w:before="240" w:after="0"/>
        <w:jc w:val="both"/>
        <w:rPr>
          <w:rFonts w:ascii="Times New Roman" w:hAnsi="Times New Roman"/>
          <w:b w:val="false"/>
          <w:sz w:val="24"/>
        </w:rPr>
      </w:pPr>
      <w:r>
        <w:rPr>
          <w:rFonts w:ascii="Times New Roman" w:hAnsi="Times New Roman"/>
          <w:b w:val="false"/>
          <w:sz w:val="24"/>
        </w:rPr>
        <w:t>6.2</w:t>
      </w:r>
    </w:p>
    <w:p>
      <w:pPr>
        <w:pStyle w:val="TextBody"/>
        <w:bidi w:val="0"/>
        <w:spacing w:before="240" w:after="0"/>
        <w:jc w:val="both"/>
        <w:rPr/>
      </w:pPr>
      <w:r>
        <w:rPr>
          <w:rFonts w:ascii="Times New Roman;serif" w:hAnsi="Times New Roman;serif"/>
          <w:b w:val="false"/>
          <w:sz w:val="24"/>
          <w:u w:val="single"/>
        </w:rPr>
        <w:t>Confidential Information</w:t>
      </w:r>
      <w:r>
        <w:rPr>
          <w:rFonts w:ascii="Times New Roman;serif" w:hAnsi="Times New Roman;serif"/>
          <w:b w:val="false"/>
          <w:sz w:val="24"/>
        </w:rPr>
        <w:t xml:space="preserve">. A Participant’s receipt of Severance Benefits will be subject to the Participant continuing to comply with the terms of any confidentiality, proprietary information and inventions agreement between the Participant and the Company. </w:t>
      </w:r>
    </w:p>
    <w:p>
      <w:pPr>
        <w:pStyle w:val="TextBody"/>
        <w:bidi w:val="0"/>
        <w:spacing w:before="240" w:after="0"/>
        <w:jc w:val="both"/>
        <w:rPr>
          <w:rFonts w:ascii="Times New Roman" w:hAnsi="Times New Roman"/>
          <w:b w:val="false"/>
          <w:sz w:val="24"/>
        </w:rPr>
      </w:pPr>
      <w:r>
        <w:rPr>
          <w:rFonts w:ascii="Times New Roman" w:hAnsi="Times New Roman"/>
          <w:b w:val="false"/>
          <w:sz w:val="24"/>
        </w:rPr>
        <w:t>6.3</w:t>
      </w:r>
    </w:p>
    <w:p>
      <w:pPr>
        <w:pStyle w:val="TextBody"/>
        <w:bidi w:val="0"/>
        <w:spacing w:before="240" w:after="0"/>
        <w:jc w:val="both"/>
        <w:rPr/>
      </w:pPr>
      <w:r>
        <w:rPr>
          <w:rFonts w:ascii="Times New Roman;serif" w:hAnsi="Times New Roman;serif"/>
          <w:b w:val="false"/>
          <w:sz w:val="24"/>
          <w:u w:val="single"/>
        </w:rPr>
        <w:t>Non-Disparagement</w:t>
      </w:r>
      <w:r>
        <w:rPr>
          <w:rFonts w:ascii="Times New Roman;serif" w:hAnsi="Times New Roman;serif"/>
          <w:b w:val="false"/>
          <w:sz w:val="24"/>
        </w:rPr>
        <w:t>. As a condition to receiving Severance Benefits under this Plan, the Participant agrees that, subject to Section 24 of the Plan, following the Participant’s termination, the Participant will not knowingly and materially disparage, libel, slander, or otherwise make any materially derogatory statements regarding the Company or any of its officers or directors. Notwithstanding the foregoing, nothing contained in the Plan will be deemed to restrict the Participant from providing information to any governmental or regulatory agency or body (or in any way limit the content of any such information) to the extent the Participant is required to provide such information pursuant a subpoena or as otherwise required by applicable law or regulation, or in accordance with any governmental investigation or audit relating to the Company.</w:t>
      </w:r>
    </w:p>
    <w:p>
      <w:pPr>
        <w:pStyle w:val="TextBody"/>
        <w:bidi w:val="0"/>
        <w:spacing w:before="240" w:after="0"/>
        <w:jc w:val="both"/>
        <w:rPr>
          <w:rFonts w:ascii="Times New Roman" w:hAnsi="Times New Roman"/>
          <w:b w:val="false"/>
          <w:sz w:val="24"/>
        </w:rPr>
      </w:pPr>
      <w:r>
        <w:rPr>
          <w:rFonts w:ascii="Times New Roman" w:hAnsi="Times New Roman"/>
          <w:b w:val="false"/>
          <w:sz w:val="24"/>
        </w:rPr>
        <w:t>6.4</w:t>
      </w:r>
    </w:p>
    <w:p>
      <w:pPr>
        <w:pStyle w:val="TextBody"/>
        <w:bidi w:val="0"/>
        <w:spacing w:before="240" w:after="0"/>
        <w:jc w:val="both"/>
        <w:rPr/>
      </w:pPr>
      <w:r>
        <w:rPr>
          <w:rFonts w:ascii="Times New Roman;serif" w:hAnsi="Times New Roman;serif"/>
          <w:b w:val="false"/>
          <w:sz w:val="24"/>
          <w:u w:val="single"/>
        </w:rPr>
        <w:t>Other Requirements</w:t>
      </w:r>
      <w:r>
        <w:rPr>
          <w:rFonts w:ascii="Times New Roman;serif" w:hAnsi="Times New Roman;serif"/>
          <w:b w:val="false"/>
          <w:sz w:val="24"/>
        </w:rPr>
        <w:t>. Severance Benefits under this Plan shall terminate immediately for a Participant if such Participant, at any time, violates any such agreement and/or the provisions of this Section 6.</w:t>
      </w:r>
    </w:p>
    <w:p>
      <w:pPr>
        <w:pStyle w:val="TextBody"/>
        <w:bidi w:val="0"/>
        <w:spacing w:before="24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pPr>
      <w:r>
        <w:rPr>
          <w:rFonts w:ascii="Times New Roman;serif" w:hAnsi="Times New Roman;serif"/>
          <w:b w:val="false"/>
          <w:sz w:val="24"/>
          <w:u w:val="single"/>
        </w:rPr>
        <w:t>Timing of Severance Benefits</w:t>
      </w:r>
      <w:r>
        <w:rPr>
          <w:rFonts w:ascii="Times New Roman;serif" w:hAnsi="Times New Roman;serif"/>
          <w:b w:val="false"/>
          <w:sz w:val="24"/>
        </w:rPr>
        <w:t xml:space="preserve">. </w:t>
      </w:r>
      <w:bookmarkStart w:id="8" w:name="ole_link8"/>
      <w:bookmarkEnd w:id="8"/>
      <w:r>
        <w:rPr>
          <w:rFonts w:ascii="Times New Roman;serif" w:hAnsi="Times New Roman;serif"/>
          <w:b w:val="false"/>
          <w:sz w:val="24"/>
        </w:rPr>
        <w:t>Unless otherwise provided in a Participant’s Participation Agreement, provided that the Release becomes effective and irrevocable by the Release Deadline Date and subject to Section 9, the Severance Benefits will be paid, or in the case of installments, will commence, on the first Company payroll date following the Release Deadline Date (such payment date, the “</w:t>
      </w:r>
      <w:r>
        <w:rPr>
          <w:rFonts w:ascii="Times New Roman;serif" w:hAnsi="Times New Roman;serif"/>
          <w:b w:val="false"/>
          <w:sz w:val="24"/>
          <w:u w:val="single"/>
        </w:rPr>
        <w:t>Severance Start Date</w:t>
      </w:r>
      <w:r>
        <w:rPr/>
        <w:t>”</w:t>
      </w:r>
      <w:r>
        <w:rPr>
          <w:rFonts w:ascii="Times New Roman;serif" w:hAnsi="Times New Roman;serif"/>
          <w:b w:val="false"/>
          <w:sz w:val="24"/>
        </w:rPr>
        <w:t>), and any Severance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 and the Participant’s Participation Agreement.</w:t>
      </w:r>
      <w:r>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b w:val="false"/>
          <w:sz w:val="24"/>
        </w:rPr>
      </w:pPr>
      <w:r>
        <w:rPr>
          <w:rFonts w:ascii="Times New Roman" w:hAnsi="Times New Roman"/>
          <w:b w:val="false"/>
          <w:sz w:val="24"/>
        </w:rPr>
        <w:t>8.</w:t>
      </w:r>
    </w:p>
    <w:p>
      <w:pPr>
        <w:pStyle w:val="TextBody"/>
        <w:bidi w:val="0"/>
        <w:spacing w:before="240" w:after="0"/>
        <w:jc w:val="both"/>
        <w:rPr/>
      </w:pPr>
      <w:r>
        <w:rPr>
          <w:rFonts w:ascii="Times New Roman;serif" w:hAnsi="Times New Roman;serif"/>
          <w:b w:val="false"/>
          <w:sz w:val="24"/>
          <w:u w:val="single"/>
        </w:rPr>
        <w:t>Exclusive Benefit</w:t>
      </w:r>
      <w:r>
        <w:rPr>
          <w:rFonts w:ascii="Times New Roman;serif" w:hAnsi="Times New Roman;serif"/>
          <w:b w:val="false"/>
          <w:sz w:val="24"/>
        </w:rPr>
        <w:t xml:space="preserve">. Except as otherwise specifically provided in </w:t>
      </w:r>
      <w:r>
        <w:rPr>
          <w:rFonts w:ascii="Times New Roman;serif" w:hAnsi="Times New Roman;serif"/>
          <w:b w:val="false"/>
          <w:sz w:val="24"/>
          <w:u w:val="single"/>
        </w:rPr>
        <w:t>Appendix A</w:t>
      </w:r>
      <w:r>
        <w:rPr>
          <w:rFonts w:ascii="Times New Roman;serif" w:hAnsi="Times New Roman;serif"/>
          <w:b w:val="false"/>
          <w:sz w:val="24"/>
        </w:rPr>
        <w:t>, the Severance Benefits shall be the exclusive benefit for a Participant related to termination of employment with the Company (or any parent or subsidiary).</w:t>
      </w:r>
    </w:p>
    <w:p>
      <w:pPr>
        <w:pStyle w:val="TextBody"/>
        <w:bidi w:val="0"/>
        <w:spacing w:before="240" w:after="0"/>
        <w:jc w:val="both"/>
        <w:rPr>
          <w:rFonts w:ascii="Times New Roman" w:hAnsi="Times New Roman"/>
          <w:b w:val="false"/>
          <w:sz w:val="24"/>
        </w:rPr>
      </w:pPr>
      <w:r>
        <w:rPr>
          <w:rFonts w:ascii="Times New Roman" w:hAnsi="Times New Roman"/>
          <w:b w:val="false"/>
          <w:sz w:val="24"/>
        </w:rPr>
        <w:t>9.</w:t>
      </w:r>
    </w:p>
    <w:p>
      <w:pPr>
        <w:pStyle w:val="TextBody"/>
        <w:bidi w:val="0"/>
        <w:spacing w:before="240" w:after="0"/>
        <w:jc w:val="both"/>
        <w:rPr/>
      </w:pPr>
      <w:r>
        <w:rPr>
          <w:rFonts w:ascii="Times New Roman;serif" w:hAnsi="Times New Roman;serif"/>
          <w:b w:val="false"/>
          <w:sz w:val="24"/>
          <w:u w:val="single"/>
        </w:rPr>
        <w:t>Section 409A</w:t>
      </w:r>
      <w:r>
        <w:rPr>
          <w:rFonts w:ascii="Times New Roman;serif" w:hAnsi="Times New Roman;serif"/>
          <w:b w:val="false"/>
          <w:sz w:val="24"/>
        </w:rPr>
        <w:t>.</w:t>
      </w:r>
    </w:p>
    <w:p>
      <w:pPr>
        <w:pStyle w:val="TextBody"/>
        <w:bidi w:val="0"/>
        <w:spacing w:before="240" w:after="0"/>
        <w:jc w:val="both"/>
        <w:rPr>
          <w:rFonts w:ascii="Times New Roman" w:hAnsi="Times New Roman"/>
          <w:b w:val="false"/>
          <w:sz w:val="24"/>
        </w:rPr>
      </w:pPr>
      <w:r>
        <w:rPr>
          <w:rFonts w:ascii="Times New Roman" w:hAnsi="Times New Roman"/>
          <w:b w:val="false"/>
          <w:sz w:val="24"/>
        </w:rPr>
        <w:t>9.1</w:t>
      </w:r>
    </w:p>
    <w:p>
      <w:pPr>
        <w:pStyle w:val="TextBody"/>
        <w:bidi w:val="0"/>
        <w:spacing w:before="240" w:after="283"/>
        <w:jc w:val="both"/>
        <w:rPr/>
      </w:pPr>
      <w:r>
        <w:rPr>
          <w:rFonts w:ascii="Times New Roman;serif" w:hAnsi="Times New Roman;serif"/>
          <w:b w:val="false"/>
          <w:sz w:val="24"/>
        </w:rPr>
        <w:t>Notwithstanding anything to the contrary in this Plan, no Severance Benefits to be paid or provided to a Participant, if any, under this Plan that, when considered together with any other severance payments or separation benefits, are considered deferred compensation under Section 409A of the Code, and the final regulations and any guidance promulgated thereunder (“</w:t>
      </w:r>
      <w:r>
        <w:rPr>
          <w:rFonts w:ascii="Times New Roman;serif" w:hAnsi="Times New Roman;serif"/>
          <w:b w:val="false"/>
          <w:sz w:val="24"/>
          <w:u w:val="single"/>
        </w:rPr>
        <w:t>Section 409A</w:t>
      </w:r>
      <w:r>
        <w:rPr/>
        <w:t>”</w:t>
      </w:r>
      <w:r>
        <w:rPr>
          <w:rFonts w:ascii="Times New Roman;serif" w:hAnsi="Times New Roman;serif"/>
          <w:b w:val="false"/>
          <w:sz w:val="24"/>
        </w:rPr>
        <w:t>) (together, the “</w:t>
      </w:r>
      <w:r>
        <w:rPr>
          <w:rFonts w:ascii="Times New Roman;serif" w:hAnsi="Times New Roman;serif"/>
          <w:b w:val="false"/>
          <w:sz w:val="24"/>
          <w:u w:val="single"/>
        </w:rPr>
        <w:t>Deferred Payments</w:t>
      </w:r>
      <w:r>
        <w:rPr/>
        <w:t>”</w:t>
      </w:r>
      <w:r>
        <w:rPr>
          <w:rFonts w:ascii="Times New Roman;serif" w:hAnsi="Times New Roman;serif"/>
          <w:b w:val="false"/>
          <w:sz w:val="24"/>
        </w:rPr>
        <w:t xml:space="preserve">) will be paid or provided until the Participant has a “separation from service” within the meaning of Section 409A. Similarly, no Severance Benefits payable to a Participant, if any, under this Plan that otherwise would be exempt from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Section 409A pursuant to Treasury Regulation Section 1.409A</w:t>
        <w:noBreakHyphen/>
        <w:t>1(b)(9) will be payable until the Participant has a “separation from service” within the meaning of Section 409A.</w:t>
      </w:r>
    </w:p>
    <w:p>
      <w:pPr>
        <w:pStyle w:val="TextBody"/>
        <w:bidi w:val="0"/>
        <w:spacing w:before="240" w:after="0"/>
        <w:jc w:val="both"/>
        <w:rPr>
          <w:rFonts w:ascii="Times New Roman" w:hAnsi="Times New Roman"/>
          <w:b w:val="false"/>
          <w:sz w:val="24"/>
        </w:rPr>
      </w:pPr>
      <w:r>
        <w:rPr>
          <w:rFonts w:ascii="Times New Roman" w:hAnsi="Times New Roman"/>
          <w:b w:val="false"/>
          <w:sz w:val="24"/>
        </w:rPr>
        <w:t>9.2</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It is intended that none of the Severance Benefits will constitute Deferred Payments but rather will be exempt from Section 409A as a payment that would fall within the “short-term deferral period” as described in Section 9.4 below or resulting from an involuntary separation from service as described in Section 9.5 below. In no event will a Participant have discretion to determine the taxable year of payment of any Deferred Payment.</w:t>
      </w:r>
    </w:p>
    <w:p>
      <w:pPr>
        <w:pStyle w:val="TextBody"/>
        <w:bidi w:val="0"/>
        <w:spacing w:before="240" w:after="0"/>
        <w:jc w:val="both"/>
        <w:rPr>
          <w:rFonts w:ascii="Times New Roman" w:hAnsi="Times New Roman"/>
          <w:b w:val="false"/>
          <w:sz w:val="24"/>
        </w:rPr>
      </w:pPr>
      <w:r>
        <w:rPr>
          <w:rFonts w:ascii="Times New Roman" w:hAnsi="Times New Roman"/>
          <w:b w:val="false"/>
          <w:sz w:val="24"/>
        </w:rPr>
        <w:t>9.3</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Notwithstanding anything to the contrary in this Plan, if a Participant is a “specified employee” within the meaning of Section 409A at the time of the Participant’s separation from service (other than due to death), then the Deferred Payments, if any, that are payable within the first 6 months following the Participant’s separation from service, will become payable on the date 6 months and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6 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pStyle w:val="TextBody"/>
        <w:bidi w:val="0"/>
        <w:spacing w:before="240" w:after="0"/>
        <w:jc w:val="both"/>
        <w:rPr>
          <w:rFonts w:ascii="Times New Roman" w:hAnsi="Times New Roman"/>
          <w:b w:val="false"/>
          <w:sz w:val="24"/>
        </w:rPr>
      </w:pPr>
      <w:r>
        <w:rPr>
          <w:rFonts w:ascii="Times New Roman" w:hAnsi="Times New Roman"/>
          <w:b w:val="false"/>
          <w:sz w:val="24"/>
        </w:rPr>
        <w:t>9.4</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Any amount paid under this Plan that satisfies the requirements of the “short-term deferral” rule set forth in Section 1.409A-1(b)(4) of the Treasury Regulations will not constitute Deferred Payments for purposes of this Section 9.</w:t>
      </w:r>
    </w:p>
    <w:p>
      <w:pPr>
        <w:pStyle w:val="TextBody"/>
        <w:bidi w:val="0"/>
        <w:spacing w:before="240" w:after="0"/>
        <w:jc w:val="both"/>
        <w:rPr>
          <w:rFonts w:ascii="Times New Roman" w:hAnsi="Times New Roman"/>
          <w:b w:val="false"/>
          <w:sz w:val="24"/>
        </w:rPr>
      </w:pPr>
      <w:r>
        <w:rPr>
          <w:rFonts w:ascii="Times New Roman" w:hAnsi="Times New Roman"/>
          <w:b w:val="false"/>
          <w:sz w:val="24"/>
        </w:rPr>
        <w:t>9.5</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Any amount paid under this Plan that qualifies as a payment made as a result of an involuntary separation from service pursuant to Section 1.409A-1(b)(9)(iii) of the Treasury Regulations that does not exceed the Section 409A Limit will not constitute Deferred Payments for purposes of this Section 9.</w:t>
      </w:r>
    </w:p>
    <w:p>
      <w:pPr>
        <w:pStyle w:val="TextBody"/>
        <w:bidi w:val="0"/>
        <w:spacing w:before="240" w:after="0"/>
        <w:jc w:val="both"/>
        <w:rPr>
          <w:rFonts w:ascii="Times New Roman" w:hAnsi="Times New Roman"/>
          <w:b w:val="false"/>
          <w:sz w:val="24"/>
        </w:rPr>
      </w:pPr>
      <w:r>
        <w:rPr>
          <w:rFonts w:ascii="Times New Roman" w:hAnsi="Times New Roman"/>
          <w:b w:val="false"/>
          <w:sz w:val="24"/>
        </w:rPr>
        <w:t>9.6</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 xml:space="preserve">The foregoing provisions are intended to comply with or be exempt from the requirements of Section 409A so that none of the Severance Benefits will be subject to the additional tax imposed under Section 409A, and any ambiguities herein will be interpreted to so comply or be exempt. Notwithstanding anything to the contrary in the Plan, including but not limited to Sections 11 and 13, the Company reserves the right to amend the Plan as it deems necessary or advisable, in its sole discretion and without the consent of the Participants, to comply with Section 409A or to avoid income recognition under Section 409A prior to the actual payment of Severance Benefits or imposition of any additional tax. In no event will the Company have any liability or obligation to reimburse, indemnify or hold harmless a Participant for any taxes or other costs that may be imposed on or incurred by the Participant as result of Section 409A. </w:t>
      </w:r>
    </w:p>
    <w:p>
      <w:pPr>
        <w:pStyle w:val="TextBody"/>
        <w:bidi w:val="0"/>
        <w:spacing w:before="240" w:after="0"/>
        <w:jc w:val="both"/>
        <w:rPr>
          <w:rFonts w:ascii="Times New Roman" w:hAnsi="Times New Roman"/>
          <w:b w:val="false"/>
          <w:sz w:val="24"/>
        </w:rPr>
      </w:pPr>
      <w:r>
        <w:rPr>
          <w:rFonts w:ascii="Times New Roman" w:hAnsi="Times New Roman"/>
          <w:b w:val="false"/>
          <w:sz w:val="24"/>
        </w:rPr>
        <w:t>10.</w:t>
      </w:r>
    </w:p>
    <w:p>
      <w:pPr>
        <w:pStyle w:val="TextBody"/>
        <w:bidi w:val="0"/>
        <w:spacing w:before="240" w:after="283"/>
        <w:jc w:val="both"/>
        <w:rPr/>
      </w:pPr>
      <w:r>
        <w:rPr>
          <w:rFonts w:ascii="Times New Roman;serif" w:hAnsi="Times New Roman;serif"/>
          <w:b w:val="false"/>
          <w:sz w:val="24"/>
          <w:u w:val="single"/>
        </w:rPr>
        <w:t>Withholdings</w:t>
      </w:r>
      <w:r>
        <w:rPr>
          <w:rFonts w:ascii="Times New Roman;serif" w:hAnsi="Times New Roman;serif"/>
          <w:b w:val="false"/>
          <w:sz w:val="24"/>
        </w:rPr>
        <w:t>. The Company will withhold from any Severance Benefits all applicable U.S. federal, state, local and non-U.S. taxes required to be withheld and any other required payroll deductions.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 w:hAnsi="Times New Roman"/>
          <w:b w:val="false"/>
          <w:sz w:val="24"/>
        </w:rPr>
      </w:pPr>
      <w:r>
        <w:rPr>
          <w:rFonts w:ascii="Times New Roman" w:hAnsi="Times New Roman"/>
          <w:b w:val="false"/>
          <w:sz w:val="24"/>
        </w:rPr>
        <w:t>11.</w:t>
      </w:r>
    </w:p>
    <w:p>
      <w:pPr>
        <w:pStyle w:val="TextBody"/>
        <w:bidi w:val="0"/>
        <w:spacing w:before="240" w:after="0"/>
        <w:jc w:val="both"/>
        <w:rPr/>
      </w:pPr>
      <w:r>
        <w:rPr>
          <w:rFonts w:ascii="Times New Roman;serif" w:hAnsi="Times New Roman;serif"/>
          <w:b w:val="false"/>
          <w:sz w:val="24"/>
          <w:u w:val="single"/>
        </w:rPr>
        <w:t>Administration</w:t>
      </w:r>
      <w:r>
        <w:rPr>
          <w:rFonts w:ascii="Times New Roman;serif" w:hAnsi="Times New Roman;serif"/>
          <w:b w:val="false"/>
          <w:sz w:val="24"/>
        </w:rPr>
        <w:t xml:space="preserve">. The Company is the administrator of the Plan (within the meaning of section 3(16)(A) of ERISA). The Plan will be administered and interpreted by the Administrator (in his or her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Times New Roman;serif" w:hAnsi="Times New Roman;serif"/>
          <w:b w:val="false"/>
          <w:i/>
          <w:sz w:val="24"/>
        </w:rPr>
        <w:t>provided, however,</w:t>
      </w:r>
      <w:r>
        <w:rPr/>
        <w:t xml:space="preserve"> </w:t>
      </w:r>
      <w:r>
        <w:rPr>
          <w:rFonts w:ascii="Times New Roman;serif" w:hAnsi="Times New Roman;serif"/>
          <w:b w:val="false"/>
          <w:sz w:val="24"/>
        </w:rPr>
        <w:t>that any Plan amendment or termination or any other action that reasonably could be expected to increase materially the cost of the Plan must be approved by the Board.</w:t>
      </w:r>
    </w:p>
    <w:p>
      <w:pPr>
        <w:pStyle w:val="TextBody"/>
        <w:bidi w:val="0"/>
        <w:spacing w:before="240" w:after="0"/>
        <w:jc w:val="both"/>
        <w:rPr>
          <w:rFonts w:ascii="Times New Roman" w:hAnsi="Times New Roman"/>
          <w:b w:val="false"/>
          <w:sz w:val="24"/>
        </w:rPr>
      </w:pPr>
      <w:r>
        <w:rPr>
          <w:rFonts w:ascii="Times New Roman" w:hAnsi="Times New Roman"/>
          <w:b w:val="false"/>
          <w:sz w:val="24"/>
        </w:rPr>
        <w:t>12.</w:t>
      </w:r>
    </w:p>
    <w:p>
      <w:pPr>
        <w:pStyle w:val="TextBody"/>
        <w:bidi w:val="0"/>
        <w:spacing w:before="240" w:after="0"/>
        <w:jc w:val="both"/>
        <w:rPr/>
      </w:pPr>
      <w:r>
        <w:rPr>
          <w:rFonts w:ascii="Times New Roman;serif" w:hAnsi="Times New Roman;serif"/>
          <w:b w:val="false"/>
          <w:sz w:val="24"/>
          <w:u w:val="single"/>
        </w:rPr>
        <w:t>Eligibility to Participate</w:t>
      </w:r>
      <w:r>
        <w:rPr>
          <w:rFonts w:ascii="Times New Roman;serif" w:hAnsi="Times New Roman;serif"/>
          <w:b w:val="false"/>
          <w:sz w:val="24"/>
        </w:rPr>
        <w:t>. To the extent that the Administrator has delegated administrative authority or responsibility to one or more officers of the Company in accordance with Sections 2.1 and 11,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pStyle w:val="TextBody"/>
        <w:bidi w:val="0"/>
        <w:spacing w:before="240" w:after="0"/>
        <w:jc w:val="both"/>
        <w:rPr>
          <w:rFonts w:ascii="Times New Roman" w:hAnsi="Times New Roman"/>
          <w:b w:val="false"/>
          <w:sz w:val="24"/>
        </w:rPr>
      </w:pPr>
      <w:r>
        <w:rPr>
          <w:rFonts w:ascii="Times New Roman" w:hAnsi="Times New Roman"/>
          <w:b w:val="false"/>
          <w:sz w:val="24"/>
        </w:rPr>
        <w:t>13.</w:t>
      </w:r>
    </w:p>
    <w:p>
      <w:pPr>
        <w:pStyle w:val="TextBody"/>
        <w:bidi w:val="0"/>
        <w:spacing w:before="240" w:after="0"/>
        <w:jc w:val="both"/>
        <w:rPr/>
      </w:pPr>
      <w:r>
        <w:rPr>
          <w:rFonts w:ascii="Times New Roman;serif" w:hAnsi="Times New Roman;serif"/>
          <w:b w:val="false"/>
          <w:sz w:val="24"/>
          <w:u w:val="single"/>
        </w:rPr>
        <w:t>Amendment or Termination</w:t>
      </w:r>
      <w:r>
        <w:rPr>
          <w:rFonts w:ascii="Times New Roman;serif" w:hAnsi="Times New Roman;serif"/>
          <w:b w:val="false"/>
          <w:sz w:val="24"/>
        </w:rPr>
        <w:t>. The Company, by action of the Administrator, reserves the right to amend or terminate the Plan at any time, without advance notice to any Participant and without regard to the effect of the amendment or termination on any Participant or on any other individual, subject to the following; provided, however, that any amendment or termination of the Plan that is materially detrimental to a Participant prior to such amendment or termination of the Plan will not be effective with respect to such Participant without such Participant’s prior written consent. Any amendment or termination of the Plan will be in writing. Notwithstanding the foregoing, any amendment to the Plan that (a) causes an individual to cease to be a Participant, or (b) reduces or alters to the detriment of the Participant the Severance Benefits potentially payable to that Participant (including, without limitation, imposing additional conditions or modifying the timing of payment), will not be effective without that Participant’s written consent. Any action of the Company in amending or terminating the Plan will be taken in a non</w:t>
        <w:noBreakHyphen/>
        <w:t>fiduciary capacity.</w:t>
      </w:r>
    </w:p>
    <w:p>
      <w:pPr>
        <w:pStyle w:val="TextBody"/>
        <w:bidi w:val="0"/>
        <w:spacing w:before="240" w:after="0"/>
        <w:jc w:val="both"/>
        <w:rPr>
          <w:rFonts w:ascii="Times New Roman" w:hAnsi="Times New Roman"/>
          <w:b w:val="false"/>
          <w:sz w:val="24"/>
        </w:rPr>
      </w:pPr>
      <w:r>
        <w:rPr>
          <w:rFonts w:ascii="Times New Roman" w:hAnsi="Times New Roman"/>
          <w:b w:val="false"/>
          <w:sz w:val="24"/>
        </w:rPr>
        <w:t>14.</w:t>
      </w:r>
    </w:p>
    <w:p>
      <w:pPr>
        <w:pStyle w:val="TextBody"/>
        <w:bidi w:val="0"/>
        <w:spacing w:before="240" w:after="0"/>
        <w:jc w:val="both"/>
        <w:rPr/>
      </w:pPr>
      <w:r>
        <w:rPr>
          <w:rFonts w:ascii="Times New Roman;serif" w:hAnsi="Times New Roman;serif"/>
          <w:b w:val="false"/>
          <w:sz w:val="24"/>
          <w:u w:val="single"/>
        </w:rPr>
        <w:t>Claims and Appeals</w:t>
      </w:r>
      <w:r>
        <w:rPr>
          <w:rFonts w:ascii="Times New Roman;serif" w:hAnsi="Times New Roman;serif"/>
          <w:b w:val="false"/>
          <w:sz w:val="24"/>
        </w:rPr>
        <w:t>.</w:t>
      </w:r>
    </w:p>
    <w:p>
      <w:pPr>
        <w:pStyle w:val="TextBody"/>
        <w:bidi w:val="0"/>
        <w:spacing w:before="240" w:after="0"/>
        <w:jc w:val="both"/>
        <w:rPr>
          <w:rFonts w:ascii="Times New Roman" w:hAnsi="Times New Roman"/>
          <w:b w:val="false"/>
          <w:sz w:val="24"/>
        </w:rPr>
      </w:pPr>
      <w:r>
        <w:rPr>
          <w:rFonts w:ascii="Times New Roman" w:hAnsi="Times New Roman"/>
          <w:b w:val="false"/>
          <w:sz w:val="24"/>
        </w:rPr>
        <w:t>14.1</w:t>
      </w:r>
    </w:p>
    <w:p>
      <w:pPr>
        <w:pStyle w:val="TextBody"/>
        <w:bidi w:val="0"/>
        <w:spacing w:before="240" w:after="283"/>
        <w:jc w:val="both"/>
        <w:rPr/>
      </w:pPr>
      <w:r>
        <w:rPr>
          <w:rFonts w:ascii="Times New Roman;serif" w:hAnsi="Times New Roman;serif"/>
          <w:b w:val="false"/>
          <w:sz w:val="24"/>
          <w:u w:val="single"/>
        </w:rPr>
        <w:t>Claims Procedure</w:t>
      </w:r>
      <w:r>
        <w:rPr>
          <w:rFonts w:ascii="Times New Roman;serif" w:hAnsi="Times New Roman;serif"/>
          <w:b w:val="false"/>
          <w:sz w:val="24"/>
        </w:rPr>
        <w:t xml:space="preserve">. Any employee or other person who believes he or she is entitled to any Severance Benefits may submit a claim in writing to the Administrator within 90 days of the earlier of (i) the date the claimant learned the amount of his or her Severance Benefits or (ii) the date the claimant learned that he or she will not be entitled to any Severance Benefits.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after the claim is received. If special circumstances require an extension of time (up to 90 days), written notice of the extension will be given within the initial 90 day period. This notice of extension will indicate the special circumstances requiring the extension of time and the date by which the Administrator expects to render its decision on the claim.</w:t>
      </w:r>
    </w:p>
    <w:p>
      <w:pPr>
        <w:pStyle w:val="TextBody"/>
        <w:bidi w:val="0"/>
        <w:spacing w:before="240" w:after="0"/>
        <w:jc w:val="both"/>
        <w:rPr>
          <w:rFonts w:ascii="Times New Roman" w:hAnsi="Times New Roman"/>
          <w:b w:val="false"/>
          <w:sz w:val="24"/>
        </w:rPr>
      </w:pPr>
      <w:r>
        <w:rPr>
          <w:rFonts w:ascii="Times New Roman" w:hAnsi="Times New Roman"/>
          <w:b w:val="false"/>
          <w:sz w:val="24"/>
        </w:rPr>
        <w:t>14.2</w:t>
      </w:r>
    </w:p>
    <w:p>
      <w:pPr>
        <w:pStyle w:val="TextBody"/>
        <w:bidi w:val="0"/>
        <w:spacing w:before="240" w:after="0"/>
        <w:jc w:val="both"/>
        <w:rPr/>
      </w:pPr>
      <w:r>
        <w:rPr>
          <w:rFonts w:ascii="Times New Roman;serif" w:hAnsi="Times New Roman;serif"/>
          <w:b w:val="false"/>
          <w:sz w:val="24"/>
          <w:u w:val="single"/>
        </w:rPr>
        <w:t>Appeal Procedure</w:t>
      </w:r>
      <w:r>
        <w:rPr>
          <w:rFonts w:ascii="Times New Roman;serif" w:hAnsi="Times New Roman;serif"/>
          <w:b w:val="false"/>
          <w:sz w:val="24"/>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before="240" w:after="0"/>
        <w:jc w:val="both"/>
        <w:rPr>
          <w:rFonts w:ascii="Times New Roman" w:hAnsi="Times New Roman"/>
          <w:b w:val="false"/>
          <w:sz w:val="24"/>
        </w:rPr>
      </w:pPr>
      <w:r>
        <w:rPr>
          <w:rFonts w:ascii="Times New Roman" w:hAnsi="Times New Roman"/>
          <w:b w:val="false"/>
          <w:sz w:val="24"/>
        </w:rPr>
        <w:t>15.</w:t>
      </w:r>
    </w:p>
    <w:p>
      <w:pPr>
        <w:pStyle w:val="TextBody"/>
        <w:bidi w:val="0"/>
        <w:spacing w:before="240" w:after="0"/>
        <w:jc w:val="both"/>
        <w:rPr/>
      </w:pPr>
      <w:r>
        <w:rPr>
          <w:rFonts w:ascii="Times New Roman;serif" w:hAnsi="Times New Roman;serif"/>
          <w:b w:val="false"/>
          <w:sz w:val="24"/>
          <w:u w:val="single"/>
        </w:rPr>
        <w:t>Attorneys’ Fees</w:t>
      </w:r>
      <w:r>
        <w:rPr>
          <w:rFonts w:ascii="Times New Roman;serif" w:hAnsi="Times New Roman;serif"/>
          <w:b w:val="false"/>
          <w:sz w:val="24"/>
        </w:rPr>
        <w:t>. The parties shall each bear their own expenses, legal fees and other fees incurred in connection with this Plan.</w:t>
      </w:r>
    </w:p>
    <w:p>
      <w:pPr>
        <w:pStyle w:val="TextBody"/>
        <w:bidi w:val="0"/>
        <w:spacing w:before="240" w:after="0"/>
        <w:jc w:val="both"/>
        <w:rPr>
          <w:rFonts w:ascii="Times New Roman" w:hAnsi="Times New Roman"/>
          <w:b w:val="false"/>
          <w:sz w:val="24"/>
        </w:rPr>
      </w:pPr>
      <w:r>
        <w:rPr>
          <w:rFonts w:ascii="Times New Roman" w:hAnsi="Times New Roman"/>
          <w:b w:val="false"/>
          <w:sz w:val="24"/>
        </w:rPr>
        <w:t>16.</w:t>
      </w:r>
    </w:p>
    <w:p>
      <w:pPr>
        <w:pStyle w:val="TextBody"/>
        <w:bidi w:val="0"/>
        <w:spacing w:before="240" w:after="0"/>
        <w:jc w:val="both"/>
        <w:rPr/>
      </w:pPr>
      <w:r>
        <w:rPr>
          <w:rFonts w:ascii="Times New Roman;serif" w:hAnsi="Times New Roman;serif"/>
          <w:b w:val="false"/>
          <w:sz w:val="24"/>
          <w:u w:val="single"/>
        </w:rPr>
        <w:t>Source of Payments</w:t>
      </w:r>
      <w:r>
        <w:rPr>
          <w:rFonts w:ascii="Times New Roman;serif" w:hAnsi="Times New Roman;serif"/>
          <w:b w:val="false"/>
          <w:sz w:val="24"/>
        </w:rPr>
        <w:t>. All payments under the Plan will be paid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pStyle w:val="TextBody"/>
        <w:bidi w:val="0"/>
        <w:spacing w:before="240" w:after="0"/>
        <w:jc w:val="both"/>
        <w:rPr>
          <w:rFonts w:ascii="Times New Roman" w:hAnsi="Times New Roman"/>
          <w:b w:val="false"/>
          <w:sz w:val="24"/>
        </w:rPr>
      </w:pPr>
      <w:r>
        <w:rPr>
          <w:rFonts w:ascii="Times New Roman" w:hAnsi="Times New Roman"/>
          <w:b w:val="false"/>
          <w:sz w:val="24"/>
        </w:rPr>
        <w:t>17.</w:t>
      </w:r>
    </w:p>
    <w:p>
      <w:pPr>
        <w:pStyle w:val="TextBody"/>
        <w:bidi w:val="0"/>
        <w:spacing w:before="240" w:after="0"/>
        <w:jc w:val="both"/>
        <w:rPr/>
      </w:pPr>
      <w:r>
        <w:rPr>
          <w:rFonts w:ascii="Times New Roman;serif" w:hAnsi="Times New Roman;serif"/>
          <w:b w:val="false"/>
          <w:sz w:val="24"/>
          <w:u w:val="single"/>
        </w:rPr>
        <w:t>Inalienability</w:t>
      </w:r>
      <w:r>
        <w:rPr>
          <w:rFonts w:ascii="Times New Roman;serif" w:hAnsi="Times New Roman;serif"/>
          <w:b w:val="false"/>
          <w:sz w:val="24"/>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pStyle w:val="TextBody"/>
        <w:bidi w:val="0"/>
        <w:spacing w:before="240" w:after="0"/>
        <w:jc w:val="both"/>
        <w:rPr>
          <w:rFonts w:ascii="Times New Roman" w:hAnsi="Times New Roman"/>
          <w:b w:val="false"/>
          <w:sz w:val="24"/>
        </w:rPr>
      </w:pPr>
      <w:r>
        <w:rPr>
          <w:rFonts w:ascii="Times New Roman" w:hAnsi="Times New Roman"/>
          <w:b w:val="false"/>
          <w:sz w:val="24"/>
        </w:rPr>
        <w:t>18.</w:t>
      </w:r>
    </w:p>
    <w:p>
      <w:pPr>
        <w:pStyle w:val="TextBody"/>
        <w:bidi w:val="0"/>
        <w:spacing w:before="240" w:after="0"/>
        <w:jc w:val="both"/>
        <w:rPr/>
      </w:pPr>
      <w:r>
        <w:rPr>
          <w:rFonts w:ascii="Times New Roman;serif" w:hAnsi="Times New Roman;serif"/>
          <w:b w:val="false"/>
          <w:sz w:val="24"/>
          <w:u w:val="single"/>
        </w:rPr>
        <w:t>No Enlargement of Employment Rights</w:t>
      </w:r>
      <w:r>
        <w:rPr>
          <w:rFonts w:ascii="Times New Roman;serif" w:hAnsi="Times New Roman;serif"/>
          <w:b w:val="false"/>
          <w:sz w:val="24"/>
        </w:rPr>
        <w:t>. Neither the establishment or maintenance or amendment of 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Severance Benefits depending upon the circumstances of his or her termination of employment.</w:t>
      </w:r>
    </w:p>
    <w:p>
      <w:pPr>
        <w:pStyle w:val="TextBody"/>
        <w:bidi w:val="0"/>
        <w:spacing w:before="240" w:after="0"/>
        <w:jc w:val="both"/>
        <w:rPr>
          <w:rFonts w:ascii="Times New Roman" w:hAnsi="Times New Roman"/>
          <w:b w:val="false"/>
          <w:sz w:val="24"/>
        </w:rPr>
      </w:pPr>
      <w:r>
        <w:rPr>
          <w:rFonts w:ascii="Times New Roman" w:hAnsi="Times New Roman"/>
          <w:b w:val="false"/>
          <w:sz w:val="24"/>
        </w:rPr>
        <w:t>19.</w:t>
      </w:r>
    </w:p>
    <w:p>
      <w:pPr>
        <w:pStyle w:val="TextBody"/>
        <w:bidi w:val="0"/>
        <w:spacing w:before="240" w:after="283"/>
        <w:jc w:val="both"/>
        <w:rPr/>
      </w:pPr>
      <w:r>
        <w:rPr>
          <w:rFonts w:ascii="Times New Roman;serif" w:hAnsi="Times New Roman;serif"/>
          <w:b w:val="false"/>
          <w:sz w:val="24"/>
          <w:u w:val="single"/>
        </w:rPr>
        <w:t>Successors</w:t>
      </w:r>
      <w:r>
        <w:rPr>
          <w:rFonts w:ascii="Times New Roman;serif" w:hAnsi="Times New Roman;serif"/>
          <w:b w:val="false"/>
          <w:sz w:val="24"/>
        </w:rPr>
        <w:t xml:space="preserve">. Any successor to the Company of all or substantially all of the Company’s business and/or assets (whether direct or indirect and whether by purchase, merger, consolidation, liquidation or other transaction) will assume the obligations under the Plan and agree expressly to perform the obligations under the Plan in the same manner and to the same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pStyle w:val="TextBody"/>
        <w:bidi w:val="0"/>
        <w:spacing w:before="240" w:after="0"/>
        <w:jc w:val="both"/>
        <w:rPr>
          <w:rFonts w:ascii="Times New Roman" w:hAnsi="Times New Roman"/>
          <w:b w:val="false"/>
          <w:sz w:val="24"/>
        </w:rPr>
      </w:pPr>
      <w:r>
        <w:rPr>
          <w:rFonts w:ascii="Times New Roman" w:hAnsi="Times New Roman"/>
          <w:b w:val="false"/>
          <w:sz w:val="24"/>
        </w:rPr>
        <w:t>20.</w:t>
      </w:r>
    </w:p>
    <w:p>
      <w:pPr>
        <w:pStyle w:val="TextBody"/>
        <w:bidi w:val="0"/>
        <w:spacing w:before="240" w:after="0"/>
        <w:jc w:val="both"/>
        <w:rPr/>
      </w:pPr>
      <w:r>
        <w:rPr>
          <w:rFonts w:ascii="Times New Roman;serif" w:hAnsi="Times New Roman;serif"/>
          <w:b w:val="false"/>
          <w:sz w:val="24"/>
          <w:u w:val="single"/>
        </w:rPr>
        <w:t>Applicable Law</w:t>
      </w:r>
      <w:r>
        <w:rPr>
          <w:rFonts w:ascii="Times New Roman;serif" w:hAnsi="Times New Roman;serif"/>
          <w:b w:val="false"/>
          <w:sz w:val="24"/>
        </w:rPr>
        <w:t>. The provisions of the Plan will be construed, administered and enforced in accordance with ERISA and, to the extent applicable, the internal substantive laws of the state of California (but not its conflict of laws provisions).</w:t>
      </w:r>
    </w:p>
    <w:p>
      <w:pPr>
        <w:pStyle w:val="TextBody"/>
        <w:bidi w:val="0"/>
        <w:spacing w:before="240" w:after="0"/>
        <w:jc w:val="both"/>
        <w:rPr>
          <w:rFonts w:ascii="Times New Roman" w:hAnsi="Times New Roman"/>
          <w:b w:val="false"/>
          <w:sz w:val="24"/>
        </w:rPr>
      </w:pPr>
      <w:r>
        <w:rPr>
          <w:rFonts w:ascii="Times New Roman" w:hAnsi="Times New Roman"/>
          <w:b w:val="false"/>
          <w:sz w:val="24"/>
        </w:rPr>
        <w:t>21.</w:t>
      </w:r>
    </w:p>
    <w:p>
      <w:pPr>
        <w:pStyle w:val="TextBody"/>
        <w:bidi w:val="0"/>
        <w:spacing w:before="240" w:after="0"/>
        <w:jc w:val="both"/>
        <w:rPr/>
      </w:pPr>
      <w:r>
        <w:rPr>
          <w:rFonts w:ascii="Times New Roman;serif" w:hAnsi="Times New Roman;serif"/>
          <w:b w:val="false"/>
          <w:sz w:val="24"/>
          <w:u w:val="single"/>
        </w:rPr>
        <w:t>Severability</w:t>
      </w:r>
      <w:r>
        <w:rPr>
          <w:rFonts w:ascii="Times New Roman;serif" w:hAnsi="Times New Roman;serif"/>
          <w:b w:val="false"/>
          <w:sz w:val="24"/>
        </w:rPr>
        <w:t>. If any provision of the Plan is held invalid or unenforceable, its invalidity or unenforceability will not affect any other provision of the Plan, and the Plan will be construed and enforced as if such provision had not been included.</w:t>
      </w:r>
    </w:p>
    <w:p>
      <w:pPr>
        <w:pStyle w:val="TextBody"/>
        <w:bidi w:val="0"/>
        <w:spacing w:before="240" w:after="0"/>
        <w:jc w:val="both"/>
        <w:rPr>
          <w:rFonts w:ascii="Times New Roman" w:hAnsi="Times New Roman"/>
          <w:b w:val="false"/>
          <w:sz w:val="24"/>
        </w:rPr>
      </w:pPr>
      <w:r>
        <w:rPr>
          <w:rFonts w:ascii="Times New Roman" w:hAnsi="Times New Roman"/>
          <w:b w:val="false"/>
          <w:sz w:val="24"/>
        </w:rPr>
        <w:t>22.</w:t>
      </w:r>
    </w:p>
    <w:p>
      <w:pPr>
        <w:pStyle w:val="TextBody"/>
        <w:bidi w:val="0"/>
        <w:spacing w:before="240" w:after="0"/>
        <w:jc w:val="both"/>
        <w:rPr/>
      </w:pPr>
      <w:r>
        <w:rPr>
          <w:rFonts w:ascii="Times New Roman;serif" w:hAnsi="Times New Roman;serif"/>
          <w:b w:val="false"/>
          <w:sz w:val="24"/>
          <w:u w:val="single"/>
        </w:rPr>
        <w:t>Headings</w:t>
      </w:r>
      <w:r>
        <w:rPr>
          <w:rFonts w:ascii="Times New Roman;serif" w:hAnsi="Times New Roman;serif"/>
          <w:b w:val="false"/>
          <w:sz w:val="24"/>
        </w:rPr>
        <w:t>. Headings in this Plan document are for purposes of reference only and will not limit or otherwise affect the meaning hereof.</w:t>
      </w:r>
    </w:p>
    <w:p>
      <w:pPr>
        <w:pStyle w:val="TextBody"/>
        <w:bidi w:val="0"/>
        <w:spacing w:before="240" w:after="0"/>
        <w:jc w:val="both"/>
        <w:rPr>
          <w:rFonts w:ascii="Times New Roman" w:hAnsi="Times New Roman"/>
          <w:b w:val="false"/>
          <w:sz w:val="24"/>
        </w:rPr>
      </w:pPr>
      <w:r>
        <w:rPr>
          <w:rFonts w:ascii="Times New Roman" w:hAnsi="Times New Roman"/>
          <w:b w:val="false"/>
          <w:sz w:val="24"/>
        </w:rPr>
        <w:t>23.</w:t>
      </w:r>
    </w:p>
    <w:p>
      <w:pPr>
        <w:pStyle w:val="TextBody"/>
        <w:bidi w:val="0"/>
        <w:spacing w:before="240" w:after="0"/>
        <w:jc w:val="both"/>
        <w:rPr/>
      </w:pPr>
      <w:r>
        <w:rPr>
          <w:rFonts w:ascii="Times New Roman;serif" w:hAnsi="Times New Roman;serif"/>
          <w:b w:val="false"/>
          <w:sz w:val="24"/>
          <w:u w:val="single"/>
        </w:rPr>
        <w:t>Indemnification</w:t>
      </w:r>
      <w:r>
        <w:rPr>
          <w:rFonts w:ascii="Times New Roman;serif" w:hAnsi="Times New Roman;serif"/>
          <w:b w:val="false"/>
          <w:sz w:val="24"/>
        </w:rPr>
        <w:t>. The Company hereby agrees to indemnify and hold harmless the officers and 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pStyle w:val="TextBody"/>
        <w:bidi w:val="0"/>
        <w:spacing w:before="240" w:after="0"/>
        <w:jc w:val="both"/>
        <w:rPr>
          <w:rFonts w:ascii="Times New Roman" w:hAnsi="Times New Roman"/>
          <w:b w:val="false"/>
          <w:sz w:val="24"/>
        </w:rPr>
      </w:pPr>
      <w:r>
        <w:rPr>
          <w:rFonts w:ascii="Times New Roman" w:hAnsi="Times New Roman"/>
          <w:b w:val="false"/>
          <w:sz w:val="24"/>
        </w:rPr>
        <w:t>24.</w:t>
      </w:r>
    </w:p>
    <w:p>
      <w:pPr>
        <w:pStyle w:val="TextBody"/>
        <w:bidi w:val="0"/>
        <w:spacing w:before="240" w:after="283"/>
        <w:jc w:val="both"/>
        <w:rPr/>
      </w:pPr>
      <w:r>
        <w:rPr>
          <w:rFonts w:ascii="Times New Roman;serif" w:hAnsi="Times New Roman;serif"/>
          <w:b w:val="false"/>
          <w:sz w:val="24"/>
          <w:u w:val="single"/>
        </w:rPr>
        <w:t>Protected Activity Not Prohibited</w:t>
      </w:r>
      <w:r>
        <w:rPr>
          <w:rFonts w:ascii="Times New Roman;serif" w:hAnsi="Times New Roman;serif"/>
          <w:b w:val="false"/>
          <w:sz w:val="24"/>
        </w:rPr>
        <w:t>. Nothing in this Plan or a Participant’s Participation Agreement will in any way limit or prohibit the Participant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serif" w:hAnsi="Times New Roman;serif"/>
          <w:b w:val="false"/>
          <w:sz w:val="24"/>
          <w:u w:val="single"/>
        </w:rPr>
        <w:t>Government Agencies</w:t>
      </w:r>
      <w:r>
        <w:rPr/>
        <w:t>”</w:t>
      </w:r>
      <w:r>
        <w:rPr>
          <w:rFonts w:ascii="Times New Roman;serif" w:hAnsi="Times New Roman;serif"/>
          <w:b w:val="false"/>
          <w:sz w:val="24"/>
        </w:rPr>
        <w:t xml:space="preserve">); and/or (ii) discussing or disclosing information about unlawful acts in the workplace, such as harassment or discrimination or any other conduct Participant has reason to believe is unlawful. Notwithstanding the foregoing, the Participant agrees to take all reasonable precautions to prevent any unauthorized use or disclosure of any Company trade secrets, proprietary information, or confidential information that does not involve unlawful acts in the workplace or the activity otherwise protected herein. The Participant further understands that “Protected Activity” does not include the disclosure of any Company attorney-client privileged communications or attorney work product. In addition, pursuant to the Defend Trade Secrets Act of 2016, the Participant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pPr>
      <w:r>
        <w:rPr>
          <w:rFonts w:ascii="Times New Roman;serif" w:hAnsi="Times New Roman;serif"/>
          <w:b w:val="false"/>
          <w:sz w:val="24"/>
        </w:rPr>
        <w:t>attorney and use the trade secret information in the court proceeding, if the individual files any document containing the trade secret under seal and does not disclose the trade secret, except pursuant to court order. Finally, nothing herein constitutes a waiver of any rights Participant may have under the Sarbanes-Oxley Act or Section 7 of the National Labor Relations Act (“</w:t>
      </w:r>
      <w:r>
        <w:rPr>
          <w:rFonts w:ascii="Times New Roman;serif" w:hAnsi="Times New Roman;serif"/>
          <w:b w:val="false"/>
          <w:sz w:val="24"/>
          <w:u w:val="single"/>
        </w:rPr>
        <w:t>NLRA</w:t>
      </w:r>
      <w:r>
        <w:rPr/>
        <w:t>”</w:t>
      </w:r>
      <w:r>
        <w:rPr>
          <w:rFonts w:ascii="Times New Roman;serif" w:hAnsi="Times New Roman;serif"/>
          <w:b w:val="false"/>
          <w:sz w:val="24"/>
        </w:rPr>
        <w:t>). For purposes of clarity, nothing herein shall be interpreted to impair or limit Participant’s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Participant or the Company’s other current or former employees, to the extent such activities are protected by Section 7 of the NLRA. By executing a Participation Agreement, Participant acknowledges that Participant understands that nothing in the Plan or Participant’s Participation Agreement shall limit or prohibit Participant from engaging in any protected conduct set forth in this section.</w:t>
      </w:r>
    </w:p>
    <w:p>
      <w:pPr>
        <w:pStyle w:val="TextBody"/>
        <w:bidi w:val="0"/>
        <w:spacing w:before="240" w:after="0"/>
        <w:jc w:val="both"/>
        <w:rPr>
          <w:rFonts w:ascii="Times New Roman" w:hAnsi="Times New Roman"/>
          <w:b w:val="false"/>
          <w:sz w:val="24"/>
        </w:rPr>
      </w:pPr>
      <w:r>
        <w:rPr>
          <w:rFonts w:ascii="Times New Roman" w:hAnsi="Times New Roman"/>
          <w:b w:val="false"/>
          <w:sz w:val="24"/>
        </w:rPr>
        <w:t>25.</w:t>
      </w:r>
    </w:p>
    <w:p>
      <w:pPr>
        <w:pStyle w:val="TextBody"/>
        <w:bidi w:val="0"/>
        <w:spacing w:before="240" w:after="283"/>
        <w:jc w:val="both"/>
        <w:rPr/>
      </w:pPr>
      <w:r>
        <w:rPr>
          <w:rFonts w:ascii="Times New Roman;serif" w:hAnsi="Times New Roman;serif"/>
          <w:b w:val="false"/>
          <w:sz w:val="24"/>
          <w:u w:val="single"/>
        </w:rPr>
        <w:t>Additional Information</w:t>
      </w:r>
      <w:r>
        <w:rPr>
          <w:rFonts w:ascii="Times New Roman;serif" w:hAnsi="Times New Roman;serif"/>
          <w:b w:val="false"/>
          <w:sz w:val="24"/>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58"/>
        <w:gridCol w:w="7947"/>
      </w:tblGrid>
      <w:tr>
        <w:trPr/>
        <w:tc>
          <w:tcPr>
            <w:tcW w:w="2258" w:type="dxa"/>
            <w:tcBorders/>
            <w:vAlign w:val="center"/>
          </w:tcPr>
          <w:p>
            <w:pPr>
              <w:pStyle w:val="TableContents"/>
              <w:bidi w:val="0"/>
              <w:spacing w:before="0" w:after="283"/>
              <w:jc w:val="left"/>
              <w:rPr>
                <w:sz w:val="4"/>
                <w:szCs w:val="4"/>
              </w:rPr>
            </w:pPr>
            <w:r>
              <w:rPr>
                <w:sz w:val="4"/>
                <w:szCs w:val="4"/>
              </w:rPr>
            </w:r>
          </w:p>
        </w:tc>
        <w:tc>
          <w:tcPr>
            <w:tcW w:w="7947" w:type="dxa"/>
            <w:tcBorders/>
            <w:vAlign w:val="center"/>
          </w:tcPr>
          <w:p>
            <w:pPr>
              <w:pStyle w:val="TableContents"/>
              <w:bidi w:val="0"/>
              <w:spacing w:before="0" w:after="283"/>
              <w:jc w:val="left"/>
              <w:rPr>
                <w:sz w:val="4"/>
                <w:szCs w:val="4"/>
              </w:rPr>
            </w:pPr>
            <w:r>
              <w:rPr>
                <w:sz w:val="4"/>
                <w:szCs w:val="4"/>
              </w:rPr>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Plan Name:</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Tenaya Therapeutics, Inc. Executive Change in Control and Severance Plan</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Plan Sponsor:</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Tenaya Therapeutics, Inc.</w:t>
              <w:br/>
              <w:t>171 Oyster Point Boulevard</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South San Francisco, CA 94080</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(650) 351-9757</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Identification Numbers:</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EIN: 81-3789973</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 w:hAnsi="Times New Roman"/>
                <w:sz w:val="24"/>
              </w:rPr>
            </w:pPr>
            <w:r>
              <w:rPr>
                <w:rFonts w:ascii="Times New Roman;serif" w:hAnsi="Times New Roman;serif"/>
                <w:b/>
                <w:sz w:val="24"/>
              </w:rPr>
              <w:t>Plan Number:</w:t>
            </w:r>
            <w:r>
              <w:rPr>
                <w:rFonts w:ascii="Times New Roman" w:hAnsi="Times New Roman"/>
                <w:sz w:val="24"/>
              </w:rPr>
              <w:t xml:space="preserve"> </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510</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Plan Year:</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Company’s fiscal year</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Plan Administrator:</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 w:hAnsi="Times New Roman"/>
                <w:sz w:val="24"/>
              </w:rPr>
            </w:pPr>
            <w:r>
              <w:rPr>
                <w:rFonts w:ascii="Times New Roman;serif" w:hAnsi="Times New Roman;serif"/>
                <w:b w:val="false"/>
                <w:sz w:val="24"/>
              </w:rPr>
              <w:t>Tenaya Therapeutics, Inc.</w:t>
              <w:br/>
            </w:r>
            <w:r>
              <w:rPr>
                <w:rFonts w:ascii="Times New Roman;serif" w:hAnsi="Times New Roman;serif"/>
                <w:b w:val="false"/>
                <w:i/>
                <w:sz w:val="24"/>
              </w:rPr>
              <w:t>Attention:</w:t>
            </w:r>
            <w:r>
              <w:rPr>
                <w:rFonts w:ascii="Times New Roman" w:hAnsi="Times New Roman"/>
                <w:sz w:val="24"/>
              </w:rPr>
              <w:t> </w:t>
            </w:r>
            <w:r>
              <w:rPr>
                <w:rFonts w:ascii="Times New Roman;serif" w:hAnsi="Times New Roman;serif"/>
                <w:b w:val="false"/>
                <w:sz w:val="24"/>
              </w:rPr>
              <w:t>Administrator of the Tenaya Therapeutics, Inc. Executive Change in Control and Severance Plan</w:t>
              <w:br/>
              <w:t>171 Oyster Point Boulevard</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South San Francisco, CA 94080</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(650) 351-9757</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 w:hAnsi="Times New Roman"/>
                <w:sz w:val="24"/>
              </w:rPr>
            </w:pPr>
            <w:r>
              <w:rPr>
                <w:rFonts w:ascii="Times New Roman;serif" w:hAnsi="Times New Roman;serif"/>
                <w:b/>
                <w:sz w:val="24"/>
              </w:rPr>
              <w:t>Agent for Service of</w:t>
            </w:r>
            <w:r>
              <w:rPr>
                <w:rFonts w:ascii="Times New Roman" w:hAnsi="Times New Roman"/>
                <w:sz w:val="24"/>
              </w:rPr>
              <w:t xml:space="preserve"> </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Tenaya Therapeutics, Inc.</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4"/>
              </w:rPr>
            </w:pPr>
            <w:r>
              <w:rPr>
                <w:rFonts w:ascii="Times New Roman;serif" w:hAnsi="Times New Roman;serif"/>
                <w:b/>
                <w:sz w:val="24"/>
              </w:rPr>
              <w:t>Legal Process:</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Times New Roman;serif" w:hAnsi="Times New Roman;serif"/>
                <w:b w:val="false"/>
                <w:i/>
                <w:sz w:val="24"/>
              </w:rPr>
              <w:t>Attention:</w:t>
            </w:r>
            <w:r>
              <w:rPr>
                <w:rFonts w:ascii="Times New Roman" w:hAnsi="Times New Roman"/>
                <w:sz w:val="24"/>
              </w:rPr>
              <w:t>  </w:t>
            </w:r>
            <w:r>
              <w:rPr>
                <w:rFonts w:ascii="Times New Roman;serif" w:hAnsi="Times New Roman;serif"/>
                <w:b w:val="false"/>
                <w:sz w:val="24"/>
              </w:rPr>
              <w:t>General Counsel</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171 Oyster Point Boulevard</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South San Francisco, CA 94080</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(650) 351-9757</w:t>
            </w:r>
          </w:p>
        </w:tc>
      </w:tr>
      <w:tr>
        <w:trPr/>
        <w:tc>
          <w:tcPr>
            <w:tcW w:w="225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Service of process also may be made upon the Administrator.</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Type of Plan</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Severance Plan/Employee Welfare Benefit Plan</w:t>
            </w:r>
          </w:p>
        </w:tc>
      </w:tr>
      <w:tr>
        <w:trPr/>
        <w:tc>
          <w:tcPr>
            <w:tcW w:w="2258"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4"/>
              </w:rPr>
            </w:pPr>
            <w:r>
              <w:rPr>
                <w:rFonts w:ascii="Times New Roman;serif" w:hAnsi="Times New Roman;serif"/>
                <w:b/>
                <w:sz w:val="24"/>
              </w:rPr>
              <w:t>Plan Costs</w:t>
            </w:r>
          </w:p>
        </w:tc>
        <w:tc>
          <w:tcPr>
            <w:tcW w:w="7947"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val="false"/>
                <w:sz w:val="24"/>
              </w:rPr>
            </w:pPr>
            <w:r>
              <w:rPr>
                <w:rFonts w:ascii="Times New Roman;serif" w:hAnsi="Times New Roman;serif"/>
                <w:b w:val="false"/>
                <w:sz w:val="24"/>
              </w:rPr>
              <w:t>The cost of the Plan is paid by the Company.</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26.</w:t>
      </w:r>
    </w:p>
    <w:p>
      <w:pPr>
        <w:pStyle w:val="TextBody"/>
        <w:bidi w:val="0"/>
        <w:jc w:val="both"/>
        <w:rPr>
          <w:rFonts w:ascii="Times New Roman;serif" w:hAnsi="Times New Roman;serif"/>
          <w:b w:val="false"/>
          <w:sz w:val="24"/>
          <w:u w:val="single"/>
        </w:rPr>
      </w:pPr>
      <w:r>
        <w:rPr>
          <w:rFonts w:ascii="Times New Roman;serif" w:hAnsi="Times New Roman;serif"/>
          <w:b w:val="false"/>
          <w:sz w:val="24"/>
          <w:u w:val="single"/>
        </w:rPr>
        <w:t>Statement of ERISA Rights.</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As a Participant under the Plan, you have certain rights and protections under ERISA:</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You may obtain copies of all Plan documents and other Plan information upon written request to the Administrator. A reasonable charge may be made for such copies.</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a severance benefit is denied, in whole or in part, you must receive a written explanation of the reason for the denial. You have the right to have the denial of your claim reviewed. (The claim review procedure is explained in Section 14 above.)</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right"/>
        <w:rPr>
          <w:rFonts w:ascii="Times New Roman;serif" w:hAnsi="Times New Roman;serif"/>
          <w:b w:val="false"/>
          <w:i/>
          <w:sz w:val="24"/>
        </w:rPr>
      </w:pPr>
      <w:r>
        <w:rPr>
          <w:rFonts w:ascii="Times New Roman;serif" w:hAnsi="Times New Roman;serif"/>
          <w:b w:val="false"/>
          <w:i/>
          <w:sz w:val="24"/>
        </w:rPr>
        <w:t>For individuals participating</w:t>
      </w:r>
    </w:p>
    <w:p>
      <w:pPr>
        <w:pStyle w:val="TextBody"/>
        <w:bidi w:val="0"/>
        <w:spacing w:before="0" w:after="0"/>
        <w:jc w:val="right"/>
        <w:rPr>
          <w:rFonts w:ascii="Times New Roman;serif" w:hAnsi="Times New Roman;serif"/>
          <w:b w:val="false"/>
          <w:i/>
          <w:sz w:val="24"/>
        </w:rPr>
      </w:pPr>
      <w:r>
        <w:rPr>
          <w:rFonts w:ascii="Times New Roman;serif" w:hAnsi="Times New Roman;serif"/>
          <w:b w:val="false"/>
          <w:i/>
          <w:sz w:val="24"/>
        </w:rPr>
        <w:t>before June 8, 2023</w:t>
      </w:r>
    </w:p>
    <w:p>
      <w:pPr>
        <w:pStyle w:val="TextBody"/>
        <w:bidi w:val="0"/>
        <w:spacing w:before="0" w:after="200"/>
        <w:jc w:val="center"/>
        <w:rPr>
          <w:rFonts w:ascii="Times New Roman;serif" w:hAnsi="Times New Roman;serif"/>
          <w:b/>
          <w:sz w:val="24"/>
          <w:u w:val="single"/>
        </w:rPr>
      </w:pPr>
      <w:r>
        <w:rPr>
          <w:rFonts w:ascii="Times New Roman;serif" w:hAnsi="Times New Roman;serif"/>
          <w:b/>
          <w:sz w:val="24"/>
          <w:u w:val="single"/>
        </w:rPr>
        <w:t>Appendix A</w:t>
      </w:r>
    </w:p>
    <w:p>
      <w:pPr>
        <w:pStyle w:val="TextBody"/>
        <w:bidi w:val="0"/>
        <w:spacing w:before="240" w:after="0"/>
        <w:jc w:val="center"/>
        <w:rPr>
          <w:rFonts w:ascii="Times New Roman;serif" w:hAnsi="Times New Roman;serif"/>
          <w:b/>
          <w:sz w:val="24"/>
        </w:rPr>
      </w:pPr>
      <w:r>
        <w:rPr>
          <w:rFonts w:ascii="Times New Roman;serif" w:hAnsi="Times New Roman;serif"/>
          <w:b/>
          <w:sz w:val="24"/>
        </w:rPr>
        <w:t>Tenaya Therapeutics, Inc. Executive Change in Control and Severance Plan</w:t>
        <w:br/>
        <w:t>Amended and Restated Participation Agreement</w:t>
      </w:r>
    </w:p>
    <w:p>
      <w:pPr>
        <w:pStyle w:val="TextBody"/>
        <w:bidi w:val="0"/>
        <w:spacing w:before="240" w:after="0"/>
        <w:jc w:val="both"/>
        <w:rPr>
          <w:rFonts w:ascii="Times New Roman" w:hAnsi="Times New Roman"/>
          <w:sz w:val="20"/>
        </w:rPr>
      </w:pPr>
      <w:r>
        <w:rPr>
          <w:rFonts w:ascii="Times New Roman;serif" w:hAnsi="Times New Roman;serif"/>
          <w:b w:val="false"/>
          <w:sz w:val="24"/>
        </w:rPr>
        <w:t>This Amended and Restated Participation Agreement (this “</w:t>
      </w:r>
      <w:r>
        <w:rPr>
          <w:rFonts w:ascii="Times New Roman;serif" w:hAnsi="Times New Roman;serif"/>
          <w:b w:val="false"/>
          <w:sz w:val="24"/>
          <w:u w:val="single"/>
        </w:rPr>
        <w:t>A&amp;R Participation Agreement</w:t>
      </w:r>
      <w:r>
        <w:rPr>
          <w:rFonts w:ascii="Times New Roman" w:hAnsi="Times New Roman"/>
          <w:sz w:val="20"/>
        </w:rPr>
        <w:t>”</w:t>
      </w:r>
      <w:r>
        <w:rPr>
          <w:rFonts w:ascii="Times New Roman;serif" w:hAnsi="Times New Roman;serif"/>
          <w:b w:val="false"/>
          <w:sz w:val="24"/>
        </w:rPr>
        <w:t>) relates to your participation in the Tenaya Therapeutics,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Executive Change in Control and Severance Plan (the “</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as a Participant and replaces and supersedes in full all participation agreements under the Plan signed by you prior to the A&amp;R Effective Date (as defined below), including that certain Participation Agreement dated [DATE OF PRIOR PARTICIPATION AGREEMENT]. The “</w:t>
      </w:r>
      <w:r>
        <w:rPr>
          <w:rFonts w:ascii="Times New Roman;serif" w:hAnsi="Times New Roman;serif"/>
          <w:b w:val="false"/>
          <w:sz w:val="24"/>
          <w:u w:val="single"/>
        </w:rPr>
        <w:t>A&amp;R Effective Date</w:t>
      </w:r>
      <w:r>
        <w:rPr>
          <w:rFonts w:ascii="Times New Roman" w:hAnsi="Times New Roman"/>
          <w:sz w:val="20"/>
        </w:rPr>
        <w:t xml:space="preserve">” </w:t>
      </w:r>
      <w:r>
        <w:rPr>
          <w:rFonts w:ascii="Times New Roman;serif" w:hAnsi="Times New Roman;serif"/>
          <w:b w:val="false"/>
          <w:sz w:val="24"/>
        </w:rPr>
        <w:t>is the date that this Amended and Restated Participation Agreement is signed by you.</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 copy of the Plan was delivered to you with this A&amp;R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The Plan describes in detail certain circumstances under which you may become eligible for Severance Benefits. As described more fully in the Plan, you may become eligible for certain Severance Benefits if you experience a Qualifying Termination.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For the purposes of this A&amp;R Participation Agreement, the following terms shall have the following meanings:</w:t>
      </w:r>
    </w:p>
    <w:p>
      <w:pPr>
        <w:pStyle w:val="TextBody"/>
        <w:bidi w:val="0"/>
        <w:spacing w:before="240" w:after="0"/>
        <w:jc w:val="both"/>
        <w:rPr/>
      </w:pPr>
      <w:r>
        <w:rPr/>
        <w:t>“</w:t>
      </w:r>
      <w:r>
        <w:rPr>
          <w:rFonts w:ascii="Times New Roman;serif" w:hAnsi="Times New Roman;serif"/>
          <w:b w:val="false"/>
          <w:sz w:val="24"/>
          <w:u w:val="single"/>
        </w:rPr>
        <w:t>Change in Control Period</w:t>
      </w:r>
      <w:r>
        <w:rPr>
          <w:rFonts w:ascii="Times New Roman" w:hAnsi="Times New Roman"/>
          <w:sz w:val="20"/>
        </w:rPr>
        <w:t xml:space="preserve">” </w:t>
      </w:r>
      <w:r>
        <w:rPr>
          <w:rFonts w:ascii="Times New Roman;serif" w:hAnsi="Times New Roman;serif"/>
          <w:b w:val="false"/>
          <w:sz w:val="24"/>
        </w:rPr>
        <w:t>means the time period beginning on the date that is 3 months prior to a Change in Control and ending on the date that is 12 months following a Change in Control.</w:t>
      </w:r>
    </w:p>
    <w:p>
      <w:pPr>
        <w:pStyle w:val="TextBody"/>
        <w:bidi w:val="0"/>
        <w:spacing w:before="24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CEO ONLY:</w:t>
      </w:r>
      <w:r>
        <w:rPr>
          <w:rFonts w:ascii="Times New Roman" w:hAnsi="Times New Roman"/>
          <w:sz w:val="20"/>
        </w:rPr>
        <w:t xml:space="preserve"> “</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(1) an act of dishonesty made by you in connection with your responsibilities as an employee that has caused the Company to suffer material harm; (2) your conviction of, or plea of nolo contendere to, a felony or any crime involving fraud, embezzlement or any other act of moral turpitude; (3) your gross misconduct that has caused the Company to suffer material harm; (4) your unauthorized use or disclosure of any proprietary information or trade secrets of the Company or any other party to whom you owe an obligation of nondisclosure as a result of your relationship with the Company; (5) your willful breach of any obligations under any written agreement or covenant with the Company; (6) your continued failure to perform your employment duties after you have received a written demand of performance from the Company which specifically sets forth the factual basis for the Company’s belief that you have not substantially performed your duties. Notwithstanding the foregoing, Cause shall only exist after; (x) the Board delivers written notice to you of the Board’s determination that Cause exists; (y) such notice sets forth in reasonable detail such facts and circumstances; and (z) you have failed to fully correct any of the events listed above, if such events are reasonably capable of being fully corrected, within 10 days following delivery to you of the Board’s written notice of its determination that Cause exists.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means the occurrence of one or more of the following without your written consent: (1) a material diminution of your authority, duties or responsibilities; provided, however, that a reduction in authority, duties, or responsibilities solely by virtue of the Company being acquired and made part of a larger entity, whether as a subsidiary, business unit or otherwise (as, for example, when the CEO of the Company remains as such following an acquisition where the Company becomes a wholly owned subsidiary of the acquirer, but is not made the CEO of the acquiring corporation), will not constitute “Good Reason”, (2) a material change in the geographic location at which you must perform services for Tenaya (which, for this purpose means relocation of the offices of the Company at which you are principally employed to a location more than 40 miles from the location of such offices immediately prior to the relocation), or (3) a material diminution in your annual base salary. In order for your termination of employment to be for Good Reason, you must not terminate employment with the Company without first providing the Company with written notice of the acts or omissions constituting the grounds for “Good Reason” within ninety (90) days of their initial occurrence and a reasonable cure period of not less than thirty (30) days following the date of such notice (the “Cure Period”), and your resignation must occur within thirty (30) days following the end of the Cure Period if the “Good Reason” conditions remain uncured.</w:t>
      </w:r>
    </w:p>
    <w:p>
      <w:pPr>
        <w:pStyle w:val="TextBody"/>
        <w:bidi w:val="0"/>
        <w:spacing w:before="240" w:after="0"/>
        <w:jc w:val="both"/>
        <w:rPr/>
      </w:pPr>
      <w:r>
        <w:rPr/>
        <w:t>“</w:t>
      </w:r>
      <w:r>
        <w:rPr>
          <w:rFonts w:ascii="Times New Roman;serif" w:hAnsi="Times New Roman;serif"/>
          <w:b w:val="false"/>
          <w:sz w:val="24"/>
          <w:u w:val="single"/>
        </w:rPr>
        <w:t>Non-CIC Qualifying Termination</w:t>
      </w:r>
      <w:r>
        <w:rPr>
          <w:rFonts w:ascii="Times New Roman" w:hAnsi="Times New Roman"/>
          <w:sz w:val="20"/>
        </w:rPr>
        <w:t xml:space="preserve">” </w:t>
      </w:r>
      <w:r>
        <w:rPr>
          <w:rFonts w:ascii="Times New Roman;serif" w:hAnsi="Times New Roman;serif"/>
          <w:b w:val="false"/>
          <w:sz w:val="24"/>
        </w:rPr>
        <w:t>means termination of a Participant’s employment with the Company (or any parent or subsidiary of the Company) other than within the Change in Control Period by (1) you for Good Reason, or (2) the Company (or any parent or subsidiary of the Company) without Cause (excluding by reason of your death or Disability).]</w:t>
      </w:r>
    </w:p>
    <w:p>
      <w:pPr>
        <w:pStyle w:val="TextBody"/>
        <w:bidi w:val="0"/>
        <w:spacing w:before="240" w:after="0"/>
        <w:jc w:val="both"/>
        <w:rPr>
          <w:rFonts w:ascii="Times New Roman" w:hAnsi="Times New Roman"/>
          <w:b w:val="false"/>
          <w:sz w:val="24"/>
        </w:rPr>
      </w:pPr>
      <w:r>
        <w:rPr>
          <w:rFonts w:ascii="Times New Roman" w:hAnsi="Times New Roman"/>
          <w:b w:val="false"/>
          <w:sz w:val="24"/>
        </w:rPr>
        <w:t>1.</w:t>
      </w:r>
    </w:p>
    <w:p>
      <w:pPr>
        <w:pStyle w:val="TextBody"/>
        <w:bidi w:val="0"/>
        <w:spacing w:before="240" w:after="0"/>
        <w:jc w:val="both"/>
        <w:rPr/>
      </w:pPr>
      <w:r>
        <w:rPr>
          <w:rFonts w:ascii="Times New Roman;serif" w:hAnsi="Times New Roman;serif"/>
          <w:b w:val="false"/>
          <w:sz w:val="24"/>
          <w:u w:val="single"/>
        </w:rPr>
        <w:t>Non-CIC Qualifying Termination</w:t>
      </w:r>
      <w:r>
        <w:rPr>
          <w:rFonts w:ascii="Times New Roman;serif" w:hAnsi="Times New Roman;serif"/>
          <w:b w:val="false"/>
          <w:sz w:val="24"/>
        </w:rPr>
        <w:t>. Upon your Non-CIC Qualifying Termination, subject to the terms and conditions of the Plan, you will receive:</w:t>
      </w:r>
    </w:p>
    <w:p>
      <w:pPr>
        <w:pStyle w:val="TextBody"/>
        <w:bidi w:val="0"/>
        <w:spacing w:before="240" w:after="0"/>
        <w:jc w:val="both"/>
        <w:rPr>
          <w:rFonts w:ascii="Times New Roman" w:hAnsi="Times New Roman"/>
          <w:b w:val="false"/>
          <w:sz w:val="24"/>
        </w:rPr>
      </w:pPr>
      <w:r>
        <w:rPr>
          <w:rFonts w:ascii="Times New Roman" w:hAnsi="Times New Roman"/>
          <w:b w:val="false"/>
          <w:sz w:val="24"/>
        </w:rPr>
        <w:t>(a)</w:t>
      </w:r>
    </w:p>
    <w:p>
      <w:pPr>
        <w:pStyle w:val="TextBody"/>
        <w:bidi w:val="0"/>
        <w:spacing w:before="240" w:after="0"/>
        <w:jc w:val="both"/>
        <w:rPr/>
      </w:pPr>
      <w:r>
        <w:rPr>
          <w:rFonts w:ascii="Times New Roman;serif" w:hAnsi="Times New Roman;serif"/>
          <w:b w:val="false"/>
          <w:sz w:val="24"/>
          <w:u w:val="single"/>
        </w:rPr>
        <w:t>Cash Severance Benefits</w:t>
      </w:r>
      <w:r>
        <w:rPr>
          <w:rFonts w:ascii="Times New Roman;serif" w:hAnsi="Times New Roman;serif"/>
          <w:b w:val="false"/>
          <w:sz w:val="24"/>
        </w:rPr>
        <w:t>. A lump sum payment equal to [</w:t>
      </w:r>
      <w:r>
        <w:rPr>
          <w:rFonts w:ascii="Times New Roman;serif" w:hAnsi="Times New Roman;serif"/>
          <w:b w:val="false"/>
          <w:i/>
          <w:sz w:val="24"/>
        </w:rPr>
        <w:t xml:space="preserve">CEO: </w:t>
      </w:r>
      <w:r>
        <w:rPr>
          <w:rFonts w:ascii="Times New Roman;serif" w:hAnsi="Times New Roman;serif"/>
          <w:b w:val="false"/>
          <w:sz w:val="24"/>
        </w:rPr>
        <w:t xml:space="preserve">12; </w:t>
      </w:r>
      <w:r>
        <w:rPr>
          <w:rFonts w:ascii="Times New Roman;serif" w:hAnsi="Times New Roman;serif"/>
          <w:b w:val="false"/>
          <w:i/>
          <w:sz w:val="24"/>
        </w:rPr>
        <w:t xml:space="preserve">Tier 2: </w:t>
      </w:r>
      <w:r>
        <w:rPr>
          <w:rFonts w:ascii="Times New Roman;serif" w:hAnsi="Times New Roman;serif"/>
          <w:b w:val="false"/>
          <w:sz w:val="24"/>
        </w:rPr>
        <w:t xml:space="preserve">9; </w:t>
      </w:r>
      <w:r>
        <w:rPr>
          <w:rFonts w:ascii="Times New Roman;serif" w:hAnsi="Times New Roman;serif"/>
          <w:b w:val="false"/>
          <w:i/>
          <w:sz w:val="24"/>
        </w:rPr>
        <w:t>Tier 3:</w:t>
      </w:r>
      <w:r>
        <w:rPr/>
        <w:t xml:space="preserve"> </w:t>
      </w:r>
      <w:r>
        <w:rPr>
          <w:rFonts w:ascii="Times New Roman;serif" w:hAnsi="Times New Roman;serif"/>
          <w:b w:val="false"/>
          <w:sz w:val="24"/>
        </w:rPr>
        <w:t>6] months of your annual base salary (less applicable withholding taxes).</w:t>
      </w:r>
    </w:p>
    <w:p>
      <w:pPr>
        <w:pStyle w:val="TextBody"/>
        <w:bidi w:val="0"/>
        <w:spacing w:before="240" w:after="0"/>
        <w:jc w:val="both"/>
        <w:rPr>
          <w:rFonts w:ascii="Times New Roman" w:hAnsi="Times New Roman"/>
          <w:b w:val="false"/>
          <w:sz w:val="24"/>
        </w:rPr>
      </w:pPr>
      <w:r>
        <w:rPr>
          <w:rFonts w:ascii="Times New Roman" w:hAnsi="Times New Roman"/>
          <w:b w:val="false"/>
          <w:sz w:val="24"/>
        </w:rPr>
        <w:t>(b)</w:t>
      </w:r>
    </w:p>
    <w:p>
      <w:pPr>
        <w:pStyle w:val="TextBody"/>
        <w:bidi w:val="0"/>
        <w:spacing w:before="240" w:after="0"/>
        <w:jc w:val="both"/>
        <w:rPr/>
      </w:pPr>
      <w:r>
        <w:rPr>
          <w:rFonts w:ascii="Times New Roman;serif" w:hAnsi="Times New Roman;serif"/>
          <w:b w:val="false"/>
          <w:sz w:val="24"/>
          <w:u w:val="single"/>
        </w:rPr>
        <w:t>Continued Medical Benefits.</w:t>
      </w:r>
      <w:r>
        <w:rPr/>
        <w:t xml:space="preserve"> </w:t>
      </w:r>
      <w:r>
        <w:rPr>
          <w:rFonts w:ascii="Times New Roman;serif" w:hAnsi="Times New Roman;serif"/>
          <w:b w:val="false"/>
          <w:sz w:val="24"/>
        </w:rPr>
        <w:t>Your reimbursement of continued health coverage under COBRA or a taxable lump sum payment in lieu of reimbursement, as applicable, and as described in Section 4.2 of the Plan will be provided for a period of [</w:t>
      </w:r>
      <w:r>
        <w:rPr>
          <w:rFonts w:ascii="Times New Roman;serif" w:hAnsi="Times New Roman;serif"/>
          <w:b w:val="false"/>
          <w:i/>
          <w:sz w:val="24"/>
        </w:rPr>
        <w:t xml:space="preserve">CEO: </w:t>
      </w:r>
      <w:r>
        <w:rPr>
          <w:rFonts w:ascii="Times New Roman;serif" w:hAnsi="Times New Roman;serif"/>
          <w:b w:val="false"/>
          <w:sz w:val="24"/>
        </w:rPr>
        <w:t xml:space="preserve">12; </w:t>
      </w:r>
      <w:r>
        <w:rPr>
          <w:rFonts w:ascii="Times New Roman;serif" w:hAnsi="Times New Roman;serif"/>
          <w:b w:val="false"/>
          <w:i/>
          <w:sz w:val="24"/>
        </w:rPr>
        <w:t xml:space="preserve">Tier 2: </w:t>
      </w:r>
      <w:r>
        <w:rPr>
          <w:rFonts w:ascii="Times New Roman;serif" w:hAnsi="Times New Roman;serif"/>
          <w:b w:val="false"/>
          <w:sz w:val="24"/>
        </w:rPr>
        <w:t xml:space="preserve">9; </w:t>
      </w:r>
      <w:r>
        <w:rPr>
          <w:rFonts w:ascii="Times New Roman;serif" w:hAnsi="Times New Roman;serif"/>
          <w:b w:val="false"/>
          <w:i/>
          <w:sz w:val="24"/>
        </w:rPr>
        <w:t>Tier 3:</w:t>
      </w:r>
      <w:r>
        <w:rPr/>
        <w:t xml:space="preserve"> </w:t>
      </w:r>
      <w:r>
        <w:rPr>
          <w:rFonts w:ascii="Times New Roman;serif" w:hAnsi="Times New Roman;serif"/>
          <w:b w:val="false"/>
          <w:sz w:val="24"/>
        </w:rPr>
        <w:t>6] months following the date of your Qualifying Termination.</w:t>
      </w:r>
    </w:p>
    <w:p>
      <w:pPr>
        <w:pStyle w:val="TextBody"/>
        <w:bidi w:val="0"/>
        <w:spacing w:before="240" w:after="0"/>
        <w:jc w:val="both"/>
        <w:rPr>
          <w:rFonts w:ascii="Times New Roman" w:hAnsi="Times New Roman"/>
          <w:b w:val="false"/>
          <w:sz w:val="24"/>
        </w:rPr>
      </w:pPr>
      <w:r>
        <w:rPr>
          <w:rFonts w:ascii="Times New Roman" w:hAnsi="Times New Roman"/>
          <w:b w:val="false"/>
          <w:sz w:val="24"/>
        </w:rPr>
        <w:t>2.</w:t>
      </w:r>
    </w:p>
    <w:p>
      <w:pPr>
        <w:pStyle w:val="TextBody"/>
        <w:bidi w:val="0"/>
        <w:spacing w:before="240" w:after="0"/>
        <w:jc w:val="both"/>
        <w:rPr/>
      </w:pPr>
      <w:r>
        <w:rPr>
          <w:rFonts w:ascii="Times New Roman;serif" w:hAnsi="Times New Roman;serif"/>
          <w:b w:val="false"/>
          <w:sz w:val="24"/>
          <w:u w:val="single"/>
        </w:rPr>
        <w:t>CIC Qualifying Termination</w:t>
      </w:r>
      <w:r>
        <w:rPr>
          <w:rFonts w:ascii="Times New Roman;serif" w:hAnsi="Times New Roman;serif"/>
          <w:b w:val="false"/>
          <w:sz w:val="24"/>
        </w:rPr>
        <w:t>. Upon your CIC Qualifying Termination, subject to the terms and conditions of the Plan, you will receive:</w:t>
      </w:r>
    </w:p>
    <w:p>
      <w:pPr>
        <w:pStyle w:val="TextBody"/>
        <w:bidi w:val="0"/>
        <w:spacing w:before="240" w:after="0"/>
        <w:jc w:val="both"/>
        <w:rPr>
          <w:rFonts w:ascii="Times New Roman" w:hAnsi="Times New Roman"/>
          <w:b w:val="false"/>
          <w:sz w:val="24"/>
        </w:rPr>
      </w:pPr>
      <w:r>
        <w:rPr>
          <w:rFonts w:ascii="Times New Roman" w:hAnsi="Times New Roman"/>
          <w:b w:val="false"/>
          <w:sz w:val="24"/>
        </w:rPr>
        <w:t>(a)</w:t>
      </w:r>
    </w:p>
    <w:p>
      <w:pPr>
        <w:pStyle w:val="TextBody"/>
        <w:bidi w:val="0"/>
        <w:spacing w:before="240" w:after="0"/>
        <w:jc w:val="both"/>
        <w:rPr/>
      </w:pPr>
      <w:r>
        <w:rPr>
          <w:rFonts w:ascii="Times New Roman;serif" w:hAnsi="Times New Roman;serif"/>
          <w:b w:val="false"/>
          <w:sz w:val="24"/>
          <w:u w:val="single"/>
        </w:rPr>
        <w:t>Cash Severance Benefits</w:t>
      </w:r>
      <w:r>
        <w:rPr>
          <w:rFonts w:ascii="Times New Roman;serif" w:hAnsi="Times New Roman;serif"/>
          <w:b w:val="false"/>
          <w:sz w:val="24"/>
        </w:rPr>
        <w:t>. A lump-sum payment equal to (i) [</w:t>
      </w:r>
      <w:r>
        <w:rPr>
          <w:rFonts w:ascii="Times New Roman;serif" w:hAnsi="Times New Roman;serif"/>
          <w:b w:val="false"/>
          <w:i/>
          <w:sz w:val="24"/>
        </w:rPr>
        <w:t xml:space="preserve">CEO: </w:t>
      </w:r>
      <w:r>
        <w:rPr>
          <w:rFonts w:ascii="Times New Roman;serif" w:hAnsi="Times New Roman;serif"/>
          <w:b w:val="false"/>
          <w:sz w:val="24"/>
        </w:rPr>
        <w:t xml:space="preserve">18; </w:t>
      </w:r>
      <w:r>
        <w:rPr>
          <w:rFonts w:ascii="Times New Roman;serif" w:hAnsi="Times New Roman;serif"/>
          <w:b w:val="false"/>
          <w:i/>
          <w:sz w:val="24"/>
        </w:rPr>
        <w:t xml:space="preserve">Tier 2: </w:t>
      </w:r>
      <w:r>
        <w:rPr>
          <w:rFonts w:ascii="Times New Roman;serif" w:hAnsi="Times New Roman;serif"/>
          <w:b w:val="false"/>
          <w:sz w:val="24"/>
        </w:rPr>
        <w:t xml:space="preserve">12; </w:t>
      </w:r>
      <w:r>
        <w:rPr>
          <w:rFonts w:ascii="Times New Roman;serif" w:hAnsi="Times New Roman;serif"/>
          <w:b w:val="false"/>
          <w:i/>
          <w:sz w:val="24"/>
        </w:rPr>
        <w:t>Tier 3:</w:t>
      </w:r>
      <w:r>
        <w:rPr/>
        <w:t xml:space="preserve"> </w:t>
      </w:r>
      <w:r>
        <w:rPr>
          <w:rFonts w:ascii="Times New Roman;serif" w:hAnsi="Times New Roman;serif"/>
          <w:b w:val="false"/>
          <w:sz w:val="24"/>
        </w:rPr>
        <w:t xml:space="preserve">9] months of your annual base salary </w:t>
      </w:r>
      <w:r>
        <w:rPr>
          <w:rFonts w:ascii="Times New Roman;serif" w:hAnsi="Times New Roman;serif"/>
          <w:b w:val="false"/>
          <w:i/>
          <w:sz w:val="24"/>
        </w:rPr>
        <w:t xml:space="preserve">plus </w:t>
      </w:r>
      <w:r>
        <w:rPr>
          <w:rFonts w:ascii="Times New Roman;serif" w:hAnsi="Times New Roman;serif"/>
          <w:b w:val="false"/>
          <w:sz w:val="24"/>
        </w:rPr>
        <w:t>(ii) [</w:t>
      </w:r>
      <w:r>
        <w:rPr>
          <w:rFonts w:ascii="Times New Roman;serif" w:hAnsi="Times New Roman;serif"/>
          <w:b w:val="false"/>
          <w:i/>
          <w:sz w:val="24"/>
        </w:rPr>
        <w:t xml:space="preserve">CEO: </w:t>
      </w:r>
      <w:r>
        <w:rPr>
          <w:rFonts w:ascii="Times New Roman;serif" w:hAnsi="Times New Roman;serif"/>
          <w:b w:val="false"/>
          <w:sz w:val="24"/>
        </w:rPr>
        <w:t xml:space="preserve">150%; </w:t>
      </w:r>
      <w:r>
        <w:rPr>
          <w:rFonts w:ascii="Times New Roman;serif" w:hAnsi="Times New Roman;serif"/>
          <w:b w:val="false"/>
          <w:i/>
          <w:sz w:val="24"/>
        </w:rPr>
        <w:t xml:space="preserve">Tier 2: </w:t>
      </w:r>
      <w:r>
        <w:rPr>
          <w:rFonts w:ascii="Times New Roman;serif" w:hAnsi="Times New Roman;serif"/>
          <w:b w:val="false"/>
          <w:sz w:val="24"/>
        </w:rPr>
        <w:t xml:space="preserve">100%; </w:t>
      </w:r>
      <w:r>
        <w:rPr>
          <w:rFonts w:ascii="Times New Roman;serif" w:hAnsi="Times New Roman;serif"/>
          <w:b w:val="false"/>
          <w:i/>
          <w:sz w:val="24"/>
        </w:rPr>
        <w:t>Tier 3</w:t>
      </w:r>
      <w:r>
        <w:rPr>
          <w:rFonts w:ascii="Times New Roman;serif" w:hAnsi="Times New Roman;serif"/>
          <w:b w:val="false"/>
          <w:sz w:val="24"/>
        </w:rPr>
        <w:t>: 75%] of your target annual bonus for the year in which your CIC Qualifying Termination occurs (less applicable withholding taxes).</w:t>
      </w:r>
    </w:p>
    <w:p>
      <w:pPr>
        <w:pStyle w:val="TextBody"/>
        <w:bidi w:val="0"/>
        <w:spacing w:before="240" w:after="0"/>
        <w:jc w:val="both"/>
        <w:rPr>
          <w:rFonts w:ascii="Times New Roman" w:hAnsi="Times New Roman"/>
          <w:b w:val="false"/>
          <w:sz w:val="24"/>
        </w:rPr>
      </w:pPr>
      <w:r>
        <w:rPr>
          <w:rFonts w:ascii="Times New Roman" w:hAnsi="Times New Roman"/>
          <w:b w:val="false"/>
          <w:sz w:val="24"/>
        </w:rPr>
        <w:t>(b)</w:t>
      </w:r>
    </w:p>
    <w:p>
      <w:pPr>
        <w:pStyle w:val="TextBody"/>
        <w:bidi w:val="0"/>
        <w:spacing w:before="240" w:after="283"/>
        <w:jc w:val="both"/>
        <w:rPr/>
      </w:pPr>
      <w:r>
        <w:rPr>
          <w:rFonts w:ascii="Times New Roman;serif" w:hAnsi="Times New Roman;serif"/>
          <w:b w:val="false"/>
          <w:sz w:val="24"/>
          <w:u w:val="single"/>
        </w:rPr>
        <w:t>Continued Medical Benefits</w:t>
      </w:r>
      <w:r>
        <w:rPr>
          <w:rFonts w:ascii="Times New Roman;serif" w:hAnsi="Times New Roman;serif"/>
          <w:b w:val="false"/>
          <w:sz w:val="24"/>
        </w:rPr>
        <w:t xml:space="preserve">. Your reimbursement of continued health coverage under COBRA or a taxable lump sum payment in lieu of reimbursement, as applicable,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pPr>
      <w:r>
        <w:rPr>
          <w:rFonts w:ascii="Times New Roman;serif" w:hAnsi="Times New Roman;serif"/>
          <w:b w:val="false"/>
          <w:sz w:val="24"/>
        </w:rPr>
        <w:t>and as described in Section 4.2 of the Plan, will be provided for a period of [</w:t>
      </w:r>
      <w:r>
        <w:rPr>
          <w:rFonts w:ascii="Times New Roman;serif" w:hAnsi="Times New Roman;serif"/>
          <w:b w:val="false"/>
          <w:i/>
          <w:sz w:val="24"/>
        </w:rPr>
        <w:t xml:space="preserve">CEO: </w:t>
      </w:r>
      <w:r>
        <w:rPr>
          <w:rFonts w:ascii="Times New Roman;serif" w:hAnsi="Times New Roman;serif"/>
          <w:b w:val="false"/>
          <w:sz w:val="24"/>
        </w:rPr>
        <w:t xml:space="preserve">18; </w:t>
      </w:r>
      <w:r>
        <w:rPr>
          <w:rFonts w:ascii="Times New Roman;serif" w:hAnsi="Times New Roman;serif"/>
          <w:b w:val="false"/>
          <w:i/>
          <w:sz w:val="24"/>
        </w:rPr>
        <w:t xml:space="preserve">Tier 2: </w:t>
      </w:r>
      <w:r>
        <w:rPr>
          <w:rFonts w:ascii="Times New Roman;serif" w:hAnsi="Times New Roman;serif"/>
          <w:b w:val="false"/>
          <w:sz w:val="24"/>
        </w:rPr>
        <w:t xml:space="preserve">12; </w:t>
      </w:r>
      <w:r>
        <w:rPr>
          <w:rFonts w:ascii="Times New Roman;serif" w:hAnsi="Times New Roman;serif"/>
          <w:b w:val="false"/>
          <w:i/>
          <w:sz w:val="24"/>
        </w:rPr>
        <w:t>Tier 3:</w:t>
      </w:r>
      <w:r>
        <w:rPr/>
        <w:t xml:space="preserve"> </w:t>
      </w:r>
      <w:r>
        <w:rPr>
          <w:rFonts w:ascii="Times New Roman;serif" w:hAnsi="Times New Roman;serif"/>
          <w:b w:val="false"/>
          <w:sz w:val="24"/>
        </w:rPr>
        <w:t>9] months following the date of your Qualifying Termination.</w:t>
      </w:r>
    </w:p>
    <w:p>
      <w:pPr>
        <w:pStyle w:val="TextBody"/>
        <w:bidi w:val="0"/>
        <w:spacing w:before="240" w:after="0"/>
        <w:jc w:val="both"/>
        <w:rPr>
          <w:rFonts w:ascii="Times New Roman" w:hAnsi="Times New Roman"/>
          <w:b w:val="false"/>
          <w:sz w:val="24"/>
        </w:rPr>
      </w:pPr>
      <w:r>
        <w:rPr>
          <w:rFonts w:ascii="Times New Roman" w:hAnsi="Times New Roman"/>
          <w:b w:val="false"/>
          <w:sz w:val="24"/>
        </w:rPr>
        <w:t>(c)</w:t>
      </w:r>
    </w:p>
    <w:p>
      <w:pPr>
        <w:pStyle w:val="TextBody"/>
        <w:bidi w:val="0"/>
        <w:spacing w:before="240" w:after="0"/>
        <w:jc w:val="both"/>
        <w:rPr/>
      </w:pPr>
      <w:r>
        <w:rPr>
          <w:rFonts w:ascii="Times New Roman;serif" w:hAnsi="Times New Roman;serif"/>
          <w:b w:val="false"/>
          <w:sz w:val="24"/>
          <w:u w:val="single"/>
        </w:rPr>
        <w:t>Equity Award Vesting Acceleration</w:t>
      </w:r>
      <w:r>
        <w:rPr>
          <w:rFonts w:ascii="Times New Roman;serif" w:hAnsi="Times New Roman;serif"/>
          <w:b w:val="false"/>
          <w:sz w:val="24"/>
        </w:rPr>
        <w:t xml:space="preserve">. 100% of your then-outstanding and unvested Equity Awards will become vested in full and, to the extent applicable, become immediately exercisable (it being understood that forfeiture of any equity awards due to termination of employment will be tolled to the extent necessary to implement this section (c)). If, however, an outstanding Equity Award is to vest and/or the amount of the award to vest is to be determined based on the achievement of performance criteria, then, unless otherwise set forth in the award agreement governing the Equity Award, the Equity Award will vest as to 100% of the amount of the Equity Award assuming the performance criteria had been achieved at target levels for the relevant performance period(s). </w:t>
      </w:r>
    </w:p>
    <w:p>
      <w:pPr>
        <w:pStyle w:val="TextBody"/>
        <w:bidi w:val="0"/>
        <w:spacing w:before="240" w:after="0"/>
        <w:jc w:val="both"/>
        <w:rPr>
          <w:rFonts w:ascii="Times New Roman" w:hAnsi="Times New Roman"/>
          <w:b w:val="false"/>
          <w:sz w:val="24"/>
        </w:rPr>
      </w:pPr>
      <w:r>
        <w:rPr>
          <w:rFonts w:ascii="Times New Roman" w:hAnsi="Times New Roman"/>
          <w:b w:val="false"/>
          <w:sz w:val="24"/>
        </w:rPr>
        <w:t>3.</w:t>
      </w:r>
    </w:p>
    <w:p>
      <w:pPr>
        <w:pStyle w:val="TextBody"/>
        <w:bidi w:val="0"/>
        <w:spacing w:before="240" w:after="0"/>
        <w:jc w:val="both"/>
        <w:rPr/>
      </w:pPr>
      <w:r>
        <w:rPr>
          <w:rFonts w:ascii="Times New Roman;serif" w:hAnsi="Times New Roman;serif"/>
          <w:b w:val="false"/>
          <w:sz w:val="24"/>
          <w:u w:val="single"/>
        </w:rPr>
        <w:t>Non-Duplication of Payment or Benefits</w:t>
      </w:r>
      <w:r>
        <w:rPr>
          <w:rFonts w:ascii="Times New Roman;serif" w:hAnsi="Times New Roman;serif"/>
          <w:b w:val="false"/>
          <w:sz w:val="24"/>
        </w:rPr>
        <w:t>. If (a) your Qualifying Termination occurs prior to a Change in Control that qualifies you for Severance Benefits under Section 1 of this A&amp;R Participation Agreement and (b) a Change in Control occurs within the 3-month period following your Qualifying Termination that qualifies you for the superior Severance Benefits under Section 2 of this A&amp;R Participation Agreement, then (i) you will cease receiving any further payments or benefits under Section 1 of this A&amp;R Participation Agreement and (ii) the Cash Severance Benefits, Continued Medical Benefits, and Equity Award Vesting Acceleration, as applicable, otherwise payable under Section 2 of this A&amp;R Participation Agreement each will be offset by the corresponding payments or benefits you already received under Section 1 of this A&amp;R Participation Agreement in connection your Qualifying Termination (if any).</w:t>
      </w:r>
    </w:p>
    <w:p>
      <w:pPr>
        <w:pStyle w:val="TextBody"/>
        <w:bidi w:val="0"/>
        <w:spacing w:before="240" w:after="0"/>
        <w:jc w:val="both"/>
        <w:rPr>
          <w:rFonts w:ascii="Times New Roman" w:hAnsi="Times New Roman"/>
          <w:b w:val="false"/>
          <w:sz w:val="24"/>
        </w:rPr>
      </w:pPr>
      <w:r>
        <w:rPr>
          <w:rFonts w:ascii="Times New Roman" w:hAnsi="Times New Roman"/>
          <w:b w:val="false"/>
          <w:sz w:val="24"/>
        </w:rPr>
        <w:t>4.</w:t>
      </w:r>
    </w:p>
    <w:p>
      <w:pPr>
        <w:pStyle w:val="TextBody"/>
        <w:bidi w:val="0"/>
        <w:spacing w:before="240" w:after="0"/>
        <w:jc w:val="both"/>
        <w:rPr/>
      </w:pPr>
      <w:r>
        <w:rPr>
          <w:rFonts w:ascii="Times New Roman;serif" w:hAnsi="Times New Roman;serif"/>
          <w:b w:val="false"/>
          <w:sz w:val="24"/>
          <w:u w:val="single"/>
        </w:rPr>
        <w:t>Timing of Certain CIC Qualifying Termination Severance Benefits</w:t>
      </w:r>
      <w:r>
        <w:rPr>
          <w:rFonts w:ascii="Times New Roman;serif" w:hAnsi="Times New Roman;serif"/>
          <w:b w:val="false"/>
          <w:sz w:val="24"/>
        </w:rPr>
        <w:t>. If (a) your Qualifying Termination occurs prior to a Change in Control that qualifies you for Severance Benefits under Section 1 of this A&amp;R Participation Agreement and (b) a Change in Control occurs within the 3-month period following your Qualifying Termination that qualifies you for the superior Severance Benefits under Section 2 of this A&amp;R Participation Agreement, then provided that the Release becomes effective and irrevocable by the Release Deadline Date and subject to Section 9 of the Plan, the “</w:t>
      </w:r>
      <w:r>
        <w:rPr>
          <w:rFonts w:ascii="Times New Roman;serif" w:hAnsi="Times New Roman;serif"/>
          <w:b w:val="false"/>
          <w:sz w:val="24"/>
          <w:u w:val="single"/>
        </w:rPr>
        <w:t>Severance Start Date</w:t>
      </w:r>
      <w:r>
        <w:rPr/>
        <w:t xml:space="preserve">” </w:t>
      </w:r>
      <w:r>
        <w:rPr>
          <w:rFonts w:ascii="Times New Roman;serif" w:hAnsi="Times New Roman;serif"/>
          <w:b w:val="false"/>
          <w:sz w:val="24"/>
        </w:rPr>
        <w:t xml:space="preserve">for the portion of the Severance Benefits that would not otherwise have become payable on a Non-CIC Qualifying Termination will be the later of the first Company payroll date following the Release Deadline Date or the date of the Change in Control, and any Severance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 and the Participant’s Participation Agreement. </w:t>
      </w:r>
    </w:p>
    <w:p>
      <w:pPr>
        <w:pStyle w:val="TextBody"/>
        <w:bidi w:val="0"/>
        <w:spacing w:before="240" w:after="0"/>
        <w:jc w:val="both"/>
        <w:rPr>
          <w:rFonts w:ascii="Times New Roman" w:hAnsi="Times New Roman"/>
          <w:b w:val="false"/>
          <w:sz w:val="24"/>
        </w:rPr>
      </w:pPr>
      <w:r>
        <w:rPr>
          <w:rFonts w:ascii="Times New Roman" w:hAnsi="Times New Roman"/>
          <w:b w:val="false"/>
          <w:sz w:val="24"/>
        </w:rPr>
        <w:t>5.</w:t>
      </w:r>
    </w:p>
    <w:p>
      <w:pPr>
        <w:pStyle w:val="TextBody"/>
        <w:bidi w:val="0"/>
        <w:spacing w:before="240" w:after="283"/>
        <w:jc w:val="both"/>
        <w:rPr/>
      </w:pPr>
      <w:r>
        <w:rPr>
          <w:rFonts w:ascii="Times New Roman;serif" w:hAnsi="Times New Roman;serif"/>
          <w:b w:val="false"/>
          <w:sz w:val="24"/>
          <w:u w:val="single"/>
        </w:rPr>
        <w:t>Exclusive Benefit</w:t>
      </w:r>
      <w:r>
        <w:rPr>
          <w:rFonts w:ascii="Times New Roman;serif" w:hAnsi="Times New Roman;serif"/>
          <w:b w:val="false"/>
          <w:sz w:val="24"/>
        </w:rPr>
        <w:t xml:space="preserve">. In accordance with Section 8 of the Plan, the benefits, if any, provided under this Plan will be the exclusive benefits for a Participant related to his or her termination of employment with the Company and/or a change in control of the Company and will supersede and replace any severance and/or change in control benefits set forth in any offer letter, employment or severance agreement and/or other agreement between the Participant and the Company, including any equity award agreement. For the avoidance of doubt, if you were otherwise eligible to participate in any other Company severance and/or change in control plan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283"/>
        <w:jc w:val="both"/>
        <w:rPr>
          <w:rFonts w:ascii="Times New Roman;serif" w:hAnsi="Times New Roman;serif"/>
          <w:b w:val="false"/>
          <w:sz w:val="24"/>
        </w:rPr>
      </w:pPr>
      <w:r>
        <w:rPr>
          <w:rFonts w:ascii="Times New Roman;serif" w:hAnsi="Times New Roman;serif"/>
          <w:b w:val="false"/>
          <w:sz w:val="24"/>
        </w:rPr>
        <w:t>(whether or not subject to ERISA), then participation in this Plan will supersede and replace eligibility in such other plan.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In order to receive any Severance Benefits for which you otherwise become eligible under the Plan, you must sign and deliver to the Company the Release, which must have become effective and irrevocable within the requisite period, and otherwise comply with the requirements under Section 6 of the Plan.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By your signature below, you and the Company agree that your participation in the Plan is governed by this A&amp;R Participation Agreement and the provisions of the Plan. Your signature below confirms that: (1) you have received a copy of the Executive Change in Control and Severance Plan and Summary Plan Description; (2) you have carefully read this A&amp;R Participation Agreement and the Executive Change in Control and Severance Plan and Summary Plan Description and you acknowledge and agree to its terms in accordance with the terms of the Plan and this A&amp;R Participation Agreement; and (3) decisions and determinations by the Administrator under the Plan will be final and binding on you and your successors.</w:t>
      </w:r>
    </w:p>
    <w:p>
      <w:pPr>
        <w:pStyle w:val="TextBody"/>
        <w:bidi w:val="0"/>
        <w:spacing w:before="24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left"/>
        <w:rPr/>
      </w:pPr>
      <w:r>
        <w:rPr/>
        <w:t> </w:t>
      </w:r>
    </w:p>
    <w:tbl>
      <w:tblPr>
        <w:tblW w:w="4618" w:type="dxa"/>
        <w:jc w:val="left"/>
        <w:tblInd w:w="0" w:type="dxa"/>
        <w:tblLayout w:type="fixed"/>
        <w:tblCellMar>
          <w:top w:w="28" w:type="dxa"/>
          <w:left w:w="28" w:type="dxa"/>
          <w:bottom w:w="28" w:type="dxa"/>
          <w:right w:w="28" w:type="dxa"/>
        </w:tblCellMar>
      </w:tblPr>
      <w:tblGrid>
        <w:gridCol w:w="2986"/>
        <w:gridCol w:w="146"/>
        <w:gridCol w:w="148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TENAYA THERAPEUTICS, INC.</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PARTICIPANT</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Signature</w:t>
            </w:r>
          </w:p>
        </w:tc>
        <w:tc>
          <w:tcPr>
            <w:tcW w:w="146" w:type="dxa"/>
            <w:tcBorders/>
            <w:tcMar>
              <w:top w:w="0" w:type="dxa"/>
              <w:left w:w="0" w:type="dxa"/>
              <w:bottom w:w="0" w:type="dxa"/>
              <w:right w:w="0" w:type="dxa"/>
            </w:tcMar>
            <w:vAlign w:val="center"/>
          </w:tcPr>
          <w:p>
            <w:pPr>
              <w:pStyle w:val="TableContents"/>
              <w:bidi w:val="0"/>
              <w:spacing w:before="24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Signature</w:t>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r>
    </w:tbl>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Attachment: Tenaya Therapeutics, Inc. Executive Change in Control and Severance Plan and Summary Plan Description</w:t>
      </w:r>
    </w:p>
    <w:p>
      <w:pPr>
        <w:pStyle w:val="TextBody"/>
        <w:bidi w:val="0"/>
        <w:spacing w:before="240" w:after="0"/>
        <w:jc w:val="both"/>
        <w:rPr/>
      </w:pPr>
      <w:r>
        <w:rPr/>
        <w:t> </w:t>
      </w:r>
    </w:p>
    <w:p>
      <w:pPr>
        <w:pStyle w:val="TextBody"/>
        <w:bidi w:val="0"/>
        <w:spacing w:before="0" w:after="200"/>
        <w:jc w:val="center"/>
        <w:rPr>
          <w:rFonts w:ascii="Times New Roman;serif" w:hAnsi="Times New Roman;serif"/>
          <w:b w:val="false"/>
          <w:i/>
          <w:sz w:val="24"/>
        </w:rPr>
      </w:pPr>
      <w:r>
        <w:rPr>
          <w:rFonts w:ascii="Times New Roman;serif" w:hAnsi="Times New Roman;serif"/>
          <w:b w:val="false"/>
          <w:i/>
          <w:sz w:val="24"/>
        </w:rPr>
        <w:t>[Signature page to the Participation Agreement]</w:t>
      </w:r>
    </w:p>
    <w:p>
      <w:pPr>
        <w:pStyle w:val="TextBody"/>
        <w:bidi w:val="0"/>
        <w:spacing w:before="0" w:after="20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right"/>
        <w:rPr>
          <w:rFonts w:ascii="Times New Roman;serif" w:hAnsi="Times New Roman;serif"/>
          <w:b w:val="false"/>
          <w:i/>
          <w:sz w:val="22"/>
        </w:rPr>
      </w:pPr>
      <w:r>
        <w:rPr>
          <w:rFonts w:ascii="Times New Roman;serif" w:hAnsi="Times New Roman;serif"/>
          <w:b w:val="false"/>
          <w:i/>
          <w:sz w:val="22"/>
        </w:rPr>
        <w:t>For individuals partcipating</w:t>
      </w:r>
    </w:p>
    <w:p>
      <w:pPr>
        <w:pStyle w:val="TextBody"/>
        <w:bidi w:val="0"/>
        <w:spacing w:before="0" w:after="200"/>
        <w:jc w:val="right"/>
        <w:rPr>
          <w:rFonts w:ascii="Times New Roman;serif" w:hAnsi="Times New Roman;serif"/>
          <w:b w:val="false"/>
          <w:i/>
          <w:sz w:val="22"/>
        </w:rPr>
      </w:pPr>
      <w:r>
        <w:rPr>
          <w:rFonts w:ascii="Times New Roman;serif" w:hAnsi="Times New Roman;serif"/>
          <w:b w:val="false"/>
          <w:i/>
          <w:sz w:val="22"/>
        </w:rPr>
        <w:t>on or after June 8, 2023</w:t>
      </w:r>
    </w:p>
    <w:p>
      <w:pPr>
        <w:pStyle w:val="TextBody"/>
        <w:bidi w:val="0"/>
        <w:spacing w:before="0" w:after="200"/>
        <w:jc w:val="center"/>
        <w:rPr>
          <w:rFonts w:ascii="Times New Roman;serif" w:hAnsi="Times New Roman;serif"/>
          <w:b/>
          <w:sz w:val="24"/>
          <w:u w:val="single"/>
        </w:rPr>
      </w:pPr>
      <w:r>
        <w:rPr>
          <w:rFonts w:ascii="Times New Roman;serif" w:hAnsi="Times New Roman;serif"/>
          <w:b/>
          <w:sz w:val="24"/>
          <w:u w:val="single"/>
        </w:rPr>
        <w:t>Appendix A</w:t>
      </w:r>
    </w:p>
    <w:p>
      <w:pPr>
        <w:pStyle w:val="TextBody"/>
        <w:bidi w:val="0"/>
        <w:spacing w:before="240" w:after="0"/>
        <w:jc w:val="center"/>
        <w:rPr>
          <w:rFonts w:ascii="Times New Roman;serif" w:hAnsi="Times New Roman;serif"/>
          <w:b/>
          <w:sz w:val="24"/>
        </w:rPr>
      </w:pPr>
      <w:r>
        <w:rPr>
          <w:rFonts w:ascii="Times New Roman;serif" w:hAnsi="Times New Roman;serif"/>
          <w:b/>
          <w:sz w:val="24"/>
        </w:rPr>
        <w:t>Tenaya Therapeutics, Inc. Executive Change in Control and Severance Plan</w:t>
        <w:br/>
        <w:t>Participation Agreement</w:t>
      </w:r>
    </w:p>
    <w:p>
      <w:pPr>
        <w:pStyle w:val="TextBody"/>
        <w:bidi w:val="0"/>
        <w:spacing w:before="240" w:after="0"/>
        <w:jc w:val="both"/>
        <w:rPr>
          <w:rFonts w:ascii="Times New Roman" w:hAnsi="Times New Roman"/>
          <w:sz w:val="20"/>
        </w:rPr>
      </w:pPr>
      <w:r>
        <w:rPr>
          <w:rFonts w:ascii="Times New Roman;serif" w:hAnsi="Times New Roman;serif"/>
          <w:b w:val="false"/>
          <w:sz w:val="24"/>
        </w:rPr>
        <w:t>Tenaya Therapeutics,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is pleased to inform you, the undersigned that you have been selected to participate in the Company’s Executive Change in Control and Severance Plan (the “</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as a Participant.</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The Plan describes in detail certain circumstances under which you may become eligible for Severance Benefits. As described more fully in the Plan, you may become eligible for certain Severance Benefits if you experience a Qualifying Termination.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For the purposes of this Participation Agreement, the following terms shall have the following meanings:</w:t>
      </w:r>
    </w:p>
    <w:p>
      <w:pPr>
        <w:pStyle w:val="TextBody"/>
        <w:bidi w:val="0"/>
        <w:spacing w:before="240" w:after="0"/>
        <w:jc w:val="both"/>
        <w:rPr/>
      </w:pPr>
      <w:r>
        <w:rPr/>
        <w:t>“</w:t>
      </w:r>
      <w:r>
        <w:rPr>
          <w:rFonts w:ascii="Times New Roman;serif" w:hAnsi="Times New Roman;serif"/>
          <w:b w:val="false"/>
          <w:sz w:val="24"/>
          <w:u w:val="single"/>
        </w:rPr>
        <w:t>Change in Control Period</w:t>
      </w:r>
      <w:r>
        <w:rPr>
          <w:rFonts w:ascii="Times New Roman" w:hAnsi="Times New Roman"/>
          <w:sz w:val="20"/>
        </w:rPr>
        <w:t xml:space="preserve">” </w:t>
      </w:r>
      <w:r>
        <w:rPr>
          <w:rFonts w:ascii="Times New Roman;serif" w:hAnsi="Times New Roman;serif"/>
          <w:b w:val="false"/>
          <w:sz w:val="24"/>
        </w:rPr>
        <w:t>means the time period beginning on the date that is 3 months prior to a Change in Control and ending on the date that is 12 months following a Change in Control.</w:t>
      </w:r>
    </w:p>
    <w:p>
      <w:pPr>
        <w:pStyle w:val="TextBody"/>
        <w:bidi w:val="0"/>
        <w:spacing w:before="24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CEO ONLY:</w:t>
      </w:r>
      <w:r>
        <w:rPr>
          <w:rFonts w:ascii="Times New Roman" w:hAnsi="Times New Roman"/>
          <w:sz w:val="20"/>
        </w:rPr>
        <w:t xml:space="preserve"> “</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(1) an act of dishonesty made by you in connection with your responsibilities as an employee that has caused the Company to suffer material harm; (2) your conviction of, or plea of nolo contendere to, a felony or any crime involving fraud, embezzlement or any other act of moral turpitude; (3) your gross misconduct that has caused the Company to suffer material harm; (4) your unauthorized use or disclosure of any proprietary information or trade secrets of the Company or any other party to whom you owe an obligation of nondisclosure as a result of your relationship with the Company; (5) your willful breach of any obligations under any written agreement or covenant with the Company; (6) your continued failure to perform your employment duties after you have received a written demand of performance from the Company which specifically sets forth the factual basis for the Company’s belief that you have not substantially performed your duties. Notwithstanding the foregoing, Cause shall only exist after; (x) the Board delivers written notice to you of the Board’s determination that Cause exists; (y) such notice sets forth in reasonable detail such facts and circumstances; and (z) you have failed to fully correct any of the events listed above, if such events are reasonably capable of being fully corrected, within 10 days following delivery to you of the Board’s written notice of its determination that Cause exists.</w:t>
      </w:r>
    </w:p>
    <w:p>
      <w:pPr>
        <w:pStyle w:val="TextBody"/>
        <w:bidi w:val="0"/>
        <w:spacing w:before="24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means the occurrence of one or more of the following without your written consent: (1) a material diminution of your authority, duties or responsibilities; provided, however, that a reduction in authority, duties, or responsibilities solely by virtue of the Company being acquired and made part of a larger entity, whether as a subsidiary, business unit or otherwise (as,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for example, when the CEO of the Company remains as such following an acquisition where the Company becomes a wholly owned subsidiary of the acquirer, but is not made the CEO of the acquiring corporation), will not constitute “Good Reason”, (2) a material change in the geographic location at which you must perform services for Tenaya (which, for this purpose means relocation of the offices of the Company at which you are principally employed to a location more than 40 miles from the location of such offices immediately prior to the relocation), or (3) a material diminution in your annual base salary. In order for your termination of employment to be for Good Reason, you must not terminate employment with the Company without first providing the Company with written notice of the acts or omissions constituting the grounds for “Good Reason” within ninety (90) days of their initial occurrence and a reasonable cure period of not less than thirty (30) days following the date of such notice (the “Cure Period”), and your resignation must occur within thirty (30) days following the end of the Cure Period if the “Good Reason” conditions remain uncured.</w:t>
      </w:r>
    </w:p>
    <w:p>
      <w:pPr>
        <w:pStyle w:val="TextBody"/>
        <w:bidi w:val="0"/>
        <w:spacing w:before="240" w:after="0"/>
        <w:jc w:val="both"/>
        <w:rPr/>
      </w:pPr>
      <w:r>
        <w:rPr/>
        <w:t>“</w:t>
      </w:r>
      <w:r>
        <w:rPr>
          <w:rFonts w:ascii="Times New Roman;serif" w:hAnsi="Times New Roman;serif"/>
          <w:b w:val="false"/>
          <w:sz w:val="24"/>
          <w:u w:val="single"/>
        </w:rPr>
        <w:t>Non-CIC Qualifying Termination</w:t>
      </w:r>
      <w:r>
        <w:rPr>
          <w:rFonts w:ascii="Times New Roman" w:hAnsi="Times New Roman"/>
          <w:sz w:val="20"/>
        </w:rPr>
        <w:t xml:space="preserve">” </w:t>
      </w:r>
      <w:r>
        <w:rPr>
          <w:rFonts w:ascii="Times New Roman;serif" w:hAnsi="Times New Roman;serif"/>
          <w:b w:val="false"/>
          <w:sz w:val="24"/>
        </w:rPr>
        <w:t>means termination of a Participant’s employment with the Company (or any parent or subsidiary of the Company) other than within the Change in Control Period by (1) you for Good Reason, or (2) the Company (or any parent or subsidiary of the Company) without Cause (excluding by reason of your death or Disability).]</w:t>
      </w:r>
    </w:p>
    <w:p>
      <w:pPr>
        <w:pStyle w:val="TextBody"/>
        <w:bidi w:val="0"/>
        <w:spacing w:before="240" w:after="0"/>
        <w:jc w:val="both"/>
        <w:rPr>
          <w:rFonts w:ascii="Times New Roman" w:hAnsi="Times New Roman"/>
          <w:b w:val="false"/>
          <w:sz w:val="24"/>
        </w:rPr>
      </w:pPr>
      <w:r>
        <w:rPr>
          <w:rFonts w:ascii="Times New Roman" w:hAnsi="Times New Roman"/>
          <w:b w:val="false"/>
          <w:sz w:val="24"/>
        </w:rPr>
        <w:t>1.</w:t>
      </w:r>
    </w:p>
    <w:p>
      <w:pPr>
        <w:pStyle w:val="TextBody"/>
        <w:bidi w:val="0"/>
        <w:spacing w:before="240" w:after="0"/>
        <w:jc w:val="both"/>
        <w:rPr/>
      </w:pPr>
      <w:r>
        <w:rPr>
          <w:rFonts w:ascii="Times New Roman;serif" w:hAnsi="Times New Roman;serif"/>
          <w:b w:val="false"/>
          <w:sz w:val="24"/>
          <w:u w:val="single"/>
        </w:rPr>
        <w:t>Non-CIC Qualifying Termination</w:t>
      </w:r>
      <w:r>
        <w:rPr>
          <w:rFonts w:ascii="Times New Roman;serif" w:hAnsi="Times New Roman;serif"/>
          <w:b w:val="false"/>
          <w:sz w:val="24"/>
        </w:rPr>
        <w:t>. Upon your Non-CIC Qualifying Termination, subject to the terms and conditions of the Plan, you will receive:</w:t>
      </w:r>
    </w:p>
    <w:p>
      <w:pPr>
        <w:pStyle w:val="TextBody"/>
        <w:bidi w:val="0"/>
        <w:spacing w:before="240" w:after="0"/>
        <w:jc w:val="both"/>
        <w:rPr>
          <w:rFonts w:ascii="Times New Roman" w:hAnsi="Times New Roman"/>
          <w:b w:val="false"/>
          <w:sz w:val="24"/>
        </w:rPr>
      </w:pPr>
      <w:r>
        <w:rPr>
          <w:rFonts w:ascii="Times New Roman" w:hAnsi="Times New Roman"/>
          <w:b w:val="false"/>
          <w:sz w:val="24"/>
        </w:rPr>
        <w:t>(a)</w:t>
      </w:r>
    </w:p>
    <w:p>
      <w:pPr>
        <w:pStyle w:val="TextBody"/>
        <w:bidi w:val="0"/>
        <w:spacing w:before="240" w:after="0"/>
        <w:jc w:val="both"/>
        <w:rPr/>
      </w:pPr>
      <w:r>
        <w:rPr>
          <w:rFonts w:ascii="Times New Roman;serif" w:hAnsi="Times New Roman;serif"/>
          <w:b w:val="false"/>
          <w:sz w:val="24"/>
          <w:u w:val="single"/>
        </w:rPr>
        <w:t>Cash Severance Benefits</w:t>
      </w:r>
      <w:r>
        <w:rPr>
          <w:rFonts w:ascii="Times New Roman;serif" w:hAnsi="Times New Roman;serif"/>
          <w:b w:val="false"/>
          <w:sz w:val="24"/>
        </w:rPr>
        <w:t>. A lump sum payment equal to [</w:t>
      </w:r>
      <w:r>
        <w:rPr>
          <w:rFonts w:ascii="Times New Roman;serif" w:hAnsi="Times New Roman;serif"/>
          <w:b w:val="false"/>
          <w:i/>
          <w:sz w:val="24"/>
        </w:rPr>
        <w:t xml:space="preserve">CEO: </w:t>
      </w:r>
      <w:r>
        <w:rPr>
          <w:rFonts w:ascii="Times New Roman;serif" w:hAnsi="Times New Roman;serif"/>
          <w:b w:val="false"/>
          <w:sz w:val="24"/>
        </w:rPr>
        <w:t xml:space="preserve">12; </w:t>
      </w:r>
      <w:r>
        <w:rPr>
          <w:rFonts w:ascii="Times New Roman;serif" w:hAnsi="Times New Roman;serif"/>
          <w:b w:val="false"/>
          <w:i/>
          <w:sz w:val="24"/>
        </w:rPr>
        <w:t xml:space="preserve">Tier 2: </w:t>
      </w:r>
      <w:r>
        <w:rPr>
          <w:rFonts w:ascii="Times New Roman;serif" w:hAnsi="Times New Roman;serif"/>
          <w:b w:val="false"/>
          <w:sz w:val="24"/>
        </w:rPr>
        <w:t xml:space="preserve">9; </w:t>
      </w:r>
      <w:r>
        <w:rPr>
          <w:rFonts w:ascii="Times New Roman;serif" w:hAnsi="Times New Roman;serif"/>
          <w:b w:val="false"/>
          <w:i/>
          <w:sz w:val="24"/>
        </w:rPr>
        <w:t>Tier 3:</w:t>
      </w:r>
      <w:r>
        <w:rPr/>
        <w:t xml:space="preserve"> </w:t>
      </w:r>
      <w:r>
        <w:rPr>
          <w:rFonts w:ascii="Times New Roman;serif" w:hAnsi="Times New Roman;serif"/>
          <w:b w:val="false"/>
          <w:sz w:val="24"/>
        </w:rPr>
        <w:t>6] months of your annual base salary (less applicable withholding taxes).</w:t>
      </w:r>
    </w:p>
    <w:p>
      <w:pPr>
        <w:pStyle w:val="TextBody"/>
        <w:bidi w:val="0"/>
        <w:spacing w:before="240" w:after="0"/>
        <w:jc w:val="both"/>
        <w:rPr>
          <w:rFonts w:ascii="Times New Roman" w:hAnsi="Times New Roman"/>
          <w:b w:val="false"/>
          <w:sz w:val="24"/>
        </w:rPr>
      </w:pPr>
      <w:r>
        <w:rPr>
          <w:rFonts w:ascii="Times New Roman" w:hAnsi="Times New Roman"/>
          <w:b w:val="false"/>
          <w:sz w:val="24"/>
        </w:rPr>
        <w:t>(b)</w:t>
      </w:r>
    </w:p>
    <w:p>
      <w:pPr>
        <w:pStyle w:val="TextBody"/>
        <w:bidi w:val="0"/>
        <w:spacing w:before="240" w:after="0"/>
        <w:jc w:val="both"/>
        <w:rPr/>
      </w:pPr>
      <w:r>
        <w:rPr>
          <w:rFonts w:ascii="Times New Roman;serif" w:hAnsi="Times New Roman;serif"/>
          <w:b w:val="false"/>
          <w:sz w:val="24"/>
          <w:u w:val="single"/>
        </w:rPr>
        <w:t>Continued Medical Benefits.</w:t>
      </w:r>
      <w:r>
        <w:rPr/>
        <w:t xml:space="preserve"> </w:t>
      </w:r>
      <w:r>
        <w:rPr>
          <w:rFonts w:ascii="Times New Roman;serif" w:hAnsi="Times New Roman;serif"/>
          <w:b w:val="false"/>
          <w:sz w:val="24"/>
        </w:rPr>
        <w:t>Your reimbursement of continued health coverage under COBRA or a taxable lump sum payment in lieu of reimbursement, as applicable, and as described in Section 4.2 of the Plan will be provided for a period of [</w:t>
      </w:r>
      <w:r>
        <w:rPr>
          <w:rFonts w:ascii="Times New Roman;serif" w:hAnsi="Times New Roman;serif"/>
          <w:b w:val="false"/>
          <w:i/>
          <w:sz w:val="24"/>
        </w:rPr>
        <w:t xml:space="preserve">CEO: </w:t>
      </w:r>
      <w:r>
        <w:rPr>
          <w:rFonts w:ascii="Times New Roman;serif" w:hAnsi="Times New Roman;serif"/>
          <w:b w:val="false"/>
          <w:sz w:val="24"/>
        </w:rPr>
        <w:t xml:space="preserve">12; </w:t>
      </w:r>
      <w:r>
        <w:rPr>
          <w:rFonts w:ascii="Times New Roman;serif" w:hAnsi="Times New Roman;serif"/>
          <w:b w:val="false"/>
          <w:i/>
          <w:sz w:val="24"/>
        </w:rPr>
        <w:t xml:space="preserve">Tier 2: </w:t>
      </w:r>
      <w:r>
        <w:rPr>
          <w:rFonts w:ascii="Times New Roman;serif" w:hAnsi="Times New Roman;serif"/>
          <w:b w:val="false"/>
          <w:sz w:val="24"/>
        </w:rPr>
        <w:t xml:space="preserve">9; </w:t>
      </w:r>
      <w:r>
        <w:rPr>
          <w:rFonts w:ascii="Times New Roman;serif" w:hAnsi="Times New Roman;serif"/>
          <w:b w:val="false"/>
          <w:i/>
          <w:sz w:val="24"/>
        </w:rPr>
        <w:t>Tier 3:</w:t>
      </w:r>
      <w:r>
        <w:rPr/>
        <w:t xml:space="preserve"> </w:t>
      </w:r>
      <w:r>
        <w:rPr>
          <w:rFonts w:ascii="Times New Roman;serif" w:hAnsi="Times New Roman;serif"/>
          <w:b w:val="false"/>
          <w:sz w:val="24"/>
        </w:rPr>
        <w:t>6] months following the date of your Qualifying Termination.</w:t>
      </w:r>
    </w:p>
    <w:p>
      <w:pPr>
        <w:pStyle w:val="TextBody"/>
        <w:bidi w:val="0"/>
        <w:spacing w:before="240" w:after="0"/>
        <w:jc w:val="both"/>
        <w:rPr>
          <w:rFonts w:ascii="Times New Roman" w:hAnsi="Times New Roman"/>
          <w:b w:val="false"/>
          <w:sz w:val="24"/>
        </w:rPr>
      </w:pPr>
      <w:r>
        <w:rPr>
          <w:rFonts w:ascii="Times New Roman" w:hAnsi="Times New Roman"/>
          <w:b w:val="false"/>
          <w:sz w:val="24"/>
        </w:rPr>
        <w:t>2.</w:t>
      </w:r>
    </w:p>
    <w:p>
      <w:pPr>
        <w:pStyle w:val="TextBody"/>
        <w:bidi w:val="0"/>
        <w:spacing w:before="240" w:after="0"/>
        <w:jc w:val="both"/>
        <w:rPr/>
      </w:pPr>
      <w:r>
        <w:rPr>
          <w:rFonts w:ascii="Times New Roman;serif" w:hAnsi="Times New Roman;serif"/>
          <w:b w:val="false"/>
          <w:sz w:val="24"/>
          <w:u w:val="single"/>
        </w:rPr>
        <w:t>CIC Qualifying Termination</w:t>
      </w:r>
      <w:r>
        <w:rPr>
          <w:rFonts w:ascii="Times New Roman;serif" w:hAnsi="Times New Roman;serif"/>
          <w:b w:val="false"/>
          <w:sz w:val="24"/>
        </w:rPr>
        <w:t>. Upon your CIC Qualifying Termination, subject to the terms and conditions of the Plan, you will receive:</w:t>
      </w:r>
    </w:p>
    <w:p>
      <w:pPr>
        <w:pStyle w:val="TextBody"/>
        <w:bidi w:val="0"/>
        <w:spacing w:before="240" w:after="0"/>
        <w:jc w:val="both"/>
        <w:rPr>
          <w:rFonts w:ascii="Times New Roman" w:hAnsi="Times New Roman"/>
          <w:b w:val="false"/>
          <w:sz w:val="24"/>
        </w:rPr>
      </w:pPr>
      <w:r>
        <w:rPr>
          <w:rFonts w:ascii="Times New Roman" w:hAnsi="Times New Roman"/>
          <w:b w:val="false"/>
          <w:sz w:val="24"/>
        </w:rPr>
        <w:t>(d)</w:t>
      </w:r>
    </w:p>
    <w:p>
      <w:pPr>
        <w:pStyle w:val="TextBody"/>
        <w:bidi w:val="0"/>
        <w:spacing w:before="240" w:after="0"/>
        <w:jc w:val="both"/>
        <w:rPr/>
      </w:pPr>
      <w:r>
        <w:rPr>
          <w:rFonts w:ascii="Times New Roman;serif" w:hAnsi="Times New Roman;serif"/>
          <w:b w:val="false"/>
          <w:sz w:val="24"/>
          <w:u w:val="single"/>
        </w:rPr>
        <w:t>Cash Severance Benefits</w:t>
      </w:r>
      <w:r>
        <w:rPr>
          <w:rFonts w:ascii="Times New Roman;serif" w:hAnsi="Times New Roman;serif"/>
          <w:b w:val="false"/>
          <w:sz w:val="24"/>
        </w:rPr>
        <w:t>. A lump-sum payment equal to (i) [</w:t>
      </w:r>
      <w:r>
        <w:rPr>
          <w:rFonts w:ascii="Times New Roman;serif" w:hAnsi="Times New Roman;serif"/>
          <w:b w:val="false"/>
          <w:i/>
          <w:sz w:val="24"/>
        </w:rPr>
        <w:t xml:space="preserve">CEO: </w:t>
      </w:r>
      <w:r>
        <w:rPr>
          <w:rFonts w:ascii="Times New Roman;serif" w:hAnsi="Times New Roman;serif"/>
          <w:b w:val="false"/>
          <w:sz w:val="24"/>
        </w:rPr>
        <w:t xml:space="preserve">18; </w:t>
      </w:r>
      <w:r>
        <w:rPr>
          <w:rFonts w:ascii="Times New Roman;serif" w:hAnsi="Times New Roman;serif"/>
          <w:b w:val="false"/>
          <w:i/>
          <w:sz w:val="24"/>
        </w:rPr>
        <w:t xml:space="preserve">Tier 2: </w:t>
      </w:r>
      <w:r>
        <w:rPr>
          <w:rFonts w:ascii="Times New Roman;serif" w:hAnsi="Times New Roman;serif"/>
          <w:b w:val="false"/>
          <w:sz w:val="24"/>
        </w:rPr>
        <w:t xml:space="preserve">12; </w:t>
      </w:r>
      <w:r>
        <w:rPr>
          <w:rFonts w:ascii="Times New Roman;serif" w:hAnsi="Times New Roman;serif"/>
          <w:b w:val="false"/>
          <w:i/>
          <w:sz w:val="24"/>
        </w:rPr>
        <w:t>Tier 3:</w:t>
      </w:r>
      <w:r>
        <w:rPr/>
        <w:t xml:space="preserve"> </w:t>
      </w:r>
      <w:r>
        <w:rPr>
          <w:rFonts w:ascii="Times New Roman;serif" w:hAnsi="Times New Roman;serif"/>
          <w:b w:val="false"/>
          <w:sz w:val="24"/>
        </w:rPr>
        <w:t xml:space="preserve">9] months of your annual base salary </w:t>
      </w:r>
      <w:r>
        <w:rPr>
          <w:rFonts w:ascii="Times New Roman;serif" w:hAnsi="Times New Roman;serif"/>
          <w:b w:val="false"/>
          <w:i/>
          <w:sz w:val="24"/>
        </w:rPr>
        <w:t xml:space="preserve">plus </w:t>
      </w:r>
      <w:r>
        <w:rPr>
          <w:rFonts w:ascii="Times New Roman;serif" w:hAnsi="Times New Roman;serif"/>
          <w:b w:val="false"/>
          <w:sz w:val="24"/>
        </w:rPr>
        <w:t>(ii) [</w:t>
      </w:r>
      <w:r>
        <w:rPr>
          <w:rFonts w:ascii="Times New Roman;serif" w:hAnsi="Times New Roman;serif"/>
          <w:b w:val="false"/>
          <w:i/>
          <w:sz w:val="24"/>
        </w:rPr>
        <w:t xml:space="preserve">CEO: </w:t>
      </w:r>
      <w:r>
        <w:rPr>
          <w:rFonts w:ascii="Times New Roman;serif" w:hAnsi="Times New Roman;serif"/>
          <w:b w:val="false"/>
          <w:sz w:val="24"/>
        </w:rPr>
        <w:t xml:space="preserve">150%; </w:t>
      </w:r>
      <w:r>
        <w:rPr>
          <w:rFonts w:ascii="Times New Roman;serif" w:hAnsi="Times New Roman;serif"/>
          <w:b w:val="false"/>
          <w:i/>
          <w:sz w:val="24"/>
        </w:rPr>
        <w:t xml:space="preserve">Tier 2: </w:t>
      </w:r>
      <w:r>
        <w:rPr>
          <w:rFonts w:ascii="Times New Roman;serif" w:hAnsi="Times New Roman;serif"/>
          <w:b w:val="false"/>
          <w:sz w:val="24"/>
        </w:rPr>
        <w:t xml:space="preserve">100%; </w:t>
      </w:r>
      <w:r>
        <w:rPr>
          <w:rFonts w:ascii="Times New Roman;serif" w:hAnsi="Times New Roman;serif"/>
          <w:b w:val="false"/>
          <w:i/>
          <w:sz w:val="24"/>
        </w:rPr>
        <w:t>Tier 3</w:t>
      </w:r>
      <w:r>
        <w:rPr>
          <w:rFonts w:ascii="Times New Roman;serif" w:hAnsi="Times New Roman;serif"/>
          <w:b w:val="false"/>
          <w:sz w:val="24"/>
        </w:rPr>
        <w:t>: 75%] of your target annual bonus for the year in which your CIC Qualifying Termination occurs (less applicable withholding taxes).</w:t>
      </w:r>
    </w:p>
    <w:p>
      <w:pPr>
        <w:pStyle w:val="TextBody"/>
        <w:bidi w:val="0"/>
        <w:spacing w:before="240" w:after="0"/>
        <w:jc w:val="both"/>
        <w:rPr>
          <w:rFonts w:ascii="Times New Roman" w:hAnsi="Times New Roman"/>
          <w:b w:val="false"/>
          <w:sz w:val="24"/>
        </w:rPr>
      </w:pPr>
      <w:r>
        <w:rPr>
          <w:rFonts w:ascii="Times New Roman" w:hAnsi="Times New Roman"/>
          <w:b w:val="false"/>
          <w:sz w:val="24"/>
        </w:rPr>
        <w:t>(e)</w:t>
      </w:r>
    </w:p>
    <w:p>
      <w:pPr>
        <w:pStyle w:val="TextBody"/>
        <w:bidi w:val="0"/>
        <w:spacing w:before="240" w:after="0"/>
        <w:jc w:val="both"/>
        <w:rPr/>
      </w:pPr>
      <w:r>
        <w:rPr>
          <w:rFonts w:ascii="Times New Roman;serif" w:hAnsi="Times New Roman;serif"/>
          <w:b w:val="false"/>
          <w:sz w:val="24"/>
          <w:u w:val="single"/>
        </w:rPr>
        <w:t>Continued Medical Benefits</w:t>
      </w:r>
      <w:r>
        <w:rPr>
          <w:rFonts w:ascii="Times New Roman;serif" w:hAnsi="Times New Roman;serif"/>
          <w:b w:val="false"/>
          <w:sz w:val="24"/>
        </w:rPr>
        <w:t>. Your reimbursement of continued health coverage under COBRA or a taxable lump sum payment in lieu of reimbursement, as applicable, and as described in Section 4.2 of the Plan, will be provided for a period of [</w:t>
      </w:r>
      <w:r>
        <w:rPr>
          <w:rFonts w:ascii="Times New Roman;serif" w:hAnsi="Times New Roman;serif"/>
          <w:b w:val="false"/>
          <w:i/>
          <w:sz w:val="24"/>
        </w:rPr>
        <w:t xml:space="preserve">CEO: </w:t>
      </w:r>
      <w:r>
        <w:rPr>
          <w:rFonts w:ascii="Times New Roman;serif" w:hAnsi="Times New Roman;serif"/>
          <w:b w:val="false"/>
          <w:sz w:val="24"/>
        </w:rPr>
        <w:t xml:space="preserve">18; </w:t>
      </w:r>
      <w:r>
        <w:rPr>
          <w:rFonts w:ascii="Times New Roman;serif" w:hAnsi="Times New Roman;serif"/>
          <w:b w:val="false"/>
          <w:i/>
          <w:sz w:val="24"/>
        </w:rPr>
        <w:t xml:space="preserve">Tier 2: </w:t>
      </w:r>
      <w:r>
        <w:rPr>
          <w:rFonts w:ascii="Times New Roman;serif" w:hAnsi="Times New Roman;serif"/>
          <w:b w:val="false"/>
          <w:sz w:val="24"/>
        </w:rPr>
        <w:t xml:space="preserve">12; </w:t>
      </w:r>
      <w:r>
        <w:rPr>
          <w:rFonts w:ascii="Times New Roman;serif" w:hAnsi="Times New Roman;serif"/>
          <w:b w:val="false"/>
          <w:i/>
          <w:sz w:val="24"/>
        </w:rPr>
        <w:t>Tier 3:</w:t>
      </w:r>
      <w:r>
        <w:rPr/>
        <w:t xml:space="preserve"> </w:t>
      </w:r>
      <w:r>
        <w:rPr>
          <w:rFonts w:ascii="Times New Roman;serif" w:hAnsi="Times New Roman;serif"/>
          <w:b w:val="false"/>
          <w:sz w:val="24"/>
        </w:rPr>
        <w:t>9] months following the date of your Qualifying Termination.</w:t>
      </w:r>
    </w:p>
    <w:p>
      <w:pPr>
        <w:pStyle w:val="TextBody"/>
        <w:bidi w:val="0"/>
        <w:spacing w:before="240" w:after="0"/>
        <w:jc w:val="both"/>
        <w:rPr>
          <w:rFonts w:ascii="Times New Roman" w:hAnsi="Times New Roman"/>
          <w:b w:val="false"/>
          <w:sz w:val="24"/>
        </w:rPr>
      </w:pPr>
      <w:r>
        <w:rPr>
          <w:rFonts w:ascii="Times New Roman" w:hAnsi="Times New Roman"/>
          <w:b w:val="false"/>
          <w:sz w:val="24"/>
        </w:rPr>
        <w:t>(f)</w:t>
      </w:r>
    </w:p>
    <w:p>
      <w:pPr>
        <w:pStyle w:val="TextBody"/>
        <w:bidi w:val="0"/>
        <w:spacing w:before="240" w:after="283"/>
        <w:jc w:val="both"/>
        <w:rPr/>
      </w:pPr>
      <w:r>
        <w:rPr>
          <w:rFonts w:ascii="Times New Roman;serif" w:hAnsi="Times New Roman;serif"/>
          <w:b w:val="false"/>
          <w:sz w:val="24"/>
          <w:u w:val="single"/>
        </w:rPr>
        <w:t>Equity Award Vesting Acceleration</w:t>
      </w:r>
      <w:r>
        <w:rPr>
          <w:rFonts w:ascii="Times New Roman;serif" w:hAnsi="Times New Roman;serif"/>
          <w:b w:val="false"/>
          <w:sz w:val="24"/>
        </w:rPr>
        <w:t xml:space="preserve">. 100% of your then-outstanding and unvested Equity Awards will become vested in full and, to the extent applicable, become immediately exercisable (it being understood that forfeiture of any equity awards due to termination of employment will be tolled to the extent necessary to implement this section (c)). If, however, an outstanding Equity Award is to vest and/or the amount of the award to vest is to be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pPr>
      <w:r>
        <w:rPr>
          <w:rFonts w:ascii="Times New Roman;serif" w:hAnsi="Times New Roman;serif"/>
          <w:b w:val="false"/>
          <w:sz w:val="24"/>
        </w:rPr>
        <w:t>determined based on the achievement of performance criteria, then, unless otherwise set forth in the award agreement governing the Equity Award, the Equity Award will vest as to 100% of the amount of the Equity Award assuming the performance criteria had been achieved at target levels for the relevant performance period(s).</w:t>
      </w:r>
      <w:r>
        <w:rPr/>
        <w:t xml:space="preserve"> </w:t>
      </w:r>
    </w:p>
    <w:p>
      <w:pPr>
        <w:pStyle w:val="TextBody"/>
        <w:bidi w:val="0"/>
        <w:spacing w:before="240" w:after="0"/>
        <w:jc w:val="both"/>
        <w:rPr>
          <w:rFonts w:ascii="Times New Roman" w:hAnsi="Times New Roman"/>
          <w:b w:val="false"/>
          <w:sz w:val="24"/>
        </w:rPr>
      </w:pPr>
      <w:r>
        <w:rPr>
          <w:rFonts w:ascii="Times New Roman" w:hAnsi="Times New Roman"/>
          <w:b w:val="false"/>
          <w:sz w:val="24"/>
        </w:rPr>
        <w:t>3.</w:t>
      </w:r>
    </w:p>
    <w:p>
      <w:pPr>
        <w:pStyle w:val="TextBody"/>
        <w:bidi w:val="0"/>
        <w:spacing w:before="240" w:after="0"/>
        <w:jc w:val="both"/>
        <w:rPr/>
      </w:pPr>
      <w:r>
        <w:rPr>
          <w:rFonts w:ascii="Times New Roman;serif" w:hAnsi="Times New Roman;serif"/>
          <w:b w:val="false"/>
          <w:sz w:val="24"/>
          <w:u w:val="single"/>
        </w:rPr>
        <w:t>Non-Duplication of Payment or Benefits</w:t>
      </w:r>
      <w:r>
        <w:rPr>
          <w:rFonts w:ascii="Times New Roman;serif" w:hAnsi="Times New Roman;serif"/>
          <w:b w:val="false"/>
          <w:sz w:val="24"/>
        </w:rPr>
        <w:t>. If (a) your Qualifying Termination occurs prior to a Change in Control that qualifies you for Severance Benefits under Section 1 of this Participation Agreement and (b) a Change in Control occurs within the 3-month period following your Qualifying Termination that qualifies you for the superior Severance Benefits under Section 2 of this Participation Agreement, then (i) you will cease receiving any further payments or benefits under Section 1 of this Participation Agreement and (ii) the Cash Severance Benefits, Continued Medical Benefits, and Equity Award Vesting Acceleration, as applicable, otherwise payable under Section 2 of this Participation Agreement each will be offset by the corresponding payments or benefits you already received under Section 1 of this Participation Agreement in connection your Qualifying Termination (if any).</w:t>
      </w:r>
    </w:p>
    <w:p>
      <w:pPr>
        <w:pStyle w:val="TextBody"/>
        <w:bidi w:val="0"/>
        <w:spacing w:before="240" w:after="0"/>
        <w:jc w:val="both"/>
        <w:rPr>
          <w:rFonts w:ascii="Times New Roman" w:hAnsi="Times New Roman"/>
          <w:b w:val="false"/>
          <w:sz w:val="24"/>
        </w:rPr>
      </w:pPr>
      <w:r>
        <w:rPr>
          <w:rFonts w:ascii="Times New Roman" w:hAnsi="Times New Roman"/>
          <w:b w:val="false"/>
          <w:sz w:val="24"/>
        </w:rPr>
        <w:t>4.</w:t>
      </w:r>
    </w:p>
    <w:p>
      <w:pPr>
        <w:pStyle w:val="TextBody"/>
        <w:bidi w:val="0"/>
        <w:spacing w:before="240" w:after="0"/>
        <w:jc w:val="both"/>
        <w:rPr/>
      </w:pPr>
      <w:r>
        <w:rPr>
          <w:rFonts w:ascii="Times New Roman;serif" w:hAnsi="Times New Roman;serif"/>
          <w:b w:val="false"/>
          <w:sz w:val="24"/>
          <w:u w:val="single"/>
        </w:rPr>
        <w:t>Timing of Certain CIC Qualifying Termination Severance Benefits</w:t>
      </w:r>
      <w:r>
        <w:rPr>
          <w:rFonts w:ascii="Times New Roman;serif" w:hAnsi="Times New Roman;serif"/>
          <w:b w:val="false"/>
          <w:sz w:val="24"/>
        </w:rPr>
        <w:t>. If (a) your Qualifying Termination occurs prior to a Change in Control that qualifies you for Severance Benefits under Section 1 of this Participation Agreement and (b) a Change in Control occurs within the 3-month period following your Qualifying Termination that qualifies you for the superior Severance Benefits under Section 2 of this Participation Agreement, then provided that the Release becomes effective and irrevocable by the Release Deadline Date and subject to Section 9 of the Plan, the “</w:t>
      </w:r>
      <w:r>
        <w:rPr>
          <w:rFonts w:ascii="Times New Roman;serif" w:hAnsi="Times New Roman;serif"/>
          <w:b w:val="false"/>
          <w:sz w:val="24"/>
          <w:u w:val="single"/>
        </w:rPr>
        <w:t>Severance Start Date</w:t>
      </w:r>
      <w:r>
        <w:rPr/>
        <w:t xml:space="preserve">” </w:t>
      </w:r>
      <w:r>
        <w:rPr>
          <w:rFonts w:ascii="Times New Roman;serif" w:hAnsi="Times New Roman;serif"/>
          <w:b w:val="false"/>
          <w:sz w:val="24"/>
        </w:rPr>
        <w:t>for the portion of the Severance Benefits that would not otherwise have become payable on a Non-CIC Qualifying Termination will be the later of the first Company payroll date following the Release Deadline Date or the date of the Change in Control, and any Severance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 and the Participant’s Participation Agreement.</w:t>
      </w:r>
    </w:p>
    <w:p>
      <w:pPr>
        <w:pStyle w:val="TextBody"/>
        <w:bidi w:val="0"/>
        <w:spacing w:before="240" w:after="0"/>
        <w:jc w:val="both"/>
        <w:rPr>
          <w:rFonts w:ascii="Times New Roman" w:hAnsi="Times New Roman"/>
          <w:b w:val="false"/>
          <w:sz w:val="24"/>
        </w:rPr>
      </w:pPr>
      <w:r>
        <w:rPr>
          <w:rFonts w:ascii="Times New Roman" w:hAnsi="Times New Roman"/>
          <w:b w:val="false"/>
          <w:sz w:val="24"/>
        </w:rPr>
        <w:t>5.</w:t>
      </w:r>
    </w:p>
    <w:p>
      <w:pPr>
        <w:pStyle w:val="TextBody"/>
        <w:bidi w:val="0"/>
        <w:spacing w:before="240" w:after="283"/>
        <w:jc w:val="both"/>
        <w:rPr/>
      </w:pPr>
      <w:r>
        <w:rPr>
          <w:rFonts w:ascii="Times New Roman;serif" w:hAnsi="Times New Roman;serif"/>
          <w:b w:val="false"/>
          <w:sz w:val="24"/>
          <w:u w:val="single"/>
        </w:rPr>
        <w:t>Exclusive Benefit</w:t>
      </w:r>
      <w:r>
        <w:rPr>
          <w:rFonts w:ascii="Times New Roman;serif" w:hAnsi="Times New Roman;serif"/>
          <w:b w:val="false"/>
          <w:sz w:val="24"/>
        </w:rPr>
        <w:t>. In accordance with Section 8 of the Plan, the benefits, if any, provided under this Plan will be the exclusive benefits for a Participant related to his or her termination of employment with the Company and/or a change in control of the Company and will supersede and replace any severance and/or change in control benefits set forth in any offer letter, employment or severance agreement and/or other agreement between the Participant and the Company, including any equity award agreement. For the avoidance of doubt, if you were otherwise eligible to participate in any other Company severance and/or change in control plan (whether or not subject to ERISA), then participation in this Plan will supersede and replace eligibility in such other plan.</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In order to receive any Severance Benefits for which you otherwise become eligible under the Plan, you must sign and deliver to the Company the Release, which must have become effective and irrevocable within the requisite period, and otherwise comply with the requirements under Section 6 of the Plan.</w:t>
      </w:r>
    </w:p>
    <w:p>
      <w:pPr>
        <w:pStyle w:val="TextBody"/>
        <w:bidi w:val="0"/>
        <w:spacing w:before="240" w:after="0"/>
        <w:jc w:val="both"/>
        <w:rPr>
          <w:rFonts w:ascii="Times New Roman" w:hAnsi="Times New Roman"/>
          <w:sz w:val="20"/>
        </w:rPr>
      </w:pPr>
      <w:r>
        <w:rPr>
          <w:rFonts w:ascii="Times New Roman;serif" w:hAnsi="Times New Roman;serif"/>
          <w:b w:val="false"/>
          <w:sz w:val="24"/>
        </w:rPr>
        <w:t>By your signature below, you and the Company agree that your participation in the Plan is governed by this Participation Agreement and the provisions of the Plan. Your signature below</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confirms that: (1) you have received a copy of the Executive Change in Control and Severance Plan and Summary Plan Description; (2) you have carefully read this Participation Agreement and the Executive Change in Control and Severance Plan and Summary Plan Description and you acknowledge and agree to its terms in accordance with the terms of the Plan and this Participation Agreement; and (3) decisions and determinations by the Administrator under the Plan will be final and binding on you and your successors.</w:t>
      </w:r>
    </w:p>
    <w:p>
      <w:pPr>
        <w:pStyle w:val="TextBody"/>
        <w:bidi w:val="0"/>
        <w:spacing w:before="24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both"/>
        <w:rPr/>
      </w:pPr>
      <w:r>
        <w:rPr/>
        <w:t> </w:t>
      </w:r>
    </w:p>
    <w:tbl>
      <w:tblPr>
        <w:tblW w:w="4618" w:type="dxa"/>
        <w:jc w:val="left"/>
        <w:tblInd w:w="0" w:type="dxa"/>
        <w:tblLayout w:type="fixed"/>
        <w:tblCellMar>
          <w:top w:w="28" w:type="dxa"/>
          <w:left w:w="28" w:type="dxa"/>
          <w:bottom w:w="28" w:type="dxa"/>
          <w:right w:w="28" w:type="dxa"/>
        </w:tblCellMar>
      </w:tblPr>
      <w:tblGrid>
        <w:gridCol w:w="2986"/>
        <w:gridCol w:w="146"/>
        <w:gridCol w:w="148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TENAYA THERAPEUTICS, INC.</w:t>
            </w:r>
          </w:p>
        </w:tc>
        <w:tc>
          <w:tcPr>
            <w:tcW w:w="146" w:type="dxa"/>
            <w:tcBorders/>
            <w:tcMar>
              <w:top w:w="0" w:type="dxa"/>
              <w:left w:w="0" w:type="dxa"/>
              <w:bottom w:w="0" w:type="dxa"/>
              <w:right w:w="0" w:type="dxa"/>
            </w:tcMar>
            <w:vAlign w:val="center"/>
          </w:tcPr>
          <w:p>
            <w:pPr>
              <w:pStyle w:val="TableContents"/>
              <w:bidi w:val="0"/>
              <w:spacing w:before="24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PARTICIPANT</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Signature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Signature</w:t>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r>
      <w:tr>
        <w:trPr/>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9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pBdr>
                <w:top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Attachment: Tenaya Therapeutics, Inc. Executive Change in Control and Severance Plan and Summary Plan Description</w:t>
      </w:r>
    </w:p>
    <w:p>
      <w:pPr>
        <w:pStyle w:val="TextBody"/>
        <w:bidi w:val="0"/>
        <w:spacing w:before="240" w:after="0"/>
        <w:jc w:val="both"/>
        <w:rPr/>
      </w:pPr>
      <w:r>
        <w:rPr/>
        <w:t> </w:t>
      </w:r>
    </w:p>
    <w:p>
      <w:pPr>
        <w:pStyle w:val="TextBody"/>
        <w:bidi w:val="0"/>
        <w:spacing w:before="0" w:after="200"/>
        <w:jc w:val="center"/>
        <w:rPr>
          <w:rFonts w:ascii="Times New Roman;serif" w:hAnsi="Times New Roman;serif"/>
          <w:b w:val="false"/>
          <w:i/>
          <w:sz w:val="24"/>
        </w:rPr>
      </w:pPr>
      <w:r>
        <w:rPr>
          <w:rFonts w:ascii="Times New Roman;serif" w:hAnsi="Times New Roman;serif"/>
          <w:b w:val="false"/>
          <w:i/>
          <w:sz w:val="24"/>
        </w:rPr>
        <w:t>[Signature page to the Participation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12190</Words>
  <Characters>64455</Characters>
  <CharactersWithSpaces>76386</CharactersWithSpaces>
  <Paragraphs>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