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5267325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14605</wp:posOffset>
            </wp:positionV>
            <wp:extent cx="7046595" cy="4845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4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June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 w:right="340"/>
        <w:spacing w:after="0" w:line="3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C/O TENAYA THERAPEUTICS, INC. 171 OYSTER POINT BLVD., 5TH FLR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241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Tenaya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TNYA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" w:right="660" w:firstLine="1"/>
        <w:spacing w:after="0" w:line="23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9"/>
        <w:spacing w:after="0"/>
        <w:tabs>
          <w:tab w:leader="none" w:pos="499" w:val="left"/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jc w:val="center"/>
              <w:ind w:right="83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jc w:val="center"/>
              <w:ind w:left="5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21.65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18,937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11/29/2031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18,937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18,937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420" w:firstLine="1"/>
        <w:spacing w:after="0" w:line="246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1/36th of the shares subject to the option granted on November 19, 2021 became vested and exercisable as of December 19, 2021 and 1/36th of the shares subject to the option shall vest monthly thereafter, provided that the Reporting Person remains a service provider to the issuer on each such vest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/s/Leone Peterson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11/22/2021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3106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June Lee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7378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6493" TargetMode="External"/><Relationship Id="rId13" Type="http://schemas.openxmlformats.org/officeDocument/2006/relationships/hyperlink" Target="http://www.sec.gov/cgi-bin/browse-edgar?action=getcompany&amp;CIK=0001858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2021-11-22T18:42:37Z</dcterms:created>
  <dcterms:modified xsi:type="dcterms:W3CDTF">2021-11-22T18:42:37Z</dcterms:modified>
</cp:coreProperties>
</file>