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August 10, 2022</w:t>
      </w:r>
    </w:p>
    <w:p>
      <w:pPr>
        <w:spacing w:after="0" w:line="96"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3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jc w:val="center"/>
        <w:ind w:right="-19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154305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6"/>
          <w:szCs w:val="36"/>
          <w:b w:val="1"/>
          <w:bCs w:val="1"/>
          <w:color w:val="auto"/>
        </w:rPr>
        <w:t>Tenaya Therapeutics, Inc.</w:t>
      </w:r>
    </w:p>
    <w:p>
      <w:pPr>
        <w:spacing w:after="0" w:line="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4"/>
          <w:szCs w:val="24"/>
          <w:color w:val="auto"/>
        </w:rPr>
      </w:pPr>
    </w:p>
    <w:tbl>
      <w:tblPr>
        <w:tblLayout w:type="fixed"/>
        <w:tblInd w:w="1960" w:type="dxa"/>
        <w:tblCellMar>
          <w:top w:w="0" w:type="dxa"/>
          <w:left w:w="0" w:type="dxa"/>
          <w:bottom w:w="0" w:type="dxa"/>
          <w:right w:w="0" w:type="dxa"/>
        </w:tblCellMar>
      </w:tblPr>
      <w:tr>
        <w:trPr>
          <w:trHeight w:val="161"/>
        </w:trPr>
        <w:tc>
          <w:tcPr>
            <w:tcW w:w="3840" w:type="dxa"/>
            <w:vAlign w:val="bottom"/>
          </w:tcPr>
          <w:p>
            <w:pPr>
              <w:jc w:val="center"/>
              <w:ind w:right="19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8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81-378993</w:t>
            </w:r>
          </w:p>
        </w:tc>
      </w:tr>
      <w:tr>
        <w:trPr>
          <w:trHeight w:val="148"/>
        </w:trPr>
        <w:tc>
          <w:tcPr>
            <w:tcW w:w="3840" w:type="dxa"/>
            <w:vAlign w:val="bottom"/>
          </w:tcPr>
          <w:p>
            <w:pPr>
              <w:jc w:val="center"/>
              <w:ind w:right="1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9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171 Oyster Point Boulevard, 5th Floor</w:t>
      </w:r>
    </w:p>
    <w:p>
      <w:pPr>
        <w:jc w:val="center"/>
        <w:ind w:right="-199"/>
        <w:spacing w:after="0" w:line="229" w:lineRule="auto"/>
        <w:rPr>
          <w:sz w:val="20"/>
          <w:szCs w:val="20"/>
          <w:color w:val="auto"/>
        </w:rPr>
      </w:pPr>
      <w:r>
        <w:rPr>
          <w:rFonts w:ascii="Times New Roman" w:cs="Times New Roman" w:eastAsia="Times New Roman" w:hAnsi="Times New Roman"/>
          <w:sz w:val="14"/>
          <w:szCs w:val="14"/>
          <w:b w:val="1"/>
          <w:bCs w:val="1"/>
          <w:color w:val="auto"/>
        </w:rPr>
        <w:t>South San Francisco, California 94080</w:t>
      </w:r>
    </w:p>
    <w:p>
      <w:pPr>
        <w:jc w:val="center"/>
        <w:ind w:right="-199"/>
        <w:spacing w:after="0" w:line="221" w:lineRule="auto"/>
        <w:rPr>
          <w:sz w:val="20"/>
          <w:szCs w:val="20"/>
          <w:color w:val="auto"/>
        </w:rPr>
      </w:pPr>
      <w:r>
        <w:rPr>
          <w:rFonts w:ascii="Times New Roman" w:cs="Times New Roman" w:eastAsia="Times New Roman" w:hAnsi="Times New Roman"/>
          <w:sz w:val="14"/>
          <w:szCs w:val="14"/>
          <w:b w:val="1"/>
          <w:bCs w:val="1"/>
          <w:color w:val="auto"/>
        </w:rPr>
        <w:t>(650) 825-6990</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Faraz Ali, M.B.A.</w:t>
      </w:r>
    </w:p>
    <w:p>
      <w:pPr>
        <w:jc w:val="center"/>
        <w:ind w:right="-19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99"/>
        <w:spacing w:after="0" w:line="221" w:lineRule="auto"/>
        <w:rPr>
          <w:sz w:val="20"/>
          <w:szCs w:val="20"/>
          <w:color w:val="auto"/>
        </w:rPr>
      </w:pPr>
      <w:r>
        <w:rPr>
          <w:rFonts w:ascii="Times New Roman" w:cs="Times New Roman" w:eastAsia="Times New Roman" w:hAnsi="Times New Roman"/>
          <w:sz w:val="14"/>
          <w:szCs w:val="14"/>
          <w:b w:val="1"/>
          <w:bCs w:val="1"/>
          <w:color w:val="auto"/>
        </w:rPr>
        <w:t>171 Oyster Point Boulevard, 5th Floor</w:t>
      </w:r>
    </w:p>
    <w:p>
      <w:pPr>
        <w:jc w:val="center"/>
        <w:ind w:right="-199"/>
        <w:spacing w:after="0" w:line="222" w:lineRule="auto"/>
        <w:rPr>
          <w:sz w:val="20"/>
          <w:szCs w:val="20"/>
          <w:color w:val="auto"/>
        </w:rPr>
      </w:pPr>
      <w:r>
        <w:rPr>
          <w:rFonts w:ascii="Times New Roman" w:cs="Times New Roman" w:eastAsia="Times New Roman" w:hAnsi="Times New Roman"/>
          <w:sz w:val="14"/>
          <w:szCs w:val="14"/>
          <w:b w:val="1"/>
          <w:bCs w:val="1"/>
          <w:color w:val="auto"/>
        </w:rPr>
        <w:t>South San Francisco, California 94080</w:t>
      </w:r>
    </w:p>
    <w:p>
      <w:pPr>
        <w:jc w:val="center"/>
        <w:ind w:right="-199"/>
        <w:spacing w:after="0" w:line="221" w:lineRule="auto"/>
        <w:rPr>
          <w:sz w:val="20"/>
          <w:szCs w:val="20"/>
          <w:color w:val="auto"/>
        </w:rPr>
      </w:pPr>
      <w:r>
        <w:rPr>
          <w:rFonts w:ascii="Times New Roman" w:cs="Times New Roman" w:eastAsia="Times New Roman" w:hAnsi="Times New Roman"/>
          <w:sz w:val="14"/>
          <w:szCs w:val="14"/>
          <w:b w:val="1"/>
          <w:bCs w:val="1"/>
          <w:color w:val="auto"/>
        </w:rPr>
        <w:t>(650) 825-6990</w:t>
      </w:r>
    </w:p>
    <w:p>
      <w:pPr>
        <w:spacing w:after="0" w:line="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1" w:lineRule="exact"/>
        <w:rPr>
          <w:sz w:val="24"/>
          <w:szCs w:val="24"/>
          <w:color w:val="auto"/>
        </w:rPr>
      </w:pPr>
    </w:p>
    <w:tbl>
      <w:tblPr>
        <w:tblLayout w:type="fixed"/>
        <w:tblInd w:w="182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28"/>
        </w:trPr>
        <w:tc>
          <w:tcPr>
            <w:tcW w:w="282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Kenneth A. Clark</w:t>
            </w:r>
          </w:p>
        </w:tc>
        <w:tc>
          <w:tcPr>
            <w:tcW w:w="5000" w:type="dxa"/>
            <w:vAlign w:val="bottom"/>
          </w:tcPr>
          <w:p>
            <w:pPr>
              <w:jc w:val="center"/>
              <w:ind w:left="2568"/>
              <w:spacing w:after="0"/>
              <w:rPr>
                <w:sz w:val="20"/>
                <w:szCs w:val="20"/>
                <w:color w:val="auto"/>
              </w:rPr>
            </w:pPr>
            <w:r>
              <w:rPr>
                <w:rFonts w:ascii="Times New Roman" w:cs="Times New Roman" w:eastAsia="Times New Roman" w:hAnsi="Times New Roman"/>
                <w:sz w:val="14"/>
                <w:szCs w:val="14"/>
                <w:b w:val="1"/>
                <w:bCs w:val="1"/>
                <w:color w:val="auto"/>
              </w:rPr>
              <w:t>Jennifer Drimmer Rokovich</w:t>
            </w:r>
          </w:p>
        </w:tc>
      </w:tr>
      <w:tr>
        <w:trPr>
          <w:trHeight w:val="148"/>
        </w:trPr>
        <w:tc>
          <w:tcPr>
            <w:tcW w:w="2820" w:type="dxa"/>
            <w:vAlign w:val="bottom"/>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Jennifer Knapp</w:t>
            </w:r>
          </w:p>
        </w:tc>
        <w:tc>
          <w:tcPr>
            <w:tcW w:w="500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General Counsel</w:t>
            </w:r>
          </w:p>
        </w:tc>
      </w:tr>
      <w:tr>
        <w:trPr>
          <w:trHeight w:val="149"/>
        </w:trPr>
        <w:tc>
          <w:tcPr>
            <w:tcW w:w="2820" w:type="dxa"/>
            <w:vAlign w:val="bottom"/>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Wilson Sonsini Goodrich &amp; Rosati,</w:t>
            </w:r>
          </w:p>
        </w:tc>
        <w:tc>
          <w:tcPr>
            <w:tcW w:w="500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Tenaya Therapeutics, Inc.</w:t>
            </w:r>
          </w:p>
        </w:tc>
      </w:tr>
      <w:tr>
        <w:trPr>
          <w:trHeight w:val="148"/>
        </w:trPr>
        <w:tc>
          <w:tcPr>
            <w:tcW w:w="2820" w:type="dxa"/>
            <w:vAlign w:val="bottom"/>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Professional Corporation</w:t>
            </w:r>
          </w:p>
        </w:tc>
        <w:tc>
          <w:tcPr>
            <w:tcW w:w="500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171 Oyster Point Boulevard, 5th Floor</w:t>
            </w:r>
          </w:p>
        </w:tc>
      </w:tr>
      <w:tr>
        <w:trPr>
          <w:trHeight w:val="149"/>
        </w:trPr>
        <w:tc>
          <w:tcPr>
            <w:tcW w:w="2820" w:type="dxa"/>
            <w:vAlign w:val="bottom"/>
          </w:tcPr>
          <w:p>
            <w:pPr>
              <w:jc w:val="center"/>
              <w:ind w:right="588"/>
              <w:spacing w:after="0" w:line="149" w:lineRule="exact"/>
              <w:rPr>
                <w:sz w:val="20"/>
                <w:szCs w:val="20"/>
                <w:color w:val="auto"/>
              </w:rPr>
            </w:pPr>
            <w:r>
              <w:rPr>
                <w:rFonts w:ascii="Times New Roman" w:cs="Times New Roman" w:eastAsia="Times New Roman" w:hAnsi="Times New Roman"/>
                <w:sz w:val="14"/>
                <w:szCs w:val="14"/>
                <w:b w:val="1"/>
                <w:bCs w:val="1"/>
                <w:color w:val="auto"/>
              </w:rPr>
              <w:t>650 Page Mill Road</w:t>
            </w:r>
          </w:p>
        </w:tc>
        <w:tc>
          <w:tcPr>
            <w:tcW w:w="5000" w:type="dxa"/>
            <w:vAlign w:val="bottom"/>
          </w:tcPr>
          <w:p>
            <w:pPr>
              <w:jc w:val="center"/>
              <w:ind w:left="2568"/>
              <w:spacing w:after="0" w:line="149" w:lineRule="exact"/>
              <w:rPr>
                <w:sz w:val="20"/>
                <w:szCs w:val="20"/>
                <w:color w:val="auto"/>
              </w:rPr>
            </w:pPr>
            <w:r>
              <w:rPr>
                <w:rFonts w:ascii="Times New Roman" w:cs="Times New Roman" w:eastAsia="Times New Roman" w:hAnsi="Times New Roman"/>
                <w:sz w:val="14"/>
                <w:szCs w:val="14"/>
                <w:b w:val="1"/>
                <w:bCs w:val="1"/>
                <w:color w:val="auto"/>
              </w:rPr>
              <w:t>South San Francisco, California 94080</w:t>
            </w:r>
          </w:p>
        </w:tc>
      </w:tr>
      <w:tr>
        <w:trPr>
          <w:trHeight w:val="148"/>
        </w:trPr>
        <w:tc>
          <w:tcPr>
            <w:tcW w:w="2820" w:type="dxa"/>
            <w:vAlign w:val="bottom"/>
          </w:tcPr>
          <w:p>
            <w:pPr>
              <w:jc w:val="center"/>
              <w:ind w:right="608"/>
              <w:spacing w:after="0" w:line="149" w:lineRule="exact"/>
              <w:rPr>
                <w:sz w:val="20"/>
                <w:szCs w:val="20"/>
                <w:color w:val="auto"/>
              </w:rPr>
            </w:pPr>
            <w:r>
              <w:rPr>
                <w:rFonts w:ascii="Times New Roman" w:cs="Times New Roman" w:eastAsia="Times New Roman" w:hAnsi="Times New Roman"/>
                <w:sz w:val="14"/>
                <w:szCs w:val="14"/>
                <w:b w:val="1"/>
                <w:bCs w:val="1"/>
                <w:color w:val="auto"/>
              </w:rPr>
              <w:t>Palo Alto, California 94304</w:t>
            </w:r>
          </w:p>
        </w:tc>
        <w:tc>
          <w:tcPr>
            <w:tcW w:w="500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(650) 825-6990</w:t>
            </w:r>
          </w:p>
        </w:tc>
      </w:tr>
      <w:tr>
        <w:trPr>
          <w:trHeight w:val="190"/>
        </w:trPr>
        <w:tc>
          <w:tcPr>
            <w:tcW w:w="282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(650) 493-9300</w:t>
            </w:r>
          </w:p>
        </w:tc>
        <w:tc>
          <w:tcPr>
            <w:tcW w:w="50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6"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70" w:lineRule="exact"/>
        <w:rPr>
          <w:sz w:val="24"/>
          <w:szCs w:val="24"/>
          <w:color w:val="auto"/>
        </w:rPr>
      </w:pPr>
    </w:p>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2" w:lineRule="exact"/>
        <w:rPr>
          <w:sz w:val="24"/>
          <w:szCs w:val="24"/>
          <w:color w:val="auto"/>
        </w:rPr>
      </w:pPr>
    </w:p>
    <w:p>
      <w:pPr>
        <w:ind w:left="120" w:right="22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2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8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2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8" w:lineRule="exact"/>
        <w:rPr>
          <w:sz w:val="24"/>
          <w:szCs w:val="24"/>
          <w:color w:val="auto"/>
        </w:rPr>
      </w:pPr>
    </w:p>
    <w:p>
      <w:pPr>
        <w:ind w:left="12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8" w:lineRule="exact"/>
        <w:rPr>
          <w:sz w:val="24"/>
          <w:szCs w:val="24"/>
          <w:color w:val="auto"/>
        </w:rPr>
      </w:pPr>
    </w:p>
    <w:p>
      <w:pPr>
        <w:ind w:left="120" w:right="1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left="120" w:right="28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4"/>
          <w:szCs w:val="24"/>
          <w:color w:val="auto"/>
        </w:rPr>
      </w:pPr>
    </w:p>
    <w:p>
      <w:pPr>
        <w:ind w:left="120" w:right="20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116840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2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registration statement contains two prospectuses:</w:t>
      </w:r>
    </w:p>
    <w:p>
      <w:pPr>
        <w:spacing w:after="0" w:line="131" w:lineRule="exact"/>
        <w:rPr>
          <w:sz w:val="20"/>
          <w:szCs w:val="20"/>
          <w:color w:val="auto"/>
        </w:rPr>
      </w:pPr>
    </w:p>
    <w:p>
      <w:pPr>
        <w:ind w:left="1080" w:right="6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which covers the offering, issuance and sale by us of up to a maximum aggregate offering price of $300,000,000 of our common stock, preferred stock, debt securities, depositary shares, warrants, subscription rights, purchase contracts and/or units representing two or more of the foregoing securities;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prospectus supplement covering the offering, issuance and sale by us of up to a maximum aggregate offering price of $75,000,000 of our common stock that may be issued and sold under a sales agreement (Sales Agreement) dated August 10, 2022 with SVB Securities LLC (SVB Securities).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base prospectus immediately follows this explanatory note. The Sales Agreement prospectus supplement immediately follows the base prospectus. The $75,000,000 of common stock that may be offered, issued and sold under the Sales Agreement prospectus supplement is included in the $300,000,000 of securities that may be offered, issued and sold by us under the base prospectus. Any portion of the $75,000,000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$75,000,000 of securities may be sold in other offerings pursuant to the base prospectus and a corresponding prospectus supplement.</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10,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173990</wp:posOffset>
            </wp:positionV>
            <wp:extent cx="2545715" cy="942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57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Tenaya Therapeutics, Inc.</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Depositary Shares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 Each prospectus supplement will indicate whether the securities offered thereby will be listed on any securities exchange.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these securities involves risks. Please carefully read the information under the headings</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5 of this prospectus, any similar section contained in the applicable prospectus</w:t>
      </w:r>
    </w:p>
    <w:p>
      <w:pPr>
        <w:ind w:left="120"/>
        <w:spacing w:after="0" w:line="230" w:lineRule="auto"/>
        <w:rPr>
          <w:sz w:val="20"/>
          <w:szCs w:val="20"/>
          <w:color w:val="auto"/>
        </w:rPr>
      </w:pPr>
      <w:r>
        <w:rPr>
          <w:rFonts w:ascii="Times New Roman" w:cs="Times New Roman" w:eastAsia="Times New Roman" w:hAnsi="Times New Roman"/>
          <w:sz w:val="22"/>
          <w:szCs w:val="22"/>
          <w:b w:val="1"/>
          <w:bCs w:val="1"/>
          <w:color w:val="auto"/>
        </w:rPr>
        <w:t>supplement, and “Item 1A—Risk Factors” of our most recent report on Form 10-K or 10-Q that is incorporated by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reference in this prospectus before you invest in our securities.</w:t>
      </w:r>
    </w:p>
    <w:p>
      <w:pPr>
        <w:spacing w:after="0" w:line="18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40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5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9"/>
            <w:vMerge w:val="restart"/>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8"/>
            <w:vMerge w:val="continue"/>
          </w:tcPr>
          <w:p>
            <w:pPr>
              <w:spacing w:after="0"/>
              <w:rPr>
                <w:sz w:val="13"/>
                <w:szCs w:val="13"/>
                <w:color w:val="auto"/>
              </w:rPr>
            </w:pPr>
          </w:p>
        </w:tc>
        <w:tc>
          <w:tcPr>
            <w:tcW w:w="2120" w:type="dxa"/>
            <w:vAlign w:val="bottom"/>
            <w:gridSpan w:val="9"/>
            <w:vMerge w:val="continue"/>
          </w:tcPr>
          <w:p>
            <w:pPr>
              <w:spacing w:after="0"/>
              <w:rPr>
                <w:sz w:val="13"/>
                <w:szCs w:val="13"/>
                <w:color w:val="auto"/>
              </w:rPr>
            </w:pPr>
          </w:p>
        </w:tc>
        <w:tc>
          <w:tcPr>
            <w:tcW w:w="696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70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7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5"/>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132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120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Purchase Contracts</w:t>
            </w:r>
          </w:p>
        </w:tc>
        <w:tc>
          <w:tcPr>
            <w:tcW w:w="124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11"/>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80" w:type="dxa"/>
            <w:vAlign w:val="bottom"/>
            <w:gridSpan w:val="1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700" w:type="dxa"/>
            <w:vAlign w:val="bottom"/>
            <w:gridSpan w:val="1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6"/>
          </w:tcPr>
          <w:p>
            <w:pPr>
              <w:spacing w:after="0"/>
              <w:rPr>
                <w:sz w:val="17"/>
                <w:szCs w:val="17"/>
                <w:color w:val="auto"/>
              </w:rPr>
            </w:pPr>
          </w:p>
        </w:tc>
        <w:tc>
          <w:tcPr>
            <w:tcW w:w="84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0" w:lineRule="exact"/>
        <w:rPr>
          <w:sz w:val="20"/>
          <w:szCs w:val="20"/>
          <w:color w:val="auto"/>
        </w:rPr>
      </w:pPr>
    </w:p>
    <w:p>
      <w:pPr>
        <w:ind w:left="300" w:right="140" w:firstLine="426"/>
        <w:spacing w:after="0" w:line="272" w:lineRule="auto"/>
        <w:rPr>
          <w:sz w:val="20"/>
          <w:szCs w:val="20"/>
          <w:color w:val="auto"/>
        </w:rPr>
      </w:pPr>
      <w:r>
        <w:rPr>
          <w:rFonts w:ascii="Times New Roman" w:cs="Times New Roman" w:eastAsia="Times New Roman" w:hAnsi="Times New Roman"/>
          <w:sz w:val="17"/>
          <w:szCs w:val="17"/>
          <w:color w:val="auto"/>
        </w:rPr>
        <w:t>The most advanced product candidate from our Gene Therapy Platform is TN-201. TN-201 is an adeno-associated virus (AAV)-based gene therapy that addresses genetic hypertrophic cardiomyopathy (HCM) caused by Myosin Binding Protein C3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 carriers with symptomatic non-obstructive HCM. TN-201 has been granted orphan drug designation by both the U.S. Food and Drug Administration (FDA) and the European Commission for the potential treatment of HCM due to mutations in the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w:t>
      </w:r>
    </w:p>
    <w:p>
      <w:pPr>
        <w:spacing w:after="0" w:line="172"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 xml:space="preserve">In 2021, we initiated a global natural history study to improve our understanding of disease progression and unmet need in individuals carrying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3"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TN-401, another product candidate from our Gene Therapy Platform, uses an AAV-based gene therapy to address genetic arrhythmogenic right ventricular cardiomyopathy (ARVC) caused by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gene</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7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earlier-stage discovery programs include an AAV-based gene therapy designed to express the Dwarf Open Reading Frame (</w:t>
      </w:r>
      <w:r>
        <w:rPr>
          <w:rFonts w:ascii="Times New Roman" w:cs="Times New Roman" w:eastAsia="Times New Roman" w:hAnsi="Times New Roman"/>
          <w:sz w:val="18"/>
          <w:szCs w:val="18"/>
          <w:i w:val="1"/>
          <w:iCs w:val="1"/>
          <w:color w:val="auto"/>
        </w:rPr>
        <w:t>DWORF</w:t>
      </w:r>
      <w:r>
        <w:rPr>
          <w:rFonts w:ascii="Times New Roman" w:cs="Times New Roman" w:eastAsia="Times New Roman" w:hAnsi="Times New Roman"/>
          <w:sz w:val="18"/>
          <w:szCs w:val="18"/>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85"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39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4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right="640" w:firstLine="426"/>
        <w:spacing w:after="0" w:line="282"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8815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1881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independently or together with any other security offered hereby and may or may not be transferable by the stockholder receiving the subscription rights in such offering.</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38">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2021, filed with the SEC on March 23,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40"/>
          </w:cols>
          <w:pgMar w:left="320" w:top="455" w:right="1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Legal Defeasance</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1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Any common stock will be listed on the Nasdaq Global Select Market, but any other securities may or may not be listed on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national securities exchange. We can make no assurance as to the liquidity of or the existence of trading markets for any of the securities.</w:t>
      </w:r>
    </w:p>
    <w:p>
      <w:pPr>
        <w:spacing w:after="0" w:line="225" w:lineRule="exact"/>
        <w:rPr>
          <w:sz w:val="20"/>
          <w:szCs w:val="20"/>
          <w:color w:val="auto"/>
        </w:rPr>
      </w:pPr>
    </w:p>
    <w:p>
      <w:pPr>
        <w:jc w:val="center"/>
        <w:ind w:left="880"/>
        <w:spacing w:after="0" w:line="454"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 26</w:t>
      </w:r>
    </w:p>
    <w:p>
      <w:pPr>
        <w:sectPr>
          <w:pgSz w:w="11900" w:h="16838" w:orient="portrait"/>
          <w:cols w:equalWidth="0" w:num="1">
            <w:col w:w="10320"/>
          </w:cols>
          <w:pgMar w:left="320" w:top="455"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www.tenayatherapeutics.com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00"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0">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6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28,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63">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825-6990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320" w:top="455"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We may not sell these securities until the registration statement filed with the Securities and Exchange Commission is effective. This preliminary prospectus supplement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AUGUST 10,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Up to $75,000,000</w:t>
      </w: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879475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167640</wp:posOffset>
            </wp:positionV>
            <wp:extent cx="1268730" cy="48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12687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with SVB Securities LLC (SVB Securities), relating to shares of our common stock, par value $0.0001 per share, offered by this prospectus supplement and the accompanying prospectus. In accordance with the terms of the sales agreement, we may offer and sell shares of our common stock having an aggregate offering price of up to $75,000,000 from time to time through SVB Securities, acting as our sales agent.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“TNYA.” On August 9, 2022, the last reported sale price of our common stock was $5.38 per share.</w:t>
      </w:r>
    </w:p>
    <w:p>
      <w:pPr>
        <w:spacing w:after="0" w:line="162"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Sales of our common stock, if any, under this prospectus supplement may be made in sales deemed to be “at the market offerings” as defined in Rule 415(a)(4) under the Securities Act of 1933, as amended (the Securities Act). SVB Securities is not required to sell any specific number or dollar amount of securities, but will act as a sales agent using commercially reasonable efforts consistent with its normal trading and sales practices, on mutually agreed terms between SVB Securities and us. There is no arrangement for funds to be received in any escrow, trust or similar arrangement.</w:t>
      </w:r>
    </w:p>
    <w:p>
      <w:pPr>
        <w:spacing w:after="0" w:line="16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to SVB Securities for sales of common stock sold pursuant to the sales agreement will be equal to 3% of the gross proceeds of any shares of common stock sold under the sales agreement. In connection with the sale of the common stock on our behalf, SVB Securities will be deemed to be an “underwriter” within the meaning of the Securities Act and the compensation of SVB Securities will be deemed to be underwriting commissions or discounts. We have also agreed to provide indemnification and contribution to SVB Securities with respect to certain liabilities, including liabilities under the Securities Act or the Securities Exchange Act of 1934, as amended (Exchange Act). See “Plan of Distribution” beginning on page S-14 for additional information regarding SVB Securities’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660" w:firstLine="44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COMMON STOCK INVOLVES SIGNIFICANT RISKS. YOU SHOULD REVIEW CAREFULLY THE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S-8 OF THIS PROSPECTUS SUPPLEMENT, AND IN THE DOCUMENTS INCORPORATED BY REFERENCE IN THIS PROSPECTUS SUPPLEMENT AND ACCOMPANYING PROSPECTUS BEFORE INVESTING IN OUR COMMON STOCK.</w:t>
      </w:r>
    </w:p>
    <w:p>
      <w:pPr>
        <w:spacing w:after="0" w:line="167"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SVB Securities</w:t>
      </w:r>
    </w:p>
    <w:p>
      <w:pPr>
        <w:spacing w:after="0" w:line="236" w:lineRule="exact"/>
        <w:rPr>
          <w:sz w:val="20"/>
          <w:szCs w:val="20"/>
          <w:color w:val="auto"/>
        </w:rPr>
      </w:pPr>
    </w:p>
    <w:tbl>
      <w:tblPr>
        <w:tblLayout w:type="fixed"/>
        <w:tblInd w:w="34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0000EE"/>
            </w:tcBorders>
            <w:gridSpan w:val="9"/>
            <w:vMerge w:val="continue"/>
          </w:tcPr>
          <w:p>
            <w:pPr>
              <w:spacing w:after="0"/>
              <w:rPr>
                <w:sz w:val="13"/>
                <w:szCs w:val="13"/>
                <w:color w:val="auto"/>
              </w:rPr>
            </w:pPr>
          </w:p>
        </w:tc>
        <w:tc>
          <w:tcPr>
            <w:tcW w:w="7120" w:type="dxa"/>
            <w:vAlign w:val="bottom"/>
            <w:gridSpan w:val="4"/>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5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9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0"/>
        </w:trPr>
        <w:tc>
          <w:tcPr>
            <w:tcW w:w="380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which we refer to as the “SEC,” utilizing a “shelf” registration process. Under this shelf registration process, we may from time to time offer shares of our common stock having an aggregate offering price of up to $75,000,000 under this prospectus supplement at prices and on terms to be determined by market conditions at the time of each such offering.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not, and SVB Securities has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supplement, the accompanying prospectus and the information incorporated by reference herein and therein to “Tenaya Therapeutics, Inc.,” “Tenaya,” “we,” “our” and “us” refer, collectively, to Tenaya Therapeutics, Inc., a Delaware corporation.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9" w:lineRule="exact"/>
        <w:rPr>
          <w:sz w:val="20"/>
          <w:szCs w:val="20"/>
          <w:color w:val="auto"/>
        </w:rPr>
      </w:pPr>
    </w:p>
    <w:p>
      <w:pPr>
        <w:ind w:left="1080" w:right="4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preclinical studies and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planned clinical trials for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and targets we may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Europe and other jurisdictions;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the ongoing COVID-19 pandemic on our business, including our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operating losses,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under The Jumpstart Our Business Startups Act of 2012 and a smaller reporting company under the Securities Exchange Act of 1934, as amended;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“Risk Factors” beginning on page S-8 of this prospectus supplement, the “Risk Factors” section of our most recent Annual Report on Form 10-K, as may be updated by our subsequent Quarterly Reports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0" w:lineRule="exact"/>
        <w:rPr>
          <w:sz w:val="20"/>
          <w:szCs w:val="20"/>
          <w:color w:val="auto"/>
        </w:rPr>
      </w:pPr>
    </w:p>
    <w:p>
      <w:pPr>
        <w:ind w:left="300" w:right="120" w:firstLine="426"/>
        <w:spacing w:after="0" w:line="272" w:lineRule="auto"/>
        <w:rPr>
          <w:sz w:val="20"/>
          <w:szCs w:val="20"/>
          <w:color w:val="auto"/>
        </w:rPr>
      </w:pPr>
      <w:r>
        <w:rPr>
          <w:rFonts w:ascii="Times New Roman" w:cs="Times New Roman" w:eastAsia="Times New Roman" w:hAnsi="Times New Roman"/>
          <w:sz w:val="17"/>
          <w:szCs w:val="17"/>
          <w:color w:val="auto"/>
        </w:rPr>
        <w:t>The most advanced product candidate from our Gene Therapy Platform is TN-201. TN-201 is an adeno-associated virus (AAV)-based gene therapy that addresses genetic hypertrophic cardiomyopathy (HCM) caused by Myosin Binding Protein C3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 carriers with symptomatic non-obstructive HCM. TN-201 has been granted orphan drug designation by both the U.S. Food and Drug Administration (FDA) and the European Commission for the potential treatment of HCM due to mutations in the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w:t>
      </w:r>
    </w:p>
    <w:p>
      <w:pPr>
        <w:spacing w:after="0" w:line="172"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 xml:space="preserve">In 2021, we initiated a global natural history study to improve our understanding of disease progression and unmet need in individuals carrying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3"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TN-401, another product candidate from our Gene Therapy Platform, uses an AAV-based gene therapy to address genetic arrhythmogenic right ventricular cardiomyopathy (ARVC) caused by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gene</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00"/>
          </w:cols>
          <w:pgMar w:left="320" w:top="455" w:right="6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487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98970" cy="4487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78"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Our earlier-stage discovery programs include an AAV-based gene therapy designed to express the Dwarf Open Reading Frame (</w:t>
      </w:r>
      <w:r>
        <w:rPr>
          <w:rFonts w:ascii="Times New Roman" w:cs="Times New Roman" w:eastAsia="Times New Roman" w:hAnsi="Times New Roman"/>
          <w:sz w:val="18"/>
          <w:szCs w:val="18"/>
          <w:i w:val="1"/>
          <w:iCs w:val="1"/>
          <w:color w:val="auto"/>
        </w:rPr>
        <w:t>DWORF</w:t>
      </w:r>
      <w:r>
        <w:rPr>
          <w:rFonts w:ascii="Times New Roman" w:cs="Times New Roman" w:eastAsia="Times New Roman" w:hAnsi="Times New Roman"/>
          <w:sz w:val="18"/>
          <w:szCs w:val="18"/>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85"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8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20"/>
          </w:cols>
          <w:pgMar w:left="320" w:top="455" w:right="6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01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920"/>
          </w:cols>
          <w:pgMar w:left="320" w:top="455" w:right="65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$75,000,000.</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 to 13,940,520 shares, assuming the sale of $75,000,000 of shares of our common stock in this offering at an offering price of $5.38 per share, which was the closing price of our common stock on the Nasdaq Global Select Market on August 9, 2022. The actual number of shares issued will vary depending on the sales price under this offering.</w:t>
      </w:r>
    </w:p>
    <w:p>
      <w:pPr>
        <w:spacing w:after="0" w:line="200" w:lineRule="exact"/>
        <w:rPr>
          <w:sz w:val="20"/>
          <w:szCs w:val="20"/>
          <w:color w:val="auto"/>
        </w:rPr>
      </w:pPr>
    </w:p>
    <w:p>
      <w:pPr>
        <w:sectPr>
          <w:pgSz w:w="11900" w:h="16838" w:orient="portrait"/>
          <w:cols w:equalWidth="0" w:num="2">
            <w:col w:w="3740" w:space="600"/>
            <w:col w:w="6580"/>
          </w:cols>
          <w:pgMar w:left="320" w:top="455" w:right="65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Plan of Distribution</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our sales agent, SVB Securities. See “Plan of Distribution” on page S-14.</w:t>
      </w:r>
    </w:p>
    <w:p>
      <w:pPr>
        <w:spacing w:after="0" w:line="189"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Times New Roman" w:cs="Times New Roman" w:eastAsia="Times New Roman" w:hAnsi="Times New Roman"/>
          <w:sz w:val="17"/>
          <w:szCs w:val="17"/>
          <w:color w:val="auto"/>
        </w:rPr>
        <w:t>We currently intend to use the net proceeds from this offering, together with our existing cash and cash equivalents, to fund our ongoing and planned preclinical and clinical development of our most advanced product candidates in our MYBPC3, HDAC6i and PKP2 programs, the continued development of our other programs, including our DWORF and Reprogramming programs, our manufacturing operations and the remainder, if any, for working capital and other general corporate purposes. See “Use of Proceeds” on page S-10.</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significant risks. You should read the “Risk Factors” section of this prospectus supplement and in the documents incorporated by reference in this prospectus supplement and accompanying prospectus for a discussion of factors to consider carefully before deciding to purchase shares of our common stock.</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“TNYA”</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50"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41,363,820 shares of our common stock outstanding as of June 30, 2022, and excludes:</w:t>
      </w:r>
    </w:p>
    <w:p>
      <w:pPr>
        <w:spacing w:after="0" w:line="67" w:lineRule="exact"/>
        <w:rPr>
          <w:sz w:val="20"/>
          <w:szCs w:val="20"/>
          <w:color w:val="auto"/>
        </w:rPr>
      </w:pPr>
    </w:p>
    <w:p>
      <w:pPr>
        <w:ind w:left="1240" w:right="20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5,161,710 shares of our common stock issuable upon the exercise of options outstanding as of June 30, 2022, at a weighted-average exercise price of $10.43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72,559 shares of our common stock issuable upon the vesting of restricted stock units outstanding as of June 30, 2022;</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47,800 shares of our common stock issuable upon the exercise of options granted after June 30, 2022, at a weighted-average exercise price of $5.20 per share;</w:t>
      </w:r>
    </w:p>
    <w:p>
      <w:pPr>
        <w:spacing w:after="0" w:line="67" w:lineRule="exact"/>
        <w:rPr>
          <w:rFonts w:ascii="Times New Roman" w:cs="Times New Roman" w:eastAsia="Times New Roman" w:hAnsi="Times New Roman"/>
          <w:sz w:val="18"/>
          <w:szCs w:val="18"/>
          <w:color w:val="auto"/>
        </w:rPr>
      </w:pPr>
    </w:p>
    <w:p>
      <w:pPr>
        <w:jc w:val="both"/>
        <w:ind w:left="1240" w:right="220" w:hanging="415"/>
        <w:spacing w:after="0" w:line="266"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2,762,859 shares of our common stock reserved for issuance pursuant to future awards under our 2021 Equity Incentive Plan (2021 Plan), as of June 30, 2022, plus any future increases in the number of shares of common stock reserved for issuance under our 2021 Plan pursuant to provisions thereof that automatically increase the share reserve under the plan each year; and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20"/>
          </w:cols>
          <w:pgMar w:left="320" w:top="455" w:right="65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6"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1,161,305 shares of our common stock reserved for future issuance under our 2021 Employee Stock Purchase Plan (ESPP), as of June 30, 2022, plus any future increases in the number of shares of common stock reserved for issuance under the ESPP pursuant to provisions thereof that automatically increase the share reserve under the plan each year.</w:t>
      </w:r>
    </w:p>
    <w:p>
      <w:pPr>
        <w:spacing w:after="0" w:line="176"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or vesting of outstanding restricted stock units after June 30, 2022.</w:t>
      </w:r>
    </w:p>
    <w:p>
      <w:pPr>
        <w:spacing w:after="0" w:line="27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720"/>
          </w:cols>
          <w:pgMar w:left="320" w:top="455" w:right="8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by Reference.”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may experience immediate and substantial dilution in the book value of their investment.</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last reported sale price of our common stock on the Nasdaq Global Select Market on August 9, 2022 was $5.38 per share, which is less than our net tangible book value per share as of June 30, 2022. For a more detailed discussion regarding the foregoing and the dilution to new investors participating in this offering, assuming that an aggregate of 13,940,520 shares of our common stock are sold at such price for aggregate gross proceeds of approximately $75,000,000, please see the section entitled “Dilution” on page S-12 of this prospectus supplement.</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As of June 30, 2022, we had 41,363,820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84"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5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that may not yield a favorable return or enhance the value of our</w:t>
      </w: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84"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98"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an aggregate gross sales proceeds of up to $75,000,000 from time to time pursuant to the sales agreement. The amount of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and cash equivalents, to fund our ongoing and planned preclinical and clinical development of our most advanced product candidates in our MYBPC3, HDAC6i and PKP2 programs, the continued development of our other programs, including our DWORF and Reprogramming programs, our manufacturing operations and the remainder, if any, for working capital and other general corporate purposes.</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June 30, 2022 was $223.9 million, or $5.41 per share of our common stock. Historical net tangible book value per share represents the amount of our total tangible assets less total liabilities, divided by the number of shares of our common stock outstanding.</w:t>
      </w:r>
    </w:p>
    <w:p>
      <w:pPr>
        <w:spacing w:after="0" w:line="176" w:lineRule="exact"/>
        <w:rPr>
          <w:sz w:val="20"/>
          <w:szCs w:val="20"/>
          <w:color w:val="auto"/>
        </w:rPr>
      </w:pPr>
    </w:p>
    <w:p>
      <w:pPr>
        <w:jc w:val="both"/>
        <w:ind w:left="120" w:right="220" w:firstLine="440"/>
        <w:spacing w:after="0" w:line="257" w:lineRule="auto"/>
        <w:rPr>
          <w:sz w:val="20"/>
          <w:szCs w:val="20"/>
          <w:color w:val="auto"/>
        </w:rPr>
      </w:pPr>
      <w:r>
        <w:rPr>
          <w:rFonts w:ascii="Times New Roman" w:cs="Times New Roman" w:eastAsia="Times New Roman" w:hAnsi="Times New Roman"/>
          <w:sz w:val="18"/>
          <w:szCs w:val="18"/>
          <w:color w:val="auto"/>
        </w:rPr>
        <w:t>Dilution in historical net tangible book value per share to new investors in this offering represents the difference between the amount per share paid by purchasers of shares of common stock in this offering and the historical net tangible book value per share of common stock immediately after the completion of this offering. After giving effect to the assumed sale by us of shares of our common stock having an aggregate amount of</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$75.0 million at an assumed public offering price of $5.38 per share, which was the last reported sale price of our common stock on the Nasdaq Global Select Market on August 9, 2022 and after deducting estimated commissions and estimated offering expenses payable by us, our as adjusted net tangible book value as of June 30, 2022 would have been $296.0 million, or $5.35 per share. This represents an immediate decrease in net tangible book value per share of $0.06 to existing stockholders and immediate dilution of $0.03 in net tangible book value per share to new investors purchasing common stock in this offering.</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7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2022</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$ 5.41</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tangible book value per share attributable to new investors in this offering</w:t>
            </w:r>
          </w:p>
        </w:tc>
        <w:tc>
          <w:tcPr>
            <w:tcW w:w="13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(0.06)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An increase of $1.00 per share in the price at which the shares are sold from the assumed offering price of $5.38 per share shown in the table above, assuming all of our common stock in the aggregate amount of $75.0 million during the term of the sales agreement with SVB Securities is sold at that price, would increase our adjusted net tangible book value per share after the offering to $5.57 per share and would increase the dilution in net tangible book value per share to new investors in this offering to $0.81 per share, after deducting commissions and estimated offering expenses payable by us. A decrease of $1.00 per share in the price at which the shares are sold from the assumed offering price of $5.38 per share shown in the table above, assuming all of our common stock in the amount of $75.0 million during the term of the sales agreement with SVB Securities is sold at that price, would decrease our adjusted net tangible book value per share after the offering to $5.06 per share and would result in an accretion in net tangible book value of $0.68 per share to new investors in this offering, after deducting commissions and estimated aggregate offering expenses payable by us. This information is supplied for illustrative purposes only and may differ based on the actual offering price and the actual number of shares offered.</w:t>
      </w:r>
    </w:p>
    <w:p>
      <w:pPr>
        <w:spacing w:after="0" w:line="19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foregoing table and calculations (other than the historical net tangible book value calculations) are based on 41,363,820 shares of our common stock outstanding as of June 30, 2022 and exclude as of such date:</w:t>
      </w:r>
    </w:p>
    <w:p>
      <w:pPr>
        <w:spacing w:after="0" w:line="67" w:lineRule="exact"/>
        <w:rPr>
          <w:sz w:val="20"/>
          <w:szCs w:val="20"/>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5,161,710 shares of our common stock issuable upon the exercise of options outstanding as of June 30, 2022, at a weighted-average exercise price of $10.43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72,559 shares of our common stock issuable upon the vesting of restricted stock units outstanding as of June 30,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47,800 shares of our common stock issuable upon the exercise of options granted after June 30, 2022, at a weighted-average exercise price of $ 5.20 per share;</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2,762,859 shares of our common stock reserved for issuance pursuant to future awards under our 2021 Equity Incentive Plan (2021 Plan), as of June 30, 2022, plus any future increases in the number of shares of common stock reserved for issuance under our 2021 Plan pursuant to provisions thereof that automatically increase the share reserve under the plan each year;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1,161,305 shares of our common stock reserved for future issuance under our 2021 Employee Stock Purchase Plan (ESPP), as of June 30, 2022, plus any future increases in the number of shares of common stock reserved for issuance under the ESPP pursuant to provisions thereof that automatically increase the share reserve under the plan each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We have entered into a sales agreement with SVB Securities under which we may issue and sell from time to time up to an aggregate of</w:t>
      </w:r>
    </w:p>
    <w:p>
      <w:pPr>
        <w:spacing w:after="0" w:line="27"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$75.0 million of shares of our common stock through SVB Securities, acting as sales agent or principal. Sales of the shares to which this prospectus relates, if any, will be made by any method deemed to be an “at the market offering” as defined in Rule 415 promulgated under the Securities Act. As our sales agent, SVB Securities will not engage in any transactions that stabilize our common stock.</w:t>
      </w:r>
    </w:p>
    <w:p>
      <w:pPr>
        <w:spacing w:after="0" w:line="18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SVB Securities will offer the shares of our common stock subject to the terms and conditions of the sales agreement on a daily basis or as otherwise agreed upon by us and SVB Securities. We will designate the maximum number of shares or dollar value of common stock to be sold through SVB Securities on a daily basis or otherwise determine such maximum number together with SVB Securities. Subject to the terms and conditions of the sales agreement, SVB Securities will use its commercially reasonable efforts to sell on our behalf all of the shares of common stock so designated or determined. We may instruct SVB Securities not to sell shares of common stock if the sales cannot be effected at or above the price designated by us in any such instruction. We or SVB Securities may suspend the offering of shares of common stock being made through SVB Securities under the sales agreement upon proper notice to the other party.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its service as sales agent in connection with the sale of shares of our common stock that may be offered hereby, we will pay SVB Securities an amount equal to 3.0% of the aggregate sales price received by SVB Securities from each sale of shares sold through it acting as our sales agent. The remaining sales proceeds, after deducting any expenses payable by us and any transaction fees imposed by any governmental, regulatory, or self-regulatory organization in connection with the sales, will equal our net proceeds for the sale of such shares. We have also agreed to reimburse SVB Securities for certain specified expenses, including the fees and disbursements of its legal counsel in an amount not to exceed $75,000, payable upon execution of the sales agreement, plus certain ongoing fees of its legal counsel, as provided in the sales agreement.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SVB Securities will provide written confirmation to us following the close of trading on the Nasdaq Global Select Market each day in which shares of common stock are sold by it for us under the sales agreement. Each confirmation will include the number of shares sold on that day, the gross sales price per share, the compensation payable by us to SVB Securities and the proceeds to us net of such compensation.</w:t>
      </w:r>
    </w:p>
    <w:p>
      <w:pPr>
        <w:spacing w:after="0" w:line="176"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Settlement for sales of common stock will occur, unless the parties agree otherwise, on the second business day following the date on which any sales were made in return for payment of the proceeds to us net of compensation paid by us to SVB Securities. There is no arrangement for funds to be received in an escrow, trust or similar arrangement.</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deliver to the Nasdaq Global Select Market copies of this prospectus pursuant to the rules of the Nasdaq Global Select Market. Unless otherwise required, we will report at least quarterly the number of shares of common stock sold through SVB Securities under the sales agreement, the net proceeds to us and the compensation paid by us to SVB Securities in connection with the sales of common stock.</w:t>
      </w:r>
    </w:p>
    <w:p>
      <w:pPr>
        <w:spacing w:after="0" w:line="176"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sale of the common stock on our behalf, SVB Securities will be deemed to be an “underwriter” within the meaning of the Securities Act and the compensation paid to SVB Securities will be deemed to be underwriting commissions or discounts. We have agreed in the sales agreement to provide indemnification and contribution to SVB Securities against certain civil liabilities, including liabilities under the Securities Act.</w:t>
      </w:r>
    </w:p>
    <w:p>
      <w:pPr>
        <w:spacing w:after="0" w:line="15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their business, SVB Securities and/or its affiliates may perform, investment banking, broker dealer, lending, financial advisory or other services for us for which they have received, or may receive, separate fees.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the offering payable by us, excluding discounts and commissions payable to SVB Securities under the sales agreement, will be approximately $0.6 million.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offering of common stock pursuant to the sales agreement will terminate upon the earlier of (1) the sale of all of our shares of common stock provided for in the sales agreement or (2) the termination of the sales agreement, pursuant to its terms, by either SVB Securities or us.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60"/>
          </w:cols>
          <w:pgMar w:left="320" w:top="455"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340" w:firstLine="440"/>
        <w:spacing w:after="0" w:line="312" w:lineRule="auto"/>
        <w:rPr>
          <w:sz w:val="20"/>
          <w:szCs w:val="20"/>
          <w:color w:val="auto"/>
        </w:rPr>
      </w:pPr>
      <w:r>
        <w:rPr>
          <w:rFonts w:ascii="Times New Roman" w:cs="Times New Roman" w:eastAsia="Times New Roman" w:hAnsi="Times New Roman"/>
          <w:sz w:val="17"/>
          <w:szCs w:val="17"/>
          <w:color w:val="auto"/>
        </w:rPr>
        <w:t>The validity of the securities offered hereby will be passed upon for us by Wilson Sonsini Goodrich &amp; Rosati, Professional Corporation, Palo Alto, California. SVB Securities LLC is being represented in connection with this offering by Davis Polk &amp; Wardwell LLP, Menlo Park, California.</w:t>
      </w: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We also maintain a website at www.tenayatherapeutics.com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82"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0">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1">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6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28,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63">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6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(650) 825-6990</w:t>
      </w:r>
    </w:p>
    <w:p>
      <w:pPr>
        <w:spacing w:after="0" w:line="207" w:lineRule="exact"/>
        <w:rPr>
          <w:rFonts w:ascii="Times New Roman" w:cs="Times New Roman" w:eastAsia="Times New Roman" w:hAnsi="Times New Roman"/>
          <w:sz w:val="18"/>
          <w:szCs w:val="18"/>
          <w:color w:val="auto"/>
        </w:rPr>
      </w:pPr>
    </w:p>
    <w:p>
      <w:pPr>
        <w:jc w:val="center"/>
        <w:ind w:left="48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supplement or any document incorporated herein is not, and should not be deemed to be, a part of this prospectus supplement.</w:t>
      </w:r>
    </w:p>
    <w:p>
      <w:pPr>
        <w:spacing w:after="0" w:line="94"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275590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327025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678180</wp:posOffset>
            </wp:positionV>
            <wp:extent cx="1920240" cy="711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1920240" cy="7112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9"/>
          <w:szCs w:val="29"/>
          <w:b w:val="1"/>
          <w:bCs w:val="1"/>
          <w:color w:val="auto"/>
        </w:rPr>
        <w:t>Up to $75,000,000</w:t>
      </w:r>
    </w:p>
    <w:p>
      <w:pPr>
        <w:spacing w:after="0" w:line="200" w:lineRule="exact"/>
        <w:rPr>
          <w:sz w:val="20"/>
          <w:szCs w:val="20"/>
          <w:color w:val="auto"/>
        </w:rPr>
      </w:pPr>
    </w:p>
    <w:p>
      <w:pPr>
        <w:spacing w:after="0" w:line="2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2056130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SVB Securities</w:t>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525780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estimated expenses (except in the case of the SEC registration fee and FINRA filing fee) in connection with the issuance and distribution of the securities being registered:</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8"/>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r>
      <w:tr>
        <w:trPr>
          <w:trHeight w:val="173"/>
        </w:trPr>
        <w:tc>
          <w:tcPr>
            <w:tcW w:w="6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$27,810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Trustee’s fees and expenses</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73,310</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340" w:right="180" w:hanging="224"/>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are calculated based on the securities offered and the number of issuances and accordingly cannot be estimated at this time and will be reflected in the applicable prospectus supplement.</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left="120" w:right="640" w:firstLine="440"/>
        <w:spacing w:after="0" w:line="261"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contains provisions that limit the liability of the registrant’s directors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Delaware General Corporation Law;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the registrant’s amended and restated bylaws provide that the registrant will indemnify its directors and officers, and may indemnify its employees, agents and any other persons, to the fullest extent permitted by the Delaware General Corporation Law. The registrant’s amended and restated bylaws will also provide that the registrant must advance expenses incurred by or on behalf of a director or officer in advance of the final disposition of any action or proceeding, subject to limited exceptions.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reasonably and actually incurred by the directors and executive officers in investigating or defending any such action, suit or proceeding. The registrant believes that these agreements are necessary to attract and retain qualified individuals to serve as directors and executive officers.</w:t>
      </w:r>
    </w:p>
    <w:p>
      <w:pPr>
        <w:spacing w:after="0" w:line="187" w:lineRule="exact"/>
        <w:rPr>
          <w:sz w:val="20"/>
          <w:szCs w:val="20"/>
          <w:color w:val="auto"/>
        </w:rPr>
      </w:pPr>
    </w:p>
    <w:p>
      <w:pPr>
        <w:ind w:left="120" w:right="180" w:firstLine="440"/>
        <w:spacing w:after="0" w:line="271"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the registrant’s directors or officers, or is or was one of the registrant’s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underwriting agreement between the registrant and the underwriters filed as Exhibit 1.1 to this registration statement provides for the indemnification by the underwriters of our directors and officers and certain controlling persons against specified liabilities, including liabilities under the Securities Act with respect to information provided by the underwriters specifically for inclusion in the registration statement. The investors’ rights agreement with certain holders of our capital stock also provides for cross-indemnification in connection with the registration of the registrant’s common stock on behalf of such holders.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5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5680" w:type="dxa"/>
            <w:vAlign w:val="bottom"/>
            <w:gridSpan w:val="5"/>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48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84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80" w:type="dxa"/>
            <w:vAlign w:val="bottom"/>
            <w:gridSpan w:val="5"/>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560" w:type="dxa"/>
            <w:vAlign w:val="bottom"/>
          </w:tcPr>
          <w:p>
            <w:pPr>
              <w:spacing w:after="0"/>
              <w:rPr>
                <w:sz w:val="24"/>
                <w:szCs w:val="24"/>
                <w:color w:val="auto"/>
              </w:rPr>
            </w:pPr>
          </w:p>
        </w:tc>
        <w:tc>
          <w:tcPr>
            <w:tcW w:w="5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Sales Agreement, dated August 10, 2022, by and between the</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Registrant and SVB Securities LLC</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660" w:type="dxa"/>
            <w:vAlign w:val="bottom"/>
            <w:gridSpan w:val="8"/>
            <w:vMerge w:val="restart"/>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340" w:type="dxa"/>
            <w:vAlign w:val="bottom"/>
            <w:vMerge w:val="restart"/>
          </w:tcPr>
          <w:p>
            <w:pPr>
              <w:spacing w:after="0"/>
              <w:rPr>
                <w:sz w:val="10"/>
                <w:szCs w:val="10"/>
                <w:color w:val="auto"/>
              </w:rPr>
            </w:pPr>
          </w:p>
        </w:tc>
        <w:tc>
          <w:tcPr>
            <w:tcW w:w="5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720" w:type="dxa"/>
            <w:vAlign w:val="bottom"/>
            <w:vMerge w:val="restart"/>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20" w:type="dxa"/>
            <w:vAlign w:val="bottom"/>
            <w:vMerge w:val="restart"/>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2660" w:type="dxa"/>
            <w:vAlign w:val="bottom"/>
            <w:gridSpan w:val="8"/>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77"/>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Amended and Restated Certificate of Incorporation</w:t>
              </w:r>
            </w:hyperlink>
          </w:p>
        </w:tc>
        <w:tc>
          <w:tcPr>
            <w:tcW w:w="254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August 3, 2021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22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Amended and Restated Bylaws</w:t>
              </w:r>
            </w:hyperlink>
          </w:p>
        </w:tc>
        <w:tc>
          <w:tcPr>
            <w:tcW w:w="398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8-K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August 3, 2021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59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Amended and Restated Investors’ Rights Agreement by and among the Registrant</w:t>
              </w:r>
            </w:hyperlink>
          </w:p>
        </w:tc>
        <w:tc>
          <w:tcPr>
            <w:tcW w:w="320" w:type="dxa"/>
            <w:vAlign w:val="bottom"/>
          </w:tcPr>
          <w:p>
            <w:pPr>
              <w:spacing w:after="0"/>
              <w:rPr>
                <w:sz w:val="24"/>
                <w:szCs w:val="24"/>
                <w:color w:val="auto"/>
              </w:rPr>
            </w:pPr>
          </w:p>
        </w:tc>
        <w:tc>
          <w:tcPr>
            <w:tcW w:w="7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S-1/A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July 26, 2021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40" w:type="dxa"/>
            <w:vAlign w:val="bottom"/>
            <w:gridSpan w:val="15"/>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and certain of its stockholders, dated December 17, 2020</w:t>
              </w:r>
            </w:hyperlink>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Description of Securities</w:t>
              </w:r>
            </w:hyperlink>
          </w:p>
        </w:tc>
        <w:tc>
          <w:tcPr>
            <w:tcW w:w="2340" w:type="dxa"/>
            <w:vAlign w:val="bottom"/>
            <w:tcBorders>
              <w:top w:val="single" w:sz="8" w:color="0000EE"/>
            </w:tcBorders>
            <w:gridSpan w:val="6"/>
          </w:tcPr>
          <w:p>
            <w:pPr>
              <w:spacing w:after="0"/>
              <w:rPr>
                <w:sz w:val="24"/>
                <w:szCs w:val="24"/>
                <w:color w:val="auto"/>
              </w:rPr>
            </w:pPr>
          </w:p>
        </w:tc>
        <w:tc>
          <w:tcPr>
            <w:tcW w:w="2100" w:type="dxa"/>
            <w:vAlign w:val="bottom"/>
            <w:gridSpan w:val="6"/>
          </w:tcPr>
          <w:p>
            <w:pPr>
              <w:spacing w:after="0"/>
              <w:rPr>
                <w:sz w:val="24"/>
                <w:szCs w:val="24"/>
                <w:color w:val="auto"/>
              </w:rPr>
            </w:pPr>
          </w:p>
        </w:tc>
        <w:tc>
          <w:tcPr>
            <w:tcW w:w="7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10-K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March 23, 2022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24"/>
                <w:szCs w:val="24"/>
                <w:color w:val="auto"/>
              </w:rPr>
            </w:pPr>
          </w:p>
        </w:tc>
        <w:tc>
          <w:tcPr>
            <w:tcW w:w="6240" w:type="dxa"/>
            <w:vAlign w:val="bottom"/>
            <w:gridSpan w:val="15"/>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Specimen Common Stock Certificate</w:t>
              </w:r>
            </w:hyperlink>
          </w:p>
        </w:tc>
        <w:tc>
          <w:tcPr>
            <w:tcW w:w="7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S-1/A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July 26, 2021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4"/>
                <w:szCs w:val="24"/>
                <w:color w:val="auto"/>
              </w:rPr>
            </w:pPr>
          </w:p>
        </w:tc>
        <w:tc>
          <w:tcPr>
            <w:tcW w:w="268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Form of Preferred Stock Certificate</w:t>
            </w:r>
          </w:p>
        </w:tc>
        <w:tc>
          <w:tcPr>
            <w:tcW w:w="356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Form of Indenture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Depositary Agreement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Opinion of Wilson Sonsini Goodrich &amp; Rosati, Professional Corporation</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23.1</w:t>
            </w:r>
          </w:p>
        </w:tc>
        <w:tc>
          <w:tcPr>
            <w:tcW w:w="300" w:type="dxa"/>
            <w:vAlign w:val="bottom"/>
          </w:tcPr>
          <w:p>
            <w:pPr>
              <w:spacing w:after="0"/>
              <w:rPr>
                <w:sz w:val="24"/>
                <w:szCs w:val="24"/>
                <w:color w:val="auto"/>
              </w:rPr>
            </w:pPr>
          </w:p>
        </w:tc>
        <w:tc>
          <w:tcPr>
            <w:tcW w:w="52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100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140" w:type="dxa"/>
            <w:vAlign w:val="bottom"/>
            <w:gridSpan w:val="9"/>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23.2</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Wilson Sonsini Goodrich &amp; Rosati, Professional Corporation</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60" w:type="dxa"/>
            <w:vAlign w:val="bottom"/>
            <w:gridSpan w:val="10"/>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(included in the opinion filed as Exhibit 5.1 to this Registration Statement)</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0" w:type="dxa"/>
            <w:vAlign w:val="bottom"/>
            <w:gridSpan w:val="11"/>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5"/>
              </w:rPr>
              <w:t>24.1</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6"/>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25.1**</w:t>
            </w:r>
          </w:p>
        </w:tc>
        <w:tc>
          <w:tcPr>
            <w:tcW w:w="300" w:type="dxa"/>
            <w:vAlign w:val="bottom"/>
          </w:tcPr>
          <w:p>
            <w:pPr>
              <w:spacing w:after="0"/>
              <w:rPr>
                <w:sz w:val="24"/>
                <w:szCs w:val="24"/>
                <w:color w:val="auto"/>
              </w:rPr>
            </w:pPr>
          </w:p>
        </w:tc>
        <w:tc>
          <w:tcPr>
            <w:tcW w:w="58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Indenture under the Trust</w:t>
            </w:r>
          </w:p>
        </w:tc>
        <w:tc>
          <w:tcPr>
            <w:tcW w:w="3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Indenture Act of 1939</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4"/>
                <w:szCs w:val="24"/>
                <w:color w:val="auto"/>
              </w:rPr>
            </w:pPr>
          </w:p>
        </w:tc>
        <w:tc>
          <w:tcPr>
            <w:tcW w:w="62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2460" w:hanging="4"/>
        <w:spacing w:after="0" w:line="282" w:lineRule="auto"/>
        <w:tabs>
          <w:tab w:leader="none" w:pos="5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applicable, by amendment or incorporated by reference pursuant to a Current Report on Form 8-K. ** To be filed pursuant to Section 305(b)(2) of the Trust Indenture Act of 1939, as amended.</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800" w:hanging="244"/>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540" w:hanging="433"/>
        <w:spacing w:after="0"/>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5480" w:right="3700" w:hanging="3932"/>
        <w:spacing w:after="0" w:line="454" w:lineRule="auto"/>
        <w:tabs>
          <w:tab w:leader="none" w:pos="193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II-3</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56" w:lineRule="auto"/>
        <w:tabs>
          <w:tab w:leader="none" w:pos="19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120" w:right="680" w:firstLine="1428"/>
        <w:spacing w:after="0" w:line="282" w:lineRule="auto"/>
        <w:tabs>
          <w:tab w:leader="none" w:pos="20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120" w:right="60" w:firstLine="987"/>
        <w:spacing w:after="0" w:line="266" w:lineRule="auto"/>
        <w:tabs>
          <w:tab w:leader="none" w:pos="15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120" w:firstLine="987"/>
        <w:spacing w:after="0" w:line="282" w:lineRule="auto"/>
        <w:tabs>
          <w:tab w:leader="none" w:pos="15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500" w:hanging="393"/>
        <w:spacing w:after="0"/>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20" w:right="140" w:firstLine="1428"/>
        <w:spacing w:after="0" w:line="282" w:lineRule="auto"/>
        <w:tabs>
          <w:tab w:leader="none" w:pos="190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53"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50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1428"/>
        <w:spacing w:after="0" w:line="282" w:lineRule="auto"/>
        <w:tabs>
          <w:tab w:leader="none" w:pos="1952"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2002"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5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54"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August 10,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Faraz Ali, M.B.A.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Faraz Ali and Leone D. Patterson, and each of them,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all other documents in connection therewith, with the Securities and Exchange Commission, granting unto said attorney-in-fact and agent and each of them, full power and authority to do and perform each and every act and thing requisite and necessary to be done in connection therewith and about the premises, as fully for all intents and purposes as they, he or she might or could do in person, hereby ratifying and confirming all that said attorney-in-fact and agent or any of them, or their, his or her substitute or substitutes, may lawfully do or cause to be done by virtue hereof.</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Faraz Ali, M.B.A.</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Faraz Ali, M.B.A.</w:t>
            </w:r>
          </w:p>
        </w:tc>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Leone D. Patterson, M.B.A.</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Leone D. Patterson, M.B.A.</w:t>
            </w:r>
          </w:p>
        </w:tc>
        <w:tc>
          <w:tcPr>
            <w:tcW w:w="1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8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Eli Casdin, M.B.A.</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Eli Casdin, M.B.A.</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Jin-Long Chen, Ph.D.</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Jin-Long Chen, Ph.D.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V. Goeddel, Ph.D.</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V. Goeddel, Ph.D.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June Lee, M.D.</w:t>
            </w: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June Lee, M.D.</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Karah Parschauer</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Director</w:t>
            </w:r>
          </w:p>
        </w:tc>
        <w:tc>
          <w:tcPr>
            <w:tcW w:w="53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8"/>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Karah Parschauer</w:t>
            </w:r>
          </w:p>
        </w:tc>
        <w:tc>
          <w:tcPr>
            <w:tcW w:w="74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Deepak Srivastava, M.D.</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Director</w:t>
            </w:r>
          </w:p>
        </w:tc>
        <w:tc>
          <w:tcPr>
            <w:tcW w:w="53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8"/>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Deepak Srivastava, M.D.</w:t>
            </w:r>
          </w:p>
        </w:tc>
        <w:tc>
          <w:tcPr>
            <w:tcW w:w="74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Catherine Stehman-Breen, M.D.</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Director</w:t>
            </w:r>
          </w:p>
        </w:tc>
        <w:tc>
          <w:tcPr>
            <w:tcW w:w="53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8"/>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Catherine Stehman-Breen, M.D.</w:t>
            </w:r>
          </w:p>
        </w:tc>
        <w:tc>
          <w:tcPr>
            <w:tcW w:w="74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Jeffrey T. Walsh, M.B.A.</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Director</w:t>
            </w:r>
          </w:p>
        </w:tc>
        <w:tc>
          <w:tcPr>
            <w:tcW w:w="53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8"/>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Jeffrey T. Walsh, M.B.A.</w:t>
            </w:r>
          </w:p>
        </w:tc>
        <w:tc>
          <w:tcPr>
            <w:tcW w:w="74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427"/>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Sanders (Sandy) Williams, M.D.</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Director</w:t>
            </w:r>
          </w:p>
        </w:tc>
        <w:tc>
          <w:tcPr>
            <w:tcW w:w="5320" w:type="dxa"/>
            <w:vAlign w:val="bottom"/>
          </w:tcPr>
          <w:p>
            <w:pPr>
              <w:ind w:left="4120"/>
              <w:spacing w:after="0"/>
              <w:rPr>
                <w:sz w:val="20"/>
                <w:szCs w:val="20"/>
                <w:color w:val="auto"/>
              </w:rPr>
            </w:pPr>
            <w:r>
              <w:rPr>
                <w:rFonts w:ascii="Times New Roman" w:cs="Times New Roman" w:eastAsia="Times New Roman" w:hAnsi="Times New Roman"/>
                <w:sz w:val="18"/>
                <w:szCs w:val="18"/>
                <w:color w:val="auto"/>
                <w:w w:val="98"/>
              </w:rPr>
              <w:t>August 10, 2022</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 Sanders (Sandy) Williams, M.D.</w:t>
            </w:r>
          </w:p>
        </w:tc>
        <w:tc>
          <w:tcPr>
            <w:tcW w:w="740" w:type="dxa"/>
            <w:vAlign w:val="bottom"/>
          </w:tcPr>
          <w:p>
            <w:pPr>
              <w:spacing w:after="0"/>
              <w:rPr>
                <w:sz w:val="19"/>
                <w:szCs w:val="19"/>
                <w:color w:val="auto"/>
              </w:rPr>
            </w:pPr>
          </w:p>
        </w:tc>
        <w:tc>
          <w:tcPr>
            <w:tcW w:w="5320" w:type="dxa"/>
            <w:vAlign w:val="bottom"/>
          </w:tcPr>
          <w:p>
            <w:pPr>
              <w:spacing w:after="0"/>
              <w:rPr>
                <w:sz w:val="19"/>
                <w:szCs w:val="19"/>
                <w:color w:val="auto"/>
              </w:rPr>
            </w:pPr>
          </w:p>
        </w:tc>
      </w:tr>
      <w:tr>
        <w:trPr>
          <w:trHeight w:val="360"/>
        </w:trPr>
        <w:tc>
          <w:tcPr>
            <w:tcW w:w="4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0800"/>
          </w:cols>
          <w:pgMar w:left="320" w:top="455" w:right="7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($0.0001 par value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SECURITIES LLC</w:t>
      </w:r>
    </w:p>
    <w:p>
      <w:pPr>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color w:val="auto"/>
        </w:rPr>
        <w:t>Tenaya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SVB Securities LLC (the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as follows:</w:t>
      </w:r>
    </w:p>
    <w:p>
      <w:pPr>
        <w:spacing w:after="0" w:line="159" w:lineRule="exact"/>
        <w:rPr>
          <w:sz w:val="20"/>
          <w:szCs w:val="20"/>
          <w:color w:val="auto"/>
        </w:rPr>
      </w:pPr>
    </w:p>
    <w:p>
      <w:pPr>
        <w:ind w:right="140" w:firstLine="436"/>
        <w:spacing w:after="0" w:line="254"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 up to $75,000,000 of shares of common stock, $0.0001 par value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subject to the limitations set forth in Section 5(c) (the “</w:t>
      </w:r>
      <w:r>
        <w:rPr>
          <w:rFonts w:ascii="Times New Roman" w:cs="Times New Roman" w:eastAsia="Times New Roman" w:hAnsi="Times New Roman"/>
          <w:sz w:val="18"/>
          <w:szCs w:val="18"/>
          <w:b w:val="1"/>
          <w:bCs w:val="1"/>
          <w:u w:val="single" w:color="auto"/>
          <w:color w:val="auto"/>
        </w:rPr>
        <w:t>Placement Shares</w:t>
      </w:r>
      <w:r>
        <w:rPr>
          <w:rFonts w:ascii="Times New Roman" w:cs="Times New Roman" w:eastAsia="Times New Roman" w:hAnsi="Times New Roman"/>
          <w:sz w:val="18"/>
          <w:szCs w:val="18"/>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on the date hereof and to be declared effective by the Commission, although nothing in this Agreement shall be construed as requiring the Company to issue any Placement Shares.</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prepared and will file, in accordance with the provisions of the Securities Act of 1933, as amended, and the rules and regulations thereunder (collectively,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with the Commission a registration statement on Form S-3, including (a)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(b) a prospectus supplement specifically relating to the Placement Shares to be issued from time to time pursuant to this Agreement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Agent, for use by the Agent, copies of the base prospectus included as part of such registration statement at the time it becomes effective, as supplemented by the Prospectus Supplement.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including all</w:t>
      </w:r>
    </w:p>
    <w:p>
      <w:pPr>
        <w:sectPr>
          <w:pgSz w:w="11900" w:h="16838" w:orient="portrait"/>
          <w:cols w:equalWidth="0" w:num="1">
            <w:col w:w="11020"/>
          </w:cols>
          <w:pgMar w:left="440" w:top="117" w:right="439" w:bottom="1440" w:gutter="0" w:footer="0" w:header="0"/>
        </w:sectPr>
      </w:pPr>
    </w:p>
    <w:bookmarkStart w:id="61" w:name="page62"/>
    <w:bookmarkEnd w:id="61"/>
    <w:p>
      <w:pPr>
        <w:ind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Any reference herein to the Registration Statement, the Prospectus Supplement, the Prospectus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the Prospectus Supplement, the Prospectus or any issuer free writing prospectus shall be deemed to refer to and include the filing of any document under the Exchange Act on or after the most-recent effective date of the Registration Statement, or the respective dates of the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firstLine="436"/>
        <w:spacing w:after="0" w:line="25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any Placement Shares through the Agent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the Agent by email notice (or other method mutually agreed to in writing by the parties) (each such notice,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and shall be addressed to each of the recipients from the Agent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may be updated by either party from time to time by sending a written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62" w:name="page63"/>
    <w:bookmarkEnd w:id="62"/>
    <w:p>
      <w:pPr>
        <w:ind w:left="4" w:right="2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terms set forth in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183" w:lineRule="exact"/>
        <w:rPr>
          <w:sz w:val="20"/>
          <w:szCs w:val="20"/>
          <w:color w:val="auto"/>
        </w:rPr>
      </w:pPr>
    </w:p>
    <w:p>
      <w:pPr>
        <w:ind w:left="4" w:firstLine="436"/>
        <w:spacing w:after="0" w:line="251" w:lineRule="auto"/>
        <w:tabs>
          <w:tab w:leader="none" w:pos="6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Select Market (“</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xml:space="preserve">”) to sell such Placement Shares up to the number or amount specified in, and otherwise in accordance with the terms of, such Placement Notice. The Agent will provide written confirmation to the Company (including by email correspondence to each of the individuals of the Company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 of the Securities Act, including sales made directly on or through Nasdaq, on or through any other existing trading market for the Common Stock or to or through a market maker. If expressly authorized by the Company (including in a Placement Notice), the Agent may also sell Placement Shares in negotiated transactions. Notwithstanding the provisions of Section 6(tt),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w:t>
      </w:r>
    </w:p>
    <w:p>
      <w:pPr>
        <w:spacing w:after="0" w:line="8" w:lineRule="exact"/>
        <w:rPr>
          <w:rFonts w:ascii="Times New Roman" w:cs="Times New Roman" w:eastAsia="Times New Roman" w:hAnsi="Times New Roman"/>
          <w:sz w:val="18"/>
          <w:szCs w:val="18"/>
          <w:color w:val="auto"/>
        </w:rPr>
      </w:pPr>
    </w:p>
    <w:p>
      <w:pPr>
        <w:ind w:left="4" w:right="80" w:hanging="4"/>
        <w:spacing w:after="0" w:line="255"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on which the Common Stock is purchased and sold on Nasdaq.</w:t>
      </w:r>
    </w:p>
    <w:p>
      <w:pPr>
        <w:spacing w:after="0" w:line="18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36"/>
        <w:spacing w:after="0" w:line="254" w:lineRule="auto"/>
        <w:tabs>
          <w:tab w:leader="none" w:pos="6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suspend any sale of Placement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shall not affect or impair either party’s obligations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if receipt of such correspondence is actually acknowledged by any of the individuals to whom the notice is sent, other than via auto-reply).</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63" w:name="page64"/>
    <w:bookmarkEnd w:id="63"/>
    <w:p>
      <w:pPr>
        <w:ind w:left="4" w:right="160" w:firstLine="436"/>
        <w:spacing w:after="0" w:line="261" w:lineRule="auto"/>
        <w:tabs>
          <w:tab w:leader="none" w:pos="6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during any period in which the Company is, or could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80" w:lineRule="exact"/>
        <w:rPr>
          <w:sz w:val="20"/>
          <w:szCs w:val="20"/>
          <w:color w:val="auto"/>
        </w:rPr>
      </w:pPr>
    </w:p>
    <w:p>
      <w:pPr>
        <w:ind w:left="624" w:hanging="184"/>
        <w:spacing w:after="0"/>
        <w:tabs>
          <w:tab w:leader="none" w:pos="6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and Delivery of the Placement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9" w:lineRule="auto"/>
        <w:tabs>
          <w:tab w:leader="none" w:pos="689"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Placement Shares</w:t>
      </w:r>
      <w:r>
        <w:rPr>
          <w:rFonts w:ascii="Times New Roman" w:cs="Times New Roman" w:eastAsia="Times New Roman" w:hAnsi="Times New Roman"/>
          <w:sz w:val="17"/>
          <w:szCs w:val="17"/>
          <w:color w:val="auto"/>
        </w:rPr>
        <w:t>. Unless otherwise specified in the applicable Placement Notice, settlement for sales of Placement Shares will occur on the second Trading Day (or such earlier day as is industry practice or as is required for regular-way trading) following the date on which such sales are made (each, a “</w:t>
      </w:r>
      <w:r>
        <w:rPr>
          <w:rFonts w:ascii="Times New Roman" w:cs="Times New Roman" w:eastAsia="Times New Roman" w:hAnsi="Times New Roman"/>
          <w:sz w:val="17"/>
          <w:szCs w:val="17"/>
          <w:b w:val="1"/>
          <w:bCs w:val="1"/>
          <w:u w:val="single" w:color="auto"/>
          <w:color w:val="auto"/>
        </w:rPr>
        <w:t>Settlement Date</w:t>
      </w:r>
      <w:r>
        <w:rPr>
          <w:rFonts w:ascii="Times New Roman" w:cs="Times New Roman" w:eastAsia="Times New Roman" w:hAnsi="Times New Roman"/>
          <w:sz w:val="17"/>
          <w:szCs w:val="17"/>
          <w:color w:val="auto"/>
        </w:rPr>
        <w:t>”). The amount of proceeds to be delivered to the Company on a Settlement Date against receipt of the Placement Shares sold (the “</w:t>
      </w:r>
      <w:r>
        <w:rPr>
          <w:rFonts w:ascii="Times New Roman" w:cs="Times New Roman" w:eastAsia="Times New Roman" w:hAnsi="Times New Roman"/>
          <w:sz w:val="17"/>
          <w:szCs w:val="17"/>
          <w:b w:val="1"/>
          <w:bCs w:val="1"/>
          <w:u w:val="single" w:color="auto"/>
          <w:color w:val="auto"/>
        </w:rPr>
        <w:t>Net Proceeds</w:t>
      </w:r>
      <w:r>
        <w:rPr>
          <w:rFonts w:ascii="Times New Roman" w:cs="Times New Roman" w:eastAsia="Times New Roman" w:hAnsi="Times New Roman"/>
          <w:sz w:val="17"/>
          <w:szCs w:val="17"/>
          <w:color w:val="auto"/>
        </w:rPr>
        <w:t>”) will be equal to the aggregate gross sales price received by the Agent at which such Placement Shares were sold, after deduction of (i) the Agent’s commission, discount or other compensation for such sales payable by the Company pursuant to Section 2 hereof,</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due and payable by the Company to the Agent hereunder pursuant to Section 7(g) hereof and (iii) any transaction fees imposed by any governmental or self-regulatory organization in respect of such sales.</w:t>
      </w:r>
    </w:p>
    <w:p>
      <w:pPr>
        <w:spacing w:after="0" w:line="18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costs incurred by the Agent and/or its clearing firm in connection with recovering such Net Proceeds, to be immediately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Certificates for the Placement Shares, if any, shall be in such denominations and registered in such names as the Agent may request in writing one Business Day (as defined below) before the applicable Settlement Date. Certificates for the Placement Shares, if any, will be made available by the Company for examination and packaging by the Agent in New York City not later than 12:00 P.M., New York City time, on the Business Day prior to the applicable Settlement Date.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64" w:name="page65"/>
    <w:bookmarkEnd w:id="64"/>
    <w:p>
      <w:pPr>
        <w:ind w:firstLine="436"/>
        <w:spacing w:after="0" w:line="268" w:lineRule="auto"/>
        <w:tabs>
          <w:tab w:leader="none" w:pos="68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Limitations on Offering Size</w:t>
      </w:r>
      <w:r>
        <w:rPr>
          <w:rFonts w:ascii="Times New Roman" w:cs="Times New Roman" w:eastAsia="Times New Roman" w:hAnsi="Times New Roman"/>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or (v) the dollar amount of shares of Common Stock for which the Company has filed the Prospectus Supplement.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84" w:lineRule="exact"/>
        <w:rPr>
          <w:sz w:val="20"/>
          <w:szCs w:val="20"/>
          <w:color w:val="auto"/>
        </w:rPr>
      </w:pPr>
    </w:p>
    <w:p>
      <w:pPr>
        <w:ind w:right="40" w:firstLine="436"/>
        <w:spacing w:after="0" w:line="258" w:lineRule="auto"/>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Agent that as of the date of this Agreement (except for those representations, warranties and agreements that speak solely as of a specified date or time, in which case as of such date or time), and as of (i) each Representation Date (as defined in Section 7(m)) for which no waiver is in effect, (ii) each date on which a Placement Notice is given, (iii) the date and time of each sale of any Placement Shares pursuant to this Agreement and (iv) each Settlement Date (each such time or date referred to in clauses (i) through (iv), an “</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36"/>
        <w:spacing w:after="0" w:line="252"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transactions contemplated by this Agreement meet the requirements for and comply with the conditions for the use of Form S-3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will become effective, the Company will meet the 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Prospectus Supplement.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will pay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65" w:name="page66"/>
    <w:bookmarkEnd w:id="65"/>
    <w:p>
      <w:pPr>
        <w:ind w:left="-20" w:firstLine="436"/>
        <w:spacing w:after="0" w:line="252" w:lineRule="auto"/>
        <w:tabs>
          <w:tab w:leader="none" w:pos="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Prospectus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20" w:right="140" w:firstLine="436"/>
        <w:spacing w:after="0" w:line="289" w:lineRule="auto"/>
        <w:tabs>
          <w:tab w:leader="none" w:pos="665"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At the time of filing the Registration Statement and (ii) at the time of the execution of this Agreement (with such date being used as the determination date for purposes of this clause (ii)), the Company will not be and was not an “ineligible issuer” (as defined in Rule 405), without taking account of any determination by the Commission pursuant to Rule 405 that it is not necessary that the Company be considered an ineligible issuer.</w:t>
      </w:r>
    </w:p>
    <w:p>
      <w:pPr>
        <w:spacing w:after="0" w:line="153" w:lineRule="exact"/>
        <w:rPr>
          <w:rFonts w:ascii="Times New Roman" w:cs="Times New Roman" w:eastAsia="Times New Roman" w:hAnsi="Times New Roman"/>
          <w:sz w:val="17"/>
          <w:szCs w:val="17"/>
          <w:color w:val="auto"/>
        </w:rPr>
      </w:pPr>
    </w:p>
    <w:p>
      <w:pPr>
        <w:ind w:left="680" w:hanging="264"/>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 “emerging growth company,” as defined in Section 2(a) of the Securities Act (an “</w:t>
      </w:r>
      <w:r>
        <w:rPr>
          <w:rFonts w:ascii="Times New Roman" w:cs="Times New Roman" w:eastAsia="Times New Roman" w:hAnsi="Times New Roman"/>
          <w:sz w:val="18"/>
          <w:szCs w:val="18"/>
          <w:b w:val="1"/>
          <w:bCs w:val="1"/>
          <w:u w:val="single" w:color="auto"/>
          <w:color w:val="auto"/>
        </w:rPr>
        <w:t>Emerging Growth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right="100" w:firstLine="436"/>
        <w:spacing w:after="0" w:line="258" w:lineRule="auto"/>
        <w:tabs>
          <w:tab w:leader="none" w:pos="6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270" w:right="459" w:bottom="1440" w:gutter="0" w:footer="0" w:header="0"/>
        </w:sectPr>
      </w:pPr>
    </w:p>
    <w:bookmarkStart w:id="66" w:name="page67"/>
    <w:bookmarkEnd w:id="66"/>
    <w:p>
      <w:pPr>
        <w:ind w:left="-60" w:right="60" w:firstLine="436"/>
        <w:spacing w:after="0" w:line="266" w:lineRule="auto"/>
        <w:tabs>
          <w:tab w:leader="none" w:pos="60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w:t>
      </w:r>
    </w:p>
    <w:p>
      <w:pPr>
        <w:spacing w:after="0" w:line="175" w:lineRule="exact"/>
        <w:rPr>
          <w:rFonts w:ascii="Times New Roman" w:cs="Times New Roman" w:eastAsia="Times New Roman" w:hAnsi="Times New Roman"/>
          <w:sz w:val="18"/>
          <w:szCs w:val="18"/>
          <w:color w:val="auto"/>
        </w:rPr>
      </w:pPr>
    </w:p>
    <w:p>
      <w:pPr>
        <w:ind w:left="-60" w:right="180" w:firstLine="436"/>
        <w:spacing w:after="0" w:line="266"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left="-60" w:right="80" w:firstLine="436"/>
        <w:spacing w:after="0" w:line="256"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87" w:lineRule="exact"/>
        <w:rPr>
          <w:rFonts w:ascii="Times New Roman" w:cs="Times New Roman" w:eastAsia="Times New Roman" w:hAnsi="Times New Roman"/>
          <w:sz w:val="18"/>
          <w:szCs w:val="18"/>
          <w:color w:val="auto"/>
        </w:rPr>
      </w:pPr>
    </w:p>
    <w:p>
      <w:pPr>
        <w:ind w:left="-60" w:right="40" w:firstLine="436"/>
        <w:spacing w:after="0" w:line="258" w:lineRule="auto"/>
        <w:tabs>
          <w:tab w:leader="none" w:pos="5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any brokerage or finder’s fee or other fee or commission as a result of any transactions contemplated by this Agreement.</w:t>
      </w:r>
    </w:p>
    <w:p>
      <w:pPr>
        <w:spacing w:after="0" w:line="183" w:lineRule="exact"/>
        <w:rPr>
          <w:rFonts w:ascii="Times New Roman" w:cs="Times New Roman" w:eastAsia="Times New Roman" w:hAnsi="Times New Roman"/>
          <w:sz w:val="18"/>
          <w:szCs w:val="18"/>
          <w:color w:val="auto"/>
        </w:rPr>
      </w:pPr>
    </w:p>
    <w:p>
      <w:pPr>
        <w:ind w:left="-60" w:firstLine="436"/>
        <w:spacing w:after="0" w:line="255" w:lineRule="auto"/>
        <w:tabs>
          <w:tab w:leader="none" w:pos="5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have a material adverse effect on the condition (financial or otherwise), earnings, results of operations, business, properties, operations, assets, liabilities or prospects of the Company, whether or not arising from transactions in the ordinary course of business (a “</w:t>
      </w:r>
      <w:r>
        <w:rPr>
          <w:rFonts w:ascii="Times New Roman" w:cs="Times New Roman" w:eastAsia="Times New Roman" w:hAnsi="Times New Roman"/>
          <w:sz w:val="18"/>
          <w:szCs w:val="18"/>
          <w:b w:val="1"/>
          <w:bCs w:val="1"/>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subsidiaries as defined under the Securities Act.</w:t>
      </w:r>
    </w:p>
    <w:p>
      <w:pPr>
        <w:spacing w:after="0" w:line="225" w:lineRule="exact"/>
        <w:rPr>
          <w:rFonts w:ascii="Times New Roman" w:cs="Times New Roman" w:eastAsia="Times New Roman" w:hAnsi="Times New Roman"/>
          <w:sz w:val="18"/>
          <w:szCs w:val="18"/>
          <w:color w:val="auto"/>
        </w:rPr>
      </w:pPr>
    </w:p>
    <w:p>
      <w:pPr>
        <w:ind w:left="-60" w:right="60" w:firstLine="436"/>
        <w:spacing w:after="0" w:line="255" w:lineRule="auto"/>
        <w:tabs>
          <w:tab w:leader="none" w:pos="5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authorized and outstanding capitalization as set forth in the Company’s quarterly report on Form 10-Q for the most recent fiscal quarter, as of the dates referred to therein (subject, in each case, to the issuance of Placement Shares under this Agreement, the issuance of shares of Common Stock upon exercise of share options and warrants disclosed as outstanding as of the date hereof in the Registration Statement and the Prospectus and the grant of options under existing share option plans described in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500" w:top="270" w:right="499" w:bottom="1440" w:gutter="0" w:footer="0" w:header="0"/>
        </w:sectPr>
      </w:pPr>
    </w:p>
    <w:bookmarkStart w:id="67" w:name="page68"/>
    <w:bookmarkEnd w:id="6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to which the Company is a party or by which it may be bound.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u w:val="single" w:color="auto"/>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192" w:lineRule="exact"/>
        <w:rPr>
          <w:sz w:val="20"/>
          <w:szCs w:val="20"/>
          <w:color w:val="auto"/>
        </w:rPr>
      </w:pPr>
    </w:p>
    <w:p>
      <w:pPr>
        <w:ind w:right="140" w:firstLine="436"/>
        <w:spacing w:after="0" w:line="253" w:lineRule="auto"/>
        <w:tabs>
          <w:tab w:leader="none" w:pos="74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amended and restated certificate of incorporation or amended and restated bylaws or any agreement or other instrument to which the Company is a party or otherwise filed as an exhibit to the Registration Statement.</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or incorporated by reference in the Prospectus, insofar as they purport to constitute summaries of the terms of the contracts, agreements or other documents described and filed, constitute accurate summaries of the terms thereof in all material respects. The statements set forth or incorporated by reference in the Prospectus under the headings “Risk Factors,” “Business—Intellectual Property,” “Business—Government Regulation,” “Legal Proceedings,” and “Description of Capital Stock,” insofar as such statements summarize legal matters, agreements, documents or proceedings discussed therein, are accurate and fair summaries of such legal matters, agreements, documents or proceedings. The Company has not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to the Company’s knowledge, any other party to any such contract or agreement, which threat of termination or non-renewal has not been rescinded as of the date hereof.</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8" w:name="page69"/>
    <w:bookmarkEnd w:id="68"/>
    <w:p>
      <w:pPr>
        <w:ind w:left="4" w:right="360" w:firstLine="436"/>
        <w:spacing w:after="0" w:line="282"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and, after giving effect to the offering and sale of the Placement Shares and the application of the proceeds thereof as described in the Prospectus, will not be an “investment company” as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6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(i) any provision of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in the cases of clauses (i), (iii) and (iv), as would not, individually or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7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(i) the Company has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pursuant to the existing terms of the agreements or Stock Plans or in exercise of the Company’s right of first refusal upon a proposed transfer, nor declared, paid or otherwise made any dividend or distribution of any kind on its capital stock other than ordinary and customary dividends; and</w:t>
      </w:r>
    </w:p>
    <w:p>
      <w:pPr>
        <w:spacing w:after="0" w:line="3" w:lineRule="exact"/>
        <w:rPr>
          <w:rFonts w:ascii="Times New Roman" w:cs="Times New Roman" w:eastAsia="Times New Roman" w:hAnsi="Times New Roman"/>
          <w:sz w:val="18"/>
          <w:szCs w:val="18"/>
          <w:color w:val="auto"/>
        </w:rPr>
      </w:pPr>
    </w:p>
    <w:p>
      <w:pPr>
        <w:ind w:left="4" w:right="100" w:hanging="4"/>
        <w:spacing w:after="0" w:line="253"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(other than the exercise or conversion of equity awards, warrants or convertible notes or loans or grants of equity awards or forfeiture of equity awards outstanding as of such respective dates as of which information is given in each of the Registration Statement and the Prospectus, in each case granted pursuant to Stock Plans), short term debt or long term debt of the Company, except in each case as described in each of the Registration Statement and the Prospectus.</w:t>
      </w:r>
    </w:p>
    <w:p>
      <w:pPr>
        <w:spacing w:after="0" w:line="188"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5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w:t>
      </w:r>
    </w:p>
    <w:p>
      <w:pPr>
        <w:spacing w:after="0" w:line="175"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and the Prospectus, together with the related schedules and notes thereto, comply as to form in all material respects with the applicable requirements of the Securities Act and the Exchange Act and present fairly in all material respects the financial position of the Company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u w:val="single" w:color="auto"/>
          <w:color w:val="auto"/>
        </w:rPr>
        <w:t>U.S. GAAP</w:t>
      </w:r>
      <w:r>
        <w:rPr>
          <w:rFonts w:ascii="Times New Roman" w:cs="Times New Roman" w:eastAsia="Times New Roman" w:hAnsi="Times New Roman"/>
          <w:sz w:val="18"/>
          <w:szCs w:val="18"/>
          <w:color w:val="auto"/>
        </w:rPr>
        <w:t>”) applied on a consistent basis throughout the periods covered thereby except for any normal</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69" w:name="page70"/>
    <w:bookmarkEnd w:id="69"/>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year-end adjustments in the Company’s quarterly financial statements. The other financial information included in or incorporated by reference in the Registration Statement and the Prospectus has been derived from the accounting records of the Company and presents fairly in all material respects the information shown thereby. The statistical, industry-related and market-related data included or incorporated by reference in each of the Registration Statement and the Prospectus are based on or derived from sources which the Company reasonably and in good faith believes are reliable and accurate and such data is consistent with the sources from which they are derived, in each case in all material respects, and, to the extent required, the Company has obtained the written consent to the use of such data from such sources.</w:t>
      </w:r>
    </w:p>
    <w:p>
      <w:pPr>
        <w:spacing w:after="0" w:line="187" w:lineRule="exact"/>
        <w:rPr>
          <w:sz w:val="20"/>
          <w:szCs w:val="20"/>
          <w:color w:val="auto"/>
        </w:rPr>
      </w:pPr>
    </w:p>
    <w:p>
      <w:pPr>
        <w:ind w:right="20" w:firstLine="436"/>
        <w:spacing w:after="0" w:line="255"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is a party or to which any of the properties of the Company is subject (i) other than proceedings accurately described in all material respects in each of the Registration Statement and the Prospectus and proceedings that would not singly or in the aggregate, reasonably be expected to have a Material Adverse Effect on the Company or on the performance by the Company of its obligations under this Agreement or to consummate the transactions contemplated hereby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7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The Company has good and marketable title to all personal property (excluding intellectual property) owned by it which is material to the business of the Company, in each case free and clear of all liens, encumbrances and defects except such as do not materially affect the value of such property and do not interfere in any material respect with the use made and proposed to be made of such property by the Company; and any real property and buildings held under lease by the Company is held by it under valid, subsisting and, to the knowledge of the Company, enforceable leases with such exceptions as are not material and do not materially interfere with the use made and proposed to be made of such property and buildings by the Company.</w:t>
      </w:r>
    </w:p>
    <w:p>
      <w:pPr>
        <w:spacing w:after="0" w:line="187"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or default of (i) any provision of its certificate of incorporation or bylaws,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or any of its properties or assets, as applicable, except, in the case of clauses (ii) and (iii) above, for any such default or violation that would not,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jc w:val="both"/>
        <w:ind w:firstLine="436"/>
        <w:spacing w:after="0" w:line="281" w:lineRule="auto"/>
        <w:tabs>
          <w:tab w:leader="none" w:pos="69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Deloitte &amp; Touche LLP, whose report on the consolidated financial statements of the Company is filed with the Commission as part of the Company’s most recent annual report on Form 10-K filed with the Commission and incorporated by reference in the Registration Statement and the Prospectus, is an independent registered public accounting firm with respect to the Company within the meaning of the Securities Act, the Exchange Act and the applicable rules and regulations thereunder adopted by the Commission and the Public Company Accounting Oversight Board (United States).</w:t>
      </w:r>
    </w:p>
    <w:p>
      <w:pPr>
        <w:spacing w:after="0" w:line="164"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0" w:name="page71"/>
    <w:bookmarkEnd w:id="70"/>
    <w:p>
      <w:pPr>
        <w:ind w:left="-20" w:firstLine="436"/>
        <w:spacing w:after="0" w:line="254" w:lineRule="auto"/>
        <w:tabs>
          <w:tab w:leader="none" w:pos="7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all United States federal, state, local and foreign tax returns required to be filed through the date of this agreement or have requested extensions thereof (except where the failure to file would not, singly or in the aggregate, reasonably be expected to have a Material Adverse Effect on the Company) and has paid all taxes required to be paid thereon (except for cases in which the failure to file or pay would not, singly or in the aggregate, reasonably be expected to have a Material Adverse Effect on the Company, or, except as currently being contested in good faith and by appropriate proceedings and for which reserves required by U.S. GAAP have been created and maintained in the financial statements of the Company), and no tax deficiency has been determined adversely to the Company which, singly or in the aggregate, has had (nor does the Company have any notice or knowledge of any tax deficiency which could reasonably be expected to be determined adversely to the Company and which could reasonably be expected to have) a Material Adverse Effect on the Company.</w:t>
      </w:r>
    </w:p>
    <w:p>
      <w:pPr>
        <w:spacing w:after="0" w:line="191" w:lineRule="exact"/>
        <w:rPr>
          <w:rFonts w:ascii="Times New Roman" w:cs="Times New Roman" w:eastAsia="Times New Roman" w:hAnsi="Times New Roman"/>
          <w:sz w:val="18"/>
          <w:szCs w:val="18"/>
          <w:color w:val="auto"/>
        </w:rPr>
      </w:pPr>
    </w:p>
    <w:p>
      <w:pPr>
        <w:jc w:val="both"/>
        <w:ind w:left="-20" w:right="60" w:firstLine="436"/>
        <w:spacing w:after="0" w:line="266" w:lineRule="auto"/>
        <w:tabs>
          <w:tab w:leader="none" w:pos="7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or, to the knowledge of the Company, is imminent; and the Company is not aware of any existing, threatened or imminent labor disturbance by the employees of any of its principal suppliers, manufacturers or contractors that could, singly or in the aggregate, reasonably be expected to have a Material Adverse Effect on the Company.</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7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insured by insurers of recognized financial responsibility against such losses and risks and in such amounts as in the Company’s reasonable judgement are prudent and customary in the businesses in which they are engaged; the Company has not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have a Material Adverse Effect on the Company.</w:t>
      </w:r>
    </w:p>
    <w:p>
      <w:pPr>
        <w:spacing w:after="0" w:line="183" w:lineRule="exact"/>
        <w:rPr>
          <w:rFonts w:ascii="Times New Roman" w:cs="Times New Roman" w:eastAsia="Times New Roman" w:hAnsi="Times New Roman"/>
          <w:sz w:val="18"/>
          <w:szCs w:val="18"/>
          <w:color w:val="auto"/>
        </w:rPr>
      </w:pPr>
    </w:p>
    <w:p>
      <w:pPr>
        <w:ind w:left="-20" w:right="60" w:firstLine="436"/>
        <w:spacing w:after="0" w:line="253" w:lineRule="auto"/>
        <w:tabs>
          <w:tab w:leader="none" w:pos="7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Registration Statement and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The Company maintains disclosure controls and procedures (as defined in Rules 13a-15 and 15d-15 under the Exchange Act), which (i) are designed to ensure that information relating to the Company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7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of its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71" w:name="page72"/>
    <w:bookmarkEnd w:id="71"/>
    <w:p>
      <w:pPr>
        <w:ind w:left="-40" w:firstLine="436"/>
        <w:spacing w:after="0" w:line="271" w:lineRule="auto"/>
        <w:tabs>
          <w:tab w:leader="none" w:pos="68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Company (i) is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7"/>
          <w:szCs w:val="17"/>
          <w:b w:val="1"/>
          <w:bCs w:val="1"/>
          <w:u w:val="single" w:color="auto"/>
          <w:color w:val="auto"/>
        </w:rPr>
        <w:t>Environmental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Laws</w:t>
      </w:r>
      <w:r>
        <w:rPr>
          <w:rFonts w:ascii="Times New Roman" w:cs="Times New Roman" w:eastAsia="Times New Roman" w:hAnsi="Times New Roman"/>
          <w:sz w:val="17"/>
          <w:szCs w:val="17"/>
          <w:color w:val="auto"/>
        </w:rPr>
        <w:t>”), (ii) has received all permits, licenses or other approvals required of them under applicable Environmental Laws to conduct its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businesses and (iii) is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(B) 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73" w:lineRule="exact"/>
        <w:rPr>
          <w:rFonts w:ascii="Times New Roman" w:cs="Times New Roman" w:eastAsia="Times New Roman" w:hAnsi="Times New Roman"/>
          <w:sz w:val="17"/>
          <w:szCs w:val="17"/>
          <w:color w:val="auto"/>
        </w:rPr>
      </w:pPr>
    </w:p>
    <w:p>
      <w:pPr>
        <w:ind w:left="-40" w:right="60" w:firstLine="436"/>
        <w:spacing w:after="0" w:line="254" w:lineRule="auto"/>
        <w:tabs>
          <w:tab w:leader="none" w:pos="7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on the Company, (i) each employee benefit plan,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that is sponsored, maintained, administered or contributed to by the Company has been maintained in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and (ii) neither the Company nor any member of its “Controlled Group” (defined as any trade or business, whether or not incorporated, that would be regarded as a single employer with the Company under Section 414 of the Code) (x) has ever sponsored, maintained, contributed to or has had any obligation to contribute to, any employee benefit plan that is subject to Title IV of ERISA or any “multiemployer plan” as defined in Section 3(37) of ERISA or (y) has incurred, or reasonably expects to incur, any liability under Title IV of ERISA.</w:t>
      </w:r>
    </w:p>
    <w:p>
      <w:pPr>
        <w:spacing w:after="0" w:line="191" w:lineRule="exact"/>
        <w:rPr>
          <w:rFonts w:ascii="Times New Roman" w:cs="Times New Roman" w:eastAsia="Times New Roman" w:hAnsi="Times New Roman"/>
          <w:sz w:val="18"/>
          <w:szCs w:val="18"/>
          <w:color w:val="auto"/>
        </w:rPr>
      </w:pPr>
    </w:p>
    <w:p>
      <w:pPr>
        <w:ind w:left="-40" w:right="80" w:firstLine="436"/>
        <w:spacing w:after="0" w:line="261" w:lineRule="auto"/>
        <w:tabs>
          <w:tab w:leader="none" w:pos="74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Times New Roman" w:cs="Times New Roman" w:eastAsia="Times New Roman" w:hAnsi="Times New Roman"/>
          <w:sz w:val="18"/>
          <w:szCs w:val="18"/>
          <w:b w:val="1"/>
          <w:bCs w:val="1"/>
          <w:u w:val="single" w:color="auto"/>
          <w:color w:val="auto"/>
        </w:rPr>
        <w:t>Sarbanes-Oxley Act</w:t>
      </w:r>
      <w:r>
        <w:rPr>
          <w:rFonts w:ascii="Times New Roman" w:cs="Times New Roman" w:eastAsia="Times New Roman" w:hAnsi="Times New Roman"/>
          <w:sz w:val="18"/>
          <w:szCs w:val="18"/>
          <w:color w:val="auto"/>
        </w:rPr>
        <w:t>”) and the rules and regulations promulgated in connection therewith, including Section 402 relating to loans.</w:t>
      </w:r>
    </w:p>
    <w:p>
      <w:pPr>
        <w:spacing w:after="0" w:line="179" w:lineRule="exact"/>
        <w:rPr>
          <w:rFonts w:ascii="Times New Roman" w:cs="Times New Roman" w:eastAsia="Times New Roman" w:hAnsi="Times New Roman"/>
          <w:sz w:val="18"/>
          <w:szCs w:val="18"/>
          <w:color w:val="auto"/>
        </w:rPr>
      </w:pPr>
    </w:p>
    <w:p>
      <w:pPr>
        <w:ind w:left="-40" w:right="40" w:firstLine="436"/>
        <w:spacing w:after="0" w:line="253" w:lineRule="auto"/>
        <w:tabs>
          <w:tab w:leader="none" w:pos="6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any of its controlled affiliates, or any director, officer, or key employee thereof who is named in the Registration Statement or Prospectus, or, to the Company’s knowledge, any non-controlled affiliates, or any other employee, agent or representative of the Company or any of its subsidiaries or any of its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each of its subsidiaries, if any, and each of its controlled affiliates, and to the Company’s knowledge, each of its non-controlled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80" w:top="270" w:right="479" w:bottom="1440" w:gutter="0" w:footer="0" w:header="0"/>
        </w:sectPr>
      </w:pPr>
    </w:p>
    <w:bookmarkStart w:id="72" w:name="page73"/>
    <w:bookmarkEnd w:id="72"/>
    <w:p>
      <w:pPr>
        <w:ind w:firstLine="436"/>
        <w:spacing w:after="0" w:line="254" w:lineRule="auto"/>
        <w:tabs>
          <w:tab w:leader="none" w:pos="7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if 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if any,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91" w:lineRule="exact"/>
        <w:rPr>
          <w:rFonts w:ascii="Times New Roman" w:cs="Times New Roman" w:eastAsia="Times New Roman" w:hAnsi="Times New Roman"/>
          <w:sz w:val="18"/>
          <w:szCs w:val="18"/>
          <w:color w:val="auto"/>
        </w:rPr>
      </w:pPr>
    </w:p>
    <w:p>
      <w:pPr>
        <w:ind w:right="40" w:firstLine="436"/>
        <w:spacing w:after="0" w:line="266" w:lineRule="auto"/>
        <w:tabs>
          <w:tab w:leader="none" w:pos="7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key employee thereof who is named in the Registration Statement and Prospectus, or, to the Company’s knowledge, any other employee, agent, affiliate or representative of the Company or any of its subsidiaries, is an individual or entity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81" w:lineRule="exact"/>
        <w:rPr>
          <w:rFonts w:ascii="Times New Roman" w:cs="Times New Roman" w:eastAsia="Times New Roman" w:hAnsi="Times New Roman"/>
          <w:sz w:val="18"/>
          <w:szCs w:val="18"/>
          <w:color w:val="auto"/>
        </w:rPr>
      </w:pPr>
    </w:p>
    <w:p>
      <w:pPr>
        <w:ind w:left="1960" w:right="380" w:hanging="533"/>
        <w:spacing w:after="0" w:line="266" w:lineRule="auto"/>
        <w:tabs>
          <w:tab w:leader="none" w:pos="1960" w:val="left"/>
        </w:tabs>
        <w:numPr>
          <w:ilvl w:val="3"/>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or</w:t>
      </w:r>
    </w:p>
    <w:p>
      <w:pPr>
        <w:spacing w:after="0" w:line="81" w:lineRule="exact"/>
        <w:rPr>
          <w:rFonts w:ascii="Times New Roman" w:cs="Times New Roman" w:eastAsia="Times New Roman" w:hAnsi="Times New Roman"/>
          <w:sz w:val="18"/>
          <w:szCs w:val="18"/>
          <w:color w:val="auto"/>
        </w:rPr>
      </w:pPr>
    </w:p>
    <w:p>
      <w:pPr>
        <w:jc w:val="both"/>
        <w:ind w:left="1960" w:right="420" w:hanging="533"/>
        <w:spacing w:after="0" w:line="289" w:lineRule="auto"/>
        <w:tabs>
          <w:tab w:leader="none" w:pos="1960" w:val="left"/>
        </w:tabs>
        <w:numPr>
          <w:ilvl w:val="3"/>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located, organized or resident in a country or territory that is the subject of Sanctions (including, without limitation, the so-called Donetsk People’s Republic, the so-called Luhansk People’s Republic or any other Covered Region of Ukraine identified pursuant to Executive Order 14065, the Crimea region of Ukraine, Cuba, Iran, North Korea and Syria).</w:t>
      </w:r>
    </w:p>
    <w:p>
      <w:pPr>
        <w:spacing w:after="0" w:line="49" w:lineRule="exact"/>
        <w:rPr>
          <w:rFonts w:ascii="Times New Roman" w:cs="Times New Roman" w:eastAsia="Times New Roman" w:hAnsi="Times New Roman"/>
          <w:sz w:val="17"/>
          <w:szCs w:val="17"/>
          <w:color w:val="auto"/>
        </w:rPr>
      </w:pPr>
    </w:p>
    <w:p>
      <w:pPr>
        <w:ind w:left="980" w:right="340" w:firstLine="7"/>
        <w:spacing w:after="0" w:line="282" w:lineRule="auto"/>
        <w:tabs>
          <w:tab w:leader="none" w:pos="124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7" w:lineRule="exact"/>
        <w:rPr>
          <w:rFonts w:ascii="Times New Roman" w:cs="Times New Roman" w:eastAsia="Times New Roman" w:hAnsi="Times New Roman"/>
          <w:sz w:val="18"/>
          <w:szCs w:val="18"/>
          <w:color w:val="auto"/>
        </w:rPr>
      </w:pPr>
    </w:p>
    <w:p>
      <w:pPr>
        <w:ind w:left="2400" w:right="300" w:hanging="649"/>
        <w:spacing w:after="0" w:line="266" w:lineRule="auto"/>
        <w:tabs>
          <w:tab w:leader="none" w:pos="2400" w:val="left"/>
        </w:tabs>
        <w:numPr>
          <w:ilvl w:val="4"/>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if that activity could reasonably be expected to result in a violation of Sanctions; or</w:t>
      </w:r>
    </w:p>
    <w:p>
      <w:pPr>
        <w:spacing w:after="0" w:line="81" w:lineRule="exact"/>
        <w:rPr>
          <w:rFonts w:ascii="Times New Roman" w:cs="Times New Roman" w:eastAsia="Times New Roman" w:hAnsi="Times New Roman"/>
          <w:sz w:val="18"/>
          <w:szCs w:val="18"/>
          <w:color w:val="auto"/>
        </w:rPr>
      </w:pPr>
    </w:p>
    <w:p>
      <w:pPr>
        <w:ind w:left="2400" w:right="260" w:hanging="649"/>
        <w:spacing w:after="0" w:line="282" w:lineRule="auto"/>
        <w:tabs>
          <w:tab w:leader="none" w:pos="2400" w:val="left"/>
        </w:tabs>
        <w:numPr>
          <w:ilvl w:val="4"/>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could reasonably be expected to result in a violation of Sanctions by any Person (including any Person participating in the offering, whether as underwriter, advisor, investor or otherwise).</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7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past five years, the Company and each of its subsidiaries, if any,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7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set forth in the Registration Statement or the Prospectus, or as would not, singly or in the aggregate, reasonably be expected to have a Material Adverse Effect on the Company: (i) the Company owns or has a valid and enforceable right or license to use, all patents, inventions, copyrights, know how (including trade secrets and other unpatented and/or unpatentable proprietary or confidential information, systems or procedures), software, domain names, trademarks,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73" w:name="page74"/>
    <w:bookmarkEnd w:id="73"/>
    <w:p>
      <w:pPr>
        <w:ind w:left="4" w:right="6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marks, trade names, logos and any and all other worldwide intellectual property and proprietary rights (including all registrations and applications for, and all goodwill associated with, any of the foregoing) (collectively, “</w:t>
      </w:r>
      <w:r>
        <w:rPr>
          <w:rFonts w:ascii="Times New Roman" w:cs="Times New Roman" w:eastAsia="Times New Roman" w:hAnsi="Times New Roman"/>
          <w:sz w:val="17"/>
          <w:szCs w:val="17"/>
          <w:b w:val="1"/>
          <w:bCs w:val="1"/>
          <w:u w:val="single" w:color="auto"/>
          <w:color w:val="auto"/>
        </w:rPr>
        <w:t>Intellectual Property Rights</w:t>
      </w:r>
      <w:r>
        <w:rPr>
          <w:rFonts w:ascii="Times New Roman" w:cs="Times New Roman" w:eastAsia="Times New Roman" w:hAnsi="Times New Roman"/>
          <w:sz w:val="17"/>
          <w:szCs w:val="17"/>
          <w:color w:val="auto"/>
        </w:rPr>
        <w:t>”) used in, or reasonably necessary or expected to be material to the conduct of, its business as currently conducted and as proposed to be conducted, in each case as such business is described in the Registration Statement and the Prospectus; (ii) to the Company’s knowledge, the Intellectual Property Rights owned by and exclusively licensed to the Company, are valid, subsisting and enforceable; (iii) no Intellectual Property Rights owned by the Company and, to the Company’s knowledge, no Intellectual Property Rights licensed to the Company, have been held invalid or unenforceable by a final decision of a court or other governmental agency of competent jurisdiction which is unappealable or unappealed within the time allowed for appeal; (iv) all Intellectual Property Rights owned by the Company are owned free and clear of all liens and encumbrances, except such non-exclusive rights and licenses as are granted to third parties (including CROs and other vendors) in the ordinary course of business; (v) to the Company’s knowledge, there are no defects in any of the patents or patent applications within the Intellectual Property Rights owned by and exclusively licensed to the Company; (vi) there is no pending, or to the Company’s knowledge, threatened (in writing) action, suit, proceeding or claim by others, and the Company has not received any written notice,</w:t>
      </w:r>
    </w:p>
    <w:p>
      <w:pPr>
        <w:spacing w:after="0" w:line="2" w:lineRule="exact"/>
        <w:rPr>
          <w:sz w:val="20"/>
          <w:szCs w:val="20"/>
          <w:color w:val="auto"/>
        </w:rPr>
      </w:pPr>
    </w:p>
    <w:p>
      <w:pPr>
        <w:ind w:left="4" w:right="40" w:hanging="4"/>
        <w:spacing w:after="0" w:line="267" w:lineRule="auto"/>
        <w:tabs>
          <w:tab w:leader="none" w:pos="29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challenging the Company’s rights in or to any Intellectual Property Rights, (B) challenging the validity, scope or enforceability of any Intellectual Property Rights owned by or exclusively licensed to the Company, or (C) alleging any infringement, misappropriation or other violation by the Company of any Intellectual Property Rights of others, and in each case, the Company is unaware of any facts which the Company reasonably believes would form a reasonable basis for any such action, suit, proceeding or claim; (vii) to the Company’s knowledge, there is no infringement, misappropriation or other violation, and there has been no infringement, misappropriation or other violation, by third parties of any of the Company’s Intellectual Property Rights, whether owned by, or licensed to, the Company; (viii) to the Company’s knowledge, the Company and the conduct of its business does not infringe, misappropriate or otherwise violate, and has not infringed, misappropriated or otherwise violated, any Intellectual Property Rights of others; (ix) the Company has taken reasonable steps necessary to secure its interests in the Intellectual Property Rights by requiring the execution of appropriate confidentiality and invention assignment agreements from the Company’s current and former employees or contractors engaged in or formerly engaged in the development of Intellectual Property Rights for or on behalf of the Company, and to the Company’s knowledge no such agreement has been breached or violated; and (x) the Company uses, and has used, commercially reasonable efforts in accordance with customary industry practice to appropriately maintain the confidentiality of all confidential information of the Company and all information intended by the Company to be maintained as a trade secret and no such information has been disclosed other than pursuant to written confidentiality agreements.</w:t>
      </w:r>
    </w:p>
    <w:p>
      <w:pPr>
        <w:spacing w:after="0" w:line="178" w:lineRule="exact"/>
        <w:rPr>
          <w:rFonts w:ascii="Times New Roman" w:cs="Times New Roman" w:eastAsia="Times New Roman" w:hAnsi="Times New Roman"/>
          <w:sz w:val="17"/>
          <w:szCs w:val="17"/>
          <w:color w:val="auto"/>
        </w:rPr>
      </w:pPr>
    </w:p>
    <w:p>
      <w:pPr>
        <w:ind w:left="4" w:firstLine="436"/>
        <w:spacing w:after="0" w:line="253" w:lineRule="auto"/>
        <w:tabs>
          <w:tab w:leader="none" w:pos="88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singly or in the aggregate, reasonably be expected to have a Material Adverse Effect on the Company, and except as disclosed in the Registration Statement and the Prospectus, the Company has complied and is presently in compliance with all of its internal and external privacy policies, its privacy- and data protection-related contractual obligations, applicable laws, binding industry standards, statutes, binding rules, regulations, judgments and orders of any court or arbitrator or other governmental or regulatory authority, and any other legal obligations, in each case, relating to the collection, use, transfer, import, export, storage, protection, security, disposal, disclosure and other processing by or on behalf of the Company of personal, personally identifiable, household (in the case of household data, to the extent “Personal Information” under the California Consumer Privacy Act), sensitive or regulated information or data (“</w:t>
      </w:r>
      <w:r>
        <w:rPr>
          <w:rFonts w:ascii="Times New Roman" w:cs="Times New Roman" w:eastAsia="Times New Roman" w:hAnsi="Times New Roman"/>
          <w:sz w:val="18"/>
          <w:szCs w:val="18"/>
          <w:b w:val="1"/>
          <w:bCs w:val="1"/>
          <w:u w:val="single" w:color="auto"/>
          <w:color w:val="auto"/>
        </w:rPr>
        <w:t>Data Security Obligations</w:t>
      </w:r>
      <w:r>
        <w:rPr>
          <w:rFonts w:ascii="Times New Roman" w:cs="Times New Roman" w:eastAsia="Times New Roman" w:hAnsi="Times New Roman"/>
          <w:sz w:val="18"/>
          <w:szCs w:val="18"/>
          <w:color w:val="auto"/>
        </w:rPr>
        <w:t>”, and such information and data, “</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(ii) the Company has not received any written notification of or written complaint regarding, and is unaware of any other facts that the Company reasonably believes would indicate, its non-compliance with any Data Security Obligation; and (iii) there is no action, suit, proceeding or claim by or before any court or governmental agency, authority or body pending or, to the Company’s knowledge, threatened in writing against the Company alleging non-compliance with any Data Security Obligation.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74" w:name="page75"/>
    <w:bookmarkEnd w:id="74"/>
    <w:p>
      <w:pPr>
        <w:ind w:firstLine="436"/>
        <w:spacing w:after="0" w:line="253" w:lineRule="auto"/>
        <w:tabs>
          <w:tab w:leader="none" w:pos="7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singly or in the aggregate, reasonably be expected to have a Material Adverse Effect on the Company (i) the Company has established, implemented and maintain technical and organizational measures reasonably designed to protect its information technology systems, assets, equipment, computers, systems, websites, networks, hardware, and associated software, applications and databases used in connection with the operation of the Company’s business (collectively,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and Data; (ii) the Company has used reasonable efforts to implement, establish and maintain, and have established, implemented and maintained, and complied with, reasonable information technology, information security, cybersecurity and data protection controls, policies and procedures designed to maintain and protect the integrity, redundancy and security of all IT Systems and Data and to protect against and prevent security breaches and incidents resulting in destruction, loss, unauthorized distribution, use, access, disablement, misappropriation or modification, outages, or other compromise or misuse of any IT Systems or Data (</w:t>
      </w:r>
      <w:r>
        <w:rPr>
          <w:rFonts w:ascii="Times New Roman" w:cs="Times New Roman" w:eastAsia="Times New Roman" w:hAnsi="Times New Roman"/>
          <w:sz w:val="18"/>
          <w:szCs w:val="18"/>
          <w:b w:val="1"/>
          <w:bCs w:val="1"/>
          <w:u w:val="single" w:color="auto"/>
          <w:color w:val="auto"/>
        </w:rPr>
        <w:t>“Breach</w:t>
      </w:r>
      <w:r>
        <w:rPr>
          <w:rFonts w:ascii="Times New Roman" w:cs="Times New Roman" w:eastAsia="Times New Roman" w:hAnsi="Times New Roman"/>
          <w:sz w:val="18"/>
          <w:szCs w:val="18"/>
          <w:color w:val="auto"/>
        </w:rPr>
        <w:t>”); (iii) to the knowledge of the Company, there has been no such Breach, and the Company has not been notified in writing of and has no knowledge of any event or condition that would reasonably be expected to result in, any such Breach; and (iv) the IT Systems are adequate in capacity and operation for, and operate and perform in all material respects as required in connection with the operation of the business of the Company and, to the knowledge of the Company, are free and clear of all bugs, errors, defects, Trojan horses, time bombs, malware and other corruptants or malicious code.</w:t>
      </w:r>
    </w:p>
    <w:p>
      <w:pPr>
        <w:spacing w:after="0" w:line="189"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78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operated at all times and is currently in compliance in all material respects with all applicable statutes, rules, regulations and policies of the U.S. Food and Drug Administration (the “</w:t>
      </w:r>
      <w:r>
        <w:rPr>
          <w:rFonts w:ascii="Times New Roman" w:cs="Times New Roman" w:eastAsia="Times New Roman" w:hAnsi="Times New Roman"/>
          <w:sz w:val="18"/>
          <w:szCs w:val="18"/>
          <w:b w:val="1"/>
          <w:bCs w:val="1"/>
          <w:u w:val="single" w:color="auto"/>
          <w:color w:val="auto"/>
        </w:rPr>
        <w:t>FDA</w:t>
      </w:r>
      <w:r>
        <w:rPr>
          <w:rFonts w:ascii="Times New Roman" w:cs="Times New Roman" w:eastAsia="Times New Roman" w:hAnsi="Times New Roman"/>
          <w:sz w:val="18"/>
          <w:szCs w:val="18"/>
          <w:color w:val="auto"/>
        </w:rPr>
        <w:t>”) and comparable U.S. and foreign regulatory authorities to which they are subject, including the European Medicines Agency (collectively, the “</w:t>
      </w:r>
      <w:r>
        <w:rPr>
          <w:rFonts w:ascii="Times New Roman" w:cs="Times New Roman" w:eastAsia="Times New Roman" w:hAnsi="Times New Roman"/>
          <w:sz w:val="18"/>
          <w:szCs w:val="18"/>
          <w:b w:val="1"/>
          <w:bCs w:val="1"/>
          <w:u w:val="single" w:color="auto"/>
          <w:color w:val="auto"/>
        </w:rPr>
        <w:t>Regulatory Authorities</w:t>
      </w:r>
      <w:r>
        <w:rPr>
          <w:rFonts w:ascii="Times New Roman" w:cs="Times New Roman" w:eastAsia="Times New Roman" w:hAnsi="Times New Roman"/>
          <w:sz w:val="18"/>
          <w:szCs w:val="18"/>
          <w:color w:val="auto"/>
        </w:rPr>
        <w:t>”), including, without limitation:</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the regulations promulgated thereunder;</w:t>
      </w:r>
    </w:p>
    <w:p>
      <w:pPr>
        <w:spacing w:after="0" w:line="130"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federal, state, local and foreign health care laws, including, without limitation, the U.S. Anti-Kickback Statute (42 U.S.C. Section 1320a-7b(b)), the Civil Monetary Penalties Law (42 U.S.C. § 1320a-7a), the U.S. Civil False Claims Act (31 U.S.C. Section 3729 et seq.), all applicable federal, state, local and all foreign criminal laws relating to health care fraud and abuse, including but not limited to the U.S. False Statements Law (42 U.S.C. Section 1320a-7b(a)), 18 U.S.C. Sections 286 and 287, and the health care fraud criminal provisions under the U.S. Health Insurance Portability and Accountability Act of 1996 (42 U.S.C. Section 1320d et seq.), the Health Information Technology for Economic and Clinical Health Act (42 U.S.C. Section 17921 et seq.), the exclusion law (42 U.S.C. Section 1320a-7), the statutes, regulations and directives of applicable government funded or sponsored healthcare programs, and the regulations promulgated pursuant to such statutes;</w:t>
      </w:r>
    </w:p>
    <w:p>
      <w:pPr>
        <w:spacing w:after="0" w:line="97"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Protection and Affordable Care Act of 2010, as amended by the Health Care and Education Reconciliation Act of 2010, the regulations promulgated thereunder;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Controlled Substances Act (21 U.S.C. Section 801 et seq.);</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Good Manufacturing Practices and Good Laboratory Practices;</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licensure, quality, safety and accreditation requirements under applicable federal, state, local or foreign laws or regulatory bodies; and</w:t>
      </w:r>
    </w:p>
    <w:p>
      <w:pPr>
        <w:spacing w:after="0" w:line="67" w:lineRule="exact"/>
        <w:rPr>
          <w:rFonts w:ascii="Times New Roman" w:cs="Times New Roman" w:eastAsia="Times New Roman" w:hAnsi="Times New Roman"/>
          <w:sz w:val="18"/>
          <w:szCs w:val="18"/>
          <w:color w:val="auto"/>
        </w:rPr>
      </w:pPr>
    </w:p>
    <w:p>
      <w:pPr>
        <w:ind w:left="1420" w:right="140" w:hanging="439"/>
        <w:spacing w:after="0" w:line="272" w:lineRule="auto"/>
        <w:tabs>
          <w:tab w:leader="none" w:pos="142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local, state, federal, national, supranational and foreign laws, relating to the regulation of the Company and the ownership, testing, development, manufacture, packaging, processing, use, distribution, marketing, labeling, promotion, sale, offer for sale, storage, import, export or disposal of any product under development, manufactured or distributed by the Company; (clauses</w:t>
      </w:r>
    </w:p>
    <w:p>
      <w:pPr>
        <w:spacing w:after="0" w:line="1"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through (vii), collectively, “</w:t>
      </w:r>
      <w:r>
        <w:rPr>
          <w:rFonts w:ascii="Times New Roman" w:cs="Times New Roman" w:eastAsia="Times New Roman" w:hAnsi="Times New Roman"/>
          <w:sz w:val="18"/>
          <w:szCs w:val="18"/>
          <w:b w:val="1"/>
          <w:bCs w:val="1"/>
          <w:u w:val="single" w:color="auto"/>
          <w:color w:val="auto"/>
        </w:rPr>
        <w:t>Health Care Laws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5" w:name="page76"/>
    <w:bookmarkEnd w:id="75"/>
    <w:p>
      <w:pPr>
        <w:ind w:firstLine="436"/>
        <w:spacing w:after="0" w:line="269" w:lineRule="auto"/>
        <w:tabs>
          <w:tab w:leader="none" w:pos="78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studies, tests and preclinical and clinical trials conducted by or on behalf of or sponsored by the Company or in which the Company has participated, were, and if still pending are, being conducted in all material respects in accordance with legally required standard medical and experimental protocols, procedures and controls pursuant to accepted professional scientific research standards and procedures and all applicable Health Care Laws; (ii) the descriptions of the results of such studies, tests and trials contained in the Registration Statement or the Prospectus are accurate and complete in all material respects and fairly present the data derived from such trials; (iii) the Company has no knowledge of any other studies not described in the Registration Statement and the Prospectus, the results of which the Company reasonably believes call into question the results described or referred to in the Registration Statement and the Prospectus, except where such question would not, singly or in the aggregate, reasonably be expected to have a Material Adverse Effect on the Company; (iv) the Company has provided the Agent with all substantive written notices, correspondence and communications provided to the Company from the Regulatory Authorities; and (v) the Company has not received any written notices, correspondence or other communications from any Regulatory Authority or any other governmental entity requiring or threatening the termination, material modification or suspension of any studies or trials that are described in the Registration Statement and the Prospectus, or the results of which are referred to in the Registration Statement and the Prospectus, and, to the Company’s knowledge, there are no reasonable grounds for the same.</w:t>
      </w:r>
    </w:p>
    <w:p>
      <w:pPr>
        <w:spacing w:after="0" w:line="178" w:lineRule="exact"/>
        <w:rPr>
          <w:rFonts w:ascii="Times New Roman" w:cs="Times New Roman" w:eastAsia="Times New Roman" w:hAnsi="Times New Roman"/>
          <w:sz w:val="17"/>
          <w:szCs w:val="17"/>
          <w:color w:val="auto"/>
        </w:rPr>
      </w:pPr>
    </w:p>
    <w:p>
      <w:pPr>
        <w:ind w:firstLine="436"/>
        <w:spacing w:after="0" w:line="252" w:lineRule="auto"/>
        <w:tabs>
          <w:tab w:leader="none" w:pos="7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as would not, individually or in the aggregate, reasonably be expected to have a Material Adverse Effect on the Company, the Company has filed, obtained, maintained or submitted all reports, documents, forms, notices, applications, records, claims, submissions and supplements or amendments as required by any Health Care Laws, and, all such reports, documents, forms, notices, applications, records, claims, submissions and supplements or amendments were timely, complete, accurate and not misleading on the date filed (or were corrected or supplemented by a subsequent submission); (ii) the Company has not received written notice of any claim, action, suit, proceeding, hearing, enforcement, investigation, arbitration or other action from any court or arbitrator or Regulatory Authority, other governmental entity or third party alleging that any Company or product operation or activity is in violation of any Health Care Laws, including, without limitation, any FDA Form 483, notice of adverse finding, warning letter, untitled letter or other correspondence or notice from the FDA or any other Regulatory Authority or governmental entity, nor, to the Company’s knowledge, is any such claim, action, suit, proceeding, hearing, enforcement, investigation, arbitration or other action threatened; (iii) the Company is not a party to any corporate integrity agreements, monitoring agreements, consent decrees, settlement orders, or similar agreements with or imposed by any Regulatory Authority or other governmental entity; and (iv) neither the Company nor any of its employees, officers or directors has been excluded, suspended or debarred from participation in any U.S. federal health care program or human clinical research or, to the knowledge of the Company, is subject to an inquiry, investigation, proceeding or other similar action by a Regulatory Authority or other governmental entity that could reasonably be expected to result in debarment, suspension, or exclusion.</w:t>
      </w:r>
    </w:p>
    <w:p>
      <w:pPr>
        <w:spacing w:after="0" w:line="197" w:lineRule="exact"/>
        <w:rPr>
          <w:rFonts w:ascii="Times New Roman" w:cs="Times New Roman" w:eastAsia="Times New Roman" w:hAnsi="Times New Roman"/>
          <w:sz w:val="18"/>
          <w:szCs w:val="18"/>
          <w:color w:val="auto"/>
        </w:rPr>
      </w:pPr>
    </w:p>
    <w:p>
      <w:pPr>
        <w:ind w:right="60" w:firstLine="436"/>
        <w:spacing w:after="0" w:line="277" w:lineRule="auto"/>
        <w:tabs>
          <w:tab w:leader="none" w:pos="72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failed to file with the Regulatory Authorities any required filing, declaration, listing, registration, report or submission with respect to the Company’s product candidates that are described or referred to in the Registration Statement and Prospectus; all such filings, declarations, listings, registrations, reports or submissions were in material compliance with applicable laws when filed, or amended or supplemented in material compliance with applicable laws; and no material deficiencies regarding compliance with applicable law have been asserted by any applicable regulatory authority with respect to any such filings, declarations, listings, registrations, reports or submissions, or amendments or supplements thereof.</w:t>
      </w:r>
    </w:p>
    <w:p>
      <w:pPr>
        <w:spacing w:after="0" w:line="167" w:lineRule="exact"/>
        <w:rPr>
          <w:rFonts w:ascii="Times New Roman" w:cs="Times New Roman" w:eastAsia="Times New Roman" w:hAnsi="Times New Roman"/>
          <w:sz w:val="17"/>
          <w:szCs w:val="17"/>
          <w:color w:val="auto"/>
        </w:rPr>
      </w:pPr>
    </w:p>
    <w:p>
      <w:pPr>
        <w:ind w:right="80" w:firstLine="436"/>
        <w:spacing w:after="0" w:line="258" w:lineRule="auto"/>
        <w:tabs>
          <w:tab w:leader="none" w:pos="7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all certificates, authorizations and permits issued by the appropriate federal, state or foreign regulatory authorities necessary to conduct its business as currently conducted, including, without limitation, from the Regulatory Authorities, and the Company has not received any notice of proceedings relating to the revocation or material modification of any such certificate, authorization or permit which, singly or in the aggregate, if the subject of an unfavorable decision, ruling or finding, would reasonably be expected have a Material Adverse Effect on the Company, except as described in the Registration Statement and Prospectus.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76" w:name="page77"/>
    <w:bookmarkEnd w:id="76"/>
    <w:p>
      <w:pPr>
        <w:ind w:left="4" w:right="260" w:firstLine="436"/>
        <w:spacing w:after="0" w:line="276" w:lineRule="auto"/>
        <w:tabs>
          <w:tab w:leader="none" w:pos="709"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w:t>
      </w:r>
    </w:p>
    <w:p>
      <w:pPr>
        <w:ind w:left="4" w:right="20" w:hanging="4"/>
        <w:spacing w:after="0" w:line="255" w:lineRule="auto"/>
        <w:tabs>
          <w:tab w:leader="none" w:pos="21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w:t>
      </w:r>
    </w:p>
    <w:p>
      <w:pPr>
        <w:spacing w:after="0" w:line="18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agreement with an agent or underwriter for any other “at the market” or continuous equity transaction.</w:t>
      </w:r>
    </w:p>
    <w:p>
      <w:pPr>
        <w:spacing w:after="0" w:line="225" w:lineRule="exact"/>
        <w:rPr>
          <w:rFonts w:ascii="Times New Roman" w:cs="Times New Roman" w:eastAsia="Times New Roman" w:hAnsi="Times New Roman"/>
          <w:sz w:val="18"/>
          <w:szCs w:val="18"/>
          <w:color w:val="auto"/>
        </w:rPr>
      </w:pPr>
    </w:p>
    <w:p>
      <w:pPr>
        <w:ind w:left="4" w:firstLine="436"/>
        <w:spacing w:after="0" w:line="254" w:lineRule="auto"/>
        <w:tabs>
          <w:tab w:leader="none" w:pos="78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91" w:lineRule="exact"/>
        <w:rPr>
          <w:rFonts w:ascii="Times New Roman" w:cs="Times New Roman" w:eastAsia="Times New Roman" w:hAnsi="Times New Roman"/>
          <w:sz w:val="18"/>
          <w:szCs w:val="18"/>
          <w:color w:val="auto"/>
        </w:rPr>
      </w:pPr>
    </w:p>
    <w:p>
      <w:pPr>
        <w:ind w:left="4" w:firstLine="436"/>
        <w:spacing w:after="0" w:line="256" w:lineRule="auto"/>
        <w:tabs>
          <w:tab w:leader="none" w:pos="86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trading on Nasdaq on June 30, 2022,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u w:val="single" w:color="auto"/>
          <w:color w:val="auto"/>
        </w:rPr>
        <w:t>Non-Affiliate Shares</w:t>
      </w:r>
      <w:r>
        <w:rPr>
          <w:rFonts w:ascii="Times New Roman" w:cs="Times New Roman" w:eastAsia="Times New Roman" w:hAnsi="Times New Roman"/>
          <w:sz w:val="18"/>
          <w:szCs w:val="18"/>
          <w:color w:val="auto"/>
        </w:rPr>
        <w:t>”), was approximately $176 million (calculated by multiplying (x) the price at which the common equity of the Company was last sold on Nasdaq on June 23, 2022 by (y) the number of Non-Affiliate Shares outstanding on June 30, 2022). The Company is not a shell company (as defined in Rule 405) and has not been a shell company for at least 12 calendar months previously.</w:t>
      </w:r>
    </w:p>
    <w:p>
      <w:pPr>
        <w:spacing w:after="0" w:line="187"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78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8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 Statement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77" w:name="page78"/>
    <w:bookmarkEnd w:id="77"/>
    <w:p>
      <w:pPr>
        <w:ind w:left="4" w:right="60" w:firstLine="436"/>
        <w:spacing w:after="0" w:line="261" w:lineRule="auto"/>
        <w:tabs>
          <w:tab w:leader="none" w:pos="7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Registration Statement, the Company has not sold, issued or distributed any shares of Common Stock during the six 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80" w:lineRule="exact"/>
        <w:rPr>
          <w:sz w:val="20"/>
          <w:szCs w:val="20"/>
          <w:color w:val="auto"/>
        </w:rPr>
      </w:pPr>
    </w:p>
    <w:p>
      <w:pPr>
        <w:ind w:left="4" w:right="300" w:firstLine="436"/>
        <w:spacing w:after="0" w:line="266" w:lineRule="auto"/>
        <w:tabs>
          <w:tab w:leader="none" w:pos="84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w:t>
      </w:r>
    </w:p>
    <w:p>
      <w:pPr>
        <w:spacing w:after="0" w:line="27" w:lineRule="exact"/>
        <w:rPr>
          <w:sz w:val="20"/>
          <w:szCs w:val="20"/>
          <w:color w:val="auto"/>
        </w:rPr>
      </w:pPr>
    </w:p>
    <w:p>
      <w:pPr>
        <w:ind w:left="4" w:right="120"/>
        <w:spacing w:after="0" w:line="265" w:lineRule="auto"/>
        <w:rPr>
          <w:sz w:val="20"/>
          <w:szCs w:val="20"/>
          <w:color w:val="auto"/>
        </w:rPr>
      </w:pPr>
      <w:r>
        <w:rPr>
          <w:rFonts w:ascii="Times New Roman" w:cs="Times New Roman" w:eastAsia="Times New Roman" w:hAnsi="Times New Roman"/>
          <w:sz w:val="17"/>
          <w:szCs w:val="17"/>
          <w:color w:val="auto"/>
        </w:rPr>
        <w:t>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w:t>
      </w:r>
    </w:p>
    <w:p>
      <w:pPr>
        <w:ind w:left="4" w:right="280" w:hanging="4"/>
        <w:spacing w:after="0" w:line="255" w:lineRule="auto"/>
        <w:tabs>
          <w:tab w:leader="none" w:pos="26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85" w:lineRule="exact"/>
        <w:rPr>
          <w:rFonts w:ascii="Times New Roman" w:cs="Times New Roman" w:eastAsia="Times New Roman" w:hAnsi="Times New Roman"/>
          <w:sz w:val="18"/>
          <w:szCs w:val="18"/>
          <w:color w:val="auto"/>
        </w:rPr>
      </w:pPr>
    </w:p>
    <w:p>
      <w:pPr>
        <w:ind w:left="4" w:firstLine="436"/>
        <w:spacing w:after="0" w:line="258" w:lineRule="auto"/>
        <w:tabs>
          <w:tab w:leader="none" w:pos="84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other person (including any director, officer, stockholder, customer or supplier of the Company)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to or for the benefit of any of the officers or directors of the Company, or any of the family members of any of such persons.</w:t>
      </w:r>
    </w:p>
    <w:p>
      <w:pPr>
        <w:spacing w:after="0" w:line="183"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225" w:lineRule="exact"/>
        <w:rPr>
          <w:sz w:val="20"/>
          <w:szCs w:val="20"/>
          <w:color w:val="auto"/>
        </w:rPr>
      </w:pPr>
    </w:p>
    <w:p>
      <w:pPr>
        <w:ind w:left="4" w:right="20" w:firstLine="436"/>
        <w:spacing w:after="0" w:line="253" w:lineRule="auto"/>
        <w:tabs>
          <w:tab w:leader="none" w:pos="6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the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78" w:name="page79"/>
    <w:bookmarkEnd w:id="78"/>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 within a reasonable period of time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w:t>
      </w:r>
    </w:p>
    <w:p>
      <w:pPr>
        <w:spacing w:after="0" w:line="190" w:lineRule="exact"/>
        <w:rPr>
          <w:sz w:val="20"/>
          <w:szCs w:val="20"/>
          <w:color w:val="auto"/>
        </w:rPr>
      </w:pPr>
    </w:p>
    <w:p>
      <w:pPr>
        <w:ind w:firstLine="436"/>
        <w:spacing w:after="0" w:line="255" w:lineRule="auto"/>
        <w:tabs>
          <w:tab w:leader="none" w:pos="6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w:t>
      </w:r>
    </w:p>
    <w:p>
      <w:pPr>
        <w:spacing w:after="0" w:line="188"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Prospectus; Subsequent Changes</w:t>
      </w:r>
      <w:r>
        <w:rPr>
          <w:rFonts w:ascii="Times New Roman" w:cs="Times New Roman" w:eastAsia="Times New Roman" w:hAnsi="Times New Roman"/>
          <w:sz w:val="17"/>
          <w:szCs w:val="17"/>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reasonable best efforts to comply with the provisions thereof and make all requisite filings with the Commission pursuant to said Rule 430B and to notify the Agent promptly of all such filings if not available on</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EDGAR.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79" w:name="page80"/>
    <w:bookmarkEnd w:id="79"/>
    <w:p>
      <w:pPr>
        <w:ind w:right="240" w:firstLine="436"/>
        <w:spacing w:after="0" w:line="258"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 of Placement Shares</w:t>
      </w:r>
      <w:r>
        <w:rPr>
          <w:rFonts w:ascii="Times New Roman" w:cs="Times New Roman" w:eastAsia="Times New Roman" w:hAnsi="Times New Roman"/>
          <w:sz w:val="18"/>
          <w:szCs w:val="18"/>
          <w:color w:val="auto"/>
        </w:rPr>
        <w:t>. During any period in which the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w:t>
      </w:r>
    </w:p>
    <w:p>
      <w:pPr>
        <w:spacing w:after="0" w:line="183" w:lineRule="exact"/>
        <w:rPr>
          <w:rFonts w:ascii="Times New Roman" w:cs="Times New Roman" w:eastAsia="Times New Roman" w:hAnsi="Times New Roman"/>
          <w:sz w:val="18"/>
          <w:szCs w:val="18"/>
          <w:color w:val="auto"/>
        </w:rPr>
      </w:pPr>
    </w:p>
    <w:p>
      <w:pPr>
        <w:ind w:right="60" w:firstLine="436"/>
        <w:spacing w:after="0" w:line="255"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8" w:lineRule="exact"/>
        <w:rPr>
          <w:rFonts w:ascii="Times New Roman" w:cs="Times New Roman" w:eastAsia="Times New Roman" w:hAnsi="Times New Roman"/>
          <w:sz w:val="18"/>
          <w:szCs w:val="18"/>
          <w:color w:val="auto"/>
        </w:rPr>
      </w:pPr>
    </w:p>
    <w:p>
      <w:pPr>
        <w:ind w:right="120" w:firstLine="436"/>
        <w:spacing w:after="0" w:line="261" w:lineRule="auto"/>
        <w:tabs>
          <w:tab w:leader="none" w:pos="6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will make generally available to its security holders and to the Agent as soon as practicable, but in any event not later than 15 months after the end of the Company’s current fiscal quarter, an earnings statement covering a 12-month period that satisfies the provisions of Section 11(a) of and Rule 158 under the Securities Act, which requirement shall be satisfied by the timely filing with the Commission of the Company’s annual report on Form 10-K.</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stamp, documentary or similar issue taxes due or payable in connection therewith, (iii) the qualification of the Placement Shares under securities laws in accordance with the provisions of Section 7(w)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Shares, , and (vii) the reasonable fees and disbursements of the Agent’s outside legal counsel (A) in an amount not to exceed $75,000 arising out of executing this Agreement and the Company’s delivery of the initial certificate pursuant to Section 7(m), (B) in an amount not to exceed $25,000 at each 10-K Filing Event (as defined below) on which the Company is required to provide a certificate pursuant to Section 7(m) (in addition to the fees and associated expenses referred to in clause (vii) above and (C) in an amount not to exceed $15,000 in connection with each Representation Date (as defined below) that is not a 10-K Filing Event, on which the Company is required to provide a certificate pursuant to Section 7(m) (in addition to the fees and associated expenses referred to in clause (vii)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80" w:name="page81"/>
    <w:bookmarkEnd w:id="80"/>
    <w:p>
      <w:pPr>
        <w:ind w:left="700" w:hanging="264"/>
        <w:spacing w:after="0"/>
        <w:tabs>
          <w:tab w:leader="none" w:pos="7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firstLine="436"/>
        <w:spacing w:after="0" w:line="25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third Trading Day immediately prior to the date on which any Placement Notice is delivered to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thirtieth day immediately following the final Settlement Date with respect to Placement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other equity awards or vesting of other securities, pursuant to any employee or director stock option or benefits plan, stock ownership plan, dividend reinvestment plan (but not shares of Common Stock subject to a waiver to exceed plan limits in its dividend reinvestment plan), inducement award under Nasdaq rules or other compensation plan of the Company whether now in effect or hereafter implemented, (ii) shares of Common Stock issuable upon the exchange, conversion or redemption of securities or the exercise or vesting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joint ventures; collaborations; licensing arrangements; manufacturing, distribution, marketing, supply, sponsored research, technology transfer or development or third party service arrangements; or strategic alliances occurring after the date of this Agreement which are not issued for capital raising purposes. Notwithstanding the foregoing provisions, subject to the Company’s compliance with the notice provisions set forth in this Section 7(i), nothing herein shall be construed to restrict the Company from entering into and/or consummating a committed underwritten equity offering or other similar offering of its registered securities, the Company’s ability to file, or require the Company to provide notice to Agent of the filing of, a registration statement under the Securities Act, or otherwise prohibit the issuance of its equity securities in a private placement transaction, or require that the Company provide notice of, or obtain prior written consent, to do any of the foregoing.</w:t>
      </w:r>
    </w:p>
    <w:p>
      <w:pPr>
        <w:spacing w:after="0" w:line="203"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81" w:name="page82"/>
    <w:bookmarkEnd w:id="81"/>
    <w:p>
      <w:pPr>
        <w:ind w:left="4" w:right="40" w:firstLine="436"/>
        <w:spacing w:after="0" w:line="254" w:lineRule="auto"/>
        <w:tabs>
          <w:tab w:leader="none" w:pos="65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Filings Relating to Placement of Placement Shares</w:t>
      </w:r>
      <w:r>
        <w:rPr>
          <w:rFonts w:ascii="Times New Roman" w:cs="Times New Roman" w:eastAsia="Times New Roman" w:hAnsi="Times New Roman"/>
          <w:sz w:val="18"/>
          <w:szCs w:val="18"/>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88"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74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on which the Company first delivers a Placement Notice pursuant to this agreement (the “</w:t>
      </w:r>
      <w:r>
        <w:rPr>
          <w:rFonts w:ascii="Times New Roman" w:cs="Times New Roman" w:eastAsia="Times New Roman" w:hAnsi="Times New Roman"/>
          <w:sz w:val="18"/>
          <w:szCs w:val="18"/>
          <w:b w:val="1"/>
          <w:bCs w:val="1"/>
          <w:u w:val="single" w:color="auto"/>
          <w:color w:val="auto"/>
        </w:rPr>
        <w:t>First Placement Notice Date</w:t>
      </w:r>
      <w:r>
        <w:rPr>
          <w:rFonts w:ascii="Times New Roman" w:cs="Times New Roman" w:eastAsia="Times New Roman" w:hAnsi="Times New Roman"/>
          <w:sz w:val="18"/>
          <w:szCs w:val="18"/>
          <w:color w:val="auto"/>
        </w:rPr>
        <w:t>”) and each time the Company:</w:t>
      </w:r>
    </w:p>
    <w:p>
      <w:pPr>
        <w:spacing w:after="0" w:line="161"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1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w:t>
      </w:r>
    </w:p>
    <w:p>
      <w:pPr>
        <w:spacing w:after="0" w:line="175" w:lineRule="exact"/>
        <w:rPr>
          <w:rFonts w:ascii="Times New Roman" w:cs="Times New Roman" w:eastAsia="Times New Roman" w:hAnsi="Times New Roman"/>
          <w:sz w:val="18"/>
          <w:szCs w:val="18"/>
          <w:color w:val="auto"/>
        </w:rPr>
      </w:pPr>
    </w:p>
    <w:p>
      <w:pPr>
        <w:ind w:left="4" w:firstLine="987"/>
        <w:spacing w:after="0" w:line="282" w:lineRule="auto"/>
        <w:tabs>
          <w:tab w:leader="none" w:pos="12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 (a “</w:t>
      </w:r>
      <w:r>
        <w:rPr>
          <w:rFonts w:ascii="Times New Roman" w:cs="Times New Roman" w:eastAsia="Times New Roman" w:hAnsi="Times New Roman"/>
          <w:sz w:val="18"/>
          <w:szCs w:val="18"/>
          <w:b w:val="1"/>
          <w:bCs w:val="1"/>
          <w:u w:val="single" w:color="auto"/>
          <w:color w:val="auto"/>
        </w:rPr>
        <w:t>10-K Filing Event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225" w:lineRule="exact"/>
        <w:rPr>
          <w:rFonts w:ascii="Times New Roman" w:cs="Times New Roman" w:eastAsia="Times New Roman" w:hAnsi="Times New Roman"/>
          <w:sz w:val="18"/>
          <w:szCs w:val="18"/>
          <w:color w:val="auto"/>
        </w:rPr>
      </w:pPr>
    </w:p>
    <w:p>
      <w:pPr>
        <w:ind w:left="4" w:right="420" w:firstLine="987"/>
        <w:spacing w:after="0" w:line="276" w:lineRule="auto"/>
        <w:tabs>
          <w:tab w:leader="none" w:pos="1300"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 current report on Form 8-K containing amended financial information (other than an earnings release that is “furnished” pursuant to Item 2.02 or Item 7.01 of Form 8-K) under the Exchange Act (each date of filing of one or more of the documents referred to in clauses</w:t>
      </w:r>
    </w:p>
    <w:p>
      <w:pPr>
        <w:ind w:left="224" w:hanging="224"/>
        <w:spacing w:after="0"/>
        <w:tabs>
          <w:tab w:leader="none" w:pos="2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(1) a Placement Notice is pending or in effect and (2) the Agent requests such certificate within three Business Days after the filing of such Form 8-K with the Commission)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8"/>
          <w:szCs w:val="18"/>
          <w:b w:val="1"/>
          <w:bCs w:val="1"/>
          <w:u w:val="single" w:color="auto"/>
          <w:color w:val="auto"/>
        </w:rPr>
        <w:t>Exhibit 7(m)</w:t>
      </w:r>
      <w:r>
        <w:rPr>
          <w:rFonts w:ascii="Times New Roman" w:cs="Times New Roman" w:eastAsia="Times New Roman" w:hAnsi="Times New Roman"/>
          <w:sz w:val="18"/>
          <w:szCs w:val="18"/>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82" w:name="page83"/>
    <w:bookmarkEnd w:id="82"/>
    <w:p>
      <w:pPr>
        <w:ind w:left="4" w:right="20" w:firstLine="436"/>
        <w:spacing w:after="0" w:line="254" w:lineRule="auto"/>
        <w:tabs>
          <w:tab w:leader="none" w:pos="6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Opinions</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Wilson Sonsini Goodrich &amp; Rosati, P.C., counsel to the Company, or such other counsel satisfactory to the Agent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Counsel</w:t>
      </w:r>
      <w:r>
        <w:rPr>
          <w:rFonts w:ascii="Times New Roman" w:cs="Times New Roman" w:eastAsia="Times New Roman" w:hAnsi="Times New Roman"/>
          <w:sz w:val="18"/>
          <w:szCs w:val="18"/>
          <w:color w:val="auto"/>
        </w:rPr>
        <w:t>”), in form and substance satisfactory to the Agent and its counsel, dated the date that the opinion and negative assurance letter are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opinion and negative assurance letter for subsequent Representation Dates, Company Counsel may furnish the Agent with a letter to the effect that the Agent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6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Opinion</w:t>
      </w:r>
      <w:r>
        <w:rPr>
          <w:rFonts w:ascii="Times New Roman" w:cs="Times New Roman" w:eastAsia="Times New Roman" w:hAnsi="Times New Roman"/>
          <w:sz w:val="18"/>
          <w:szCs w:val="18"/>
          <w:color w:val="auto"/>
        </w:rPr>
        <w:t>. On or prior to the First Placement Notice Date and on any date on which the Company is obligated to deliver a certificate pursuant to Section 7(m) for which no waiver is applicable, the Company shall cause to be furnished to the Agent the written opinions of</w:t>
      </w:r>
    </w:p>
    <w:p>
      <w:pPr>
        <w:ind w:left="4" w:hanging="4"/>
        <w:spacing w:after="0" w:line="252" w:lineRule="auto"/>
        <w:tabs>
          <w:tab w:leader="none" w:pos="2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Cooley LLP and (ii) Wilson Sonsini Goodrich &amp; Rosati, P.C., each counsel for the Company with respect to intellectual property matters, or such other intellectual property counsel satisfactory to the Agent (“</w:t>
      </w:r>
      <w:r>
        <w:rPr>
          <w:rFonts w:ascii="Times New Roman" w:cs="Times New Roman" w:eastAsia="Times New Roman" w:hAnsi="Times New Roman"/>
          <w:sz w:val="18"/>
          <w:szCs w:val="18"/>
          <w:b w:val="1"/>
          <w:bCs w:val="1"/>
          <w:u w:val="single" w:color="auto"/>
          <w:color w:val="auto"/>
        </w:rPr>
        <w:t>Intellectual Property Counsel</w:t>
      </w:r>
      <w:r>
        <w:rPr>
          <w:rFonts w:ascii="Times New Roman" w:cs="Times New Roman" w:eastAsia="Times New Roman" w:hAnsi="Times New Roman"/>
          <w:sz w:val="18"/>
          <w:szCs w:val="18"/>
          <w:color w:val="auto"/>
        </w:rPr>
        <w:t xml:space="preserve">”), in form and substance satisfactory to the Agent and its counsel, dated the date that the opinion letters are required to be delivered, modified, as necessary, to relate to the Registration Statement and the Prospectus as then amended or supplemented;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lieu of such written opinions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w:t>
      </w:r>
    </w:p>
    <w:p>
      <w:pPr>
        <w:spacing w:after="0" w:line="188"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 a letter (a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xml:space="preserve">”), dated the date the Comfort Letter is delivered, which shall meet the requirements set forth in this Section 7(p);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requested by the Agent, the Company shall cause a Comfort Letter to be furnished to the Agent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b w:val="1"/>
          <w:bCs w:val="1"/>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and (iii) update the Initial Comfort Letter with any information that would have been included in the Initial Comfort Letter had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given on such date and modified as necessary to relate to the Registration Statement and the Prospectus, as amended and supplemented to the date of such letter.</w:t>
      </w:r>
    </w:p>
    <w:p>
      <w:pPr>
        <w:spacing w:after="0" w:line="12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24"/>
          </w:cols>
          <w:pgMar w:left="436" w:top="270" w:right="539" w:bottom="1440" w:gutter="0" w:footer="0" w:header="0"/>
        </w:sectPr>
      </w:pPr>
    </w:p>
    <w:bookmarkStart w:id="83" w:name="page84"/>
    <w:bookmarkEnd w:id="83"/>
    <w:p>
      <w:pPr>
        <w:ind w:firstLine="436"/>
        <w:spacing w:after="0" w:line="258"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Market Activities</w:t>
      </w:r>
      <w:r>
        <w:rPr>
          <w:rFonts w:ascii="Times New Roman" w:cs="Times New Roman" w:eastAsia="Times New Roman" w:hAnsi="Times New Roman"/>
          <w:sz w:val="18"/>
          <w:szCs w:val="18"/>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bid for and purchase shares of Common Stock in accordance with Rule 10b-18 under the Exchange Act.</w:t>
      </w:r>
    </w:p>
    <w:p>
      <w:pPr>
        <w:spacing w:after="0" w:line="183" w:lineRule="exact"/>
        <w:rPr>
          <w:rFonts w:ascii="Times New Roman" w:cs="Times New Roman" w:eastAsia="Times New Roman" w:hAnsi="Times New Roman"/>
          <w:sz w:val="18"/>
          <w:szCs w:val="18"/>
          <w:color w:val="auto"/>
        </w:rPr>
      </w:pPr>
    </w:p>
    <w:p>
      <w:pPr>
        <w:ind w:right="320" w:firstLine="436"/>
        <w:spacing w:after="0" w:line="282" w:lineRule="auto"/>
        <w:tabs>
          <w:tab w:leader="none" w:pos="66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shall maintain, or cause to be maintained, insurance in such amounts and covering such risks as is reasonable and customary for the business for which it is engaged.</w:t>
      </w:r>
    </w:p>
    <w:p>
      <w:pPr>
        <w:spacing w:after="0" w:line="161" w:lineRule="exact"/>
        <w:rPr>
          <w:rFonts w:ascii="Times New Roman" w:cs="Times New Roman" w:eastAsia="Times New Roman" w:hAnsi="Times New Roman"/>
          <w:sz w:val="18"/>
          <w:szCs w:val="18"/>
          <w:color w:val="auto"/>
        </w:rPr>
      </w:pPr>
    </w:p>
    <w:p>
      <w:pPr>
        <w:ind w:right="440" w:firstLine="436"/>
        <w:spacing w:after="0" w:line="258" w:lineRule="auto"/>
        <w:tabs>
          <w:tab w:leader="none" w:pos="67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shall maintain, or cause to be maintained, all material environmental certificates, authorizations or permits required by federal, state and local law in order to conduct its business as described in the Prospectus (collectively,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and the Company shall conduct its business, or cause its business to be conducted, in substantial compliance with such Permits and with applicable Environmental Laws, except where the failure to maintain or be in compliance with such Permits could not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ind w:right="180" w:firstLine="436"/>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subsidiaries, if any,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right="300" w:firstLine="436"/>
        <w:spacing w:after="0" w:line="266"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and Exchange Act</w:t>
      </w:r>
      <w:r>
        <w:rPr>
          <w:rFonts w:ascii="Times New Roman" w:cs="Times New Roman" w:eastAsia="Times New Roman" w:hAnsi="Times New Roman"/>
          <w:sz w:val="18"/>
          <w:szCs w:val="18"/>
          <w:color w:val="auto"/>
        </w:rPr>
        <w:t>. The Company will use its reasonable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7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84" w:name="page85"/>
    <w:bookmarkEnd w:id="84"/>
    <w:p>
      <w:pPr>
        <w:ind w:left="-20" w:right="360" w:firstLine="436"/>
        <w:spacing w:after="0" w:line="282" w:lineRule="auto"/>
        <w:tabs>
          <w:tab w:leader="none" w:pos="6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As applicable, the Company will comply with any provision of the Sarbanes-Oxley Act and the rules and regulations promulgated in connection therewith with which the Company is required to comply.</w:t>
      </w:r>
    </w:p>
    <w:p>
      <w:pPr>
        <w:spacing w:after="0" w:line="161"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The Company will promptly notify the Agent if the company ceases to be an Emerging Growth Company at any time prior to the completion of the Agent’s distribution of the Placement Shares pursuant to this Agreement.</w:t>
      </w:r>
    </w:p>
    <w:p>
      <w:pPr>
        <w:spacing w:after="0" w:line="161"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6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Renewal of Registration Statement.</w:t>
      </w:r>
      <w:r>
        <w:rPr>
          <w:rFonts w:ascii="Times New Roman" w:cs="Times New Roman" w:eastAsia="Times New Roman" w:hAnsi="Times New Roman"/>
          <w:sz w:val="18"/>
          <w:szCs w:val="18"/>
          <w:color w:val="auto"/>
        </w:rPr>
        <w:t xml:space="preserve"> If, immediately prior to the third anniversary of the initial effective date of the Registration Statement (the “</w:t>
      </w:r>
      <w:r>
        <w:rPr>
          <w:rFonts w:ascii="Times New Roman" w:cs="Times New Roman" w:eastAsia="Times New Roman" w:hAnsi="Times New Roman"/>
          <w:sz w:val="18"/>
          <w:szCs w:val="18"/>
          <w:b w:val="1"/>
          <w:bCs w:val="1"/>
          <w:u w:val="single" w:color="auto"/>
          <w:color w:val="auto"/>
        </w:rPr>
        <w:t>Renewal Date</w:t>
      </w:r>
      <w:r>
        <w:rPr>
          <w:rFonts w:ascii="Times New Roman" w:cs="Times New Roman" w:eastAsia="Times New Roman" w:hAnsi="Times New Roman"/>
          <w:sz w:val="18"/>
          <w:szCs w:val="18"/>
          <w:color w:val="auto"/>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reasonable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188" w:lineRule="exact"/>
        <w:rPr>
          <w:sz w:val="20"/>
          <w:szCs w:val="20"/>
          <w:color w:val="auto"/>
        </w:rPr>
      </w:pPr>
    </w:p>
    <w:p>
      <w:pPr>
        <w:ind w:left="-20" w:right="60" w:firstLine="436"/>
        <w:spacing w:after="0" w:line="254" w:lineRule="auto"/>
        <w:tabs>
          <w:tab w:leader="none" w:pos="7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Instruction I.B.6. of Form S-3</w:t>
      </w:r>
      <w:r>
        <w:rPr>
          <w:rFonts w:ascii="Times New Roman" w:cs="Times New Roman" w:eastAsia="Times New Roman" w:hAnsi="Times New Roman"/>
          <w:sz w:val="18"/>
          <w:szCs w:val="18"/>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delay the filing of any such prospectus supplement,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91" w:lineRule="exact"/>
        <w:rPr>
          <w:rFonts w:ascii="Times New Roman" w:cs="Times New Roman" w:eastAsia="Times New Roman" w:hAnsi="Times New Roman"/>
          <w:sz w:val="18"/>
          <w:szCs w:val="18"/>
          <w:color w:val="auto"/>
        </w:rPr>
      </w:pPr>
    </w:p>
    <w:p>
      <w:pPr>
        <w:ind w:left="-20" w:firstLine="436"/>
        <w:spacing w:after="0" w:line="282" w:lineRule="auto"/>
        <w:tabs>
          <w:tab w:leader="none" w:pos="7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w:t>
      </w:r>
      <w:r>
        <w:rPr>
          <w:rFonts w:ascii="Times New Roman" w:cs="Times New Roman" w:eastAsia="Times New Roman" w:hAnsi="Times New Roman"/>
          <w:sz w:val="18"/>
          <w:szCs w:val="18"/>
          <w:color w:val="auto"/>
        </w:rPr>
        <w:t>. The Company will indemnify and hold harmless the Agent against any documentary, stamp or similar issue tax, including any interest and penalties, on the issue and sale of the Placement Shares.</w:t>
      </w:r>
    </w:p>
    <w:p>
      <w:pPr>
        <w:spacing w:after="0" w:line="161"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has engaged and will maintain, at its sole expense, a transfer agent and registrar for the Common Stock.</w:t>
      </w:r>
    </w:p>
    <w:p>
      <w:pPr>
        <w:spacing w:after="0" w:line="225" w:lineRule="exact"/>
        <w:rPr>
          <w:sz w:val="20"/>
          <w:szCs w:val="20"/>
          <w:color w:val="auto"/>
        </w:rPr>
      </w:pPr>
    </w:p>
    <w:p>
      <w:pPr>
        <w:ind w:left="-20" w:right="340" w:firstLine="436"/>
        <w:spacing w:after="0" w:line="261" w:lineRule="auto"/>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80" w:lineRule="exact"/>
        <w:rPr>
          <w:sz w:val="20"/>
          <w:szCs w:val="20"/>
          <w:color w:val="auto"/>
        </w:rPr>
      </w:pPr>
    </w:p>
    <w:p>
      <w:pPr>
        <w:ind w:left="-20" w:right="420" w:firstLine="436"/>
        <w:spacing w:after="0" w:line="282" w:lineRule="auto"/>
        <w:tabs>
          <w:tab w:leader="none" w:pos="6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60" w:top="270" w:right="459" w:bottom="1440" w:gutter="0" w:footer="0" w:header="0"/>
        </w:sectPr>
      </w:pPr>
    </w:p>
    <w:bookmarkStart w:id="85" w:name="page86"/>
    <w:bookmarkEnd w:id="85"/>
    <w:p>
      <w:pPr>
        <w:ind w:left="-20" w:right="280" w:firstLine="436"/>
        <w:spacing w:after="0" w:line="282" w:lineRule="auto"/>
        <w:tabs>
          <w:tab w:leader="none" w:pos="6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 Supplement</w:t>
      </w:r>
      <w:r>
        <w:rPr>
          <w:rFonts w:ascii="Times New Roman" w:cs="Times New Roman" w:eastAsia="Times New Roman" w:hAnsi="Times New Roman"/>
          <w:sz w:val="18"/>
          <w:szCs w:val="18"/>
          <w:color w:val="auto"/>
        </w:rPr>
        <w:t>. The Company shall have filed with the Commission the Prospectus Supplement pursuant to Rule 424(b) under the Securities Act not later than the Commission’s close of business on the second Business Day following the date of this Agreement.</w:t>
      </w:r>
    </w:p>
    <w:p>
      <w:pPr>
        <w:spacing w:after="0" w:line="161"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189"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5" w:lineRule="exact"/>
        <w:rPr>
          <w:rFonts w:ascii="Times New Roman" w:cs="Times New Roman" w:eastAsia="Times New Roman" w:hAnsi="Times New Roman"/>
          <w:sz w:val="18"/>
          <w:szCs w:val="18"/>
          <w:color w:val="auto"/>
        </w:rPr>
      </w:pPr>
    </w:p>
    <w:p>
      <w:pPr>
        <w:ind w:left="-20" w:firstLine="436"/>
        <w:spacing w:after="0" w:line="255" w:lineRule="auto"/>
        <w:tabs>
          <w:tab w:leader="none" w:pos="6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left="-20" w:right="340" w:firstLine="436"/>
        <w:spacing w:after="0" w:line="266" w:lineRule="auto"/>
        <w:tabs>
          <w:tab w:leader="none" w:pos="6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5"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The Agent shall have received from Davis Polk &amp; Wardwell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60" w:top="270" w:right="479" w:bottom="1440" w:gutter="0" w:footer="0" w:header="0"/>
        </w:sectPr>
      </w:pPr>
    </w:p>
    <w:bookmarkStart w:id="86" w:name="page87"/>
    <w:bookmarkEnd w:id="86"/>
    <w:p>
      <w:pPr>
        <w:ind w:left="4" w:right="220" w:firstLine="436"/>
        <w:spacing w:after="0" w:line="282" w:lineRule="auto"/>
        <w:tabs>
          <w:tab w:leader="none" w:pos="69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Comfort Letter</w:t>
      </w:r>
      <w:r>
        <w:rPr>
          <w:rFonts w:ascii="Times New Roman" w:cs="Times New Roman" w:eastAsia="Times New Roman" w:hAnsi="Times New Roman"/>
          <w:sz w:val="18"/>
          <w:szCs w:val="18"/>
          <w:color w:val="auto"/>
        </w:rPr>
        <w:t>. The Agent shall have received the Comfort Letter required to be delivered pursuant to Section 7(p) on or before the date on which such delivery of such Comfort Letter is required pursuant to Section 7(p).</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The Agent shall have received the certificate required to be delivered pursuant to Section 7(m) on or before the date on which delivery of such certificate is required pursuant to Section 7(m).</w:t>
      </w:r>
    </w:p>
    <w:p>
      <w:pPr>
        <w:spacing w:after="0" w:line="161"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9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161" w:lineRule="exact"/>
        <w:rPr>
          <w:rFonts w:ascii="Times New Roman" w:cs="Times New Roman" w:eastAsia="Times New Roman" w:hAnsi="Times New Roman"/>
          <w:sz w:val="18"/>
          <w:szCs w:val="18"/>
          <w:color w:val="auto"/>
        </w:rPr>
      </w:pPr>
    </w:p>
    <w:p>
      <w:pPr>
        <w:ind w:left="4" w:right="340" w:firstLine="436"/>
        <w:spacing w:after="0" w:line="258" w:lineRule="auto"/>
        <w:tabs>
          <w:tab w:leader="none" w:pos="6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8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4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Either (i) the Placement Shares shall have been approved for listing on Nasdaq, subject only to notice of issuance, or</w:t>
      </w:r>
    </w:p>
    <w:p>
      <w:pPr>
        <w:spacing w:after="0" w:line="27" w:lineRule="exact"/>
        <w:rPr>
          <w:rFonts w:ascii="Times New Roman" w:cs="Times New Roman" w:eastAsia="Times New Roman" w:hAnsi="Times New Roman"/>
          <w:sz w:val="18"/>
          <w:szCs w:val="18"/>
          <w:color w:val="auto"/>
        </w:rPr>
      </w:pPr>
    </w:p>
    <w:p>
      <w:pPr>
        <w:ind w:left="4" w:right="500" w:hanging="4"/>
        <w:spacing w:after="0" w:line="260" w:lineRule="auto"/>
        <w:tabs>
          <w:tab w:leader="none" w:pos="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an application for listing of the Placement Shares on Nasdaq at, or prior to, the First Placement Notice Date and Nasdaq shall have reviewed such application and not provided any objections thereto.</w:t>
      </w:r>
    </w:p>
    <w:p>
      <w:pPr>
        <w:spacing w:after="0" w:line="181"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FINRA shall have raised no objection to the terms of the offering contemplated hereby and the amount of compensation allowable or payable to the Agent as described in the Prospectus.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 to terminate this Agreement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11(a).</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4"/>
          </w:cols>
          <w:pgMar w:left="436" w:top="270" w:right="499" w:bottom="1440" w:gutter="0" w:footer="0" w:header="0"/>
        </w:sectPr>
      </w:pPr>
    </w:p>
    <w:bookmarkStart w:id="87" w:name="page88"/>
    <w:bookmarkEnd w:id="87"/>
    <w:p>
      <w:pPr>
        <w:ind w:left="624" w:hanging="184"/>
        <w:spacing w:after="0"/>
        <w:tabs>
          <w:tab w:leader="none" w:pos="6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89"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Indemnification</w:t>
      </w:r>
      <w:r>
        <w:rPr>
          <w:rFonts w:ascii="Times New Roman" w:cs="Times New Roman" w:eastAsia="Times New Roman" w:hAnsi="Times New Roman"/>
          <w:sz w:val="17"/>
          <w:szCs w:val="17"/>
          <w:color w:val="auto"/>
        </w:rPr>
        <w:t>.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w:t>
      </w:r>
    </w:p>
    <w:p>
      <w:pPr>
        <w:spacing w:after="0" w:line="9" w:lineRule="exact"/>
        <w:rPr>
          <w:rFonts w:ascii="Times New Roman" w:cs="Times New Roman" w:eastAsia="Times New Roman" w:hAnsi="Times New Roman"/>
          <w:sz w:val="17"/>
          <w:szCs w:val="17"/>
          <w:color w:val="auto"/>
        </w:rPr>
      </w:pPr>
    </w:p>
    <w:p>
      <w:pPr>
        <w:ind w:left="4" w:right="60" w:hanging="4"/>
        <w:spacing w:after="0" w:line="253" w:lineRule="auto"/>
        <w:tabs>
          <w:tab w:leader="none" w:pos="24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by any of the indemnifying parties of any of their respective representations, warranties or agreements contained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indemnity agreement shall not apply to the extent that such loss, claim, liability, expense or damage arises from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w:t>
      </w:r>
    </w:p>
    <w:p>
      <w:pPr>
        <w:spacing w:after="0" w:line="186"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9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Indemnification</w:t>
      </w:r>
      <w:r>
        <w:rPr>
          <w:rFonts w:ascii="Times New Roman" w:cs="Times New Roman" w:eastAsia="Times New Roman" w:hAnsi="Times New Roman"/>
          <w:sz w:val="18"/>
          <w:szCs w:val="18"/>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w:t>
      </w:r>
    </w:p>
    <w:p>
      <w:pPr>
        <w:spacing w:after="0" w:line="187"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8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88" w:name="page89"/>
    <w:bookmarkEnd w:id="8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186" w:lineRule="exact"/>
        <w:rPr>
          <w:sz w:val="20"/>
          <w:szCs w:val="20"/>
          <w:color w:val="auto"/>
        </w:rPr>
      </w:pPr>
    </w:p>
    <w:p>
      <w:pPr>
        <w:ind w:right="100" w:firstLine="436"/>
        <w:spacing w:after="0" w:line="257"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4" w:lineRule="exact"/>
        <w:rPr>
          <w:rFonts w:ascii="Times New Roman" w:cs="Times New Roman" w:eastAsia="Times New Roman" w:hAnsi="Times New Roman"/>
          <w:sz w:val="18"/>
          <w:szCs w:val="18"/>
          <w:color w:val="auto"/>
        </w:rPr>
      </w:pPr>
    </w:p>
    <w:p>
      <w:pPr>
        <w:ind w:right="40" w:firstLine="436"/>
        <w:spacing w:after="0" w:line="273" w:lineRule="auto"/>
        <w:tabs>
          <w:tab w:leader="none" w:pos="68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documented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89" w:name="page90"/>
    <w:bookmarkEnd w:id="8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03" w:lineRule="exact"/>
        <w:rPr>
          <w:sz w:val="20"/>
          <w:szCs w:val="20"/>
          <w:color w:val="auto"/>
        </w:rPr>
      </w:pPr>
    </w:p>
    <w:p>
      <w:pPr>
        <w:ind w:right="180" w:firstLine="436"/>
        <w:spacing w:after="0" w:line="258" w:lineRule="auto"/>
        <w:tabs>
          <w:tab w:leader="none" w:pos="71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90" w:name="page91"/>
    <w:bookmarkEnd w:id="90"/>
    <w:p>
      <w:pPr>
        <w:ind w:left="660" w:hanging="264"/>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40" w:firstLine="436"/>
        <w:spacing w:after="0" w:line="252" w:lineRule="auto"/>
        <w:tabs>
          <w:tab w:leader="none" w:pos="6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30 calendar days from the date such delivery was required, (iii) any other condition of the Agent’s obligations hereunder is not fulfilled, (iv) any suspension or limitation of trading in the Placement Shares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11(f),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195" w:lineRule="exact"/>
        <w:rPr>
          <w:rFonts w:ascii="Times New Roman" w:cs="Times New Roman" w:eastAsia="Times New Roman" w:hAnsi="Times New Roman"/>
          <w:sz w:val="18"/>
          <w:szCs w:val="18"/>
          <w:color w:val="auto"/>
        </w:rPr>
      </w:pPr>
    </w:p>
    <w:p>
      <w:pPr>
        <w:ind w:left="-40" w:right="40" w:firstLine="436"/>
        <w:spacing w:after="0" w:line="261"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40" w:firstLine="436"/>
        <w:spacing w:after="0" w:line="261" w:lineRule="auto"/>
        <w:tabs>
          <w:tab w:leader="none" w:pos="6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w:t>
      </w:r>
    </w:p>
    <w:p>
      <w:pPr>
        <w:spacing w:after="0" w:line="179" w:lineRule="exact"/>
        <w:rPr>
          <w:rFonts w:ascii="Times New Roman" w:cs="Times New Roman" w:eastAsia="Times New Roman" w:hAnsi="Times New Roman"/>
          <w:sz w:val="18"/>
          <w:szCs w:val="18"/>
          <w:color w:val="auto"/>
        </w:rPr>
      </w:pPr>
    </w:p>
    <w:p>
      <w:pPr>
        <w:ind w:left="-40" w:right="120" w:firstLine="436"/>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Section 7(g), Section 9, Section 10, Section 11(f), Section 16 and Section 17 hereof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ind w:left="-40" w:right="40" w:firstLine="436"/>
        <w:spacing w:after="0" w:line="266" w:lineRule="auto"/>
        <w:tabs>
          <w:tab w:leader="none" w:pos="6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termination by mutual agreement shall in all cases be deemed to provide that Section 7(g), Section 9, Section 10, Section 11(f), Section 16 and Section 17 shall remain in full force and effect.</w:t>
      </w:r>
    </w:p>
    <w:p>
      <w:pPr>
        <w:spacing w:after="0" w:line="173" w:lineRule="exact"/>
        <w:rPr>
          <w:rFonts w:ascii="Times New Roman" w:cs="Times New Roman" w:eastAsia="Times New Roman" w:hAnsi="Times New Roman"/>
          <w:sz w:val="18"/>
          <w:szCs w:val="18"/>
          <w:color w:val="auto"/>
        </w:rPr>
      </w:pPr>
    </w:p>
    <w:p>
      <w:pPr>
        <w:ind w:left="-40" w:right="100" w:firstLine="436"/>
        <w:spacing w:after="0" w:line="257" w:lineRule="auto"/>
        <w:tabs>
          <w:tab w:leader="none" w:pos="62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remain obligated to reimburse the Agent’s expenses pursuant to Section 7(g).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20"/>
          </w:cols>
          <w:pgMar w:left="480" w:top="270" w:right="499" w:bottom="1440" w:gutter="0" w:footer="0" w:header="0"/>
        </w:sectPr>
      </w:pPr>
    </w:p>
    <w:bookmarkStart w:id="91" w:name="page92"/>
    <w:bookmarkEnd w:id="91"/>
    <w:p>
      <w:pPr>
        <w:ind w:left="4" w:right="260" w:firstLine="436"/>
        <w:spacing w:after="0" w:line="282" w:lineRule="auto"/>
        <w:tabs>
          <w:tab w:leader="none" w:pos="7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SVB Securities LLC</w:t>
      </w:r>
    </w:p>
    <w:p>
      <w:pPr>
        <w:ind w:left="444"/>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Peter M. Fry</w:t>
      </w:r>
    </w:p>
    <w:p>
      <w:pPr>
        <w:spacing w:after="0" w:line="9" w:lineRule="exact"/>
        <w:rPr>
          <w:sz w:val="20"/>
          <w:szCs w:val="20"/>
          <w:color w:val="auto"/>
        </w:rPr>
      </w:pPr>
    </w:p>
    <w:p>
      <w:pPr>
        <w:jc w:val="center"/>
        <w:ind w:right="7456"/>
        <w:spacing w:after="0"/>
        <w:rPr>
          <w:sz w:val="20"/>
          <w:szCs w:val="20"/>
          <w:color w:val="auto"/>
        </w:rPr>
      </w:pPr>
      <w:r>
        <w:rPr>
          <w:rFonts w:ascii="Times New Roman" w:cs="Times New Roman" w:eastAsia="Times New Roman" w:hAnsi="Times New Roman"/>
          <w:sz w:val="18"/>
          <w:szCs w:val="18"/>
          <w:color w:val="auto"/>
        </w:rPr>
        <w:t>E-mail: peter.fry@svbsecurities.com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SVB Securities LLC</w:t>
      </w:r>
    </w:p>
    <w:p>
      <w:pPr>
        <w:ind w:left="444"/>
        <w:spacing w:after="0" w:line="196" w:lineRule="auto"/>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Stuart R. Nayman, Esq.</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stuart.nayman@svbsecurities.com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w:t>
      </w:r>
    </w:p>
    <w:p>
      <w:pPr>
        <w:spacing w:after="0" w:line="2" w:lineRule="exact"/>
        <w:rPr>
          <w:sz w:val="20"/>
          <w:szCs w:val="20"/>
          <w:color w:val="auto"/>
        </w:rPr>
      </w:pPr>
    </w:p>
    <w:p>
      <w:pPr>
        <w:ind w:left="4" w:hanging="4"/>
        <w:spacing w:after="0" w:line="255" w:lineRule="auto"/>
        <w:tabs>
          <w:tab w:leader="none" w:pos="3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Nasdaq and commercial banks in the City of New York are open for business.</w:t>
      </w:r>
    </w:p>
    <w:p>
      <w:pPr>
        <w:spacing w:after="0" w:line="182"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8"/>
          <w:szCs w:val="18"/>
          <w:b w:val="1"/>
          <w:bCs w:val="1"/>
          <w:u w:val="single" w:color="auto"/>
          <w:color w:val="auto"/>
        </w:rPr>
        <w:t>Nonelectronic Notice</w:t>
      </w:r>
      <w:r>
        <w:rPr>
          <w:rFonts w:ascii="Times New Roman" w:cs="Times New Roman" w:eastAsia="Times New Roman" w:hAnsi="Times New Roman"/>
          <w:sz w:val="18"/>
          <w:szCs w:val="18"/>
          <w:color w:val="auto"/>
        </w:rPr>
        <w:t>”), which shall be sent to the requesting party within 10 days of receipt of the written request for Nonelectronic Notice.</w:t>
      </w:r>
    </w:p>
    <w:p>
      <w:pPr>
        <w:spacing w:after="0" w:line="183" w:lineRule="exact"/>
        <w:rPr>
          <w:sz w:val="20"/>
          <w:szCs w:val="20"/>
          <w:color w:val="auto"/>
        </w:rPr>
      </w:pPr>
    </w:p>
    <w:p>
      <w:pPr>
        <w:jc w:val="both"/>
        <w:ind w:left="4" w:right="260" w:firstLine="436"/>
        <w:spacing w:after="0" w:line="266" w:lineRule="auto"/>
        <w:tabs>
          <w:tab w:leader="none" w:pos="71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92" w:name="page93"/>
    <w:bookmarkEnd w:id="9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Agent may assign its rights and obligations hereunder to an affiliate of the Agent without obtaining the Company’s consent, so long as such affiliate is a registered broker-dealer.</w:t>
      </w:r>
    </w:p>
    <w:p>
      <w:pPr>
        <w:spacing w:after="0" w:line="183" w:lineRule="exact"/>
        <w:rPr>
          <w:sz w:val="20"/>
          <w:szCs w:val="20"/>
          <w:color w:val="auto"/>
        </w:rPr>
      </w:pPr>
    </w:p>
    <w:p>
      <w:pPr>
        <w:ind w:right="60" w:firstLine="436"/>
        <w:spacing w:after="0" w:line="282" w:lineRule="auto"/>
        <w:tabs>
          <w:tab w:leader="none" w:pos="7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Share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split, share dividend or similar event effected with respect to the Common Stock.</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7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of this Agreement may be amended by either party from time to time by sending a notice containing a revised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to the other party in the manner provided in Section 12 and, upon such amendment, all references herein to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b w:val="1"/>
          <w:bCs w:val="1"/>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93" w:lineRule="exact"/>
        <w:rPr>
          <w:rFonts w:ascii="Times New Roman" w:cs="Times New Roman" w:eastAsia="Times New Roman" w:hAnsi="Times New Roman"/>
          <w:sz w:val="18"/>
          <w:szCs w:val="18"/>
          <w:color w:val="auto"/>
        </w:rPr>
      </w:pPr>
    </w:p>
    <w:p>
      <w:pPr>
        <w:ind w:right="100" w:firstLine="436"/>
        <w:spacing w:after="0" w:line="257" w:lineRule="auto"/>
        <w:tabs>
          <w:tab w:leader="none" w:pos="71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86" w:lineRule="exact"/>
        <w:rPr>
          <w:rFonts w:ascii="Times New Roman" w:cs="Times New Roman" w:eastAsia="Times New Roman" w:hAnsi="Times New Roman"/>
          <w:sz w:val="18"/>
          <w:szCs w:val="18"/>
          <w:color w:val="auto"/>
        </w:rPr>
      </w:pPr>
    </w:p>
    <w:p>
      <w:pPr>
        <w:jc w:val="both"/>
        <w:ind w:right="20" w:firstLine="436"/>
        <w:spacing w:after="0" w:line="270" w:lineRule="auto"/>
        <w:tabs>
          <w:tab w:leader="none" w:pos="71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w:t>
      </w:r>
    </w:p>
    <w:p>
      <w:pPr>
        <w:spacing w:after="0" w:line="2"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40" w:top="270" w:right="499" w:bottom="1440" w:gutter="0" w:footer="0" w:header="0"/>
        </w:sectPr>
      </w:pPr>
    </w:p>
    <w:bookmarkStart w:id="93" w:name="page94"/>
    <w:bookmarkEnd w:id="93"/>
    <w:p>
      <w:pPr>
        <w:ind w:left="700" w:hanging="264"/>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defined in the singular shall have a comparable meaning when used in the plural, and vice versa.</w:t>
      </w:r>
    </w:p>
    <w:p>
      <w:pPr>
        <w:spacing w:after="0" w:line="225" w:lineRule="exact"/>
        <w:rPr>
          <w:rFonts w:ascii="Times New Roman" w:cs="Times New Roman" w:eastAsia="Times New Roman" w:hAnsi="Times New Roman"/>
          <w:sz w:val="18"/>
          <w:szCs w:val="18"/>
          <w:color w:val="auto"/>
        </w:rPr>
      </w:pPr>
    </w:p>
    <w:p>
      <w:pPr>
        <w:ind w:right="740" w:firstLine="436"/>
        <w:spacing w:after="0" w:line="282" w:lineRule="auto"/>
        <w:tabs>
          <w:tab w:leader="none" w:pos="6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“hereto,” “herein” and “hereunder” and words of similar import, when used in this Agreement, shall refer to this Agreement as a whole and not to any particular provision of this Agreement.</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the word “include,” “includes” or “including” is used in this Agreement, it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gender shall include each other gender.</w:t>
      </w:r>
    </w:p>
    <w:p>
      <w:pPr>
        <w:spacing w:after="0" w:line="22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6" w:lineRule="exact"/>
        <w:rPr>
          <w:sz w:val="20"/>
          <w:szCs w:val="20"/>
          <w:color w:val="auto"/>
        </w:rPr>
      </w:pPr>
    </w:p>
    <w:p>
      <w:pPr>
        <w:ind w:firstLine="436"/>
        <w:spacing w:after="0" w:line="254" w:lineRule="auto"/>
        <w:tabs>
          <w:tab w:leader="none" w:pos="71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sz w:val="20"/>
          <w:szCs w:val="20"/>
          <w:color w:val="auto"/>
        </w:rPr>
      </w:pPr>
    </w:p>
    <w:p>
      <w:pPr>
        <w:ind w:right="20" w:firstLine="436"/>
        <w:spacing w:after="0" w:line="258"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83"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capable of evaluating, and understanding and understands and accepts, the terms, risks and conditions of the transactions contemplated by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70" w:right="439" w:bottom="1440" w:gutter="0" w:footer="0" w:header="0"/>
        </w:sectPr>
      </w:pPr>
    </w:p>
    <w:bookmarkStart w:id="94" w:name="page95"/>
    <w:bookmarkEnd w:id="94"/>
    <w:p>
      <w:pPr>
        <w:ind w:left="4" w:right="160" w:firstLine="436"/>
        <w:spacing w:after="0" w:line="282"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61"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69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80" w:lineRule="exact"/>
        <w:rPr>
          <w:sz w:val="20"/>
          <w:szCs w:val="20"/>
          <w:color w:val="auto"/>
        </w:rPr>
      </w:pPr>
    </w:p>
    <w:p>
      <w:pPr>
        <w:ind w:left="4" w:right="40" w:firstLine="436"/>
        <w:spacing w:after="0" w:line="261" w:lineRule="auto"/>
        <w:tabs>
          <w:tab w:leader="none" w:pos="7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 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the event that the Agent is a Covered Entity and the Agent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right="20" w:hanging="4"/>
        <w:spacing w:after="0" w:line="253" w:lineRule="auto"/>
        <w:tabs>
          <w:tab w:leader="none" w:pos="3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8" w:lineRule="exact"/>
        <w:rPr>
          <w:rFonts w:ascii="Times New Roman" w:cs="Times New Roman" w:eastAsia="Times New Roman" w:hAnsi="Times New Roman"/>
          <w:sz w:val="18"/>
          <w:szCs w:val="18"/>
          <w:color w:val="auto"/>
        </w:rPr>
      </w:pPr>
    </w:p>
    <w:p>
      <w:pPr>
        <w:ind w:left="4" w:right="40" w:firstLine="436"/>
        <w:spacing w:after="0" w:line="256" w:lineRule="auto"/>
        <w:tabs>
          <w:tab w:leader="none" w:pos="71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4"/>
          </w:cols>
          <w:pgMar w:left="436" w:top="270" w:right="459" w:bottom="1440" w:gutter="0" w:footer="0" w:header="0"/>
        </w:sectPr>
      </w:pPr>
    </w:p>
    <w:bookmarkStart w:id="95" w:name="page96"/>
    <w:bookmarkEnd w:id="95"/>
    <w:p>
      <w:pPr>
        <w:ind w:right="100" w:firstLine="436"/>
        <w:spacing w:after="0" w:line="266" w:lineRule="auto"/>
        <w:tabs>
          <w:tab w:leader="none" w:pos="7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Information</w:t>
      </w:r>
      <w:r>
        <w:rPr>
          <w:rFonts w:ascii="Times New Roman" w:cs="Times New Roman" w:eastAsia="Times New Roman" w:hAnsi="Times New Roman"/>
          <w:sz w:val="18"/>
          <w:szCs w:val="18"/>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171" w:lineRule="exact"/>
        <w:rPr>
          <w:rFonts w:ascii="Times New Roman" w:cs="Times New Roman" w:eastAsia="Times New Roman" w:hAnsi="Times New Roman"/>
          <w:sz w:val="18"/>
          <w:szCs w:val="18"/>
          <w:color w:val="auto"/>
        </w:rPr>
      </w:pPr>
    </w:p>
    <w:p>
      <w:pPr>
        <w:ind w:firstLine="436"/>
        <w:spacing w:after="0" w:line="286" w:lineRule="auto"/>
        <w:tabs>
          <w:tab w:leader="none" w:pos="71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Information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b w:val="1"/>
          <w:bCs w:val="1"/>
          <w:u w:val="single" w:color="auto"/>
          <w:color w:val="auto"/>
        </w:rPr>
        <w:t>Agent’s Information</w:t>
      </w:r>
      <w:r>
        <w:rPr>
          <w:rFonts w:ascii="Times New Roman" w:cs="Times New Roman" w:eastAsia="Times New Roman" w:hAnsi="Times New Roman"/>
          <w:sz w:val="18"/>
          <w:szCs w:val="18"/>
          <w:color w:val="auto"/>
        </w:rPr>
        <w:t>” means solely the following information in the Registration Statement and the Prospectus: the eighth paragraph under the heading “Plan of Distribution” in the Prospectus Supplement.</w:t>
      </w:r>
    </w:p>
    <w:p>
      <w:pPr>
        <w:spacing w:after="0" w:line="15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Agreement to “supplements” to the Prospectus shall include any supplements, “wrappers” or similar materials prepared in connection with any offering, sale or private placement of any Placement Shares by the Agent outside of the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Blank]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96" w:name="page97"/>
    <w:bookmarkEnd w:id="9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Leone D. Patterson, M.B.A.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SVB Securities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Peter M. Fry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Head of Alternative Equities</w:t>
      </w:r>
    </w:p>
    <w:p>
      <w:pPr>
        <w:sectPr>
          <w:pgSz w:w="11900" w:h="16838" w:orient="portrait"/>
          <w:cols w:equalWidth="0" w:num="1">
            <w:col w:w="10980"/>
          </w:cols>
          <w:pgMar w:left="440" w:top="270" w:right="47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FORM OF PLACEMENT NOTICE</w:t>
            </w:r>
          </w:p>
        </w:tc>
      </w:tr>
      <w:tr>
        <w:trPr>
          <w:trHeight w:val="46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6"/>
              </w:rPr>
              <w:t>[TITLE]</w:t>
            </w:r>
          </w:p>
        </w:tc>
        <w:tc>
          <w:tcPr>
            <w:tcW w:w="248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Tenaya Therapeutics, Inc.</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Cc:</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w w:val="99"/>
              </w:rPr>
              <w:t>]</w:t>
            </w:r>
          </w:p>
        </w:tc>
        <w:tc>
          <w:tcPr>
            <w:tcW w:w="280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SVB Securities LLC</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6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SVB Securities—At the Market Offering—Placement Notice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dated August 10, 2022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Tenaya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SVB Securities LLC (“</w:t>
      </w:r>
      <w:r>
        <w:rPr>
          <w:rFonts w:ascii="Times New Roman" w:cs="Times New Roman" w:eastAsia="Times New Roman" w:hAnsi="Times New Roman"/>
          <w:sz w:val="18"/>
          <w:szCs w:val="18"/>
          <w:b w:val="1"/>
          <w:bCs w:val="1"/>
          <w:u w:val="single" w:color="auto"/>
          <w:color w:val="auto"/>
        </w:rPr>
        <w:t>SVB Securities</w:t>
      </w:r>
      <w:r>
        <w:rPr>
          <w:rFonts w:ascii="Times New Roman" w:cs="Times New Roman" w:eastAsia="Times New Roman" w:hAnsi="Times New Roman"/>
          <w:sz w:val="18"/>
          <w:szCs w:val="18"/>
          <w:color w:val="auto"/>
        </w:rPr>
        <w:t>”), I hereby request on behalf of the Company that SVB Securities sell up to [ ] shares of common stock, $0.0001 par value per share, of the Company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xml:space="preserve">”), at a minimum market price of $ per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w:t>
      </w:r>
    </w:p>
    <w:p>
      <w:pPr>
        <w:sectPr>
          <w:pgSz w:w="11900" w:h="16838" w:orient="portrait"/>
          <w:cols w:equalWidth="0" w:num="1">
            <w:col w:w="11020"/>
          </w:cols>
          <w:pgMar w:left="440" w:top="266" w:right="4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Faraz Ali (fali@tenayathera.com)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Leone D. Patterson (lpatterson@tenayathera.com)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SVB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Anurag Jindal (anurag.jindal@svbsecurities.com)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Wang (tim.wang@svbsecurities.com)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atm@svbsecurities.com</w:t>
      </w:r>
    </w:p>
    <w:p>
      <w:pPr>
        <w:sectPr>
          <w:pgSz w:w="11900" w:h="16838" w:orient="portrait"/>
          <w:cols w:equalWidth="0" w:num="1">
            <w:col w:w="11020"/>
          </w:cols>
          <w:pgMar w:left="440" w:top="266" w:right="4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pay SVB Securities compensation in cash equal to 3.0% of the gross proceeds from the sales of Placement Shares pursuant to the terms of the Sales Agreement of which this </w:t>
      </w:r>
      <w:r>
        <w:rPr>
          <w:rFonts w:ascii="Times New Roman" w:cs="Times New Roman" w:eastAsia="Times New Roman" w:hAnsi="Times New Roman"/>
          <w:sz w:val="18"/>
          <w:szCs w:val="18"/>
          <w:b w:val="1"/>
          <w:bCs w:val="1"/>
          <w:u w:val="single" w:color="auto"/>
          <w:color w:val="auto"/>
        </w:rPr>
        <w:t>Schedule 3</w:t>
      </w:r>
      <w:r>
        <w:rPr>
          <w:rFonts w:ascii="Times New Roman" w:cs="Times New Roman" w:eastAsia="Times New Roman" w:hAnsi="Times New Roman"/>
          <w:sz w:val="18"/>
          <w:szCs w:val="18"/>
          <w:color w:val="auto"/>
        </w:rPr>
        <w:t xml:space="preserve"> forms a part.</w:t>
      </w:r>
    </w:p>
    <w:p>
      <w:pPr>
        <w:sectPr>
          <w:pgSz w:w="11900" w:h="16838" w:orient="portrait"/>
          <w:cols w:equalWidth="0" w:num="1">
            <w:col w:w="11020"/>
          </w:cols>
          <w:pgMar w:left="440" w:top="266" w:right="4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7(m)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Each of Leone D. Patterson, the duly qualified and elected Chief Financial and Business Officer of Tenaya Therapeutics,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Jennifer Drimmer, the duly qualified and elected General Counsel and Secretary of the Company, does hereby certify in her respective capacity and on behalf of the Company, pursuant to Section 7(m) of the Sales Agreement, dated August 10, 2022 (the “</w:t>
      </w:r>
      <w:r>
        <w:rPr>
          <w:rFonts w:ascii="Times New Roman" w:cs="Times New Roman" w:eastAsia="Times New Roman" w:hAnsi="Times New Roman"/>
          <w:sz w:val="18"/>
          <w:szCs w:val="18"/>
          <w:b w:val="1"/>
          <w:bCs w:val="1"/>
          <w:u w:val="single" w:color="auto"/>
          <w:color w:val="auto"/>
        </w:rPr>
        <w:t>Sales Agreement</w:t>
      </w:r>
      <w:r>
        <w:rPr>
          <w:rFonts w:ascii="Times New Roman" w:cs="Times New Roman" w:eastAsia="Times New Roman" w:hAnsi="Times New Roman"/>
          <w:sz w:val="18"/>
          <w:szCs w:val="18"/>
          <w:color w:val="auto"/>
        </w:rPr>
        <w:t>”), by and between the Company and SVB Securities LLC, that, after due inquiry, to the best of the knowledge of the undersigned:</w:t>
      </w:r>
    </w:p>
    <w:p>
      <w:pPr>
        <w:spacing w:after="0" w:line="180" w:lineRule="exact"/>
        <w:rPr>
          <w:sz w:val="20"/>
          <w:szCs w:val="20"/>
          <w:color w:val="auto"/>
        </w:rPr>
      </w:pPr>
    </w:p>
    <w:p>
      <w:pPr>
        <w:ind w:right="60" w:firstLine="436"/>
        <w:spacing w:after="0" w:line="258"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w:t>
      </w:r>
    </w:p>
    <w:p>
      <w:pPr>
        <w:spacing w:after="0" w:line="183" w:lineRule="exact"/>
        <w:rPr>
          <w:rFonts w:ascii="Times New Roman" w:cs="Times New Roman" w:eastAsia="Times New Roman" w:hAnsi="Times New Roman"/>
          <w:sz w:val="18"/>
          <w:szCs w:val="18"/>
          <w:color w:val="auto"/>
        </w:rPr>
      </w:pPr>
    </w:p>
    <w:p>
      <w:pPr>
        <w:ind w:right="540" w:firstLine="436"/>
        <w:spacing w:after="0" w:line="282" w:lineRule="auto"/>
        <w:tabs>
          <w:tab w:leader="none" w:pos="70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agreements and satisfied all conditions on its part to be performed or satisfied pursuant to the Sales Agreement at or prior to the date hereof.</w:t>
      </w:r>
    </w:p>
    <w:p>
      <w:pPr>
        <w:spacing w:after="0" w:line="161" w:lineRule="exact"/>
        <w:rPr>
          <w:rFonts w:ascii="Times New Roman" w:cs="Times New Roman" w:eastAsia="Times New Roman" w:hAnsi="Times New Roman"/>
          <w:sz w:val="18"/>
          <w:szCs w:val="18"/>
          <w:color w:val="auto"/>
        </w:rPr>
      </w:pPr>
    </w:p>
    <w:p>
      <w:pPr>
        <w:ind w:right="20" w:firstLine="436"/>
        <w:spacing w:after="0" w:line="255" w:lineRule="auto"/>
        <w:tabs>
          <w:tab w:leader="none" w:pos="7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88" w:lineRule="exact"/>
        <w:rPr>
          <w:rFonts w:ascii="Times New Roman" w:cs="Times New Roman" w:eastAsia="Times New Roman" w:hAnsi="Times New Roman"/>
          <w:sz w:val="18"/>
          <w:szCs w:val="18"/>
          <w:color w:val="auto"/>
        </w:rPr>
      </w:pPr>
    </w:p>
    <w:p>
      <w:pPr>
        <w:ind w:right="220" w:firstLine="436"/>
        <w:spacing w:after="0" w:line="261" w:lineRule="auto"/>
        <w:tabs>
          <w:tab w:leader="none" w:pos="7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taken as a whole, whether or not arising from transactions in the ordinary course of business, since the date as of which information is given in the Prospectus, as amended or supplemented to the date hereof.</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possess any material non-public information.</w:t>
      </w:r>
    </w:p>
    <w:p>
      <w:pPr>
        <w:spacing w:after="0" w:line="225" w:lineRule="exact"/>
        <w:rPr>
          <w:rFonts w:ascii="Times New Roman" w:cs="Times New Roman" w:eastAsia="Times New Roman" w:hAnsi="Times New Roman"/>
          <w:sz w:val="18"/>
          <w:szCs w:val="18"/>
          <w:color w:val="auto"/>
        </w:rPr>
      </w:pPr>
    </w:p>
    <w:p>
      <w:pPr>
        <w:ind w:right="320" w:firstLine="436"/>
        <w:spacing w:after="0" w:line="266" w:lineRule="auto"/>
        <w:tabs>
          <w:tab w:leader="none" w:pos="7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articles of incorporation, amended and restated bylaws and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ascribed to them in the Sales Agreement.</w:t>
      </w:r>
    </w:p>
    <w:p>
      <w:pPr>
        <w:sectPr>
          <w:pgSz w:w="11900" w:h="16838" w:orient="portrait"/>
          <w:cols w:equalWidth="0" w:num="1">
            <w:col w:w="11020"/>
          </w:cols>
          <w:pgMar w:left="440" w:top="266" w:right="439" w:bottom="1440" w:gutter="0" w:footer="0" w:header="0"/>
        </w:sectPr>
      </w:pPr>
    </w:p>
    <w:bookmarkStart w:id="101" w:name="page102"/>
    <w:bookmarkEnd w:id="10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in such individual’s respective capacity as Chief Financial and Business Officer or General Counsel and Secretary of the Company, has executed this Officers’ Certificate on behalf of the Company.</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Leone D. Patterson, M.B.A.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and Business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Jennifer Drimmer, J.D.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Date:</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Signature Page to Officers’ Certificate</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70" w:right="67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tbl>
      <w:tblPr>
        <w:tblLayout w:type="fixed"/>
        <w:tblInd w:w="366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Dated as of</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231140</wp:posOffset>
            </wp:positionV>
            <wp:extent cx="1474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960" w:hanging="966"/>
        <w:spacing w:after="0"/>
        <w:tabs>
          <w:tab w:leader="none" w:pos="49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205740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03" w:name="page104"/>
    <w:bookmarkEnd w:id="10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of Construction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Issuable in Series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Establishment of Terms of Series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Securityholder Lists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and Exchange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Defaulted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CUSIP Numbers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to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Selection of Securities to be Redeemed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Reports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When Company May Merge,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Unconditional Right of Holders to Receive Principal and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by 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Past Defaults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Undertaking for Costs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Trustee’s Disclaimer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Replacement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Preferential Collection of Claims Against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SATISFACTION AND DISCHARGE; DEFEASANCE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Trust Funds;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Defeasance of Securities of any Series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Covenant Defeasance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to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8.6</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Consent of 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w:t>
            </w:r>
          </w:p>
        </w:tc>
        <w:tc>
          <w:tcPr>
            <w:tcW w:w="9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922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40" w:type="dxa"/>
            <w:vAlign w:val="bottom"/>
          </w:tcPr>
          <w:p>
            <w:pPr>
              <w:spacing w:after="0"/>
              <w:rPr>
                <w:sz w:val="20"/>
                <w:szCs w:val="20"/>
                <w:color w:val="auto"/>
              </w:rPr>
            </w:pPr>
          </w:p>
        </w:tc>
        <w:tc>
          <w:tcPr>
            <w:tcW w:w="92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Section 9.6</w:t>
            </w:r>
          </w:p>
        </w:tc>
        <w:tc>
          <w:tcPr>
            <w:tcW w:w="9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Notation on or Exchange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440" w:type="dxa"/>
            <w:vAlign w:val="bottom"/>
            <w:vMerge w:val="continue"/>
          </w:tcPr>
          <w:p>
            <w:pPr>
              <w:spacing w:after="0"/>
              <w:rPr>
                <w:sz w:val="16"/>
                <w:szCs w:val="16"/>
                <w:color w:val="auto"/>
              </w:rPr>
            </w:pPr>
          </w:p>
        </w:tc>
        <w:tc>
          <w:tcPr>
            <w:tcW w:w="922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Trustee Protected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Communication by Holders with Other 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10.7</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Legal Holidays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10.8</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10.9</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 Waiver of Jury Trial; Consent to Jurisdiction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10.13</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10.15</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in a Foreign Currency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10.16</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10.17</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10.18</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SINKING FUNDS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Applicability of Article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9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106" w:name="page107"/>
    <w:bookmarkEnd w:id="106"/>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TENAYA THERAPEUTICS, INC.</w:t>
      </w:r>
    </w:p>
    <w:p>
      <w:pPr>
        <w:spacing w:after="0" w:line="229" w:lineRule="exact"/>
        <w:rPr>
          <w:sz w:val="20"/>
          <w:szCs w:val="20"/>
          <w:color w:val="auto"/>
        </w:rPr>
      </w:pPr>
    </w:p>
    <w:p>
      <w:pPr>
        <w:jc w:val="right"/>
        <w:ind w:right="1199"/>
        <w:spacing w:after="0"/>
        <w:tabs>
          <w:tab w:leader="none" w:pos="240" w:val="left"/>
        </w:tabs>
        <w:rPr>
          <w:sz w:val="20"/>
          <w:szCs w:val="20"/>
          <w:color w:val="auto"/>
        </w:rPr>
      </w:pPr>
      <w:r>
        <w:rPr>
          <w:rFonts w:ascii="Times New Roman" w:cs="Times New Roman" w:eastAsia="Times New Roman" w:hAnsi="Times New Roman"/>
          <w:sz w:val="18"/>
          <w:szCs w:val="18"/>
          <w:color w:val="auto"/>
        </w:rPr>
        <w:t>Reconciliation and tie between Trust Indenture Act of 1939 and Indenture, dated as of</w:t>
      </w:r>
      <w:r>
        <w:rPr>
          <w:sz w:val="20"/>
          <w:szCs w:val="20"/>
          <w:color w:val="auto"/>
        </w:rPr>
        <w:tab/>
      </w:r>
      <w:r>
        <w:rPr>
          <w:rFonts w:ascii="Times New Roman" w:cs="Times New Roman" w:eastAsia="Times New Roman" w:hAnsi="Times New Roman"/>
          <w:sz w:val="17"/>
          <w:szCs w:val="17"/>
          <w:color w:val="auto"/>
        </w:rPr>
        <w:t>, 20</w:t>
      </w:r>
    </w:p>
    <w:p>
      <w:pPr>
        <w:spacing w:after="0" w:line="252"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5"/>
              </w:rPr>
              <w:t>§ 310(a)(1)</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(a)(2)</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(a)(3)</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(a)(4)</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(a)(5)</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311(a)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312(a)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313(a)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(b)(1)</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(b)(2)</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(c)(1)</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314(a)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4.2, 10.5</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(c)(1)</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(c)(2)</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(c)(3)</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(e)</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(f)</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315(a)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(c)</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(d)</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(e)</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316(a)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(a)(1)(A)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(a)(1)(B)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95"/>
              </w:rPr>
              <w:t>§ 317(a)(1)</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(a)(2)</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2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 318(a)</w:t>
            </w:r>
          </w:p>
        </w:tc>
        <w:tc>
          <w:tcPr>
            <w:tcW w:w="25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part of the Indenture.</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sectPr>
      </w:pPr>
    </w:p>
    <w:bookmarkStart w:id="107" w:name="page108"/>
    <w:bookmarkEnd w:id="107"/>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 20 between Tenaya Therapeutics, Inc., a company incorporated under the laws of Delaware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[__________], a national banking association organized under the laws of the United States,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party and for the equal and ratable benefit of the Holders of the Securities issued under this Indenture.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right="16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Additional Amounts</w:t>
      </w:r>
      <w:r>
        <w:rPr>
          <w:rFonts w:ascii="Times New Roman" w:cs="Times New Roman" w:eastAsia="Times New Roman" w:hAnsi="Times New Roman"/>
          <w:sz w:val="17"/>
          <w:szCs w:val="17"/>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Notice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thereof.</w:t>
      </w:r>
    </w:p>
    <w:p>
      <w:pPr>
        <w:spacing w:after="0" w:line="225"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73" w:lineRule="exact"/>
        <w:rPr>
          <w:sz w:val="20"/>
          <w:szCs w:val="20"/>
          <w:color w:val="auto"/>
        </w:rPr>
      </w:pPr>
    </w:p>
    <w:p>
      <w:pPr>
        <w:ind w:right="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of corporate stock.</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means a written order signed in the name of the Company by an Officer.</w:t>
      </w:r>
    </w:p>
    <w:p>
      <w:pPr>
        <w:sectPr>
          <w:pgSz w:w="11900" w:h="16838" w:orient="portrait"/>
          <w:cols w:equalWidth="0" w:num="1">
            <w:col w:w="11000"/>
          </w:cols>
          <w:pgMar w:left="440" w:top="268" w:right="459" w:bottom="1440" w:gutter="0" w:footer="0" w:header="0"/>
        </w:sectPr>
      </w:pPr>
    </w:p>
    <w:bookmarkStart w:id="108" w:name="page109"/>
    <w:bookmarkEnd w:id="108"/>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0"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means any currency or currency unit issued by a government other than the government of The United States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w:t>
      </w:r>
    </w:p>
    <w:p>
      <w:pPr>
        <w:spacing w:after="0" w:line="205" w:lineRule="exact"/>
        <w:rPr>
          <w:sz w:val="20"/>
          <w:szCs w:val="20"/>
          <w:color w:val="auto"/>
        </w:rPr>
      </w:pPr>
    </w:p>
    <w:p>
      <w:pPr>
        <w:ind w:right="2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Government Obligations</w:t>
      </w:r>
      <w:r>
        <w:rPr>
          <w:rFonts w:ascii="Times New Roman" w:cs="Times New Roman" w:eastAsia="Times New Roman" w:hAnsi="Times New Roman"/>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7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0" w:lineRule="exact"/>
        <w:rPr>
          <w:sz w:val="20"/>
          <w:szCs w:val="20"/>
          <w:color w:val="auto"/>
        </w:rPr>
      </w:pPr>
    </w:p>
    <w:p>
      <w:pPr>
        <w:ind w:right="2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109" w:name="page110"/>
    <w:bookmarkEnd w:id="10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 on the books of the Registrar.</w:t>
      </w:r>
    </w:p>
    <w:p>
      <w:pPr>
        <w:spacing w:after="0" w:line="225" w:lineRule="exact"/>
        <w:rPr>
          <w:sz w:val="20"/>
          <w:szCs w:val="20"/>
          <w:color w:val="auto"/>
        </w:rPr>
      </w:pPr>
    </w:p>
    <w:p>
      <w:pPr>
        <w:ind w:right="1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any Officer that meets the requirements of Section 10.5.</w:t>
      </w:r>
    </w:p>
    <w:p>
      <w:pPr>
        <w:spacing w:after="0" w:line="225" w:lineRule="exact"/>
        <w:rPr>
          <w:sz w:val="20"/>
          <w:szCs w:val="20"/>
          <w:color w:val="auto"/>
        </w:rPr>
      </w:pPr>
    </w:p>
    <w:p>
      <w:pPr>
        <w:ind w:right="4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58"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the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5" w:lineRule="exact"/>
        <w:rPr>
          <w:sz w:val="20"/>
          <w:szCs w:val="20"/>
          <w:color w:val="auto"/>
        </w:rPr>
      </w:pPr>
    </w:p>
    <w:p>
      <w:pPr>
        <w:ind w:right="3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debentures, notes or other debt instruments of the Company created pursuant to Sections 2.1 and 2.2 hereof.</w:t>
      </w:r>
    </w:p>
    <w:p>
      <w:pPr>
        <w:spacing w:after="0" w:line="158" w:lineRule="exact"/>
        <w:rPr>
          <w:sz w:val="20"/>
          <w:szCs w:val="20"/>
          <w:color w:val="auto"/>
        </w:rPr>
      </w:pPr>
    </w:p>
    <w:p>
      <w:pPr>
        <w:ind w:right="6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110" w:name="page111"/>
    <w:bookmarkEnd w:id="110"/>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0" w:lineRule="exact"/>
        <w:rPr>
          <w:sz w:val="20"/>
          <w:szCs w:val="20"/>
          <w:color w:val="auto"/>
        </w:rPr>
      </w:pPr>
    </w:p>
    <w:p>
      <w:pPr>
        <w:ind w:right="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xml:space="preserve">” means the Trust Indenture Act of 1939 (15 U.S. Code §§ 77aaa-77bbbb) as in effect on the date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Trust Indenture Act of 1939 is amended after such date, “TIA” means, to the extent required by any such amendment, the Trust Indenture Act as so amended.</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0"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3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TERM</w:t>
            </w:r>
          </w:p>
        </w:tc>
        <w:tc>
          <w:tcPr>
            <w:tcW w:w="3920" w:type="dxa"/>
            <w:vAlign w:val="bottom"/>
          </w:tcPr>
          <w:p>
            <w:pPr>
              <w:spacing w:after="0"/>
              <w:rPr>
                <w:sz w:val="14"/>
                <w:szCs w:val="14"/>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IN 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92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w:t>
            </w:r>
          </w:p>
        </w:tc>
        <w:tc>
          <w:tcPr>
            <w:tcW w:w="3920" w:type="dxa"/>
            <w:vAlign w:val="bottom"/>
            <w:vMerge w:val="continue"/>
          </w:tcPr>
          <w:p>
            <w:pPr>
              <w:spacing w:after="0"/>
              <w:rPr>
                <w:sz w:val="15"/>
                <w:szCs w:val="15"/>
                <w:color w:val="auto"/>
              </w:rPr>
            </w:pPr>
          </w:p>
        </w:tc>
        <w:tc>
          <w:tcPr>
            <w:tcW w:w="14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6.1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5380" w:type="dxa"/>
            <w:vAlign w:val="bottom"/>
            <w:gridSpan w:val="2"/>
          </w:tcPr>
          <w:p>
            <w:pPr>
              <w:jc w:val="center"/>
              <w:ind w:left="3830"/>
              <w:spacing w:after="0"/>
              <w:rPr>
                <w:sz w:val="20"/>
                <w:szCs w:val="20"/>
                <w:color w:val="auto"/>
              </w:rPr>
            </w:pPr>
            <w:r>
              <w:rPr>
                <w:rFonts w:ascii="Times New Roman" w:cs="Times New Roman" w:eastAsia="Times New Roman" w:hAnsi="Times New Roman"/>
                <w:sz w:val="18"/>
                <w:szCs w:val="18"/>
                <w:color w:val="auto"/>
                <w:w w:val="97"/>
              </w:rPr>
              <w:t>6.1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tc>
        <w:tc>
          <w:tcPr>
            <w:tcW w:w="5380" w:type="dxa"/>
            <w:vAlign w:val="bottom"/>
            <w:gridSpan w:val="2"/>
          </w:tcPr>
          <w:p>
            <w:pPr>
              <w:jc w:val="center"/>
              <w:ind w:left="3830"/>
              <w:spacing w:after="0"/>
              <w:rPr>
                <w:sz w:val="20"/>
                <w:szCs w:val="20"/>
                <w:color w:val="auto"/>
              </w:rPr>
            </w:pPr>
            <w:r>
              <w:rPr>
                <w:rFonts w:ascii="Times New Roman" w:cs="Times New Roman" w:eastAsia="Times New Roman" w:hAnsi="Times New Roman"/>
                <w:sz w:val="18"/>
                <w:szCs w:val="18"/>
                <w:color w:val="auto"/>
                <w:w w:val="97"/>
              </w:rPr>
              <w:t>6.1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w:t>
            </w:r>
          </w:p>
        </w:tc>
        <w:tc>
          <w:tcPr>
            <w:tcW w:w="5380" w:type="dxa"/>
            <w:vAlign w:val="bottom"/>
            <w:gridSpan w:val="2"/>
          </w:tcPr>
          <w:p>
            <w:pPr>
              <w:jc w:val="center"/>
              <w:ind w:left="3830"/>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optional sinking fund payment</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5380" w:type="dxa"/>
            <w:vAlign w:val="bottom"/>
            <w:gridSpan w:val="2"/>
          </w:tcPr>
          <w:p>
            <w:pPr>
              <w:jc w:val="center"/>
              <w:ind w:left="3830"/>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5380" w:type="dxa"/>
            <w:vAlign w:val="bottom"/>
            <w:gridSpan w:val="2"/>
          </w:tcPr>
          <w:p>
            <w:pPr>
              <w:jc w:val="center"/>
              <w:ind w:left="3830"/>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w w:val="98"/>
              </w:rPr>
              <w:t>10.16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w:t>
            </w:r>
          </w:p>
        </w:tc>
        <w:tc>
          <w:tcPr>
            <w:tcW w:w="5380" w:type="dxa"/>
            <w:vAlign w:val="bottom"/>
            <w:gridSpan w:val="2"/>
          </w:tcPr>
          <w:p>
            <w:pPr>
              <w:jc w:val="center"/>
              <w:ind w:left="3850"/>
              <w:spacing w:after="0"/>
              <w:rPr>
                <w:sz w:val="20"/>
                <w:szCs w:val="20"/>
                <w:color w:val="auto"/>
              </w:rPr>
            </w:pPr>
            <w:r>
              <w:rPr>
                <w:rFonts w:ascii="Times New Roman" w:cs="Times New Roman" w:eastAsia="Times New Roman" w:hAnsi="Times New Roman"/>
                <w:sz w:val="18"/>
                <w:szCs w:val="18"/>
                <w:color w:val="auto"/>
                <w:w w:val="98"/>
              </w:rPr>
              <w:t>10.10</w:t>
            </w:r>
          </w:p>
        </w:tc>
        <w:tc>
          <w:tcPr>
            <w:tcW w:w="0" w:type="dxa"/>
            <w:vAlign w:val="bottom"/>
          </w:tcPr>
          <w:p>
            <w:pPr>
              <w:spacing w:after="0"/>
              <w:rPr>
                <w:sz w:val="1"/>
                <w:szCs w:val="1"/>
                <w:color w:val="auto"/>
              </w:rPr>
            </w:pPr>
          </w:p>
        </w:tc>
      </w:tr>
      <w:tr>
        <w:trPr>
          <w:trHeight w:val="23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w:t>
            </w:r>
          </w:p>
        </w:tc>
        <w:tc>
          <w:tcPr>
            <w:tcW w:w="5380" w:type="dxa"/>
            <w:vAlign w:val="bottom"/>
            <w:gridSpan w:val="2"/>
          </w:tcPr>
          <w:p>
            <w:pPr>
              <w:jc w:val="center"/>
              <w:ind w:left="3830"/>
              <w:spacing w:after="0"/>
              <w:rPr>
                <w:sz w:val="20"/>
                <w:szCs w:val="20"/>
                <w:color w:val="auto"/>
              </w:rPr>
            </w:pPr>
            <w:r>
              <w:rPr>
                <w:rFonts w:ascii="Times New Roman" w:cs="Times New Roman" w:eastAsia="Times New Roman" w:hAnsi="Times New Roman"/>
                <w:sz w:val="18"/>
                <w:szCs w:val="18"/>
                <w:color w:val="auto"/>
                <w:w w:val="97"/>
              </w:rPr>
              <w:t>5.1</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92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8" w:right="479" w:bottom="1440" w:gutter="0" w:footer="0" w:header="0"/>
        </w:sectPr>
      </w:pPr>
    </w:p>
    <w:bookmarkStart w:id="111" w:name="page112"/>
    <w:bookmarkEnd w:id="11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Whenever this Indenture refers to a provision of the TIA, the provision is incorporated by reference in and made a part of this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TIA terms used in this Indenture have the following meanings: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means the SEC.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security holder</w:t>
      </w:r>
      <w:r>
        <w:rPr>
          <w:rFonts w:ascii="Times New Roman" w:cs="Times New Roman" w:eastAsia="Times New Roman" w:hAnsi="Times New Roman"/>
          <w:sz w:val="18"/>
          <w:szCs w:val="18"/>
          <w:color w:val="auto"/>
        </w:rPr>
        <w:t>” means a Securityholder.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to be qualified”</w:t>
      </w:r>
      <w:r>
        <w:rPr>
          <w:rFonts w:ascii="Times New Roman" w:cs="Times New Roman" w:eastAsia="Times New Roman" w:hAnsi="Times New Roman"/>
          <w:sz w:val="18"/>
          <w:szCs w:val="18"/>
          <w:color w:val="auto"/>
        </w:rPr>
        <w:t xml:space="preserve"> means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trustee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institutional trustee</w:t>
      </w:r>
      <w:r>
        <w:rPr>
          <w:rFonts w:ascii="Times New Roman" w:cs="Times New Roman" w:eastAsia="Times New Roman" w:hAnsi="Times New Roman"/>
          <w:sz w:val="18"/>
          <w:szCs w:val="18"/>
          <w:color w:val="auto"/>
        </w:rPr>
        <w:t>” means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and any successor obligor upon the Securities.</w:t>
      </w:r>
    </w:p>
    <w:p>
      <w:pPr>
        <w:spacing w:after="0" w:line="227"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680" w:hanging="252"/>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112" w:name="page113"/>
    <w:bookmarkEnd w:id="112"/>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72"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price or prices (expressed as a percentage of the principal amount thereof) at which the Securities of the Series will be issued;</w:t>
      </w:r>
    </w:p>
    <w:p>
      <w:pPr>
        <w:spacing w:after="0" w:line="11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of the Securities of the Series is payable;</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7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68"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3" w:name="page114"/>
    <w:bookmarkEnd w:id="113"/>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8"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54"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2.2.10. if other than denominations of $1,000 and any integral multiple thereof, the denominations in which the Securities of the Series shall be issuable;</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2.2.11. the forms of the Securities of the Series and whether the Securities will be issuable as Global Securities;</w:t>
      </w:r>
    </w:p>
    <w:p>
      <w:pPr>
        <w:spacing w:after="0" w:line="117" w:lineRule="exact"/>
        <w:rPr>
          <w:sz w:val="20"/>
          <w:szCs w:val="20"/>
          <w:color w:val="auto"/>
        </w:rPr>
      </w:pPr>
    </w:p>
    <w:p>
      <w:pPr>
        <w:jc w:val="both"/>
        <w:ind w:right="160" w:firstLine="991"/>
        <w:spacing w:after="0" w:line="282" w:lineRule="auto"/>
        <w:rPr>
          <w:sz w:val="20"/>
          <w:szCs w:val="20"/>
          <w:color w:val="auto"/>
        </w:rPr>
      </w:pPr>
      <w:r>
        <w:rPr>
          <w:rFonts w:ascii="Times New Roman" w:cs="Times New Roman" w:eastAsia="Times New Roman" w:hAnsi="Times New Roman"/>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54"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54"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2.2.14. the designation of the currency, currencies or currency units in which payment of the principal of and interest, if any, on the Securities of the Series will be made;</w:t>
      </w:r>
    </w:p>
    <w:p>
      <w:pPr>
        <w:spacing w:after="0" w:line="54"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68"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2.2.17. the provisions, if any, relating to any security provided for the Securities of the Series;</w:t>
      </w:r>
    </w:p>
    <w:p>
      <w:pPr>
        <w:spacing w:after="0" w:line="11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54" w:lineRule="exact"/>
        <w:rPr>
          <w:sz w:val="20"/>
          <w:szCs w:val="20"/>
          <w:color w:val="auto"/>
        </w:rPr>
      </w:pPr>
    </w:p>
    <w:p>
      <w:pPr>
        <w:jc w:val="center"/>
        <w:ind w:left="940" w:right="480"/>
        <w:spacing w:after="0" w:line="454" w:lineRule="auto"/>
        <w:rPr>
          <w:sz w:val="20"/>
          <w:szCs w:val="20"/>
          <w:color w:val="auto"/>
        </w:rPr>
      </w:pPr>
      <w:r>
        <w:rPr>
          <w:rFonts w:ascii="Times New Roman" w:cs="Times New Roman" w:eastAsia="Times New Roman" w:hAnsi="Times New Roman"/>
          <w:sz w:val="18"/>
          <w:szCs w:val="18"/>
          <w:color w:val="auto"/>
        </w:rPr>
        <w:t>2.2.19. any addition to, deletion of or change in the covenants set forth in Articles IV or V which applies to Securities of the Series; -7-</w:t>
      </w:r>
    </w:p>
    <w:p>
      <w:pPr>
        <w:sectPr>
          <w:pgSz w:w="11900" w:h="16838" w:orient="portrait"/>
          <w:cols w:equalWidth="0" w:num="1">
            <w:col w:w="10940"/>
          </w:cols>
          <w:pgMar w:left="440" w:top="270" w:right="519" w:bottom="1440" w:gutter="0" w:footer="0" w:header="0"/>
        </w:sectPr>
      </w:pPr>
    </w:p>
    <w:bookmarkStart w:id="114" w:name="page115"/>
    <w:bookmarkEnd w:id="114"/>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2.2.20. any Depositaries, interest rate calculation agents, exchange rate calculation agents, conversion agents or other agents with respect to Securities of such Series if other than those appointed herein;</w:t>
      </w:r>
    </w:p>
    <w:p>
      <w:pPr>
        <w:spacing w:after="0" w:line="5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72"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68"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2.2.23. whether any of the Company’s direct or indirect Subsidiaries will guarantee the Securities of that Series, including the terms of subordination, if any, of such guarantees.</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shall sign the Securities for the Company by manual or facsimile signature.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15" w:name="page116"/>
    <w:bookmarkEnd w:id="11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supplemental indenture hereto or Officer’s Certificate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10.4, (c) an Opinion of Counsel complying with Section 10.4 and (d) an Opinion of Counsel (which may be the same Opinion of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in the preceding clause (c)) that such Securities, when they have been duly executed, issued, and authenticated in accordance with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Indenture and delivered against payment therefor in the circumstances described in such Opinion of Counsel, will be legally valid and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the Company, enforceable against the Company in accordance with their terms.</w:t>
      </w:r>
    </w:p>
    <w:p>
      <w:pPr>
        <w:spacing w:after="0" w:line="207"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where Securities of such Series may be surrendered for registration of transfer or exchange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where notices and demands to or upon the Company in respect of the Securities of such Series and this Indenture may be delivered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94"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obligations to maintain a Registrar, Paying Agent and Notice Agent in each place so specified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6" w:name="page117"/>
    <w:bookmarkEnd w:id="11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includes any co-registrar; the term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includes any additional paying agent; and the term “</w:t>
      </w:r>
      <w:r>
        <w:rPr>
          <w:rFonts w:ascii="Times New Roman" w:cs="Times New Roman" w:eastAsia="Times New Roman" w:hAnsi="Times New Roman"/>
          <w:sz w:val="18"/>
          <w:szCs w:val="18"/>
          <w:i w:val="1"/>
          <w:iCs w:val="1"/>
          <w:color w:val="auto"/>
        </w:rPr>
        <w:t>Notice Agent</w:t>
      </w:r>
      <w:r>
        <w:rPr>
          <w:rFonts w:ascii="Times New Roman" w:cs="Times New Roman" w:eastAsia="Times New Roman" w:hAnsi="Times New Roman"/>
          <w:sz w:val="18"/>
          <w:szCs w:val="18"/>
          <w:color w:val="auto"/>
        </w:rPr>
        <w:t>” includes any additional notice agent. The Company or any of its Affiliates may serve as Registrar or Paying Agent.</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17" w:name="page118"/>
    <w:bookmarkEnd w:id="117"/>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312"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58"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18" w:name="page119"/>
    <w:bookmarkEnd w:id="118"/>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Security is replaced pursuant to Section 2.8, it ceases to be outstanding until the Trustee receives proof satisfactory to it that the replaced Security is held by a bona fide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 (but see Section 2.10 below).</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68"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2.14.2.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Neither the Trustee nor any Agent shall have any responsibility for any actions taken or not taken by the Depositary.</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20" w:name="page121"/>
    <w:bookmarkEnd w:id="12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2.14.3.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7"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In addition, so long as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is the Depositary, each Global Note registered in the name of DTC or its nominee shall bear a legend in substantially the following form:</w:t>
      </w:r>
    </w:p>
    <w:p>
      <w:pPr>
        <w:spacing w:after="0" w:line="160"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81"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54" w:lineRule="exact"/>
        <w:rPr>
          <w:sz w:val="20"/>
          <w:szCs w:val="20"/>
          <w:color w:val="auto"/>
        </w:rPr>
      </w:pPr>
    </w:p>
    <w:p>
      <w:pPr>
        <w:ind w:right="140" w:firstLine="1428"/>
        <w:spacing w:after="0" w:line="255" w:lineRule="auto"/>
        <w:tabs>
          <w:tab w:leader="none" w:pos="167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21" w:name="page122"/>
    <w:bookmarkEnd w:id="121"/>
    <w:p>
      <w:pPr>
        <w:ind w:firstLine="1428"/>
        <w:spacing w:after="0" w:line="256" w:lineRule="auto"/>
        <w:tabs>
          <w:tab w:leader="none" w:pos="168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Global Securities or any Securities issued in certificated form shall be proved by the Registrar.</w:t>
      </w:r>
    </w:p>
    <w:p>
      <w:pPr>
        <w:spacing w:after="0" w:line="117" w:lineRule="exact"/>
        <w:rPr>
          <w:rFonts w:ascii="Times New Roman" w:cs="Times New Roman" w:eastAsia="Times New Roman" w:hAnsi="Times New Roman"/>
          <w:sz w:val="18"/>
          <w:szCs w:val="18"/>
          <w:color w:val="auto"/>
        </w:rPr>
      </w:pPr>
    </w:p>
    <w:p>
      <w:pPr>
        <w:ind w:firstLine="1428"/>
        <w:spacing w:after="0" w:line="261" w:lineRule="auto"/>
        <w:tabs>
          <w:tab w:leader="none" w:pos="168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71" w:lineRule="exact"/>
        <w:rPr>
          <w:rFonts w:ascii="Times New Roman" w:cs="Times New Roman" w:eastAsia="Times New Roman" w:hAnsi="Times New Roman"/>
          <w:sz w:val="18"/>
          <w:szCs w:val="18"/>
          <w:color w:val="auto"/>
        </w:rPr>
      </w:pPr>
    </w:p>
    <w:p>
      <w:pPr>
        <w:ind w:right="40" w:firstLine="1428"/>
        <w:spacing w:after="0" w:line="254" w:lineRule="auto"/>
        <w:tabs>
          <w:tab w:leader="none" w:pos="167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80"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54"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Consents, Declaration and Directions</w:t>
      </w:r>
      <w:r>
        <w:rPr>
          <w:rFonts w:ascii="Times New Roman" w:cs="Times New Roman" w:eastAsia="Times New Roman" w:hAnsi="Times New Roman"/>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22" w:name="page123"/>
    <w:bookmarkEnd w:id="1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23" w:name="page124"/>
    <w:bookmarkEnd w:id="1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notice shall identify the Securities of the Series to be redeemed and shall state:</w:t>
      </w:r>
    </w:p>
    <w:p>
      <w:pPr>
        <w:spacing w:after="0" w:line="117" w:lineRule="exact"/>
        <w:rPr>
          <w:sz w:val="20"/>
          <w:szCs w:val="20"/>
          <w:color w:val="auto"/>
        </w:rPr>
      </w:pPr>
    </w:p>
    <w:p>
      <w:pPr>
        <w:ind w:left="1680" w:hanging="252"/>
        <w:spacing w:after="0"/>
        <w:tabs>
          <w:tab w:leader="none" w:pos="1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(or manner of calculation if not then known);</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right="60" w:firstLine="1428"/>
        <w:spacing w:after="0" w:line="266" w:lineRule="auto"/>
        <w:tabs>
          <w:tab w:leader="none" w:pos="168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right="620" w:firstLine="1428"/>
        <w:spacing w:after="0" w:line="282" w:lineRule="auto"/>
        <w:tabs>
          <w:tab w:leader="none" w:pos="16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interest on Securities of the Series called for redemption ceases to accrue on and after the redemption date unless the Company defaults in the deposit of the redemption price;</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if any;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as may be required by the terms of the particular Series or the Securities of a Series being redeemed.</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24" w:name="page125"/>
    <w:bookmarkEnd w:id="1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8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When Company May Merge,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8"/>
          <w:szCs w:val="18"/>
          <w:i w:val="1"/>
          <w:iCs w:val="1"/>
          <w:color w:val="auto"/>
        </w:rPr>
        <w:t>successor person</w:t>
      </w:r>
      <w:r>
        <w:rPr>
          <w:rFonts w:ascii="Times New Roman" w:cs="Times New Roman" w:eastAsia="Times New Roman" w:hAnsi="Times New Roman"/>
          <w:sz w:val="18"/>
          <w:szCs w:val="18"/>
          <w:color w:val="auto"/>
        </w:rPr>
        <w:t>”) unless:</w:t>
      </w:r>
    </w:p>
    <w:p>
      <w:pPr>
        <w:spacing w:after="0" w:line="54" w:lineRule="exact"/>
        <w:rPr>
          <w:sz w:val="20"/>
          <w:szCs w:val="20"/>
          <w:color w:val="auto"/>
        </w:rPr>
      </w:pPr>
    </w:p>
    <w:p>
      <w:pPr>
        <w:jc w:val="both"/>
        <w:ind w:right="240" w:firstLine="1428"/>
        <w:spacing w:after="0" w:line="266" w:lineRule="auto"/>
        <w:tabs>
          <w:tab w:leader="none" w:pos="167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Successor Corporation Substituted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126" w:name="page127"/>
    <w:bookmarkEnd w:id="12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67" w:lineRule="exact"/>
        <w:rPr>
          <w:sz w:val="20"/>
          <w:szCs w:val="20"/>
          <w:color w:val="auto"/>
        </w:rPr>
      </w:pPr>
    </w:p>
    <w:p>
      <w:pPr>
        <w:ind w:right="20" w:firstLine="1428"/>
        <w:spacing w:after="0" w:line="261"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such period); or</w:t>
      </w:r>
    </w:p>
    <w:p>
      <w:pPr>
        <w:ind w:left="1680" w:hanging="252"/>
        <w:spacing w:after="0"/>
        <w:tabs>
          <w:tab w:leader="none" w:pos="1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 or</w:t>
      </w:r>
    </w:p>
    <w:p>
      <w:pPr>
        <w:spacing w:after="0" w:line="97" w:lineRule="exact"/>
        <w:rPr>
          <w:rFonts w:ascii="Times New Roman" w:cs="Times New Roman" w:eastAsia="Times New Roman" w:hAnsi="Times New Roman"/>
          <w:sz w:val="18"/>
          <w:szCs w:val="18"/>
          <w:color w:val="auto"/>
        </w:rPr>
      </w:pPr>
    </w:p>
    <w:p>
      <w:pPr>
        <w:ind w:firstLine="1428"/>
        <w:spacing w:after="0" w:line="256" w:lineRule="auto"/>
        <w:tabs>
          <w:tab w:leader="none" w:pos="167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66" w:right="539" w:bottom="1440" w:gutter="0" w:footer="0" w:header="0"/>
        </w:sectPr>
      </w:pPr>
    </w:p>
    <w:bookmarkStart w:id="127" w:name="page128"/>
    <w:bookmarkEnd w:id="127"/>
    <w:p>
      <w:pPr>
        <w:ind w:left="2200" w:hanging="221"/>
        <w:spacing w:after="0"/>
        <w:tabs>
          <w:tab w:leader="none" w:pos="22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for relief against the Company in an involuntary case,</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order or decree remains unstayed and in effect for 60 days; or</w:t>
      </w:r>
    </w:p>
    <w:p>
      <w:pPr>
        <w:spacing w:after="0" w:line="117" w:lineRule="exact"/>
        <w:rPr>
          <w:sz w:val="20"/>
          <w:szCs w:val="20"/>
          <w:color w:val="auto"/>
        </w:rPr>
      </w:pPr>
    </w:p>
    <w:p>
      <w:pPr>
        <w:ind w:right="660" w:firstLine="1428"/>
        <w:spacing w:after="0" w:line="282" w:lineRule="auto"/>
        <w:tabs>
          <w:tab w:leader="none" w:pos="16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60" w:lineRule="exact"/>
        <w:rPr>
          <w:sz w:val="20"/>
          <w:szCs w:val="20"/>
          <w:color w:val="auto"/>
        </w:rPr>
      </w:pPr>
    </w:p>
    <w:p>
      <w:pPr>
        <w:ind w:right="680" w:firstLine="991"/>
        <w:spacing w:after="0" w:line="284"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means title 11, U.S. Code or any similar U.S. Federal or State law for the relief of debtors.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60"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72"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become and be immediately due and payable without any declaration or other act on the part of the Trustee or any Holder.</w:t>
      </w:r>
    </w:p>
    <w:p>
      <w:pPr>
        <w:spacing w:after="0" w:line="17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128" w:name="page129"/>
    <w:bookmarkEnd w:id="12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right="360" w:firstLine="1428"/>
        <w:spacing w:after="0" w:line="282" w:lineRule="auto"/>
        <w:tabs>
          <w:tab w:leader="none" w:pos="167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if any, when and as due by the terms of a Security,</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then</w:t>
      </w:r>
      <w:r>
        <w:rPr>
          <w:rFonts w:ascii="Times New Roman" w:cs="Times New Roman" w:eastAsia="Times New Roman" w:hAnsi="Times New Roman"/>
          <w:sz w:val="18"/>
          <w:szCs w:val="18"/>
          <w:color w:val="auto"/>
        </w:rPr>
        <w:t>, 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129" w:name="page130"/>
    <w:bookmarkEnd w:id="129"/>
    <w:p>
      <w:pPr>
        <w:jc w:val="both"/>
        <w:ind w:right="160" w:firstLine="1428"/>
        <w:spacing w:after="0" w:line="289" w:lineRule="auto"/>
        <w:tabs>
          <w:tab w:leader="none" w:pos="1677"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49" w:lineRule="exact"/>
        <w:rPr>
          <w:rFonts w:ascii="Times New Roman" w:cs="Times New Roman" w:eastAsia="Times New Roman" w:hAnsi="Times New Roman"/>
          <w:sz w:val="17"/>
          <w:szCs w:val="17"/>
          <w:color w:val="auto"/>
        </w:rPr>
      </w:pPr>
    </w:p>
    <w:p>
      <w:pPr>
        <w:ind w:firstLine="1428"/>
        <w:spacing w:after="0" w:line="258" w:lineRule="auto"/>
        <w:tabs>
          <w:tab w:leader="none" w:pos="16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3"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such Holder has previously given written notice to the Trustee of a continuing Event of Default with respect to the Securities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Series;</w:t>
      </w:r>
    </w:p>
    <w:p>
      <w:pPr>
        <w:spacing w:after="0" w:line="99" w:lineRule="exact"/>
        <w:rPr>
          <w:sz w:val="20"/>
          <w:szCs w:val="20"/>
          <w:color w:val="auto"/>
        </w:rPr>
      </w:pPr>
    </w:p>
    <w:p>
      <w:pPr>
        <w:ind w:right="100" w:firstLine="1428"/>
        <w:spacing w:after="0" w:line="282" w:lineRule="auto"/>
        <w:tabs>
          <w:tab w:leader="none" w:pos="16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3" w:lineRule="exact"/>
        <w:rPr>
          <w:rFonts w:ascii="Times New Roman" w:cs="Times New Roman" w:eastAsia="Times New Roman" w:hAnsi="Times New Roman"/>
          <w:sz w:val="18"/>
          <w:szCs w:val="18"/>
          <w:color w:val="auto"/>
        </w:rPr>
      </w:pPr>
    </w:p>
    <w:p>
      <w:pPr>
        <w:ind w:right="220" w:firstLine="1428"/>
        <w:spacing w:after="0" w:line="282" w:lineRule="auto"/>
        <w:tabs>
          <w:tab w:leader="none" w:pos="16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right="200" w:firstLine="1428"/>
        <w:spacing w:after="0" w:line="282" w:lineRule="auto"/>
        <w:tabs>
          <w:tab w:leader="none" w:pos="167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31" w:name="page132"/>
    <w:bookmarkEnd w:id="1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680" w:hanging="252"/>
        <w:spacing w:after="0"/>
        <w:tabs>
          <w:tab w:leader="none" w:pos="1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w:t>
      </w:r>
    </w:p>
    <w:p>
      <w:pPr>
        <w:spacing w:after="0" w:line="117" w:lineRule="exact"/>
        <w:rPr>
          <w:rFonts w:ascii="Times New Roman" w:cs="Times New Roman" w:eastAsia="Times New Roman" w:hAnsi="Times New Roman"/>
          <w:sz w:val="18"/>
          <w:szCs w:val="18"/>
          <w:color w:val="auto"/>
        </w:rPr>
      </w:pPr>
    </w:p>
    <w:p>
      <w:pPr>
        <w:jc w:val="both"/>
        <w:ind w:right="160" w:firstLine="1428"/>
        <w:spacing w:after="0" w:line="312" w:lineRule="auto"/>
        <w:tabs>
          <w:tab w:leader="none" w:pos="1677"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31" w:lineRule="exact"/>
        <w:rPr>
          <w:rFonts w:ascii="Times New Roman" w:cs="Times New Roman" w:eastAsia="Times New Roman" w:hAnsi="Times New Roman"/>
          <w:sz w:val="17"/>
          <w:szCs w:val="17"/>
          <w:color w:val="auto"/>
        </w:rPr>
      </w:pPr>
    </w:p>
    <w:p>
      <w:pPr>
        <w:ind w:right="140" w:firstLine="1428"/>
        <w:spacing w:after="0" w:line="282" w:lineRule="auto"/>
        <w:tabs>
          <w:tab w:leader="none" w:pos="168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132" w:name="page133"/>
    <w:bookmarkEnd w:id="1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428"/>
        <w:spacing w:after="0" w:line="266" w:lineRule="auto"/>
        <w:tabs>
          <w:tab w:leader="none" w:pos="167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right="180" w:firstLine="1979"/>
        <w:spacing w:after="0" w:line="282" w:lineRule="auto"/>
        <w:tabs>
          <w:tab w:leader="none" w:pos="219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33" w:name="page134"/>
    <w:bookmarkEnd w:id="133"/>
    <w:p>
      <w:pPr>
        <w:ind w:left="-100" w:right="20" w:firstLine="1979"/>
        <w:spacing w:after="0" w:line="256" w:lineRule="auto"/>
        <w:tabs>
          <w:tab w:leader="none" w:pos="214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79" w:lineRule="exact"/>
        <w:rPr>
          <w:rFonts w:ascii="Times New Roman" w:cs="Times New Roman" w:eastAsia="Times New Roman" w:hAnsi="Times New Roman"/>
          <w:sz w:val="18"/>
          <w:szCs w:val="18"/>
          <w:color w:val="auto"/>
        </w:rPr>
      </w:pPr>
    </w:p>
    <w:p>
      <w:pPr>
        <w:ind w:left="-100" w:right="320" w:firstLine="1428"/>
        <w:spacing w:after="0" w:line="282" w:lineRule="auto"/>
        <w:tabs>
          <w:tab w:leader="none" w:pos="157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2100" w:hanging="221"/>
        <w:spacing w:after="0"/>
        <w:tabs>
          <w:tab w:leader="none" w:pos="21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w:t>
      </w:r>
    </w:p>
    <w:p>
      <w:pPr>
        <w:spacing w:after="0" w:line="117" w:lineRule="exact"/>
        <w:rPr>
          <w:sz w:val="20"/>
          <w:szCs w:val="20"/>
          <w:color w:val="auto"/>
        </w:rPr>
      </w:pPr>
    </w:p>
    <w:p>
      <w:pPr>
        <w:ind w:left="-100" w:firstLine="1979"/>
        <w:spacing w:after="0" w:line="282" w:lineRule="auto"/>
        <w:tabs>
          <w:tab w:leader="none" w:pos="214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100" w:right="120" w:firstLine="1979"/>
        <w:spacing w:after="0" w:line="261" w:lineRule="auto"/>
        <w:tabs>
          <w:tab w:leader="none" w:pos="219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71" w:lineRule="exact"/>
        <w:rPr>
          <w:rFonts w:ascii="Times New Roman" w:cs="Times New Roman" w:eastAsia="Times New Roman" w:hAnsi="Times New Roman"/>
          <w:sz w:val="18"/>
          <w:szCs w:val="18"/>
          <w:color w:val="auto"/>
        </w:rPr>
      </w:pPr>
    </w:p>
    <w:p>
      <w:pPr>
        <w:ind w:left="1580" w:hanging="252"/>
        <w:spacing w:after="0"/>
        <w:tabs>
          <w:tab w:leader="none" w:pos="15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provision of this Indenture that in any way relates to the Trustee is subject to paragraph (a), (b) and (c) of this Section.</w:t>
      </w:r>
    </w:p>
    <w:p>
      <w:pPr>
        <w:spacing w:after="0" w:line="117"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53" w:lineRule="exact"/>
        <w:rPr>
          <w:rFonts w:ascii="Times New Roman" w:cs="Times New Roman" w:eastAsia="Times New Roman" w:hAnsi="Times New Roman"/>
          <w:sz w:val="18"/>
          <w:szCs w:val="18"/>
          <w:color w:val="auto"/>
        </w:rPr>
      </w:pPr>
    </w:p>
    <w:p>
      <w:pPr>
        <w:ind w:left="-100" w:right="60" w:firstLine="1428"/>
        <w:spacing w:after="0" w:line="282" w:lineRule="auto"/>
        <w:tabs>
          <w:tab w:leader="none" w:pos="158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00" w:right="80" w:firstLine="1428"/>
        <w:spacing w:after="0" w:line="266" w:lineRule="auto"/>
        <w:tabs>
          <w:tab w:leader="none" w:pos="15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820"/>
          </w:cols>
          <w:pgMar w:left="540" w:top="270" w:right="539" w:bottom="1440" w:gutter="0" w:footer="0" w:header="0"/>
        </w:sectPr>
      </w:pPr>
    </w:p>
    <w:bookmarkStart w:id="134" w:name="page135"/>
    <w:bookmarkEnd w:id="134"/>
    <w:p>
      <w:pPr>
        <w:ind w:right="360" w:firstLine="1428"/>
        <w:spacing w:after="0" w:line="282" w:lineRule="auto"/>
        <w:tabs>
          <w:tab w:leader="none" w:pos="16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53" w:lineRule="exact"/>
        <w:rPr>
          <w:rFonts w:ascii="Times New Roman" w:cs="Times New Roman" w:eastAsia="Times New Roman" w:hAnsi="Times New Roman"/>
          <w:sz w:val="18"/>
          <w:szCs w:val="18"/>
          <w:color w:val="auto"/>
        </w:rPr>
      </w:pPr>
    </w:p>
    <w:p>
      <w:pPr>
        <w:ind w:right="60" w:firstLine="1428"/>
        <w:spacing w:after="0" w:line="266" w:lineRule="auto"/>
        <w:tabs>
          <w:tab w:leader="none" w:pos="16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6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53" w:lineRule="exact"/>
        <w:rPr>
          <w:rFonts w:ascii="Times New Roman" w:cs="Times New Roman" w:eastAsia="Times New Roman" w:hAnsi="Times New Roman"/>
          <w:sz w:val="18"/>
          <w:szCs w:val="18"/>
          <w:color w:val="auto"/>
        </w:rPr>
      </w:pPr>
    </w:p>
    <w:p>
      <w:pPr>
        <w:ind w:right="40" w:firstLine="1428"/>
        <w:spacing w:after="0" w:line="266" w:lineRule="auto"/>
        <w:tabs>
          <w:tab w:leader="none" w:pos="16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67" w:lineRule="exact"/>
        <w:rPr>
          <w:rFonts w:ascii="Times New Roman" w:cs="Times New Roman" w:eastAsia="Times New Roman" w:hAnsi="Times New Roman"/>
          <w:sz w:val="18"/>
          <w:szCs w:val="18"/>
          <w:color w:val="auto"/>
        </w:rPr>
      </w:pPr>
    </w:p>
    <w:p>
      <w:pPr>
        <w:jc w:val="both"/>
        <w:ind w:right="300" w:firstLine="1428"/>
        <w:spacing w:after="0" w:line="289" w:lineRule="auto"/>
        <w:tabs>
          <w:tab w:leader="none" w:pos="1657"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49" w:lineRule="exact"/>
        <w:rPr>
          <w:rFonts w:ascii="Times New Roman" w:cs="Times New Roman" w:eastAsia="Times New Roman" w:hAnsi="Times New Roman"/>
          <w:sz w:val="17"/>
          <w:szCs w:val="17"/>
          <w:color w:val="auto"/>
        </w:rPr>
      </w:pPr>
    </w:p>
    <w:p>
      <w:pPr>
        <w:jc w:val="both"/>
        <w:ind w:right="80" w:firstLine="1428"/>
        <w:spacing w:after="0" w:line="266" w:lineRule="auto"/>
        <w:tabs>
          <w:tab w:leader="none" w:pos="16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67"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71"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Trustee to take the actions permitted by this Indenture shall not be construed as an obligation or duty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so.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35" w:name="page136"/>
    <w:bookmarkEnd w:id="135"/>
    <w:p>
      <w:pPr>
        <w:ind w:left="1680" w:hanging="252"/>
        <w:spacing w:after="0"/>
        <w:tabs>
          <w:tab w:leader="none" w:pos="16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bond or surety shall be required with respect to performance of Trustee’s duties and powers.</w:t>
      </w:r>
    </w:p>
    <w:p>
      <w:pPr>
        <w:spacing w:after="0" w:line="117"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Trustee be liable in its individual capacity for the obligations evidenced by the Securities.</w:t>
      </w:r>
    </w:p>
    <w:p>
      <w:pPr>
        <w:spacing w:after="0" w:line="117" w:lineRule="exact"/>
        <w:rPr>
          <w:rFonts w:ascii="Times New Roman" w:cs="Times New Roman" w:eastAsia="Times New Roman" w:hAnsi="Times New Roman"/>
          <w:sz w:val="18"/>
          <w:szCs w:val="18"/>
          <w:color w:val="auto"/>
        </w:rPr>
      </w:pPr>
    </w:p>
    <w:p>
      <w:pPr>
        <w:ind w:right="600" w:firstLine="1428"/>
        <w:spacing w:after="0" w:line="282" w:lineRule="auto"/>
        <w:tabs>
          <w:tab w:leader="none" w:pos="173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53"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53" w:lineRule="exact"/>
        <w:rPr>
          <w:rFonts w:ascii="Times New Roman" w:cs="Times New Roman" w:eastAsia="Times New Roman" w:hAnsi="Times New Roman"/>
          <w:sz w:val="18"/>
          <w:szCs w:val="18"/>
          <w:color w:val="auto"/>
        </w:rPr>
      </w:pPr>
    </w:p>
    <w:p>
      <w:pPr>
        <w:ind w:right="340" w:firstLine="1428"/>
        <w:spacing w:after="0" w:line="266" w:lineRule="auto"/>
        <w:tabs>
          <w:tab w:leader="none" w:pos="168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36" w:name="page137"/>
    <w:bookmarkEnd w:id="1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Within 60 days after each , commencing , 20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92"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40" w:lineRule="exact"/>
        <w:rPr>
          <w:sz w:val="20"/>
          <w:szCs w:val="20"/>
          <w:color w:val="auto"/>
        </w:rPr>
      </w:pPr>
    </w:p>
    <w:p>
      <w:pPr>
        <w:ind w:right="460" w:firstLine="991"/>
        <w:spacing w:after="0" w:line="312"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137" w:name="page138"/>
    <w:bookmarkEnd w:id="137"/>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72" w:lineRule="exact"/>
        <w:rPr>
          <w:sz w:val="20"/>
          <w:szCs w:val="20"/>
          <w:color w:val="auto"/>
        </w:rPr>
      </w:pPr>
    </w:p>
    <w:p>
      <w:pPr>
        <w:ind w:left="1680" w:hanging="252"/>
        <w:spacing w:after="0"/>
        <w:tabs>
          <w:tab w:leader="none" w:pos="1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w:t>
      </w:r>
    </w:p>
    <w:p>
      <w:pPr>
        <w:spacing w:after="0" w:line="99" w:lineRule="exact"/>
        <w:rPr>
          <w:sz w:val="20"/>
          <w:szCs w:val="20"/>
          <w:color w:val="auto"/>
        </w:rPr>
      </w:pPr>
    </w:p>
    <w:p>
      <w:pPr>
        <w:ind w:left="1680" w:hanging="252"/>
        <w:spacing w:after="0"/>
        <w:tabs>
          <w:tab w:leader="none" w:pos="1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Company. Promptly after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retiring Trustee shall transfer all property held by it as Trustee to the successor Trustee subject to the lien provided for in Section 7.7, the resignation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removal of the retiring Trustee shall become effective, and the successor Trustee shall have all the rights, powers and duties of the Trustee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 to each Series of Securities for which it is acting as Trustee under this Indenture. A successor Trustee shall send a notice of its succession to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 of each such Series. Notwithstanding replacement of the Trustee pursuant to this Section 7.8, the Company’s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7.7 hereof shall continue for the benefit of the retiring Trustee with respect to expenses and liabilities incurred by it for actions taken or omitted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taken in accordance with its rights, powers and duties under this Indenture prior to such replacement.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138" w:name="page139"/>
    <w:bookmarkEnd w:id="1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7.9 </w:t>
      </w:r>
      <w:r>
        <w:rPr>
          <w:rFonts w:ascii="Times New Roman" w:cs="Times New Roman" w:eastAsia="Times New Roman" w:hAnsi="Times New Roman"/>
          <w:sz w:val="18"/>
          <w:szCs w:val="18"/>
          <w:u w:val="single" w:color="auto"/>
          <w:color w:val="auto"/>
        </w:rPr>
        <w:t>Successor Trustee by Merger,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TIA § 311(a), excluding any creditor relationship listed in TIA § 311(b). A Trustee who has resigned or been removed shall be subject to TIA § 311(a) to the extent indicated.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68" w:lineRule="exact"/>
        <w:rPr>
          <w:sz w:val="20"/>
          <w:szCs w:val="20"/>
          <w:color w:val="auto"/>
        </w:rPr>
      </w:pPr>
    </w:p>
    <w:p>
      <w:pPr>
        <w:ind w:left="1680" w:hanging="252"/>
        <w:spacing w:after="0"/>
        <w:tabs>
          <w:tab w:leader="none" w:pos="16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firstLine="1979"/>
        <w:spacing w:after="0" w:line="282" w:lineRule="auto"/>
        <w:tabs>
          <w:tab w:leader="none" w:pos="219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such Series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by reason of sending a notice of redemption or otherwise,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39" w:name="page140"/>
    <w:bookmarkEnd w:id="139"/>
    <w:p>
      <w:pPr>
        <w:ind w:left="2680" w:hanging="261"/>
        <w:spacing w:after="0"/>
        <w:tabs>
          <w:tab w:leader="none" w:pos="2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right="40" w:firstLine="2419"/>
        <w:spacing w:after="0" w:line="282" w:lineRule="auto"/>
        <w:tabs>
          <w:tab w:leader="none" w:pos="2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53" w:lineRule="exact"/>
        <w:rPr>
          <w:rFonts w:ascii="Times New Roman" w:cs="Times New Roman" w:eastAsia="Times New Roman" w:hAnsi="Times New Roman"/>
          <w:sz w:val="18"/>
          <w:szCs w:val="18"/>
          <w:color w:val="auto"/>
        </w:rPr>
      </w:pPr>
    </w:p>
    <w:p>
      <w:pPr>
        <w:ind w:left="2680" w:hanging="261"/>
        <w:spacing w:after="0"/>
        <w:tabs>
          <w:tab w:leader="none" w:pos="2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deemed paid and discharged pursuant to Section 8.3, as applicable;</w:t>
      </w:r>
    </w:p>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72" w:lineRule="exact"/>
        <w:rPr>
          <w:sz w:val="20"/>
          <w:szCs w:val="20"/>
          <w:color w:val="auto"/>
        </w:rPr>
      </w:pPr>
    </w:p>
    <w:p>
      <w:pPr>
        <w:ind w:left="1680" w:hanging="252"/>
        <w:spacing w:after="0"/>
        <w:tabs>
          <w:tab w:leader="none" w:pos="1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117" w:lineRule="exact"/>
        <w:rPr>
          <w:rFonts w:ascii="Times New Roman" w:cs="Times New Roman" w:eastAsia="Times New Roman" w:hAnsi="Times New Roman"/>
          <w:sz w:val="18"/>
          <w:szCs w:val="18"/>
          <w:color w:val="auto"/>
        </w:rPr>
      </w:pPr>
    </w:p>
    <w:p>
      <w:pPr>
        <w:ind w:right="680" w:firstLine="1428"/>
        <w:spacing w:after="0" w:line="282" w:lineRule="auto"/>
        <w:tabs>
          <w:tab w:leader="none" w:pos="167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62"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Funds;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5" w:lineRule="auto"/>
        <w:tabs>
          <w:tab w:leader="none" w:pos="167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80"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40" w:name="page141"/>
    <w:bookmarkEnd w:id="140"/>
    <w:p>
      <w:pPr>
        <w:ind w:right="20" w:firstLine="1428"/>
        <w:spacing w:after="0" w:line="256" w:lineRule="auto"/>
        <w:tabs>
          <w:tab w:leader="none" w:pos="167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Legal Defeasance of Securities of any Series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75" w:lineRule="exact"/>
        <w:rPr>
          <w:sz w:val="20"/>
          <w:szCs w:val="20"/>
          <w:color w:val="auto"/>
        </w:rPr>
      </w:pPr>
    </w:p>
    <w:p>
      <w:pPr>
        <w:jc w:val="both"/>
        <w:ind w:right="40" w:firstLine="1428"/>
        <w:spacing w:after="0" w:line="261" w:lineRule="auto"/>
        <w:tabs>
          <w:tab w:leader="none" w:pos="167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2.4, 2.5, 2.7, 2.8, 7.7, 8.2, 8.3, 8.5 and 8.6; and</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and immunities of the Trustee hereunder and the Company’s obligations in connection therewith;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following conditions shall have been satisfied:</w:t>
      </w:r>
    </w:p>
    <w:p>
      <w:pPr>
        <w:spacing w:after="0" w:line="117" w:lineRule="exact"/>
        <w:rPr>
          <w:sz w:val="20"/>
          <w:szCs w:val="20"/>
          <w:color w:val="auto"/>
        </w:rPr>
      </w:pPr>
    </w:p>
    <w:p>
      <w:pPr>
        <w:ind w:right="40" w:firstLine="1428"/>
        <w:spacing w:after="0" w:line="254" w:lineRule="auto"/>
        <w:tabs>
          <w:tab w:leader="none" w:pos="168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41" w:name="page142"/>
    <w:bookmarkEnd w:id="141"/>
    <w:p>
      <w:pPr>
        <w:ind w:right="420" w:firstLine="1428"/>
        <w:spacing w:after="0" w:line="282" w:lineRule="auto"/>
        <w:tabs>
          <w:tab w:leader="none" w:pos="167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right="180" w:firstLine="1428"/>
        <w:spacing w:after="0" w:line="282" w:lineRule="auto"/>
        <w:tabs>
          <w:tab w:leader="none" w:pos="16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53" w:lineRule="exact"/>
        <w:rPr>
          <w:rFonts w:ascii="Times New Roman" w:cs="Times New Roman" w:eastAsia="Times New Roman" w:hAnsi="Times New Roman"/>
          <w:sz w:val="18"/>
          <w:szCs w:val="18"/>
          <w:color w:val="auto"/>
        </w:rPr>
      </w:pPr>
    </w:p>
    <w:p>
      <w:pPr>
        <w:ind w:right="60" w:firstLine="1428"/>
        <w:spacing w:after="0" w:line="256" w:lineRule="auto"/>
        <w:tabs>
          <w:tab w:leader="none" w:pos="168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79" w:lineRule="exact"/>
        <w:rPr>
          <w:rFonts w:ascii="Times New Roman" w:cs="Times New Roman" w:eastAsia="Times New Roman" w:hAnsi="Times New Roman"/>
          <w:sz w:val="18"/>
          <w:szCs w:val="18"/>
          <w:color w:val="auto"/>
        </w:rPr>
      </w:pPr>
    </w:p>
    <w:p>
      <w:pPr>
        <w:ind w:right="220" w:firstLine="1428"/>
        <w:spacing w:after="0" w:line="282" w:lineRule="auto"/>
        <w:tabs>
          <w:tab w:leader="none" w:pos="168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right="720" w:firstLine="1428"/>
        <w:spacing w:after="0" w:line="282" w:lineRule="auto"/>
        <w:tabs>
          <w:tab w:leader="none" w:pos="164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142" w:name="page143"/>
    <w:bookmarkEnd w:id="142"/>
    <w:p>
      <w:pPr>
        <w:ind w:right="40" w:firstLine="1428"/>
        <w:spacing w:after="0" w:line="253" w:lineRule="auto"/>
        <w:tabs>
          <w:tab w:leader="none" w:pos="16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86" w:lineRule="exact"/>
        <w:rPr>
          <w:rFonts w:ascii="Times New Roman" w:cs="Times New Roman" w:eastAsia="Times New Roman" w:hAnsi="Times New Roman"/>
          <w:sz w:val="18"/>
          <w:szCs w:val="18"/>
          <w:color w:val="auto"/>
        </w:rPr>
      </w:pPr>
    </w:p>
    <w:p>
      <w:pPr>
        <w:ind w:right="360" w:firstLine="1428"/>
        <w:spacing w:after="0" w:line="282" w:lineRule="auto"/>
        <w:tabs>
          <w:tab w:leader="none" w:pos="168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w:t>
      </w:r>
    </w:p>
    <w:p>
      <w:pPr>
        <w:spacing w:after="0" w:line="98" w:lineRule="exact"/>
        <w:rPr>
          <w:rFonts w:ascii="Times New Roman" w:cs="Times New Roman" w:eastAsia="Times New Roman" w:hAnsi="Times New Roman"/>
          <w:sz w:val="18"/>
          <w:szCs w:val="18"/>
          <w:color w:val="auto"/>
        </w:rPr>
      </w:pPr>
    </w:p>
    <w:p>
      <w:pPr>
        <w:ind w:firstLine="1428"/>
        <w:spacing w:after="0" w:line="256" w:lineRule="auto"/>
        <w:tabs>
          <w:tab w:leader="none" w:pos="168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spacing w:after="0" w:line="79" w:lineRule="exact"/>
        <w:rPr>
          <w:rFonts w:ascii="Times New Roman" w:cs="Times New Roman" w:eastAsia="Times New Roman" w:hAnsi="Times New Roman"/>
          <w:sz w:val="18"/>
          <w:szCs w:val="18"/>
          <w:color w:val="auto"/>
        </w:rPr>
      </w:pPr>
    </w:p>
    <w:p>
      <w:pPr>
        <w:ind w:right="80" w:firstLine="1428"/>
        <w:spacing w:after="0" w:line="282" w:lineRule="auto"/>
        <w:tabs>
          <w:tab w:leader="none" w:pos="167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53" w:lineRule="exact"/>
        <w:rPr>
          <w:rFonts w:ascii="Times New Roman" w:cs="Times New Roman" w:eastAsia="Times New Roman" w:hAnsi="Times New Roman"/>
          <w:sz w:val="18"/>
          <w:szCs w:val="18"/>
          <w:color w:val="auto"/>
        </w:rPr>
      </w:pPr>
    </w:p>
    <w:p>
      <w:pPr>
        <w:ind w:right="620" w:firstLine="1428"/>
        <w:spacing w:after="0" w:line="282" w:lineRule="auto"/>
        <w:tabs>
          <w:tab w:leader="none" w:pos="16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143" w:name="page144"/>
    <w:bookmarkEnd w:id="1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the Trustee may amend or supplement this Indenture or the Securities of one or more Series without the consent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Securityholder:</w:t>
      </w:r>
    </w:p>
    <w:p>
      <w:pPr>
        <w:spacing w:after="0" w:line="207" w:lineRule="exact"/>
        <w:rPr>
          <w:sz w:val="20"/>
          <w:szCs w:val="20"/>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as evidenced by an Officer Certificate;</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V;</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Securities of any Series or secure Securities of any Series;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the Company’s rights or powers under this Indenture;</w:t>
      </w:r>
    </w:p>
    <w:p>
      <w:pPr>
        <w:spacing w:after="0" w:line="225"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Securities of any Series;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Securities of any Series as permitted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44" w:name="page145"/>
    <w:bookmarkEnd w:id="144"/>
    <w:p>
      <w:pPr>
        <w:ind w:right="80" w:firstLine="1428"/>
        <w:spacing w:after="0" w:line="266" w:lineRule="auto"/>
        <w:tabs>
          <w:tab w:leader="none" w:pos="164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117"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67" w:lineRule="exact"/>
        <w:rPr>
          <w:rFonts w:ascii="Times New Roman" w:cs="Times New Roman" w:eastAsia="Times New Roman" w:hAnsi="Times New Roman"/>
          <w:sz w:val="18"/>
          <w:szCs w:val="18"/>
          <w:color w:val="auto"/>
        </w:rPr>
      </w:pPr>
    </w:p>
    <w:p>
      <w:pPr>
        <w:ind w:right="260" w:firstLine="436"/>
        <w:spacing w:after="0" w:line="282" w:lineRule="auto"/>
        <w:tabs>
          <w:tab w:leader="none" w:pos="74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991"/>
        <w:spacing w:after="0" w:line="273" w:lineRule="auto"/>
        <w:rPr>
          <w:sz w:val="20"/>
          <w:szCs w:val="20"/>
          <w:color w:val="auto"/>
        </w:rPr>
      </w:pPr>
      <w:r>
        <w:rPr>
          <w:rFonts w:ascii="Times New Roman" w:cs="Times New Roman" w:eastAsia="Times New Roman" w:hAnsi="Times New Roman"/>
          <w:sz w:val="17"/>
          <w:szCs w:val="17"/>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1"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each Securityholder affected, an amendment or waiver may not:</w:t>
      </w:r>
    </w:p>
    <w:p>
      <w:pPr>
        <w:spacing w:after="0" w:line="117" w:lineRule="exact"/>
        <w:rPr>
          <w:sz w:val="20"/>
          <w:szCs w:val="20"/>
          <w:color w:val="auto"/>
        </w:rPr>
      </w:pPr>
    </w:p>
    <w:p>
      <w:pPr>
        <w:jc w:val="center"/>
        <w:ind w:left="5360" w:right="1260" w:hanging="3932"/>
        <w:spacing w:after="0" w:line="454" w:lineRule="auto"/>
        <w:tabs>
          <w:tab w:leader="none" w:pos="167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Securities whose Holders must consent to an amendment, supplement or waiver; -38-</w:t>
      </w:r>
    </w:p>
    <w:p>
      <w:pPr>
        <w:sectPr>
          <w:pgSz w:w="11900" w:h="16838" w:orient="portrait"/>
          <w:cols w:equalWidth="0" w:num="1">
            <w:col w:w="10980"/>
          </w:cols>
          <w:pgMar w:left="440" w:top="270" w:right="479" w:bottom="1440" w:gutter="0" w:footer="0" w:header="0"/>
        </w:sectPr>
      </w:pPr>
    </w:p>
    <w:bookmarkStart w:id="145" w:name="page146"/>
    <w:bookmarkEnd w:id="145"/>
    <w:p>
      <w:pPr>
        <w:ind w:left="1680" w:hanging="252"/>
        <w:spacing w:after="0"/>
        <w:tabs>
          <w:tab w:leader="none" w:pos="1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reduce the rate of or extend the time for payment of interest (including default interest) on any Security;</w:t>
      </w:r>
    </w:p>
    <w:p>
      <w:pPr>
        <w:spacing w:after="0" w:line="117" w:lineRule="exact"/>
        <w:rPr>
          <w:rFonts w:ascii="Times New Roman" w:cs="Times New Roman" w:eastAsia="Times New Roman" w:hAnsi="Times New Roman"/>
          <w:sz w:val="18"/>
          <w:szCs w:val="18"/>
          <w:color w:val="auto"/>
        </w:rPr>
      </w:pPr>
    </w:p>
    <w:p>
      <w:pPr>
        <w:ind w:right="300" w:firstLine="1428"/>
        <w:spacing w:after="0" w:line="282" w:lineRule="auto"/>
        <w:tabs>
          <w:tab w:leader="none" w:pos="16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Security or reduce the amount of, or postpone the date fixed for, the payment of any sinking fund or analogous obligation;</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the maturity thereof;</w:t>
      </w:r>
    </w:p>
    <w:p>
      <w:pPr>
        <w:spacing w:after="0" w:line="117" w:lineRule="exact"/>
        <w:rPr>
          <w:rFonts w:ascii="Times New Roman" w:cs="Times New Roman" w:eastAsia="Times New Roman" w:hAnsi="Times New Roman"/>
          <w:sz w:val="18"/>
          <w:szCs w:val="18"/>
          <w:color w:val="auto"/>
        </w:rPr>
      </w:pPr>
    </w:p>
    <w:p>
      <w:pPr>
        <w:ind w:right="160" w:firstLine="1428"/>
        <w:spacing w:after="0" w:line="266" w:lineRule="auto"/>
        <w:tabs>
          <w:tab w:leader="none" w:pos="167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interest, if any, on any Security payable in any currency other than that stated in the Security;</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Sections 6.8, 6.13 or 9.3 (this sentence); 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Security, provided that such redemption is made at the Company’s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 hereto that complies with the TIA as then in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3"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146" w:name="page147"/>
    <w:bookmarkEnd w:id="146"/>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Jennifer D. Knapp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[__________]</w:t>
      </w:r>
    </w:p>
    <w:p>
      <w:pPr>
        <w:spacing w:after="0" w:line="207" w:lineRule="exact"/>
        <w:rPr>
          <w:sz w:val="20"/>
          <w:szCs w:val="20"/>
          <w:color w:val="auto"/>
        </w:rPr>
      </w:pPr>
    </w:p>
    <w:p>
      <w:pPr>
        <w:ind w:right="1120" w:firstLine="991"/>
        <w:spacing w:after="0" w:line="282" w:lineRule="auto"/>
        <w:rPr>
          <w:sz w:val="20"/>
          <w:szCs w:val="20"/>
          <w:color w:val="auto"/>
        </w:rPr>
      </w:pPr>
      <w:r>
        <w:rPr>
          <w:rFonts w:ascii="Times New Roman" w:cs="Times New Roman" w:eastAsia="Times New Roman" w:hAnsi="Times New Roman"/>
          <w:sz w:val="18"/>
          <w:szCs w:val="18"/>
          <w:color w:val="auto"/>
        </w:rPr>
        <w:t>The Company or the Trustee by notice to the other may designate additional or different addresses for subsequent notices or communications. Any notice or communication delivered to the Trustee shall be deemed effective upon actual receipt thereof.</w:t>
      </w:r>
    </w:p>
    <w:p>
      <w:pPr>
        <w:spacing w:after="0" w:line="162"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or published in the manner provided above, within the time prescribed, it is duly given, whether or not the Securityholder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sends a notice or communication to Securityholders, it shall send a copy to the Trustee and each Agent at the same time.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148" w:name="page149"/>
    <w:bookmarkEnd w:id="14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right="120" w:firstLine="1428"/>
        <w:spacing w:after="0" w:line="282" w:lineRule="auto"/>
        <w:tabs>
          <w:tab w:leader="none" w:pos="167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in the opinion of the signers, all conditions precedent, if any, provided for in this Indenture relating to the proposed action have been complied with; and</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have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4" w:lineRule="exact"/>
        <w:rPr>
          <w:sz w:val="20"/>
          <w:szCs w:val="20"/>
          <w:color w:val="auto"/>
        </w:rPr>
      </w:pPr>
    </w:p>
    <w:p>
      <w:pPr>
        <w:ind w:left="1680" w:hanging="252"/>
        <w:spacing w:after="0"/>
        <w:tabs>
          <w:tab w:leader="none" w:pos="1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right="140" w:firstLine="1428"/>
        <w:spacing w:after="0" w:line="282" w:lineRule="auto"/>
        <w:tabs>
          <w:tab w:leader="none" w:pos="167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300" w:firstLine="991"/>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Legal Holiday</w:t>
      </w:r>
      <w:r>
        <w:rPr>
          <w:rFonts w:ascii="Times New Roman" w:cs="Times New Roman" w:eastAsia="Times New Roman" w:hAnsi="Times New Roman"/>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00"/>
          </w:cols>
          <w:pgMar w:left="440" w:top="270" w:right="559" w:bottom="1440" w:gutter="0" w:footer="0" w:header="0"/>
        </w:sectPr>
      </w:pPr>
    </w:p>
    <w:bookmarkStart w:id="149" w:name="page150"/>
    <w:bookmarkEnd w:id="14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Waiver of Jury Trial; Consent to Jurisdiction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2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8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8"/>
          <w:szCs w:val="18"/>
          <w:i w:val="1"/>
          <w:iCs w:val="1"/>
          <w:color w:val="auto"/>
        </w:rPr>
        <w:t>Specified Courts</w:t>
      </w:r>
      <w:r>
        <w:rPr>
          <w:rFonts w:ascii="Times New Roman" w:cs="Times New Roman" w:eastAsia="Times New Roman" w:hAnsi="Times New Roman"/>
          <w:sz w:val="18"/>
          <w:szCs w:val="18"/>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50" w:name="page151"/>
    <w:bookmarkEnd w:id="15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Indenture and the Securities shall bind its successor.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540" w:firstLine="991"/>
        <w:spacing w:after="0" w:line="312"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Securities in a Foreign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9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151" w:name="page152"/>
    <w:bookmarkEnd w:id="1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day except a Saturday, Sunday or a Legal Holiday in The City of New York on which banking institutions are authorized or required by law, regulation or executive order to close.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SINKING FUNDS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8" w:right="479" w:bottom="1440" w:gutter="0" w:footer="0" w:header="0"/>
        </w:sectPr>
      </w:pPr>
    </w:p>
    <w:bookmarkStart w:id="152" w:name="page153"/>
    <w:bookmarkEnd w:id="152"/>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minimum amount of any sinking fund payment provided for by the terms of the Securities of any Series is herein referred to as a “</w:t>
      </w:r>
      <w:r>
        <w:rPr>
          <w:rFonts w:ascii="Times New Roman" w:cs="Times New Roman" w:eastAsia="Times New Roman" w:hAnsi="Times New Roman"/>
          <w:sz w:val="18"/>
          <w:szCs w:val="18"/>
          <w:i w:val="1"/>
          <w:iCs w:val="1"/>
          <w:color w:val="auto"/>
        </w:rPr>
        <w:t>mandatory sinking fund payment</w:t>
      </w:r>
      <w:r>
        <w:rPr>
          <w:rFonts w:ascii="Times New Roman" w:cs="Times New Roman" w:eastAsia="Times New Roman" w:hAnsi="Times New Roman"/>
          <w:sz w:val="18"/>
          <w:szCs w:val="18"/>
          <w:color w:val="auto"/>
        </w:rPr>
        <w:t>” and any other amount provided for by the terms of Securities of such Series is herein referred to as an “</w:t>
      </w:r>
      <w:r>
        <w:rPr>
          <w:rFonts w:ascii="Times New Roman" w:cs="Times New Roman" w:eastAsia="Times New Roman" w:hAnsi="Times New Roman"/>
          <w:sz w:val="18"/>
          <w:szCs w:val="18"/>
          <w:i w:val="1"/>
          <w:iCs w:val="1"/>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sinking fund payment</w:t>
      </w:r>
      <w:r>
        <w:rPr>
          <w:rFonts w:ascii="Times New Roman" w:cs="Times New Roman" w:eastAsia="Times New Roman" w:hAnsi="Times New Roman"/>
          <w:sz w:val="18"/>
          <w:szCs w:val="18"/>
          <w:color w:val="auto"/>
        </w:rPr>
        <w:t>.” If provided for by the terms of Securities of any Series, the cash amount of any sinking fund payment may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as provided in Section 11.2. Each sinking fund payment shall be applied to the redemption of Securities of any Series as provided for by the terms of the Securities of such Series.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153" w:name="page154"/>
    <w:bookmarkEnd w:id="15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440" w:top="270" w:right="5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day and year first above written.</w:t>
      </w:r>
    </w:p>
    <w:p>
      <w:pPr>
        <w:spacing w:after="0" w:line="26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17145</wp:posOffset>
            </wp:positionV>
            <wp:extent cx="34118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Its:</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17145</wp:posOffset>
            </wp:positionV>
            <wp:extent cx="34118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Its:</w:t>
      </w:r>
    </w:p>
    <w:p>
      <w:pPr>
        <w:sectPr>
          <w:pgSz w:w="11900" w:h="16838" w:orient="portrait"/>
          <w:cols w:equalWidth="0" w:num="1">
            <w:col w:w="9680"/>
          </w:cols>
          <w:pgMar w:left="1420" w:top="270" w:right="799" w:bottom="1440" w:gutter="0" w:footer="0" w:header="0"/>
        </w:sectPr>
      </w:pPr>
    </w:p>
    <w:bookmarkStart w:id="155" w:name="page156"/>
    <w:bookmarkEnd w:id="155"/>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354455" cy="5740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1354455" cy="574040"/>
                    </a:xfrm>
                    <a:prstGeom prst="rect">
                      <a:avLst/>
                    </a:prstGeom>
                    <a:noFill/>
                  </pic:spPr>
                </pic:pic>
              </a:graphicData>
            </a:graphic>
          </wp:anchor>
        </w:drawing>
      </w:r>
    </w:p>
    <w:p>
      <w:pPr>
        <w:spacing w:after="0" w:line="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 493-9300</w:t>
      </w:r>
    </w:p>
    <w:p>
      <w:pPr>
        <w:spacing w:after="0" w:line="3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(650) 493-6811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3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S-3 (the “Registration Statement”), filed by Tenaya Therapeutics, Inc., a Delaware corporation (the “Company”), with the Securities and Exchange Commission (the “Commission”) in connection with the registration pursuant to the Securities Act of 1933, as amended (the “Act”), of the Securities (as defined below).</w:t>
      </w:r>
    </w:p>
    <w:p>
      <w:pPr>
        <w:spacing w:after="0" w:line="176" w:lineRule="exact"/>
        <w:rPr>
          <w:sz w:val="20"/>
          <w:szCs w:val="20"/>
          <w:color w:val="auto"/>
        </w:rPr>
      </w:pPr>
    </w:p>
    <w:p>
      <w:pPr>
        <w:ind w:right="80" w:firstLine="440"/>
        <w:spacing w:after="0" w:line="270" w:lineRule="auto"/>
        <w:rPr>
          <w:sz w:val="20"/>
          <w:szCs w:val="20"/>
          <w:color w:val="auto"/>
        </w:rPr>
      </w:pPr>
      <w:r>
        <w:rPr>
          <w:rFonts w:ascii="Times New Roman" w:cs="Times New Roman" w:eastAsia="Times New Roman" w:hAnsi="Times New Roman"/>
          <w:sz w:val="17"/>
          <w:szCs w:val="17"/>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(a) shares of the Company’s common stock, $0.0001 par value per share (the “Common Stock”); (b) shares of the Company’s preferred stock, $0.0001 par value per share (the “Preferred Stock”); (c) the Company’s debt securities (the “Debt Securities”); (d) depositary shares of the Company representing a fractional interest in a share of Preferred Stock (the “Depositary Shares”); (e) warrants to purchase any of the securities above (the “Warrants”); (f) subscription rights to purchase Common Stock, Preferred Stock, Debt Securities, Depositary Shares, Warrants or units consisting of some or all of these securities (the “Subscription Rights”); (g) purchase contracts of the Company with respect to the securities of the Company (the “Purchase Contracts”); and (h) units consisting of two or more securities described above in any combination (the “Units”) (the Common Stock, the Preferred Stock, the Debt Securities, the Depositary Shares, the Warrants, the Subscription Rights, the Purchase Contracts and the Units are collectively referred to herein as the “Securities”).</w:t>
      </w:r>
    </w:p>
    <w:p>
      <w:pPr>
        <w:spacing w:after="0" w:line="17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advise you that we have also examined the prospectus supplement to the Registration Statement in connection with the registration under the Act of up to $75,000,000 in Common Stock (the “Shares”) to be issued and sold by the Company. We understand that the Company has agreed to issue and sell the Shares from time to time through SVB Securities LLC, as sales agent (the “Agent”), pursuant to a sales agreement by and between the Company and the Agent (the “Sales Agreement”).</w:t>
      </w:r>
    </w:p>
    <w:p>
      <w:pPr>
        <w:spacing w:after="0" w:line="108"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4"/>
          <w:szCs w:val="14"/>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1020"/>
          </w:cols>
          <w:pgMar w:left="440" w:top="117"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37235" cy="3346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37235" cy="334645"/>
                    </a:xfrm>
                    <a:prstGeom prst="rect">
                      <a:avLst/>
                    </a:prstGeom>
                    <a:noFill/>
                  </pic:spPr>
                </pic:pic>
              </a:graphicData>
            </a:graphic>
          </wp:anchor>
        </w:drawing>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a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or similar agreement in substantially the form to be filed under the Registration Statement or a Current Report on Form 8-K. The Debt Securities are to be issued in the form set forth in the Indenture. The Indenture may be supplemented in connection with the issuance of each such series of Debt Securities, by a supplemental indenture or other appropriate action of the Company creating such series of Debt Securities.</w:t>
      </w:r>
    </w:p>
    <w:p>
      <w:pPr>
        <w:spacing w:after="0" w:line="18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We have examined instruments, documents, certificates and records that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instruments, documents, certificates and records we have reviewed; (d) that the Registration Statement, and any amendments thereto (including post-effective amendments), will have become effective under the Act; (e) that a Prospectus Supplement will have been filed with the Commission describing the Securities offered thereby; (f) that the Securities will be issued and sold in compliance with applicable U.S. federal and state securities laws and in the manner stated in the Registration Statement and the applicable Prospectus Supplement; (g) that a definitive purchase, underwriting or similar agreement with respect to any Securities offered will have been duly authorized and validly executed and delivered by the Company and the other parties thereto; (h) that any Securities issuable upon conversion, exchange, redemption or exercise of any Securities being offered will be duly authorized, created and, if appropriate, reserved for issuance upon such conversion, exchange, redemption or exercise; (i) with respect to shares of Common Stock or Preferred Stock, that there will be sufficient shares of Common Stock or Preferred Stock authorized under the Company’s organizational documents that are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225" w:lineRule="exact"/>
        <w:rPr>
          <w:sz w:val="20"/>
          <w:szCs w:val="20"/>
          <w:color w:val="auto"/>
        </w:rPr>
      </w:pPr>
    </w:p>
    <w:p>
      <w:pPr>
        <w:ind w:firstLine="436"/>
        <w:spacing w:after="0" w:line="254" w:lineRule="auto"/>
        <w:tabs>
          <w:tab w:leader="none" w:pos="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shares of Common Stock,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duly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ectPr>
          <w:pgSz w:w="11900" w:h="16838" w:orient="portrait"/>
          <w:cols w:equalWidth="0" w:num="1">
            <w:col w:w="11020"/>
          </w:cols>
          <w:pgMar w:left="440" w:top="904" w:right="439" w:bottom="1440" w:gutter="0" w:footer="0" w:header="0"/>
        </w:sectPr>
      </w:pPr>
    </w:p>
    <w:bookmarkStart w:id="157" w:name="page158"/>
    <w:bookmarkEnd w:id="15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37235" cy="3346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737235" cy="334645"/>
                    </a:xfrm>
                    <a:prstGeom prst="rect">
                      <a:avLst/>
                    </a:prstGeom>
                    <a:noFill/>
                  </pic:spPr>
                </pic:pic>
              </a:graphicData>
            </a:graphic>
          </wp:anchor>
        </w:drawing>
        <w:t>Tenaya Therapeutics,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10,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right="240" w:firstLine="436"/>
        <w:spacing w:after="0" w:line="270" w:lineRule="auto"/>
        <w:tabs>
          <w:tab w:leader="none" w:pos="624"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General Corporation Law of the State of Delaware (the “DGCL”) and the filing of the Certificate with the Secretary of State of the State of Delaware; and (b) the shares of Preferred Stock have been duly delivered either</w:t>
      </w:r>
    </w:p>
    <w:p>
      <w:pPr>
        <w:spacing w:after="0" w:line="2" w:lineRule="exact"/>
        <w:rPr>
          <w:rFonts w:ascii="Times New Roman" w:cs="Times New Roman" w:eastAsia="Times New Roman" w:hAnsi="Times New Roman"/>
          <w:sz w:val="17"/>
          <w:szCs w:val="17"/>
          <w:color w:val="auto"/>
        </w:rPr>
      </w:pPr>
    </w:p>
    <w:p>
      <w:pPr>
        <w:ind w:left="4" w:right="100" w:hanging="4"/>
        <w:spacing w:after="0" w:line="250" w:lineRule="auto"/>
        <w:tabs>
          <w:tab w:leader="none" w:pos="21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w:t>
      </w:r>
    </w:p>
    <w:p>
      <w:pPr>
        <w:ind w:left="4" w:right="20" w:hanging="4"/>
        <w:spacing w:after="0" w:line="255" w:lineRule="auto"/>
        <w:tabs>
          <w:tab w:leader="none" w:pos="26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or exercise of any other Security, in accordance with the terms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18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2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a Form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or similar agreement approved by the Board, or upon the exercise of Warrants to purchase Debt Securities, upon payment of the consideration therefor provided for therein, such Debt Securities will constitute valid and binding obligations of the Company, enforceable against the Company in accordance with their terms, and entitled to the benefits of the Indenture.</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fully paid and nonassessable.</w:t>
      </w:r>
    </w:p>
    <w:p>
      <w:pPr>
        <w:sectPr>
          <w:pgSz w:w="11900" w:h="16838" w:orient="portrait"/>
          <w:cols w:equalWidth="0" w:num="1">
            <w:col w:w="11004"/>
          </w:cols>
          <w:pgMar w:left="436" w:top="904"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37235" cy="3346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737235" cy="334645"/>
                    </a:xfrm>
                    <a:prstGeom prst="rect">
                      <a:avLst/>
                    </a:prstGeom>
                    <a:noFill/>
                  </pic:spPr>
                </pic:pic>
              </a:graphicData>
            </a:graphic>
          </wp:anchor>
        </w:drawing>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firstLine="436"/>
        <w:spacing w:after="0" w:line="258" w:lineRule="auto"/>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as applicable, duly authorized, executed and delivered by the Company and a warrant agent and the certificates for the Warrants have been duly executed and delivered by the Company and such warrant agent, then the Warrants will constitute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and upon payment of the consideration for the Subscription Rights provided for in such rights agreement, if any, then the Subscription Rights will be valid and binding obligations of the Company, enforceable against the Company in accordance with their terms.</w:t>
      </w:r>
    </w:p>
    <w:p>
      <w:pPr>
        <w:spacing w:after="0" w:line="183" w:lineRule="exact"/>
        <w:rPr>
          <w:rFonts w:ascii="Times New Roman" w:cs="Times New Roman" w:eastAsia="Times New Roman" w:hAnsi="Times New Roman"/>
          <w:sz w:val="18"/>
          <w:szCs w:val="18"/>
          <w:color w:val="auto"/>
        </w:rPr>
      </w:pPr>
    </w:p>
    <w:p>
      <w:pPr>
        <w:ind w:right="100" w:firstLine="436"/>
        <w:spacing w:after="0" w:line="261" w:lineRule="auto"/>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Purchase Contracts, when: (a) the Board has taken all necessary corporate action to approve the issuance and terms of the Purchase Contracts and related matters and (b) the agreement under which the Purchase Contracts are to be issued has been duly authorized and validly executed and delivered by the Company, then the Purchase Contracts will be valid and binding obligations of the Company, enforceable against the Company in accordance with their terms.</w:t>
      </w:r>
    </w:p>
    <w:p>
      <w:pPr>
        <w:spacing w:after="0" w:line="179"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constitute valid and binding obligations of the Company, enforceable against the Company in accordance with their terms.</w:t>
      </w:r>
    </w:p>
    <w:p>
      <w:pPr>
        <w:spacing w:after="0" w:line="187"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and sold by the Company have been duly authorized and, when such Shares are issued and delivered by the Company against payment therefor in accordance with the terms of the Sales Agreement, will be validly issued, fully paid and nonassessable.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w:t>
      </w:r>
    </w:p>
    <w:p>
      <w:pPr>
        <w:spacing w:after="0" w:line="225" w:lineRule="exact"/>
        <w:rPr>
          <w:sz w:val="20"/>
          <w:szCs w:val="20"/>
          <w:color w:val="auto"/>
        </w:rPr>
      </w:pPr>
    </w:p>
    <w:p>
      <w:pPr>
        <w:ind w:right="420" w:firstLine="987"/>
        <w:spacing w:after="0" w:line="282" w:lineRule="auto"/>
        <w:tabs>
          <w:tab w:leader="none" w:pos="12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bankruptcy, insolvency, reorganization, arrangement, fraudulent transfer, moratorium or other similar laws relating to or affecting the rights of creditors generally;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indemnification and contribution, which may be limited by applicable law or equitable principles; and</w:t>
      </w:r>
    </w:p>
    <w:p>
      <w:pPr>
        <w:sectPr>
          <w:pgSz w:w="11900" w:h="16838" w:orient="portrait"/>
          <w:cols w:equalWidth="0" w:num="1">
            <w:col w:w="11000"/>
          </w:cols>
          <w:pgMar w:left="440" w:top="904"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37235" cy="3346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37235" cy="334645"/>
                    </a:xfrm>
                    <a:prstGeom prst="rect">
                      <a:avLst/>
                    </a:prstGeom>
                    <a:noFill/>
                  </pic:spPr>
                </pic:pic>
              </a:graphicData>
            </a:graphic>
          </wp:anchor>
        </w:drawing>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right="60" w:firstLine="1979"/>
        <w:spacing w:after="0" w:line="312" w:lineRule="auto"/>
        <w:tabs>
          <w:tab w:leader="none" w:pos="2227"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general principles of equity, including without limitation concepts of materiality, reasonableness, good faith and fair dealing, and the possible unavailability of specific performance or injunctive relief, whether considered in a proceeding in equity or at law.</w:t>
      </w:r>
    </w:p>
    <w:p>
      <w:pPr>
        <w:spacing w:after="0" w:line="14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the laws of the State of New York as to the enforceability of the Debt Securities and the DGCL.</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0940"/>
          </w:cols>
          <w:pgMar w:left="440" w:top="904" w:right="5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737235" cy="3346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737235" cy="334645"/>
                    </a:xfrm>
                    <a:prstGeom prst="rect">
                      <a:avLst/>
                    </a:prstGeom>
                    <a:noFill/>
                  </pic:spPr>
                </pic:pic>
              </a:graphicData>
            </a:graphic>
          </wp:anchor>
        </w:drawing>
        <w:t>Tenaya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above-referenced Registration Statement and to the use of our name wherever it appears in the Registration Statement, the Prospectus, any Prospectus Supplement, and in any amendment or supplement thereto. In giving such consent, we do not thereby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1000"/>
          </w:cols>
          <w:pgMar w:left="440" w:top="904" w:right="45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our report dated March 23, 2022, relating to the financial statements of Tenaya Therapeutics, Inc. (the “Company”) appearing in the Annual Report on Form 10-K of the Company for the year ended December 31, 2021.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10, 2022</w:t>
      </w:r>
    </w:p>
    <w:p>
      <w:pPr>
        <w:sectPr>
          <w:pgSz w:w="11900" w:h="16838" w:orient="portrait"/>
          <w:cols w:equalWidth="0" w:num="1">
            <w:col w:w="11020"/>
          </w:cols>
          <w:pgMar w:left="440" w:top="117" w:right="4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203"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TENAYA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360" w:type="dxa"/>
            <w:vAlign w:val="bottom"/>
            <w:tcBorders>
              <w:top w:val="single" w:sz="8" w:color="auto"/>
              <w:left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rPr>
                <w:sz w:val="12"/>
                <w:szCs w:val="12"/>
                <w:color w:val="auto"/>
              </w:rPr>
            </w:pPr>
          </w:p>
        </w:tc>
        <w:tc>
          <w:tcPr>
            <w:tcW w:w="166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Maximum</w:t>
            </w: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r>
      <w:tr>
        <w:trPr>
          <w:trHeight w:val="140"/>
        </w:trPr>
        <w:tc>
          <w:tcPr>
            <w:tcW w:w="136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7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rPr>
              <w:t>Fee</w:t>
            </w:r>
          </w:p>
        </w:tc>
        <w:tc>
          <w:tcPr>
            <w:tcW w:w="14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Aggregate</w:t>
            </w: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1360" w:type="dxa"/>
            <w:vAlign w:val="bottom"/>
            <w:tcBorders>
              <w:left w:val="single" w:sz="8" w:color="auto"/>
              <w:right w:val="single" w:sz="8" w:color="auto"/>
            </w:tcBorders>
          </w:tcPr>
          <w:p>
            <w:pPr>
              <w:spacing w:after="0"/>
              <w:rPr>
                <w:sz w:val="11"/>
                <w:szCs w:val="11"/>
                <w:color w:val="auto"/>
              </w:rPr>
            </w:pPr>
          </w:p>
        </w:tc>
        <w:tc>
          <w:tcPr>
            <w:tcW w:w="14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00" w:type="dxa"/>
            <w:vAlign w:val="bottom"/>
            <w:tcBorders>
              <w:right w:val="single" w:sz="8" w:color="auto"/>
            </w:tcBorders>
          </w:tcPr>
          <w:p>
            <w:pPr>
              <w:ind w:left="440"/>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74"/>
        </w:trPr>
        <w:tc>
          <w:tcPr>
            <w:tcW w:w="1360" w:type="dxa"/>
            <w:vAlign w:val="bottom"/>
            <w:tcBorders>
              <w:left w:val="single" w:sz="8" w:color="auto"/>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Type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Price</w:t>
            </w:r>
          </w:p>
        </w:tc>
        <w:tc>
          <w:tcPr>
            <w:tcW w:w="100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Rate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r>
      <w:tr>
        <w:trPr>
          <w:trHeight w:val="206"/>
        </w:trPr>
        <w:tc>
          <w:tcPr>
            <w:tcW w:w="1360" w:type="dxa"/>
            <w:vAlign w:val="bottom"/>
            <w:tcBorders>
              <w:left w:val="single" w:sz="8" w:color="auto"/>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 par</w:t>
            </w:r>
          </w:p>
        </w:tc>
        <w:tc>
          <w:tcPr>
            <w:tcW w:w="7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$0.0001 per</w:t>
            </w:r>
          </w:p>
        </w:tc>
        <w:tc>
          <w:tcPr>
            <w:tcW w:w="7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136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 par</w:t>
            </w:r>
          </w:p>
        </w:tc>
        <w:tc>
          <w:tcPr>
            <w:tcW w:w="7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16"/>
        </w:trPr>
        <w:tc>
          <w:tcPr>
            <w:tcW w:w="1360" w:type="dxa"/>
            <w:vAlign w:val="bottom"/>
            <w:tcBorders>
              <w:left w:val="single" w:sz="8" w:color="auto"/>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$0.0001 per</w:t>
            </w:r>
          </w:p>
        </w:tc>
        <w:tc>
          <w:tcPr>
            <w:tcW w:w="7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Debt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Depositary Shares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Subscription Rights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 Contracts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36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Units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36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Fees to Be Paid</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Unallocated</w:t>
            </w:r>
          </w:p>
        </w:tc>
        <w:tc>
          <w:tcPr>
            <w:tcW w:w="74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41"/>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(Universal) Shelf</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(Universal) Shelf(1)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$300,000,000(3)</w:t>
            </w:r>
          </w:p>
        </w:tc>
        <w:tc>
          <w:tcPr>
            <w:tcW w:w="1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$0.0000927</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$27,810</w:t>
            </w:r>
          </w:p>
        </w:tc>
      </w:tr>
      <w:tr>
        <w:trPr>
          <w:trHeight w:val="239"/>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left="714"/>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7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$300,000,000(3)</w:t>
            </w:r>
          </w:p>
        </w:tc>
        <w:tc>
          <w:tcPr>
            <w:tcW w:w="1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$0.0000927</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$27,810</w:t>
            </w:r>
          </w:p>
        </w:tc>
      </w:tr>
      <w:tr>
        <w:trPr>
          <w:trHeight w:val="237"/>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left="714"/>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3120" w:type="dxa"/>
            <w:vAlign w:val="bottom"/>
            <w:tcBorders>
              <w:bottom w:val="single" w:sz="8" w:color="auto"/>
            </w:tcBorders>
            <w:gridSpan w:val="2"/>
          </w:tcPr>
          <w:p>
            <w:pPr>
              <w:jc w:val="center"/>
              <w:ind w:left="734"/>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7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36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w w:val="98"/>
              </w:rPr>
              <w:t>Net Fee Due</w:t>
            </w:r>
          </w:p>
        </w:tc>
        <w:tc>
          <w:tcPr>
            <w:tcW w:w="74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$27,810</w:t>
            </w:r>
          </w:p>
        </w:tc>
      </w:tr>
    </w:tbl>
    <w:p>
      <w:pPr>
        <w:spacing w:after="0" w:line="198" w:lineRule="exact"/>
        <w:rPr>
          <w:sz w:val="20"/>
          <w:szCs w:val="20"/>
          <w:color w:val="auto"/>
        </w:rPr>
      </w:pPr>
    </w:p>
    <w:p>
      <w:pPr>
        <w:ind w:left="4" w:right="680" w:hanging="4"/>
        <w:spacing w:after="0" w:line="276" w:lineRule="auto"/>
        <w:tabs>
          <w:tab w:leader="none" w:pos="25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registered hereunder include such indeterminate number of (a) shares of common stock, (b) shares of preferred stock, (c) debt securities, (d) depositary shares, (e) warrants to purchase common stock, preferred stock, debt securities or depositary shares of the registrant,</w:t>
      </w:r>
    </w:p>
    <w:p>
      <w:pPr>
        <w:ind w:left="4"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 subscription rights to purchase common stock, preferred stock, debt securities, depositary shares, warrants or units consisting of some or all of these securities of the registrant, (g) purchase contracts, and (h) units consisting of some or all of these securities, as may be sold from time to time by the registrant. There are also being registered hereunder an indeterminate number of shares of common stock and preferred stock as shall be issuable upon conversion, exchange or exercise of any securities that provide for such issuance. 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189" w:lineRule="exact"/>
        <w:rPr>
          <w:rFonts w:ascii="Times New Roman" w:cs="Times New Roman" w:eastAsia="Times New Roman" w:hAnsi="Times New Roman"/>
          <w:sz w:val="17"/>
          <w:szCs w:val="17"/>
          <w:color w:val="auto"/>
        </w:rPr>
      </w:pPr>
    </w:p>
    <w:p>
      <w:pPr>
        <w:ind w:left="4" w:right="140" w:hanging="4"/>
        <w:spacing w:after="0" w:line="261" w:lineRule="auto"/>
        <w:tabs>
          <w:tab w:leader="none" w:pos="2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Separate consideration may or may not be received for securities that are issuable on exercise, conversion or exchange of other securities, or that are issued in units.</w:t>
      </w:r>
    </w:p>
    <w:p>
      <w:pPr>
        <w:spacing w:after="0" w:line="179" w:lineRule="exact"/>
        <w:rPr>
          <w:rFonts w:ascii="Times New Roman" w:cs="Times New Roman" w:eastAsia="Times New Roman" w:hAnsi="Times New Roman"/>
          <w:sz w:val="18"/>
          <w:szCs w:val="18"/>
          <w:color w:val="auto"/>
        </w:rPr>
      </w:pPr>
    </w:p>
    <w:p>
      <w:pPr>
        <w:ind w:left="4" w:right="60" w:hanging="4"/>
        <w:spacing w:after="0" w:line="282" w:lineRule="auto"/>
        <w:tabs>
          <w:tab w:leader="none" w:pos="2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Subject to Rule 462(b) under the Securities Act, the aggregate maximum offering price of all securities issued by the registrant pursuant to this registration statement will not exceed $300,000,000.</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1)"/>
      <w:numFmt w:val="decimal"/>
      <w:start w:val="650"/>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1)"/>
      <w:numFmt w:val="lowerLetter"/>
      <w:start w:val="1"/>
    </w:lvl>
    <w:lvl w:ilvl="1">
      <w:lvlJc w:val="left"/>
      <w:lvlText w:val="(%2)"/>
      <w:numFmt w:val="decimal"/>
      <w:start w:val="1"/>
    </w:lvl>
  </w:abstractNum>
  <w:abstractNum w:abstractNumId="33">
    <w:nsid w:val="39EE015C"/>
    <w:multiLevelType w:val="hybridMultilevel"/>
    <w:lvl w:ilvl="0">
      <w:lvlJc w:val="left"/>
      <w:lvlText w:val="(%1)"/>
      <w:numFmt w:val="lowerRoman"/>
      <w:start w:val="1"/>
    </w:lvl>
  </w:abstractNum>
  <w:abstractNum w:abstractNumId="34">
    <w:nsid w:val="57FC4FBB"/>
    <w:multiLevelType w:val="hybridMultilevel"/>
    <w:lvl w:ilvl="0">
      <w:lvlJc w:val="left"/>
      <w:lvlText w:val="(%1)"/>
      <w:numFmt w:val="lowerRoman"/>
      <w:start w:val="2"/>
    </w:lvl>
  </w:abstractNum>
  <w:abstractNum w:abstractNumId="35">
    <w:nsid w:val="CC1016F"/>
    <w:multiLevelType w:val="hybridMultilevel"/>
    <w:lvl w:ilvl="0">
      <w:lvlJc w:val="left"/>
      <w:lvlText w:val="(%1)"/>
      <w:numFmt w:val="decimal"/>
      <w:start w:val="2"/>
    </w:lvl>
    <w:lvl w:ilvl="1">
      <w:lvlJc w:val="left"/>
      <w:lvlText w:val="(%2)"/>
      <w:numFmt w:val="lowerRoman"/>
      <w:start w:val="1"/>
    </w:lvl>
  </w:abstractNum>
  <w:abstractNum w:abstractNumId="36">
    <w:nsid w:val="43F1842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37">
    <w:nsid w:val="60EF0119"/>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8">
    <w:nsid w:val="26F324B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9">
    <w:nsid w:val="7F01579B"/>
    <w:multiLevelType w:val="hybridMultilevel"/>
    <w:lvl w:ilvl="0">
      <w:lvlJc w:val="left"/>
      <w:lvlText w:val="%1."/>
      <w:numFmt w:val="decimal"/>
      <w:start w:val="1"/>
    </w:lvl>
  </w:abstractNum>
  <w:abstractNum w:abstractNumId="40">
    <w:nsid w:val="49DA307D"/>
    <w:multiLevelType w:val="hybridMultilevel"/>
    <w:lvl w:ilvl="0">
      <w:lvlJc w:val="left"/>
      <w:lvlText w:val="%1."/>
      <w:numFmt w:val="decimal"/>
      <w:start w:val="2"/>
    </w:lvl>
  </w:abstractNum>
  <w:abstractNum w:abstractNumId="41">
    <w:nsid w:val="7055A5F5"/>
    <w:multiLevelType w:val="hybridMultilevel"/>
    <w:lvl w:ilvl="0">
      <w:lvlJc w:val="left"/>
      <w:lvlText w:val="%1"/>
      <w:numFmt w:val="lowerRoman"/>
      <w:start w:val="1"/>
    </w:lvl>
    <w:lvl w:ilvl="1">
      <w:lvlJc w:val="left"/>
      <w:lvlText w:val="%2."/>
      <w:numFmt w:val="decimal"/>
      <w:start w:val="3"/>
    </w:lvl>
  </w:abstractNum>
  <w:abstractNum w:abstractNumId="42">
    <w:nsid w:val="5FB8370B"/>
    <w:multiLevelType w:val="hybridMultilevel"/>
    <w:lvl w:ilvl="0">
      <w:lvlJc w:val="left"/>
      <w:lvlText w:val="(%1)"/>
      <w:numFmt w:val="lowerRoman"/>
      <w:start w:val="3"/>
    </w:lvl>
    <w:lvl w:ilvl="1">
      <w:lvlJc w:val="left"/>
      <w:lvlText w:val="%2."/>
      <w:numFmt w:val="decimal"/>
      <w:start w:val="4"/>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1)"/>
      <w:numFmt w:val="lowerLetter"/>
      <w:start w:val="2"/>
    </w:lvl>
  </w:abstractNum>
  <w:abstractNum w:abstractNumId="45">
    <w:nsid w:val="5FB8011C"/>
    <w:multiLevelType w:val="hybridMultilevel"/>
    <w:lvl w:ilvl="0">
      <w:lvlJc w:val="left"/>
      <w:lvlText w:val="%1."/>
      <w:numFmt w:val="decimal"/>
      <w:start w:val="5"/>
    </w:lvl>
  </w:abstractNum>
  <w:abstractNum w:abstractNumId="46">
    <w:nsid w:val="6AA78F7F"/>
    <w:multiLevelType w:val="hybridMultilevel"/>
    <w:lvl w:ilvl="0">
      <w:lvlJc w:val="left"/>
      <w:lvlText w:val="%1"/>
      <w:numFmt w:val="lowerLetter"/>
      <w:start w:val="1"/>
    </w:lvl>
    <w:lvl w:ilvl="1">
      <w:lvlJc w:val="left"/>
      <w:lvlText w:val="(%2)"/>
      <w:numFmt w:val="lowerLetter"/>
      <w:start w:val="1"/>
    </w:lvl>
  </w:abstractNum>
  <w:abstractNum w:abstractNumId="47">
    <w:nsid w:val="7672BD23"/>
    <w:multiLevelType w:val="hybridMultilevel"/>
    <w:lvl w:ilvl="0">
      <w:lvlJc w:val="left"/>
      <w:lvlText w:val="(%1)"/>
      <w:numFmt w:val="lowerLetter"/>
      <w:start w:val="35"/>
    </w:lvl>
    <w:lvl w:ilvl="1">
      <w:lvlJc w:val="left"/>
      <w:lvlText w:val="(%2)"/>
      <w:numFmt w:val="lowerLetter"/>
      <w:start w:val="2"/>
    </w:lvl>
  </w:abstractNum>
  <w:abstractNum w:abstractNumId="48">
    <w:nsid w:val="6FC75AF8"/>
    <w:multiLevelType w:val="hybridMultilevel"/>
    <w:lvl w:ilvl="0">
      <w:lvlJc w:val="left"/>
      <w:lvlText w:val="(%1)"/>
      <w:numFmt w:val="lowerLetter"/>
      <w:start w:val="3"/>
    </w:lvl>
  </w:abstractNum>
  <w:abstractNum w:abstractNumId="49">
    <w:nsid w:val="6A5F7029"/>
    <w:multiLevelType w:val="hybridMultilevel"/>
    <w:lvl w:ilvl="0">
      <w:lvlJc w:val="left"/>
      <w:lvlText w:val="%1."/>
      <w:numFmt w:val="decimal"/>
      <w:start w:val="6"/>
    </w:lvl>
  </w:abstractNum>
  <w:abstractNum w:abstractNumId="50">
    <w:nsid w:val="7D5E18F8"/>
    <w:multiLevelType w:val="hybridMultilevel"/>
    <w:lvl w:ilvl="0">
      <w:lvlJc w:val="left"/>
      <w:lvlText w:val="(%1)"/>
      <w:numFmt w:val="lowerLetter"/>
      <w:start w:val="1"/>
    </w:lvl>
  </w:abstractNum>
  <w:abstractNum w:abstractNumId="51">
    <w:nsid w:val="5F3534A4"/>
    <w:multiLevelType w:val="hybridMultilevel"/>
    <w:lvl w:ilvl="0">
      <w:lvlJc w:val="left"/>
      <w:lvlText w:val="(%1)"/>
      <w:numFmt w:val="lowerLetter"/>
      <w:start w:val="2"/>
    </w:lvl>
  </w:abstractNum>
  <w:abstractNum w:abstractNumId="52">
    <w:nsid w:val="73A1821B"/>
    <w:multiLevelType w:val="hybridMultilevel"/>
    <w:lvl w:ilvl="0">
      <w:lvlJc w:val="left"/>
      <w:lvlText w:val="(%1)"/>
      <w:numFmt w:val="lowerLetter"/>
      <w:start w:val="6"/>
    </w:lvl>
  </w:abstractNum>
  <w:abstractNum w:abstractNumId="53">
    <w:nsid w:val="7DE67713"/>
    <w:multiLevelType w:val="hybridMultilevel"/>
    <w:lvl w:ilvl="0">
      <w:lvlJc w:val="left"/>
      <w:lvlText w:val="(%1)"/>
      <w:numFmt w:val="lowerLetter"/>
      <w:start w:val="13"/>
    </w:lvl>
  </w:abstractNum>
  <w:abstractNum w:abstractNumId="54">
    <w:nsid w:val="555C55B5"/>
    <w:multiLevelType w:val="hybridMultilevel"/>
    <w:lvl w:ilvl="0">
      <w:lvlJc w:val="left"/>
      <w:lvlText w:val="%1"/>
      <w:numFmt w:val="lowerLetter"/>
      <w:start w:val="1"/>
    </w:lvl>
    <w:lvl w:ilvl="1">
      <w:lvlJc w:val="left"/>
      <w:lvlText w:val="(%2)"/>
      <w:numFmt w:val="lowerLetter"/>
      <w:start w:val="16"/>
    </w:lvl>
  </w:abstractNum>
  <w:abstractNum w:abstractNumId="55">
    <w:nsid w:val="3FA62ACA"/>
    <w:multiLevelType w:val="hybridMultilevel"/>
    <w:lvl w:ilvl="0">
      <w:lvlJc w:val="left"/>
      <w:lvlText w:val="(%1)"/>
      <w:numFmt w:val="lowerLetter"/>
      <w:start w:val="61"/>
    </w:lvl>
    <w:lvl w:ilvl="1">
      <w:lvlJc w:val="left"/>
      <w:lvlText w:val="(%2)"/>
      <w:numFmt w:val="lowerLetter"/>
      <w:start w:val="20"/>
    </w:lvl>
  </w:abstractNum>
  <w:abstractNum w:abstractNumId="56">
    <w:nsid w:val="14FCE74E"/>
    <w:multiLevelType w:val="hybridMultilevel"/>
    <w:lvl w:ilvl="0">
      <w:lvlJc w:val="left"/>
      <w:lvlText w:val="(%1)"/>
      <w:numFmt w:val="lowerLetter"/>
      <w:start w:val="22"/>
    </w:lvl>
  </w:abstractNum>
  <w:abstractNum w:abstractNumId="57">
    <w:nsid w:val="6A3DD3E8"/>
    <w:multiLevelType w:val="hybridMultilevel"/>
    <w:lvl w:ilvl="0">
      <w:lvlJc w:val="left"/>
      <w:lvlText w:val="(%1)"/>
      <w:numFmt w:val="lowerLetter"/>
      <w:start w:val="27"/>
    </w:lvl>
  </w:abstractNum>
  <w:abstractNum w:abstractNumId="58">
    <w:nsid w:val="71C91298"/>
    <w:multiLevelType w:val="hybridMultilevel"/>
    <w:lvl w:ilvl="0">
      <w:lvlJc w:val="left"/>
      <w:lvlText w:val="(%1)"/>
      <w:numFmt w:val="lowerLetter"/>
      <w:start w:val="32"/>
    </w:lvl>
  </w:abstractNum>
  <w:abstractNum w:abstractNumId="59">
    <w:nsid w:val="9DAF632"/>
    <w:multiLevelType w:val="hybridMultilevel"/>
    <w:lvl w:ilvl="0">
      <w:lvlJc w:val="left"/>
      <w:lvlText w:val="(%1)"/>
      <w:numFmt w:val="lowerLetter"/>
      <w:start w:val="36"/>
    </w:lvl>
    <w:lvl w:ilvl="1">
      <w:lvlJc w:val="left"/>
      <w:lvlText w:val="(%2)"/>
      <w:numFmt w:val="lowerLetter"/>
      <w:start w:val="60"/>
    </w:lvl>
    <w:lvl w:ilvl="2">
      <w:lvlJc w:val="left"/>
      <w:lvlText w:val="(%3)"/>
      <w:numFmt w:val="lowerLetter"/>
      <w:start w:val="34"/>
    </w:lvl>
    <w:lvl w:ilvl="3">
      <w:lvlJc w:val="left"/>
      <w:lvlText w:val="(%4)"/>
      <w:numFmt w:val="lowerLetter"/>
      <w:start w:val="1"/>
    </w:lvl>
    <w:lvl w:ilvl="4">
      <w:lvlJc w:val="left"/>
      <w:lvlText w:val="(%5)"/>
      <w:numFmt w:val="lowerLetter"/>
      <w:start w:val="1"/>
    </w:lvl>
  </w:abstractNum>
  <w:abstractNum w:abstractNumId="60">
    <w:nsid w:val="53299938"/>
    <w:multiLevelType w:val="hybridMultilevel"/>
    <w:lvl w:ilvl="0">
      <w:lvlJc w:val="left"/>
      <w:lvlText w:val="(%1)"/>
      <w:numFmt w:val="upperLetter"/>
      <w:start w:val="1"/>
    </w:lvl>
    <w:lvl w:ilvl="1">
      <w:lvlJc w:val="left"/>
      <w:lvlText w:val="(%2)"/>
      <w:numFmt w:val="lowerLetter"/>
      <w:start w:val="39"/>
    </w:lvl>
  </w:abstractNum>
  <w:abstractNum w:abstractNumId="61">
    <w:nsid w:val="1FBFE8E0"/>
    <w:multiLevelType w:val="hybridMultilevel"/>
    <w:lvl w:ilvl="0">
      <w:lvlJc w:val="left"/>
      <w:lvlText w:val="(%1)"/>
      <w:numFmt w:val="lowerLetter"/>
      <w:start w:val="40"/>
    </w:lvl>
    <w:lvl w:ilvl="1">
      <w:lvlJc w:val="left"/>
      <w:lvlText w:val="(%2)"/>
      <w:numFmt w:val="lowerRoman"/>
      <w:start w:val="1"/>
    </w:lvl>
  </w:abstractNum>
  <w:abstractNum w:abstractNumId="62">
    <w:nsid w:val="5092CA79"/>
    <w:multiLevelType w:val="hybridMultilevel"/>
    <w:lvl w:ilvl="0">
      <w:lvlJc w:val="left"/>
      <w:lvlText w:val="(%1)"/>
      <w:numFmt w:val="lowerLetter"/>
      <w:start w:val="42"/>
    </w:lvl>
  </w:abstractNum>
  <w:abstractNum w:abstractNumId="63">
    <w:nsid w:val="1D545C4D"/>
    <w:multiLevelType w:val="hybridMultilevel"/>
    <w:lvl w:ilvl="0">
      <w:lvlJc w:val="left"/>
      <w:lvlText w:val="%1"/>
      <w:numFmt w:val="lowerLetter"/>
      <w:start w:val="1"/>
    </w:lvl>
    <w:lvl w:ilvl="1">
      <w:lvlJc w:val="left"/>
      <w:lvlText w:val="(%2)"/>
      <w:numFmt w:val="lowerLetter"/>
      <w:start w:val="46"/>
    </w:lvl>
  </w:abstractNum>
  <w:abstractNum w:abstractNumId="64">
    <w:nsid w:val="59ADEA3D"/>
    <w:multiLevelType w:val="hybridMultilevel"/>
    <w:lvl w:ilvl="0">
      <w:lvlJc w:val="left"/>
      <w:lvlText w:val="(%1)"/>
      <w:numFmt w:val="lowerLetter"/>
      <w:start w:val="9"/>
    </w:lvl>
    <w:lvl w:ilvl="1">
      <w:lvlJc w:val="left"/>
      <w:lvlText w:val="(%2)"/>
      <w:numFmt w:val="lowerLetter"/>
      <w:start w:val="47"/>
    </w:lvl>
  </w:abstractNum>
  <w:abstractNum w:abstractNumId="65">
    <w:nsid w:val="288F1A34"/>
    <w:multiLevelType w:val="hybridMultilevel"/>
    <w:lvl w:ilvl="0">
      <w:lvlJc w:val="left"/>
      <w:lvlText w:val="(%1)"/>
      <w:numFmt w:val="lowerLetter"/>
      <w:start w:val="52"/>
    </w:lvl>
  </w:abstractNum>
  <w:abstractNum w:abstractNumId="66">
    <w:nsid w:val="2A155DBC"/>
    <w:multiLevelType w:val="hybridMultilevel"/>
    <w:lvl w:ilvl="0">
      <w:lvlJc w:val="left"/>
      <w:lvlText w:val="(%1)"/>
      <w:numFmt w:val="lowerLetter"/>
      <w:start w:val="53"/>
    </w:lvl>
  </w:abstractNum>
  <w:abstractNum w:abstractNumId="67">
    <w:nsid w:val="1D9F6E5F"/>
    <w:multiLevelType w:val="hybridMultilevel"/>
    <w:lvl w:ilvl="0">
      <w:lvlJc w:val="left"/>
      <w:lvlText w:val="(%1)"/>
      <w:numFmt w:val="lowerLetter"/>
      <w:start w:val="35"/>
    </w:lvl>
    <w:lvl w:ilvl="1">
      <w:lvlJc w:val="left"/>
      <w:lvlText w:val="(%2)"/>
      <w:numFmt w:val="lowerLetter"/>
      <w:start w:val="55"/>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2"/>
    </w:lvl>
  </w:abstractNum>
  <w:abstractNum w:abstractNumId="70">
    <w:nsid w:val="1CA0C5FA"/>
    <w:multiLevelType w:val="hybridMultilevel"/>
    <w:lvl w:ilvl="0">
      <w:lvlJc w:val="left"/>
      <w:lvlText w:val="(%1)"/>
      <w:numFmt w:val="lowerLetter"/>
      <w:start w:val="4"/>
    </w:lvl>
  </w:abstractNum>
  <w:abstractNum w:abstractNumId="71">
    <w:nsid w:val="53584BCB"/>
    <w:multiLevelType w:val="hybridMultilevel"/>
    <w:lvl w:ilvl="0">
      <w:lvlJc w:val="left"/>
      <w:lvlText w:val="(%1)"/>
      <w:numFmt w:val="lowerLetter"/>
      <w:start w:val="8"/>
    </w:lvl>
  </w:abstractNum>
  <w:abstractNum w:abstractNumId="72">
    <w:nsid w:val="415E286C"/>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73">
    <w:nsid w:val="7C58FD0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74">
    <w:nsid w:val="23D86AAC"/>
    <w:multiLevelType w:val="hybridMultilevel"/>
    <w:lvl w:ilvl="0">
      <w:lvlJc w:val="left"/>
      <w:lvlText w:val="%1"/>
      <w:numFmt w:val="lowerLetter"/>
      <w:start w:val="1"/>
    </w:lvl>
    <w:lvl w:ilvl="1">
      <w:lvlJc w:val="left"/>
      <w:lvlText w:val="(%2)"/>
      <w:numFmt w:val="lowerLetter"/>
      <w:start w:val="14"/>
    </w:lvl>
  </w:abstractNum>
  <w:abstractNum w:abstractNumId="75">
    <w:nsid w:val="45E6D486"/>
    <w:multiLevelType w:val="hybridMultilevel"/>
    <w:lvl w:ilvl="0">
      <w:lvlJc w:val="left"/>
      <w:lvlText w:val="(%1)"/>
      <w:numFmt w:val="lowerLetter"/>
      <w:start w:val="9"/>
    </w:lvl>
    <w:lvl w:ilvl="1">
      <w:lvlJc w:val="left"/>
      <w:lvlText w:val="(%2)"/>
      <w:numFmt w:val="lowerLetter"/>
      <w:start w:val="16"/>
    </w:lvl>
  </w:abstractNum>
  <w:abstractNum w:abstractNumId="76">
    <w:nsid w:val="5C10FE21"/>
    <w:multiLevelType w:val="hybridMultilevel"/>
    <w:lvl w:ilvl="0">
      <w:lvlJc w:val="left"/>
      <w:lvlText w:val="(%1)"/>
      <w:numFmt w:val="lowerLetter"/>
      <w:start w:val="17"/>
    </w:lvl>
  </w:abstractNum>
  <w:abstractNum w:abstractNumId="77">
    <w:nsid w:val="E7FFA2B"/>
    <w:multiLevelType w:val="hybridMultilevel"/>
    <w:lvl w:ilvl="0">
      <w:lvlJc w:val="left"/>
      <w:lvlText w:val="(%1)"/>
      <w:numFmt w:val="lowerLetter"/>
      <w:start w:val="24"/>
    </w:lvl>
  </w:abstractNum>
  <w:abstractNum w:abstractNumId="78">
    <w:nsid w:val="3C5991AA"/>
    <w:multiLevelType w:val="hybridMultilevel"/>
    <w:lvl w:ilvl="0">
      <w:lvlJc w:val="left"/>
      <w:lvlText w:val="(%1)"/>
      <w:numFmt w:val="lowerLetter"/>
      <w:start w:val="27"/>
    </w:lvl>
  </w:abstractNum>
  <w:abstractNum w:abstractNumId="79">
    <w:nsid w:val="4BD8591A"/>
    <w:multiLevelType w:val="hybridMultilevel"/>
    <w:lvl w:ilvl="0">
      <w:lvlJc w:val="left"/>
      <w:lvlText w:val="%1."/>
      <w:numFmt w:val="decimal"/>
      <w:start w:val="8"/>
    </w:lvl>
  </w:abstractNum>
  <w:abstractNum w:abstractNumId="80">
    <w:nsid w:val="78DF6A55"/>
    <w:multiLevelType w:val="hybridMultilevel"/>
    <w:lvl w:ilvl="0">
      <w:lvlJc w:val="left"/>
      <w:lvlText w:val="(%1)"/>
      <w:numFmt w:val="lowerLetter"/>
      <w:start w:val="1"/>
    </w:lvl>
  </w:abstractNum>
  <w:abstractNum w:abstractNumId="81">
    <w:nsid w:val="39B7AAA2"/>
    <w:multiLevelType w:val="hybridMultilevel"/>
    <w:lvl w:ilvl="0">
      <w:lvlJc w:val="left"/>
      <w:lvlText w:val="(%1)"/>
      <w:numFmt w:val="lowerLetter"/>
      <w:start w:val="2"/>
    </w:lvl>
  </w:abstractNum>
  <w:abstractNum w:abstractNumId="82">
    <w:nsid w:val="2B0D8DBE"/>
    <w:multiLevelType w:val="hybridMultilevel"/>
    <w:lvl w:ilvl="0">
      <w:lvlJc w:val="left"/>
      <w:lvlText w:val="%1"/>
      <w:numFmt w:val="lowerLetter"/>
      <w:start w:val="1"/>
    </w:lvl>
    <w:lvl w:ilvl="1">
      <w:lvlJc w:val="left"/>
      <w:lvlText w:val="(%2)"/>
      <w:numFmt w:val="lowerLetter"/>
      <w:start w:val="8"/>
    </w:lvl>
  </w:abstractNum>
  <w:abstractNum w:abstractNumId="83">
    <w:nsid w:val="6C80EC70"/>
    <w:multiLevelType w:val="hybridMultilevel"/>
    <w:lvl w:ilvl="0">
      <w:lvlJc w:val="left"/>
      <w:lvlText w:val="(%1)"/>
      <w:numFmt w:val="lowerLetter"/>
      <w:start w:val="35"/>
    </w:lvl>
    <w:lvl w:ilvl="1">
      <w:lvlJc w:val="left"/>
      <w:lvlText w:val="(%2)"/>
      <w:numFmt w:val="lowerLetter"/>
      <w:start w:val="15"/>
    </w:lvl>
  </w:abstractNum>
  <w:abstractNum w:abstractNumId="84">
    <w:nsid w:val="379E21B5"/>
    <w:multiLevelType w:val="hybridMultilevel"/>
    <w:lvl w:ilvl="0">
      <w:lvlJc w:val="left"/>
      <w:lvlText w:val="%1."/>
      <w:numFmt w:val="decimal"/>
      <w:start w:val="9"/>
    </w:lvl>
  </w:abstractNum>
  <w:abstractNum w:abstractNumId="85">
    <w:nsid w:val="69E373"/>
    <w:multiLevelType w:val="hybridMultilevel"/>
    <w:lvl w:ilvl="0">
      <w:lvlJc w:val="left"/>
      <w:lvlText w:val="%1"/>
      <w:numFmt w:val="lowerLetter"/>
      <w:start w:val="1"/>
    </w:lvl>
    <w:lvl w:ilvl="1">
      <w:lvlJc w:val="left"/>
      <w:lvlText w:val="(%2)"/>
      <w:numFmt w:val="lowerLetter"/>
      <w:start w:val="1"/>
    </w:lvl>
  </w:abstractNum>
  <w:abstractNum w:abstractNumId="86">
    <w:nsid w:val="2C27173B"/>
    <w:multiLevelType w:val="hybridMultilevel"/>
    <w:lvl w:ilvl="0">
      <w:lvlJc w:val="left"/>
      <w:lvlText w:val="(%1)"/>
      <w:numFmt w:val="lowerLetter"/>
      <w:start w:val="26"/>
    </w:lvl>
    <w:lvl w:ilvl="1">
      <w:lvlJc w:val="left"/>
      <w:lvlText w:val="(%2)"/>
      <w:numFmt w:val="lowerLetter"/>
      <w:start w:val="2"/>
    </w:lvl>
  </w:abstractNum>
  <w:abstractNum w:abstractNumId="87">
    <w:nsid w:val="4C9B0904"/>
    <w:multiLevelType w:val="hybridMultilevel"/>
    <w:lvl w:ilvl="0">
      <w:lvlJc w:val="left"/>
      <w:lvlText w:val="(%1)"/>
      <w:numFmt w:val="lowerLetter"/>
      <w:start w:val="4"/>
    </w:lvl>
  </w:abstractNum>
  <w:abstractNum w:abstractNumId="88">
    <w:nsid w:val="6AA7B75C"/>
    <w:multiLevelType w:val="hybridMultilevel"/>
    <w:lvl w:ilvl="0">
      <w:lvlJc w:val="left"/>
      <w:lvlText w:val="%1."/>
      <w:numFmt w:val="decimal"/>
      <w:start w:val="10"/>
    </w:lvl>
  </w:abstractNum>
  <w:abstractNum w:abstractNumId="89">
    <w:nsid w:val="1DF029D3"/>
    <w:multiLevelType w:val="hybridMultilevel"/>
    <w:lvl w:ilvl="0">
      <w:lvlJc w:val="left"/>
      <w:lvlText w:val="%1."/>
      <w:numFmt w:val="decimal"/>
      <w:start w:val="11"/>
    </w:lvl>
  </w:abstractNum>
  <w:abstractNum w:abstractNumId="90">
    <w:nsid w:val="5675FF36"/>
    <w:multiLevelType w:val="hybridMultilevel"/>
    <w:lvl w:ilvl="0">
      <w:lvlJc w:val="left"/>
      <w:lvlText w:val="(%1)"/>
      <w:numFmt w:val="lowerLetter"/>
      <w:start w:val="1"/>
    </w:lvl>
  </w:abstractNum>
  <w:abstractNum w:abstractNumId="91">
    <w:nsid w:val="3DD15094"/>
    <w:multiLevelType w:val="hybridMultilevel"/>
    <w:lvl w:ilvl="0">
      <w:lvlJc w:val="left"/>
      <w:lvlText w:val="%1."/>
      <w:numFmt w:val="decimal"/>
      <w:start w:val="12"/>
    </w:lvl>
  </w:abstractNum>
  <w:abstractNum w:abstractNumId="92">
    <w:nsid w:val="3DB012B3"/>
    <w:multiLevelType w:val="hybridMultilevel"/>
    <w:lvl w:ilvl="0">
      <w:lvlJc w:val="left"/>
      <w:lvlText w:val="(%1)"/>
      <w:numFmt w:val="lowerRoman"/>
      <w:start w:val="3"/>
    </w:lvl>
  </w:abstractNum>
  <w:abstractNum w:abstractNumId="93">
    <w:nsid w:val="2708C9AF"/>
    <w:multiLevelType w:val="hybridMultilevel"/>
    <w:lvl w:ilvl="0">
      <w:lvlJc w:val="left"/>
      <w:lvlText w:val="%1."/>
      <w:numFmt w:val="decimal"/>
      <w:start w:val="13"/>
    </w:lvl>
  </w:abstractNum>
  <w:abstractNum w:abstractNumId="94">
    <w:nsid w:val="5B25ACE2"/>
    <w:multiLevelType w:val="hybridMultilevel"/>
    <w:lvl w:ilvl="0">
      <w:lvlJc w:val="left"/>
      <w:lvlText w:val="%1."/>
      <w:numFmt w:val="decimal"/>
      <w:start w:val="14"/>
    </w:lvl>
  </w:abstractNum>
  <w:abstractNum w:abstractNumId="95">
    <w:nsid w:val="175DFCF0"/>
    <w:multiLevelType w:val="hybridMultilevel"/>
    <w:lvl w:ilvl="0">
      <w:lvlJc w:val="left"/>
      <w:lvlText w:val="%1."/>
      <w:numFmt w:val="decimal"/>
      <w:start w:val="18"/>
    </w:lvl>
  </w:abstractNum>
  <w:abstractNum w:abstractNumId="96">
    <w:nsid w:val="4F97E3E4"/>
    <w:multiLevelType w:val="hybridMultilevel"/>
    <w:lvl w:ilvl="0">
      <w:lvlJc w:val="left"/>
      <w:lvlText w:val="(%1)"/>
      <w:numFmt w:val="lowerLetter"/>
      <w:start w:val="1"/>
    </w:lvl>
  </w:abstractNum>
  <w:abstractNum w:abstractNumId="97">
    <w:nsid w:val="53B0A9E"/>
    <w:multiLevelType w:val="hybridMultilevel"/>
    <w:lvl w:ilvl="0">
      <w:lvlJc w:val="left"/>
      <w:lvlText w:val="%1."/>
      <w:numFmt w:val="decimal"/>
      <w:start w:val="19"/>
    </w:lvl>
  </w:abstractNum>
  <w:abstractNum w:abstractNumId="98">
    <w:nsid w:val="34FD6B4F"/>
    <w:multiLevelType w:val="hybridMultilevel"/>
    <w:lvl w:ilvl="0">
      <w:lvlJc w:val="left"/>
      <w:lvlText w:val="(%1)"/>
      <w:numFmt w:val="lowerLetter"/>
      <w:start w:val="1"/>
    </w:lvl>
  </w:abstractNum>
  <w:abstractNum w:abstractNumId="99">
    <w:nsid w:val="5915FF32"/>
    <w:multiLevelType w:val="hybridMultilevel"/>
    <w:lvl w:ilvl="0">
      <w:lvlJc w:val="left"/>
      <w:lvlText w:val="(%1)"/>
      <w:numFmt w:val="lowerLetter"/>
      <w:start w:val="3"/>
    </w:lvl>
  </w:abstractNum>
  <w:abstractNum w:abstractNumId="100">
    <w:nsid w:val="56438D15"/>
    <w:multiLevelType w:val="hybridMultilevel"/>
    <w:lvl w:ilvl="0">
      <w:lvlJc w:val="left"/>
      <w:lvlText w:val="%1."/>
      <w:numFmt w:val="decimal"/>
      <w:start w:val="21"/>
    </w:lvl>
  </w:abstractNum>
  <w:abstractNum w:abstractNumId="101">
    <w:nsid w:val="519E3149"/>
    <w:multiLevelType w:val="hybridMultilevel"/>
    <w:lvl w:ilvl="0">
      <w:lvlJc w:val="left"/>
      <w:lvlText w:val="(%1)"/>
      <w:numFmt w:val="lowerRoman"/>
      <w:start w:val="3"/>
    </w:lvl>
    <w:lvl w:ilvl="1">
      <w:lvlJc w:val="left"/>
      <w:lvlText w:val="%2."/>
      <w:numFmt w:val="decimal"/>
      <w:start w:val="22"/>
    </w:lvl>
  </w:abstractNum>
  <w:abstractNum w:abstractNumId="102">
    <w:nsid w:val="2C6E4AFD"/>
    <w:multiLevelType w:val="hybridMultilevel"/>
    <w:lvl w:ilvl="0">
      <w:lvlJc w:val="left"/>
      <w:lvlText w:val="%1."/>
      <w:numFmt w:val="decimal"/>
      <w:start w:val="23"/>
    </w:lvl>
  </w:abstractNum>
  <w:abstractNum w:abstractNumId="103">
    <w:nsid w:val="17A1B582"/>
    <w:multiLevelType w:val="hybridMultilevel"/>
    <w:lvl w:ilvl="0">
      <w:lvlJc w:val="left"/>
      <w:lvlText w:val="(%1)"/>
      <w:numFmt w:val="lowerRoman"/>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1)"/>
      <w:numFmt w:val="lowerLetter"/>
      <w:start w:val="1"/>
    </w:lvl>
  </w:abstractNum>
  <w:abstractNum w:abstractNumId="106">
    <w:nsid w:val="5D888A08"/>
    <w:multiLevelType w:val="hybridMultilevel"/>
    <w:lvl w:ilvl="0">
      <w:lvlJc w:val="left"/>
      <w:lvlText w:val="(%1)"/>
      <w:numFmt w:val="lowerLetter"/>
      <w:start w:val="1"/>
    </w:lvl>
  </w:abstractNum>
  <w:abstractNum w:abstractNumId="107">
    <w:nsid w:val="2A082C70"/>
    <w:multiLevelType w:val="hybridMultilevel"/>
    <w:lvl w:ilvl="0">
      <w:lvlJc w:val="left"/>
      <w:lvlText w:val="(%1)"/>
      <w:numFmt w:val="lowerLetter"/>
      <w:start w:val="2"/>
    </w:lvl>
  </w:abstractNum>
  <w:abstractNum w:abstractNumId="108">
    <w:nsid w:val="5EC6AFD4"/>
    <w:multiLevelType w:val="hybridMultilevel"/>
    <w:lvl w:ilvl="0">
      <w:lvlJc w:val="left"/>
      <w:lvlText w:val="(%1)"/>
      <w:numFmt w:val="lowerLetter"/>
      <w:start w:val="1"/>
    </w:lvl>
  </w:abstractNum>
  <w:abstractNum w:abstractNumId="109">
    <w:nsid w:val="19E21BB2"/>
    <w:multiLevelType w:val="hybridMultilevel"/>
    <w:lvl w:ilvl="0">
      <w:lvlJc w:val="left"/>
      <w:lvlText w:val="(%1)"/>
      <w:numFmt w:val="lowerLetter"/>
      <w:start w:val="1"/>
    </w:lvl>
  </w:abstractNum>
  <w:abstractNum w:abstractNumId="110">
    <w:nsid w:val="75E0858A"/>
    <w:multiLevelType w:val="hybridMultilevel"/>
    <w:lvl w:ilvl="0">
      <w:lvlJc w:val="left"/>
      <w:lvlText w:val="(%1)"/>
      <w:numFmt w:val="lowerLetter"/>
      <w:start w:val="1"/>
    </w:lvl>
    <w:lvl w:ilvl="1">
      <w:lvlJc w:val="left"/>
      <w:lvlText w:val="(%2)"/>
      <w:numFmt w:val="lowerRoman"/>
      <w:start w:val="1"/>
    </w:lvl>
  </w:abstractNum>
  <w:abstractNum w:abstractNumId="111">
    <w:nsid w:val="57A61A29"/>
    <w:multiLevelType w:val="hybridMultilevel"/>
    <w:lvl w:ilvl="0">
      <w:lvlJc w:val="left"/>
      <w:lvlText w:val="(%1)"/>
      <w:numFmt w:val="lowerRoman"/>
      <w:start w:val="1"/>
    </w:lvl>
  </w:abstractNum>
  <w:abstractNum w:abstractNumId="112">
    <w:nsid w:val="5399C654"/>
    <w:multiLevelType w:val="hybridMultilevel"/>
    <w:lvl w:ilvl="0">
      <w:lvlJc w:val="left"/>
      <w:lvlText w:val="(%1)"/>
      <w:numFmt w:val="lowerLetter"/>
      <w:start w:val="6"/>
    </w:lvl>
  </w:abstractNum>
  <w:abstractNum w:abstractNumId="113">
    <w:nsid w:val="20EE1348"/>
    <w:multiLevelType w:val="hybridMultilevel"/>
    <w:lvl w:ilvl="0">
      <w:lvlJc w:val="left"/>
      <w:lvlText w:val="(%1)"/>
      <w:numFmt w:val="lowerLetter"/>
      <w:start w:val="1"/>
    </w:lvl>
  </w:abstractNum>
  <w:abstractNum w:abstractNumId="114">
    <w:nsid w:val="4427069A"/>
    <w:multiLevelType w:val="hybridMultilevel"/>
    <w:lvl w:ilvl="0">
      <w:lvlJc w:val="left"/>
      <w:lvlText w:val="(%1)"/>
      <w:numFmt w:val="lowerLetter"/>
      <w:start w:val="1"/>
    </w:lvl>
  </w:abstractNum>
  <w:abstractNum w:abstractNumId="115">
    <w:nsid w:val="B37E80A"/>
    <w:multiLevelType w:val="hybridMultilevel"/>
    <w:lvl w:ilvl="0">
      <w:lvlJc w:val="left"/>
      <w:lvlText w:val="(%1)"/>
      <w:numFmt w:val="lowerLetter"/>
      <w:start w:val="2"/>
    </w:lvl>
  </w:abstractNum>
  <w:abstractNum w:abstractNumId="116">
    <w:nsid w:val="2157F6BC"/>
    <w:multiLevelType w:val="hybridMultilevel"/>
    <w:lvl w:ilvl="0">
      <w:lvlJc w:val="left"/>
      <w:lvlText w:val="(%1)"/>
      <w:numFmt w:val="lowerLetter"/>
      <w:start w:val="1"/>
    </w:lvl>
  </w:abstractNum>
  <w:abstractNum w:abstractNumId="117">
    <w:nsid w:val="704E1DD5"/>
    <w:multiLevelType w:val="hybridMultilevel"/>
    <w:lvl w:ilvl="0">
      <w:lvlJc w:val="left"/>
      <w:lvlText w:val="(%1)"/>
      <w:numFmt w:val="lowerLetter"/>
      <w:start w:val="1"/>
    </w:lvl>
    <w:lvl w:ilvl="1">
      <w:lvlJc w:val="left"/>
      <w:lvlText w:val="(%2)"/>
      <w:numFmt w:val="lowerLetter"/>
      <w:start w:val="9"/>
    </w:lvl>
  </w:abstractNum>
  <w:abstractNum w:abstractNumId="118">
    <w:nsid w:val="57D2F10E"/>
    <w:multiLevelType w:val="hybridMultilevel"/>
    <w:lvl w:ilvl="0">
      <w:lvlJc w:val="left"/>
      <w:lvlText w:val="%1"/>
      <w:numFmt w:val="lowerLetter"/>
      <w:start w:val="1"/>
    </w:lvl>
    <w:lvl w:ilvl="1">
      <w:lvlJc w:val="left"/>
      <w:lvlText w:val="(%2)"/>
      <w:numFmt w:val="lowerLetter"/>
      <w:start w:val="35"/>
    </w:lvl>
  </w:abstractNum>
  <w:abstractNum w:abstractNumId="119">
    <w:nsid w:val="BFFAE18"/>
    <w:multiLevelType w:val="hybridMultilevel"/>
    <w:lvl w:ilvl="0">
      <w:lvlJc w:val="left"/>
      <w:lvlText w:val="(%1)"/>
      <w:numFmt w:val="lowerLetter"/>
      <w:start w:val="3"/>
    </w:lvl>
    <w:lvl w:ilvl="1">
      <w:lvlJc w:val="left"/>
      <w:lvlText w:val="(%2)"/>
      <w:numFmt w:val="lowerLetter"/>
      <w:start w:val="9"/>
    </w:lvl>
  </w:abstractNum>
  <w:abstractNum w:abstractNumId="120">
    <w:nsid w:val="E3E47A8"/>
    <w:multiLevelType w:val="hybridMultilevel"/>
    <w:lvl w:ilvl="0">
      <w:lvlJc w:val="left"/>
      <w:lvlText w:val="%1"/>
      <w:numFmt w:val="lowerLetter"/>
      <w:start w:val="1"/>
    </w:lvl>
    <w:lvl w:ilvl="1">
      <w:lvlJc w:val="left"/>
      <w:lvlText w:val="(%2)"/>
      <w:numFmt w:val="lowerRoman"/>
      <w:start w:val="2"/>
    </w:lvl>
  </w:abstractNum>
  <w:abstractNum w:abstractNumId="121">
    <w:nsid w:val="2E48F044"/>
    <w:multiLevelType w:val="hybridMultilevel"/>
    <w:lvl w:ilvl="0">
      <w:lvlJc w:val="left"/>
      <w:lvlText w:val="(%1)"/>
      <w:numFmt w:val="lowerLetter"/>
      <w:start w:val="4"/>
    </w:lvl>
    <w:lvl w:ilvl="1">
      <w:lvlJc w:val="left"/>
      <w:lvlText w:val="%2"/>
      <w:numFmt w:val="lowerRoman"/>
      <w:start w:val="1"/>
    </w:lvl>
  </w:abstractNum>
  <w:abstractNum w:abstractNumId="122">
    <w:nsid w:val="49D0FEAC"/>
    <w:multiLevelType w:val="hybridMultilevel"/>
    <w:lvl w:ilvl="0">
      <w:lvlJc w:val="left"/>
      <w:lvlText w:val="(%1)"/>
      <w:numFmt w:val="lowerLetter"/>
      <w:start w:val="1"/>
    </w:lvl>
  </w:abstractNum>
  <w:abstractNum w:abstractNumId="123">
    <w:nsid w:val="4BEE5A5B"/>
    <w:multiLevelType w:val="hybridMultilevel"/>
    <w:lvl w:ilvl="0">
      <w:lvlJc w:val="left"/>
      <w:lvlText w:val="(%1)"/>
      <w:numFmt w:val="lowerLetter"/>
      <w:start w:val="2"/>
    </w:lvl>
  </w:abstractNum>
  <w:abstractNum w:abstractNumId="124">
    <w:nsid w:val="5551B9F3"/>
    <w:multiLevelType w:val="hybridMultilevel"/>
    <w:lvl w:ilvl="0">
      <w:lvlJc w:val="left"/>
      <w:lvlText w:val="(%1)"/>
      <w:numFmt w:val="lowerLetter"/>
      <w:start w:val="11"/>
    </w:lvl>
  </w:abstractNum>
  <w:abstractNum w:abstractNumId="125">
    <w:nsid w:val="24F6AB8E"/>
    <w:multiLevelType w:val="hybridMultilevel"/>
    <w:lvl w:ilvl="0">
      <w:lvlJc w:val="left"/>
      <w:lvlText w:val="(%1)"/>
      <w:numFmt w:val="lowerLetter"/>
      <w:start w:val="1"/>
    </w:lvl>
  </w:abstractNum>
  <w:abstractNum w:abstractNumId="126">
    <w:nsid w:val="634C574C"/>
    <w:multiLevelType w:val="hybridMultilevel"/>
    <w:lvl w:ilvl="0">
      <w:lvlJc w:val="left"/>
      <w:lvlText w:val="(%1)"/>
      <w:numFmt w:val="lowerLetter"/>
      <w:start w:val="3"/>
    </w:lvl>
  </w:abstractNum>
  <w:abstractNum w:abstractNumId="127">
    <w:nsid w:val="24E99DD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8">
    <w:nsid w:val="2A31B62D"/>
    <w:multiLevelType w:val="hybridMultilevel"/>
    <w:lvl w:ilvl="0">
      <w:lvlJc w:val="left"/>
      <w:lvlText w:val="(%1)"/>
      <w:numFmt w:val="decimal"/>
      <w:start w:val="2"/>
    </w:lvl>
  </w:abstractNum>
  <w:abstractNum w:abstractNumId="129">
    <w:nsid w:val="1849C29B"/>
    <w:multiLevelType w:val="hybridMultilevel"/>
    <w:lvl w:ilvl="0">
      <w:lvlJc w:val="left"/>
      <w:lvlText w:val="(%1)"/>
      <w:numFmt w:val="lowerLetter"/>
      <w:start w:val="2"/>
    </w:lvl>
  </w:abstractNum>
  <w:abstractNum w:abstractNumId="130">
    <w:nsid w:val="7DFF9D09"/>
    <w:multiLevelType w:val="hybridMultilevel"/>
    <w:lvl w:ilvl="0">
      <w:lvlJc w:val="left"/>
      <w:lvlText w:val="(%1)"/>
      <w:numFmt w:val="lowerLetter"/>
      <w:start w:val="1"/>
    </w:lvl>
  </w:abstractNum>
  <w:abstractNum w:abstractNumId="131">
    <w:nsid w:val="754342"/>
    <w:multiLevelType w:val="hybridMultilevel"/>
    <w:lvl w:ilvl="0">
      <w:lvlJc w:val="left"/>
      <w:lvlText w:val="(%1)"/>
      <w:numFmt w:val="lowerLetter"/>
      <w:start w:val="3"/>
    </w:lvl>
  </w:abstractNum>
  <w:abstractNum w:abstractNumId="132">
    <w:nsid w:val="69E7F3E5"/>
    <w:multiLevelType w:val="hybridMultilevel"/>
    <w:lvl w:ilvl="0">
      <w:lvlJc w:val="left"/>
      <w:lvlText w:val="(%1)"/>
      <w:numFmt w:val="lowerLetter"/>
      <w:start w:val="1"/>
    </w:lvl>
  </w:abstractNum>
  <w:abstractNum w:abstractNumId="133">
    <w:nsid w:val="2A6DE806"/>
    <w:multiLevelType w:val="hybridMultilevel"/>
    <w:lvl w:ilvl="0">
      <w:lvlJc w:val="left"/>
      <w:lvlText w:val="(%1)"/>
      <w:numFmt w:val="lowerLetter"/>
      <w:start w:val="4"/>
    </w:lvl>
  </w:abstractNum>
  <w:abstractNum w:abstractNumId="134">
    <w:nsid w:val="1816F8C4"/>
    <w:multiLevelType w:val="hybridMultilevel"/>
    <w:lvl w:ilvl="0">
      <w:lvlJc w:val="left"/>
      <w:lvlText w:val="(%1)"/>
      <w:numFmt w:val="lowerLetter"/>
      <w:start w:val="5"/>
    </w:lvl>
  </w:abstractNum>
  <w:abstractNum w:abstractNumId="135">
    <w:nsid w:val="37DF2233"/>
    <w:multiLevelType w:val="hybridMultilevel"/>
    <w:lvl w:ilvl="0">
      <w:lvlJc w:val="left"/>
      <w:lvlText w:val="(%1)"/>
      <w:numFmt w:val="lowerLetter"/>
      <w:start w:val="1"/>
    </w:lvl>
  </w:abstractNum>
  <w:abstractNum w:abstractNumId="136">
    <w:nsid w:val="7AB49DAF"/>
    <w:multiLevelType w:val="hybridMultilevel"/>
    <w:lvl w:ilvl="0">
      <w:lvlJc w:val="left"/>
      <w:lvlText w:val="(%1)"/>
      <w:numFmt w:val="lowerLetter"/>
      <w:start w:val="1"/>
    </w:lvl>
  </w:abstractNum>
  <w:abstractNum w:abstractNumId="137">
    <w:nsid w:val="759F82CD"/>
    <w:multiLevelType w:val="hybridMultilevel"/>
    <w:lvl w:ilvl="0">
      <w:lvlJc w:val="left"/>
      <w:lvlText w:val="%1"/>
      <w:numFmt w:val="lowerLetter"/>
      <w:start w:val="1"/>
    </w:lvl>
    <w:lvl w:ilvl="1">
      <w:lvlJc w:val="left"/>
      <w:lvlText w:val="(%2)"/>
      <w:numFmt w:val="lowerLetter"/>
      <w:start w:val="10"/>
    </w:lvl>
  </w:abstractNum>
  <w:abstractNum w:abstractNumId="138">
    <w:nsid w:val="61E74EA3"/>
    <w:multiLevelType w:val="hybridMultilevel"/>
    <w:lvl w:ilvl="0">
      <w:lvlJc w:val="left"/>
      <w:lvlText w:val="(%1)"/>
      <w:numFmt w:val="lowerLetter"/>
      <w:start w:val="12"/>
    </w:lvl>
    <w:lvl w:ilvl="1">
      <w:lvlJc w:val="left"/>
      <w:lvlText w:val="%2"/>
      <w:numFmt w:val="lowerLetter"/>
      <w:start w:val="1"/>
    </w:lvl>
  </w:abstractNum>
  <w:abstractNum w:abstractNumId="139">
    <w:nsid w:val="597B4D84"/>
    <w:multiLevelType w:val="hybridMultilevel"/>
    <w:lvl w:ilvl="0">
      <w:lvlJc w:val="left"/>
      <w:lvlText w:val="(%1)"/>
      <w:numFmt w:val="lowerLetter"/>
      <w:start w:val="1"/>
    </w:lvl>
  </w:abstractNum>
  <w:abstractNum w:abstractNumId="140">
    <w:nsid w:val="F819E7F"/>
    <w:multiLevelType w:val="hybridMultilevel"/>
    <w:lvl w:ilvl="0">
      <w:lvlJc w:val="left"/>
      <w:lvlText w:val="(%1)"/>
      <w:numFmt w:val="lowerLetter"/>
      <w:start w:val="2"/>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lowerLetter"/>
      <w:start w:val="1"/>
    </w:lvl>
  </w:abstractNum>
  <w:abstractNum w:abstractNumId="143">
    <w:nsid w:val="631B64D4"/>
    <w:multiLevelType w:val="hybridMultilevel"/>
    <w:lvl w:ilvl="0">
      <w:lvlJc w:val="left"/>
      <w:lvlText w:val="%1."/>
      <w:numFmt w:val="decimal"/>
      <w:start w:val="1"/>
    </w:lvl>
  </w:abstractNum>
  <w:abstractNum w:abstractNumId="144">
    <w:nsid w:val="78B5E776"/>
    <w:multiLevelType w:val="hybridMultilevel"/>
    <w:lvl w:ilvl="0">
      <w:lvlJc w:val="left"/>
      <w:lvlText w:val="%1"/>
      <w:numFmt w:val="lowerRoman"/>
      <w:start w:val="1"/>
    </w:lvl>
    <w:lvl w:ilvl="1">
      <w:lvlJc w:val="left"/>
      <w:lvlText w:val="%2."/>
      <w:numFmt w:val="decimal"/>
      <w:start w:val="2"/>
    </w:lvl>
  </w:abstractNum>
  <w:abstractNum w:abstractNumId="145">
    <w:nsid w:val="75486E47"/>
    <w:multiLevelType w:val="hybridMultilevel"/>
    <w:lvl w:ilvl="0">
      <w:lvlJc w:val="left"/>
      <w:lvlText w:val="(%1)"/>
      <w:numFmt w:val="lowerRoman"/>
      <w:start w:val="1"/>
    </w:lvl>
    <w:lvl w:ilvl="1">
      <w:lvlJc w:val="left"/>
      <w:lvlText w:val="%2."/>
      <w:numFmt w:val="decimal"/>
      <w:start w:val="3"/>
    </w:lvl>
  </w:abstractNum>
  <w:abstractNum w:abstractNumId="146">
    <w:nsid w:val="6E534CDE"/>
    <w:multiLevelType w:val="hybridMultilevel"/>
    <w:lvl w:ilvl="0">
      <w:lvlJc w:val="left"/>
      <w:lvlText w:val="%1."/>
      <w:numFmt w:val="decimal"/>
      <w:start w:val="5"/>
    </w:lvl>
  </w:abstractNum>
  <w:abstractNum w:abstractNumId="147">
    <w:nsid w:val="1A0DDE32"/>
    <w:multiLevelType w:val="hybridMultilevel"/>
    <w:lvl w:ilvl="0">
      <w:lvlJc w:val="left"/>
      <w:lvlText w:val="(%1)"/>
      <w:numFmt w:val="lowerLetter"/>
      <w:start w:val="1"/>
    </w:lvl>
  </w:abstractNum>
  <w:abstractNum w:abstractNumId="148">
    <w:nsid w:val="65968C1C"/>
    <w:multiLevelType w:val="hybridMultilevel"/>
    <w:lvl w:ilvl="0">
      <w:lvlJc w:val="left"/>
      <w:lvlText w:val="(%1)"/>
      <w:numFmt w:val="lowerLetter"/>
      <w:start w:val="3"/>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jpe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jpe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jpeg"/><Relationship Id="rId220" Type="http://schemas.openxmlformats.org/officeDocument/2006/relationships/image" Target="media/image201.png"/><Relationship Id="rId221" Type="http://schemas.openxmlformats.org/officeDocument/2006/relationships/image" Target="media/image202.jpeg"/><Relationship Id="rId222" Type="http://schemas.openxmlformats.org/officeDocument/2006/relationships/image" Target="media/image203.png"/><Relationship Id="rId223" Type="http://schemas.openxmlformats.org/officeDocument/2006/relationships/image" Target="media/image204.jpeg"/><Relationship Id="rId224" Type="http://schemas.openxmlformats.org/officeDocument/2006/relationships/image" Target="media/image205.png"/><Relationship Id="rId225" Type="http://schemas.openxmlformats.org/officeDocument/2006/relationships/image" Target="media/image206.jpeg"/><Relationship Id="rId226" Type="http://schemas.openxmlformats.org/officeDocument/2006/relationships/image" Target="media/image207.png"/><Relationship Id="rId227" Type="http://schemas.openxmlformats.org/officeDocument/2006/relationships/image" Target="media/image208.jpeg"/><Relationship Id="rId228" Type="http://schemas.openxmlformats.org/officeDocument/2006/relationships/image" Target="media/image209.png"/><Relationship Id="rId229" Type="http://schemas.openxmlformats.org/officeDocument/2006/relationships/image" Target="media/image210.jpeg"/><Relationship Id="rId38" Type="http://schemas.openxmlformats.org/officeDocument/2006/relationships/hyperlink" Target="http://www.sec.gov/Archives/edgar/data/1858848/000095017022004426/tnya-ex4_3.htm" TargetMode="External"/><Relationship Id="rId59" Type="http://schemas.openxmlformats.org/officeDocument/2006/relationships/hyperlink" Target="http://www.sec.gov/ix?doc=/Archives/edgar/data/1858848/000095017022004426/tnya-20211231.htm" TargetMode="External"/><Relationship Id="rId60" Type="http://schemas.openxmlformats.org/officeDocument/2006/relationships/hyperlink" Target="http://www.sec.gov/ix?doc=/Archives/edgar/data/1858848/000095017022009363/tnya-20220331.htm" TargetMode="External"/><Relationship Id="rId61" Type="http://schemas.openxmlformats.org/officeDocument/2006/relationships/hyperlink" Target="http://www.sec.gov/ix?doc=/Archives/edgar/data/1858848/000095017022016478/tnya-20220630.htm" TargetMode="External"/><Relationship Id="rId62" Type="http://schemas.openxmlformats.org/officeDocument/2006/relationships/hyperlink" Target="http://www.sec.gov/Archives/edgar/data/1858848/000119312522127693/d263092ddef14a.htm" TargetMode="External"/><Relationship Id="rId63" Type="http://schemas.openxmlformats.org/officeDocument/2006/relationships/hyperlink" Target="http://www.sec.gov/ix?doc=/Archives/edgar/data/1858848/000095017022011496/tnya-20220609.htm" TargetMode="External"/><Relationship Id="rId64" Type="http://schemas.openxmlformats.org/officeDocument/2006/relationships/hyperlink" Target="http://www.sec.gov/Archives/edgar/data/1858848/000119312521223152/d170858d8a12b.htm" TargetMode="External"/><Relationship Id="rId104" Type="http://schemas.openxmlformats.org/officeDocument/2006/relationships/hyperlink" Target="http://www.sec.gov/Archives/edgar/data/1858848/000119312521235079/d193163dex31.htm" TargetMode="External"/><Relationship Id="rId105" Type="http://schemas.openxmlformats.org/officeDocument/2006/relationships/hyperlink" Target="http://www.sec.gov/Archives/edgar/data/1858848/000119312521235079/d193163dex32.htm" TargetMode="External"/><Relationship Id="rId106" Type="http://schemas.openxmlformats.org/officeDocument/2006/relationships/hyperlink" Target="http://www.sec.gov/Archives/edgar/data/0001858848/000119312521212010/d175698dex41.htm" TargetMode="External"/><Relationship Id="rId107" Type="http://schemas.openxmlformats.org/officeDocument/2006/relationships/hyperlink" Target="http://www.sec.gov/Archives/edgar/data/0001858848/000095017022004426/tnya-ex4_3.htm" TargetMode="External"/><Relationship Id="rId108" Type="http://schemas.openxmlformats.org/officeDocument/2006/relationships/hyperlink" Target="http://www.sec.gov/Archives/edgar/data/1858848/000119312521223559/d17569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2022-08-10T16:49:06Z</dcterms:created>
  <dcterms:modified xsi:type="dcterms:W3CDTF">2022-08-10T16:49:06Z</dcterms:modified>
</cp:coreProperties>
</file>