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5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57190"/>
                    </a:xfrm>
                    <a:prstGeom prst="rect">
                      <a:avLst/>
                    </a:prstGeom>
                    <a:noFill/>
                  </pic:spPr>
                </pic:pic>
              </a:graphicData>
            </a:graphic>
          </wp:anchor>
        </w:drawing>
      </w:r>
    </w:p>
    <w:p>
      <w:pPr>
        <w:sectPr>
          <w:pgSz w:w="11900" w:h="16838" w:orient="portrait"/>
          <w:cols w:equalWidth="0" w:num="1">
            <w:col w:w="10940"/>
          </w:cols>
          <w:pgMar w:left="480" w:top="236" w:right="479" w:bottom="932"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Hoey Timothy</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07/29/2021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3">
            <w:col w:w="2960" w:space="400"/>
            <w:col w:w="1360" w:space="280"/>
            <w:col w:w="5940"/>
          </w:cols>
          <w:pgMar w:left="480" w:top="236" w:right="479" w:bottom="932"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Scientific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932"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0000FF"/>
                <w:w w:val="88"/>
              </w:rPr>
              <w:t>199,999</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02/07/2030</w:t>
            </w:r>
          </w:p>
        </w:tc>
        <w:tc>
          <w:tcPr>
            <w:tcW w:w="1740" w:type="dxa"/>
            <w:vAlign w:val="bottom"/>
          </w:tcPr>
          <w:p>
            <w:pPr>
              <w:jc w:val="center"/>
              <w:ind w:left="35"/>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10,000</w:t>
            </w:r>
          </w:p>
        </w:tc>
        <w:tc>
          <w:tcPr>
            <w:tcW w:w="40" w:type="dxa"/>
            <w:vAlign w:val="bottom"/>
          </w:tcPr>
          <w:p>
            <w:pPr>
              <w:spacing w:after="0"/>
              <w:rPr>
                <w:sz w:val="24"/>
                <w:szCs w:val="24"/>
                <w:color w:val="auto"/>
              </w:rPr>
            </w:pPr>
          </w:p>
        </w:tc>
        <w:tc>
          <w:tcPr>
            <w:tcW w:w="940" w:type="dxa"/>
            <w:vAlign w:val="bottom"/>
          </w:tcPr>
          <w:p>
            <w:pPr>
              <w:jc w:val="right"/>
              <w:ind w:right="279"/>
              <w:spacing w:after="0"/>
              <w:rPr>
                <w:sz w:val="20"/>
                <w:szCs w:val="20"/>
                <w:color w:val="auto"/>
              </w:rPr>
            </w:pPr>
            <w:r>
              <w:rPr>
                <w:rFonts w:ascii="Arial" w:cs="Arial" w:eastAsia="Arial" w:hAnsi="Arial"/>
                <w:sz w:val="20"/>
                <w:szCs w:val="20"/>
                <w:color w:val="0000FF"/>
              </w:rPr>
              <w:t>2.7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01/19/2031</w:t>
            </w:r>
          </w:p>
        </w:tc>
        <w:tc>
          <w:tcPr>
            <w:tcW w:w="1740" w:type="dxa"/>
            <w:vAlign w:val="bottom"/>
          </w:tcPr>
          <w:p>
            <w:pPr>
              <w:jc w:val="center"/>
              <w:ind w:left="35"/>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16,666</w:t>
            </w:r>
          </w:p>
        </w:tc>
        <w:tc>
          <w:tcPr>
            <w:tcW w:w="4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Arial" w:cs="Arial" w:eastAsia="Arial" w:hAnsi="Arial"/>
                <w:sz w:val="20"/>
                <w:szCs w:val="20"/>
                <w:color w:val="0000FF"/>
              </w:rPr>
              <w:t>5.64</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44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1/48th of the shares subject to the option granted on February 7, 2020 became vested and exercisable as of last day of February, 2020 and 1/48th of the shares subject to the option shall vest monthly thereafter, provided that the Reporting Person remains a service provider to the issuer on each such vest date.</w:t>
      </w:r>
    </w:p>
    <w:p>
      <w:pPr>
        <w:spacing w:after="0" w:line="26" w:lineRule="exact"/>
        <w:rPr>
          <w:rFonts w:ascii="Arial" w:cs="Arial" w:eastAsia="Arial" w:hAnsi="Arial"/>
          <w:sz w:val="15"/>
          <w:szCs w:val="15"/>
          <w:color w:val="008000"/>
        </w:rPr>
      </w:pPr>
    </w:p>
    <w:p>
      <w:pPr>
        <w:ind w:left="40" w:right="16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1/48th of the shares subject to the option granted on January 19, 2021 became vested and exercisable as of February 19, 2021 and 1/48th of the shares subject to the option shall vest monthly thereafter, provided that the Reporting Person remains a service provider to the issuer on each such vest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Date set forth above represents effective date of Issuer's initial public offering</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/s/Leone Patterson</w:t>
            </w:r>
          </w:p>
        </w:tc>
        <w:tc>
          <w:tcPr>
            <w:tcW w:w="7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Timothy Hoey</w:t>
            </w: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932"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true and lawful attorney-in-fact of the undersigned to:</w:t>
      </w:r>
    </w:p>
    <w:p>
      <w:pPr>
        <w:spacing w:after="0" w:line="200" w:lineRule="exact"/>
        <w:rPr>
          <w:sz w:val="20"/>
          <w:szCs w:val="20"/>
          <w:color w:val="auto"/>
        </w:rPr>
      </w:pPr>
    </w:p>
    <w:p>
      <w:pPr>
        <w:spacing w:after="0" w:line="227" w:lineRule="exact"/>
        <w:rPr>
          <w:sz w:val="20"/>
          <w:szCs w:val="20"/>
          <w:color w:val="auto"/>
        </w:rPr>
      </w:pPr>
    </w:p>
    <w:p>
      <w:pPr>
        <w:ind w:right="619"/>
        <w:spacing w:after="0" w:line="268" w:lineRule="auto"/>
        <w:tabs>
          <w:tab w:leader="none" w:pos="9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holdings of and transactions of the undersigned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Signature:/s/Timothy Hoey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Timothy Hoey</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53333"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2021-07-29T18:02:46Z</dcterms:created>
  <dcterms:modified xsi:type="dcterms:W3CDTF">2021-07-29T18:02:46Z</dcterms:modified>
</cp:coreProperties>
</file>