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December 5, 2022</w:t>
      </w:r>
    </w:p>
    <w:p>
      <w:pPr>
        <w:spacing w:after="0" w:line="5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5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720"/>
          </w:cols>
          <w:pgMar w:left="320" w:top="484" w:right="859" w:bottom="1440" w:gutter="0" w:footer="0" w:header="0"/>
        </w:sectPr>
      </w:pPr>
    </w:p>
    <w:p>
      <w:pPr>
        <w:spacing w:after="0" w:line="20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001-40656</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81-3789973</w:t>
      </w:r>
    </w:p>
    <w:p>
      <w:pPr>
        <w:spacing w:after="0" w:line="12" w:lineRule="exact"/>
        <w:rPr>
          <w:sz w:val="24"/>
          <w:szCs w:val="24"/>
          <w:color w:val="auto"/>
        </w:rPr>
      </w:pPr>
    </w:p>
    <w:p>
      <w:pPr>
        <w:sectPr>
          <w:pgSz w:w="11900" w:h="16838" w:orient="portrait"/>
          <w:cols w:equalWidth="0" w:num="3">
            <w:col w:w="4760" w:space="720"/>
            <w:col w:w="2580" w:space="720"/>
            <w:col w:w="1940"/>
          </w:cols>
          <w:pgMar w:left="320" w:top="484" w:right="85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20" w:space="720"/>
            <w:col w:w="2500" w:space="720"/>
            <w:col w:w="2060"/>
          </w:cols>
          <w:pgMar w:left="320" w:top="484" w:right="859" w:bottom="1440" w:gutter="0" w:footer="0" w:header="0"/>
          <w:type w:val="continuous"/>
        </w:sectPr>
      </w:pPr>
    </w:p>
    <w:p>
      <w:pPr>
        <w:spacing w:after="0" w:line="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171 Oyster Point Boulevard, 5th Floor</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0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0720"/>
          </w:cols>
          <w:pgMar w:left="320" w:top="484" w:right="859" w:bottom="1440" w:gutter="0" w:footer="0" w:header="0"/>
          <w:type w:val="continuous"/>
        </w:sectPr>
      </w:pPr>
    </w:p>
    <w:p>
      <w:pPr>
        <w:spacing w:after="0" w:line="84"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4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220" w:firstLine="16"/>
        <w:spacing w:after="0" w:line="407"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4180" w:type="dxa"/>
            <w:vAlign w:val="bottom"/>
            <w:vMerge w:val="restart"/>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80" w:type="dxa"/>
            <w:vAlign w:val="bottom"/>
          </w:tcPr>
          <w:p>
            <w:pPr>
              <w:jc w:val="center"/>
              <w:ind w:left="762"/>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2260" w:type="dxa"/>
            <w:vAlign w:val="bottom"/>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Pr>
          <w:p>
            <w:pPr>
              <w:jc w:val="center"/>
              <w:ind w:left="762"/>
              <w:spacing w:after="0" w:line="151"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180" w:type="dxa"/>
            <w:vAlign w:val="bottom"/>
          </w:tcPr>
          <w:p>
            <w:pPr>
              <w:jc w:val="center"/>
              <w:ind w:right="699"/>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7"/>
              </w:rPr>
              <w:t>TNYA</w:t>
            </w:r>
          </w:p>
        </w:tc>
        <w:tc>
          <w:tcPr>
            <w:tcW w:w="3480" w:type="dxa"/>
            <w:vAlign w:val="bottom"/>
          </w:tcPr>
          <w:p>
            <w:pPr>
              <w:jc w:val="center"/>
              <w:ind w:left="782"/>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484" w:right="859" w:bottom="1440" w:gutter="0" w:footer="0" w:header="0"/>
          <w:type w:val="continuous"/>
        </w:sectPr>
      </w:pPr>
    </w:p>
    <w:bookmarkStart w:id="1" w:name="page2"/>
    <w:bookmarkEnd w:id="1"/>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sectPr>
      </w:pPr>
    </w:p>
    <w:bookmarkStart w:id="2" w:name="page3"/>
    <w:bookmarkEnd w:id="2"/>
    <w:p>
      <w:pPr>
        <w:ind w:left="1220" w:right="60" w:hanging="1201"/>
        <w:spacing w:after="0" w:line="286" w:lineRule="auto"/>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Resignation of Director</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5, 2022, Eli Casdin submitted his resignation as a director of Tenaya Therapeutics, Inc. (the “Company”) and as a member of the Company’s Audit Committee (the “Audit Committee”). Mr. Casdin’s resignation was voluntary and did not result from any disagreement with the Company or the Company’s Board of Directors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Election of Director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December 5, 2022, the Board appointed Amy Burroughs, to serve as a Class II director, with a term expiring at the Company’s 2023 annual meeting of stockholders.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Ms. Burroughs and any other person pursuant to which Ms. Burroughs was selected as a director. In addition, there are no transactions in which Ms. Burroughs has an interest that would require disclosure under Item 404(a) of Regulation S-K.</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Ms. Burroughs will receive compensation for her service pursuant to the Company’s non-employee director compensation policy. This includes an annual cash retainer of $35,000 per year for service as a non-employee director and an additional annual cash retainer of $7,500 per year for service as a member of the Audit Committee.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as a new non-employee director, Ms. Burroughs was granted a stock option to purchase 40,000 shares of common stock. This stock option vests as to 1/36th of the total number of shares on each monthly anniversary of Ms. Burroughs’ appointment to the Board, subject to her continued service through the applicable vesting date. In the event of a change in control (as defined in the Company’s 2021 Equity Incentive Plan), the stock option will vest in full, provided that Ms. Burroughs continues to be a non-employee director through the date of such change in control. In addition, Ms. Burroughs also executed the Company’s standard form of indemnification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Ms. Burroughs’ appointment as a director is attached hereto as Exhibit 99.1.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9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Tenaya Therapeutics, Inc., dated December 7, 2022</w:t>
            </w:r>
          </w:p>
        </w:tc>
        <w:tc>
          <w:tcPr>
            <w:tcW w:w="20" w:type="dxa"/>
            <w:vAlign w:val="bottom"/>
            <w:tcBorders>
              <w:bottom w:val="single" w:sz="8" w:color="0000EE"/>
            </w:tcBorders>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47"/>
        </w:trPr>
        <w:tc>
          <w:tcPr>
            <w:tcW w:w="11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40" w:lineRule="exact"/>
        <w:rPr>
          <w:sz w:val="20"/>
          <w:szCs w:val="20"/>
          <w:color w:val="auto"/>
        </w:rPr>
      </w:pPr>
    </w:p>
    <w:p>
      <w:pPr>
        <w:ind w:left="560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14605</wp:posOffset>
            </wp:positionV>
            <wp:extent cx="2357120" cy="1225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2F3435"/>
        </w:rPr>
        <w:t>Tenaya Therapeutcs Appoints Amy Burroughs to Board of Directors</w:t>
      </w:r>
    </w:p>
    <w:p>
      <w:pPr>
        <w:spacing w:after="0" w:line="224"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b w:val="1"/>
          <w:bCs w:val="1"/>
          <w:color w:val="auto"/>
        </w:rPr>
        <w:t xml:space="preserve">SOUTH SAN FRANCISCO, Calif., – December 7, 2022 – </w:t>
      </w:r>
      <w:r>
        <w:rPr>
          <w:rFonts w:ascii="Calibri" w:cs="Calibri" w:eastAsia="Calibri" w:hAnsi="Calibri"/>
          <w:sz w:val="20"/>
          <w:szCs w:val="20"/>
          <w:color w:val="auto"/>
        </w:rPr>
        <w:t>Tenaya Therapeutcs, Inc. (Nasdaq: TNYA), a clinical-stage biotechnology company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a mission to discover, develop and deliver potentally curatve therapies that address the underlying causes of heart disease, today announced the appointment of Amy Burroughs to its Board of Directors. Ms. Burroughs currently serves as President and Chief Executve Ofcer of Cleave Therapeutcs, a clinical-stage company focused on developing novel medicines for oncology and neurodegeneratve diseases.</w:t>
      </w:r>
    </w:p>
    <w:p>
      <w:pPr>
        <w:spacing w:after="0" w:line="226"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“We are pleased to welcome Ms. Burroughs to the Tenaya Board. Her substantal and diverse industry experience in the development and commercial launch of innovatve products will be directly relevant to our eforts as we advance our pipeline of targeted therapeutcs for rare and prevalent forms of heart disease,” said Faraz Ali, Chief Executve Ofcer of Tenaya. “Ms. Burroughs is well-positoned to help Tenaya lay the foundaton to become a fully integrated company capable of discovering, development and commercializing novel genetc therapies.”</w:t>
      </w:r>
    </w:p>
    <w:p>
      <w:pPr>
        <w:spacing w:after="0" w:line="226"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Ms. Burroughs brings more than 20 years of experience in the healthcare and life science industries, with a focus on drug development and commercial planning. Before joining Cleave, Ms. Burroughs served as Executve in Residence at 5AM Ventures, and as a senior advisor to Crinetcs Pharmaceutcals, a 5AM portolio company. Prior to that she founded the Ventral Group, a strategic life sciences consultng and investor advisory frm for high-growth healthcare companies. Earlier in her career, Ms. Burroughs served as Chief Commercial Ofcer and head of business development of APT Pharmaceutcals and Commercial Team Leader at Genentech, managing strategy and communicatons while contributng to the successful launches of Xolair®, Raptva®, Rituxan® RA and Lucents®. She began her career in industry with Procter &amp; Gamble, where she was a key contributor to the launch of Aleve®. Ms. Burroughs earned a Bachelor of Arts in computer science and a minor in economics from Dartmouth College, and an MBA from Harvard Business School. Ms. Burroughs sits on the board of DiaMedica Therapeutcs.</w:t>
      </w:r>
    </w:p>
    <w:p>
      <w:pPr>
        <w:spacing w:after="0" w:line="233" w:lineRule="exact"/>
        <w:rPr>
          <w:sz w:val="20"/>
          <w:szCs w:val="20"/>
          <w:color w:val="auto"/>
        </w:rPr>
      </w:pPr>
    </w:p>
    <w:p>
      <w:pPr>
        <w:ind w:right="220"/>
        <w:spacing w:after="0" w:line="236" w:lineRule="auto"/>
        <w:rPr>
          <w:sz w:val="20"/>
          <w:szCs w:val="20"/>
          <w:color w:val="auto"/>
        </w:rPr>
      </w:pPr>
      <w:r>
        <w:rPr>
          <w:rFonts w:ascii="Calibri" w:cs="Calibri" w:eastAsia="Calibri" w:hAnsi="Calibri"/>
          <w:sz w:val="20"/>
          <w:szCs w:val="20"/>
          <w:color w:val="auto"/>
        </w:rPr>
        <w:t>“I have been impressed by Tenaya’s bold mission, deep and diferentated pipeline, and strong track record of executon against ambitous goals with a diverse and talented team,” said Ms. Burroughs. “I look forward to working with the leadership team and Board to support Tenaya’s contnued progress and advancement of frst-in-class therapeutc candidates intended to improve the lives of individuals and families fghtng severe heart disease.”</w:t>
      </w:r>
    </w:p>
    <w:p>
      <w:pPr>
        <w:spacing w:after="0" w:line="228"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color w:val="auto"/>
        </w:rPr>
        <w:t>In conjuncton with Ms. Burroughs’ appointment, Tenaya also announced that Eli Casdin, Chief Investment Ofcer of Casdin Capital, is stepping down from the Board of Directors to focus on other commitments following more than three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right="20"/>
        <w:spacing w:after="0" w:line="237" w:lineRule="auto"/>
        <w:rPr>
          <w:sz w:val="20"/>
          <w:szCs w:val="20"/>
          <w:color w:val="auto"/>
        </w:rPr>
      </w:pPr>
      <w:r>
        <w:rPr>
          <w:rFonts w:ascii="Calibri" w:cs="Calibri" w:eastAsia="Calibri" w:hAnsi="Calibri"/>
          <w:sz w:val="20"/>
          <w:szCs w:val="20"/>
          <w:color w:val="auto"/>
        </w:rPr>
        <w:t>“On behalf of the Tenaya Board of Directors, I’d like to convey our appreciaton for Mr. Casdin’s leadership and involvement during his tenure as a Board member. His strategic insights have greatly contributed to Tenaya’s evoluton from a preclinical-stage, private company to a clinical-stage, publicly traded company with cGMP manufacturing capabilites,” said David Goeddel, Ph.D., Chair of Tenaya’s Board of Directors and Managing Partner at The Column Group. “We welcome Ms. Burroughs to our Board and look forward to her wealth of industry expertse supportng Tenaya’s future evoluton and growth.”</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Tenaya Therapeutcs</w:t>
      </w:r>
    </w:p>
    <w:p>
      <w:pPr>
        <w:spacing w:after="0" w:line="9" w:lineRule="exact"/>
        <w:rPr>
          <w:sz w:val="20"/>
          <w:szCs w:val="20"/>
          <w:color w:val="auto"/>
        </w:rPr>
      </w:pPr>
    </w:p>
    <w:p>
      <w:pPr>
        <w:ind w:right="300"/>
        <w:spacing w:after="0" w:line="237" w:lineRule="auto"/>
        <w:rPr>
          <w:sz w:val="20"/>
          <w:szCs w:val="20"/>
          <w:color w:val="auto"/>
        </w:rPr>
      </w:pPr>
      <w:r>
        <w:rPr>
          <w:rFonts w:ascii="Calibri" w:cs="Calibri" w:eastAsia="Calibri" w:hAnsi="Calibri"/>
          <w:sz w:val="20"/>
          <w:szCs w:val="20"/>
          <w:color w:val="auto"/>
        </w:rPr>
        <w:t>Tenaya Therapeutcs is a clinical-stage biotechnology company commited to a bold mission: to discover, develop and deliver curatve therapies that address the underlying drivers of heart disease. Founded by leading cardiovascular scientsts from Gladstone Insttutes and the University of Texas Southwestern Medical Center, Tenaya is developing therapies for rare genetc cardiovascular disorders, as well as for more prevalent heart conditons, through three distnct but interrelated product platorms: Gene Therapy, Cellular Regeneraton and Precision Medicine. For more informaton, visit www.tenayatherapeutcs.com.</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9"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This press release contains forward-looking statements as that term is defned in Secton 27A of the Securites Act of 1933 and Secton 21E of the Securites Exchange Act of 1934. Statements in this press release that are not purely historical are forward-looking statements. Words such as “become,” “will,” “look forward” and similar expressions are intended to identfy forward-looking statements. Such forward-looking statements include, among other things, statements by Tenaya’s chief executve ofcer and its board members. The forward-looking statements contained herein are based upon Tenaya’s current expectatons and involve assumptons that may never materialize or may prove to be incorrect. These forward-looking statements are neither promises nor guarantees and are subject to a variety of risks and uncertaintes, including but not limited to: risks associated with the process of discovering, developing and commercializing drugs that are safe and efectve for use as human therapeutcs and operatng as an early clinical-stage company, including the potental for Tenaya’s product candidates to cause serious adverse events; Tenaya’s ability to develop, initate or complete preclinical studies and clinical trials for, obtain approvals for and commercialize any of its product candidates; the tming, progress and results of preclinical studies for Tenaya’s earlier stage programs; the potental for any clinical trial results to difer from preclinical, interim, preliminary, topline or expected results; Tenaya’s ability to successfully operate a manufacturing facility for clinical or commercial supply; Tenaya’s commercializaton and marketng capabilites and strategy; Tenaya’s ability to raise additonal funding it will need to contnue to pursue its business and product development plans; the negatve impacts of the COVID-19 pandemic on Tenaya’s manufacturing and operatons, including preclinical studies and clinical trials; the tming, scope and likelihood of regulatory flings and approvals; the loss of key scientfc or management personnel; competton in the industry in which Tenaya operates; Tenaya’s reliance on third partes; Tenaya’s ability to obtain and maintain intellectual property protecton for its product candidates; general economic and market conditons; and other risks. Informaton regarding the foregoing and additonal risks may be found in the secton enttled “Risk Factors” in documents that Tenaya fles from tme to tme with the Securites and Exchange Commission. These forward-looking statements are made as of the date of this press release, and Tenaya assumes no obligaton to update or revise any forward-looking statements, whether as a result of new informaton,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color w:val="333333"/>
        </w:rPr>
        <w:t>Investors</w:t>
      </w:r>
    </w:p>
    <w:p>
      <w:pPr>
        <w:spacing w:after="0" w:line="238" w:lineRule="auto"/>
        <w:rPr>
          <w:sz w:val="20"/>
          <w:szCs w:val="20"/>
          <w:color w:val="auto"/>
        </w:rPr>
      </w:pPr>
      <w:r>
        <w:rPr>
          <w:rFonts w:ascii="Calibri" w:cs="Calibri" w:eastAsia="Calibri" w:hAnsi="Calibri"/>
          <w:sz w:val="20"/>
          <w:szCs w:val="20"/>
          <w:color w:val="333333"/>
        </w:rPr>
        <w:t>Michelle Corral</w:t>
      </w:r>
    </w:p>
    <w:p>
      <w:pPr>
        <w:spacing w:after="0"/>
        <w:rPr>
          <w:sz w:val="20"/>
          <w:szCs w:val="20"/>
          <w:color w:val="auto"/>
        </w:rPr>
      </w:pPr>
      <w:r>
        <w:rPr>
          <w:rFonts w:ascii="Calibri" w:cs="Calibri" w:eastAsia="Calibri" w:hAnsi="Calibri"/>
          <w:sz w:val="20"/>
          <w:szCs w:val="20"/>
          <w:color w:val="333333"/>
        </w:rPr>
        <w:t>VP, Corporate Communicatons and Investor Relatons</w:t>
      </w:r>
    </w:p>
    <w:p>
      <w:pPr>
        <w:spacing w:after="0" w:line="238" w:lineRule="auto"/>
        <w:rPr>
          <w:sz w:val="20"/>
          <w:szCs w:val="20"/>
          <w:color w:val="auto"/>
        </w:rPr>
      </w:pPr>
      <w:r>
        <w:rPr>
          <w:rFonts w:ascii="Calibri" w:cs="Calibri" w:eastAsia="Calibri" w:hAnsi="Calibri"/>
          <w:sz w:val="20"/>
          <w:szCs w:val="20"/>
          <w:color w:val="auto"/>
        </w:rPr>
        <w:t>IR@tenayathera.com</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333333"/>
        </w:rPr>
        <w:t>Media</w:t>
      </w:r>
    </w:p>
    <w:p>
      <w:pPr>
        <w:spacing w:after="0" w:line="238" w:lineRule="auto"/>
        <w:rPr>
          <w:sz w:val="20"/>
          <w:szCs w:val="20"/>
          <w:color w:val="auto"/>
        </w:rPr>
      </w:pPr>
      <w:r>
        <w:rPr>
          <w:rFonts w:ascii="Calibri" w:cs="Calibri" w:eastAsia="Calibri" w:hAnsi="Calibri"/>
          <w:sz w:val="20"/>
          <w:szCs w:val="20"/>
          <w:color w:val="333333"/>
        </w:rPr>
        <w:t>Wendy Ryan</w:t>
      </w:r>
    </w:p>
    <w:p>
      <w:pPr>
        <w:spacing w:after="0"/>
        <w:rPr>
          <w:sz w:val="20"/>
          <w:szCs w:val="20"/>
          <w:color w:val="auto"/>
        </w:rPr>
      </w:pPr>
      <w:r>
        <w:rPr>
          <w:rFonts w:ascii="Calibri" w:cs="Calibri" w:eastAsia="Calibri" w:hAnsi="Calibri"/>
          <w:sz w:val="20"/>
          <w:szCs w:val="20"/>
          <w:color w:val="333333"/>
        </w:rPr>
        <w:t>Ten Bridge Communicatons</w:t>
      </w:r>
    </w:p>
    <w:p>
      <w:pPr>
        <w:spacing w:after="0" w:line="238" w:lineRule="auto"/>
        <w:rPr>
          <w:sz w:val="20"/>
          <w:szCs w:val="20"/>
          <w:color w:val="auto"/>
        </w:rPr>
      </w:pPr>
      <w:r>
        <w:rPr>
          <w:rFonts w:ascii="Calibri" w:cs="Calibri" w:eastAsia="Calibri" w:hAnsi="Calibri"/>
          <w:sz w:val="20"/>
          <w:szCs w:val="20"/>
          <w:color w:val="auto"/>
        </w:rPr>
        <w:t>wendy@tenbridgecommunicatons.com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1"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2022-12-07T15:46:25Z</dcterms:created>
  <dcterms:modified xsi:type="dcterms:W3CDTF">2022-12-07T15:46:25Z</dcterms:modified>
</cp:coreProperties>
</file>