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March 23, 2022</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Tenaya Therapeutics, Inc.</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517" w:right="499" w:bottom="1440" w:gutter="0" w:footer="0" w:header="0"/>
        </w:sectPr>
      </w:pPr>
    </w:p>
    <w:p>
      <w:pPr>
        <w:spacing w:after="0" w:line="165"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4" w:lineRule="exact"/>
        <w:rPr>
          <w:sz w:val="24"/>
          <w:szCs w:val="24"/>
          <w:color w:val="auto"/>
        </w:rPr>
      </w:pPr>
    </w:p>
    <w:p>
      <w:pPr>
        <w:sectPr>
          <w:pgSz w:w="11900" w:h="16838" w:orient="portrait"/>
          <w:cols w:equalWidth="0" w:num="3">
            <w:col w:w="4760" w:space="720"/>
            <w:col w:w="2580" w:space="720"/>
            <w:col w:w="2300"/>
          </w:cols>
          <w:pgMar w:left="320" w:top="517" w:right="499" w:bottom="1440" w:gutter="0" w:footer="0" w:header="0"/>
          <w:type w:val="continuous"/>
        </w:sectPr>
      </w:pPr>
    </w:p>
    <w:p>
      <w:pPr>
        <w:spacing w:after="0" w:line="12"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(State or other jurisdiction</w:t>
      </w:r>
    </w:p>
    <w:p>
      <w:pPr>
        <w:jc w:val="center"/>
        <w:ind w:right="2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(IRS Employer</w:t>
      </w:r>
    </w:p>
    <w:p>
      <w:pPr>
        <w:jc w:val="center"/>
        <w:ind w:right="13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500" w:space="720"/>
            <w:col w:w="2420"/>
          </w:cols>
          <w:pgMar w:left="320" w:top="517" w:right="499" w:bottom="1440" w:gutter="0" w:footer="0" w:header="0"/>
          <w:type w:val="continuous"/>
        </w:sectPr>
      </w:pP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 94080</w:t>
      </w: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825-6900</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080"/>
          </w:cols>
          <w:pgMar w:left="320" w:top="517" w:right="499" w:bottom="1440" w:gutter="0" w:footer="0" w:header="0"/>
          <w:type w:val="continuous"/>
        </w:sectPr>
      </w:pPr>
    </w:p>
    <w:p>
      <w:pPr>
        <w:spacing w:after="0" w:line="113" w:lineRule="exact"/>
        <w:rPr>
          <w:sz w:val="24"/>
          <w:szCs w:val="24"/>
          <w:color w:val="auto"/>
        </w:rPr>
      </w:pPr>
    </w:p>
    <w:p>
      <w:pPr>
        <w:ind w:right="520"/>
        <w:spacing w:after="0" w:line="23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1"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80" w:firstLine="16"/>
        <w:spacing w:after="0" w:line="355"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0" w:type="dxa"/>
        <w:tblCellMar>
          <w:top w:w="0" w:type="dxa"/>
          <w:left w:w="0" w:type="dxa"/>
          <w:bottom w:w="0" w:type="dxa"/>
          <w:right w:w="0" w:type="dxa"/>
        </w:tblCellMar>
      </w:tblPr>
      <w:tr>
        <w:trPr>
          <w:trHeight w:val="149"/>
        </w:trPr>
        <w:tc>
          <w:tcPr>
            <w:tcW w:w="4160" w:type="dxa"/>
            <w:vAlign w:val="bottom"/>
            <w:vMerge w:val="restart"/>
          </w:tcPr>
          <w:p>
            <w:pPr>
              <w:jc w:val="center"/>
              <w:ind w:right="679"/>
              <w:spacing w:after="0"/>
              <w:rPr>
                <w:sz w:val="20"/>
                <w:szCs w:val="20"/>
                <w:color w:val="auto"/>
              </w:rPr>
            </w:pPr>
            <w:r>
              <w:rPr>
                <w:rFonts w:ascii="Arial" w:cs="Arial" w:eastAsia="Arial" w:hAnsi="Arial"/>
                <w:sz w:val="14"/>
                <w:szCs w:val="14"/>
                <w:b w:val="1"/>
                <w:bCs w:val="1"/>
                <w:color w:val="auto"/>
                <w:w w:val="89"/>
              </w:rPr>
              <w:t>Title of each class</w:t>
            </w:r>
          </w:p>
        </w:tc>
        <w:tc>
          <w:tcPr>
            <w:tcW w:w="22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3"/>
              </w:rPr>
              <w:t>Trading</w:t>
            </w:r>
          </w:p>
        </w:tc>
        <w:tc>
          <w:tcPr>
            <w:tcW w:w="3480" w:type="dxa"/>
            <w:vAlign w:val="bottom"/>
          </w:tcPr>
          <w:p>
            <w:pPr>
              <w:jc w:val="center"/>
              <w:ind w:left="762"/>
              <w:spacing w:after="0" w:line="149" w:lineRule="exact"/>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44"/>
        </w:trPr>
        <w:tc>
          <w:tcPr>
            <w:tcW w:w="4160" w:type="dxa"/>
            <w:vAlign w:val="bottom"/>
            <w:vMerge w:val="continue"/>
          </w:tcPr>
          <w:p>
            <w:pPr>
              <w:spacing w:after="0"/>
              <w:rPr>
                <w:sz w:val="12"/>
                <w:szCs w:val="12"/>
                <w:color w:val="auto"/>
              </w:rPr>
            </w:pPr>
          </w:p>
        </w:tc>
        <w:tc>
          <w:tcPr>
            <w:tcW w:w="2240" w:type="dxa"/>
            <w:vAlign w:val="bottom"/>
          </w:tcPr>
          <w:p>
            <w:pPr>
              <w:jc w:val="center"/>
              <w:ind w:right="2"/>
              <w:spacing w:after="0" w:line="145" w:lineRule="exact"/>
              <w:rPr>
                <w:sz w:val="20"/>
                <w:szCs w:val="20"/>
                <w:color w:val="auto"/>
              </w:rPr>
            </w:pPr>
            <w:r>
              <w:rPr>
                <w:rFonts w:ascii="Arial" w:cs="Arial" w:eastAsia="Arial" w:hAnsi="Arial"/>
                <w:sz w:val="14"/>
                <w:szCs w:val="14"/>
                <w:b w:val="1"/>
                <w:bCs w:val="1"/>
                <w:color w:val="auto"/>
                <w:w w:val="88"/>
              </w:rPr>
              <w:t>Symbol(s)</w:t>
            </w:r>
          </w:p>
        </w:tc>
        <w:tc>
          <w:tcPr>
            <w:tcW w:w="3480" w:type="dxa"/>
            <w:vAlign w:val="bottom"/>
          </w:tcPr>
          <w:p>
            <w:pPr>
              <w:jc w:val="center"/>
              <w:ind w:left="762"/>
              <w:spacing w:after="0" w:line="145"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4160" w:type="dxa"/>
            <w:vAlign w:val="bottom"/>
          </w:tcPr>
          <w:p>
            <w:pPr>
              <w:jc w:val="center"/>
              <w:ind w:right="679"/>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2240" w:type="dxa"/>
            <w:vAlign w:val="bottom"/>
          </w:tcPr>
          <w:p>
            <w:pPr>
              <w:jc w:val="center"/>
              <w:ind w:right="2"/>
              <w:spacing w:after="0"/>
              <w:rPr>
                <w:sz w:val="20"/>
                <w:szCs w:val="20"/>
                <w:color w:val="auto"/>
              </w:rPr>
            </w:pPr>
            <w:r>
              <w:rPr>
                <w:rFonts w:ascii="Arial" w:cs="Arial" w:eastAsia="Arial" w:hAnsi="Arial"/>
                <w:sz w:val="18"/>
                <w:szCs w:val="18"/>
                <w:b w:val="1"/>
                <w:bCs w:val="1"/>
                <w:color w:val="auto"/>
                <w:w w:val="97"/>
              </w:rPr>
              <w:t>TNYA</w:t>
            </w:r>
          </w:p>
        </w:tc>
        <w:tc>
          <w:tcPr>
            <w:tcW w:w="3480" w:type="dxa"/>
            <w:vAlign w:val="bottom"/>
          </w:tcPr>
          <w:p>
            <w:pPr>
              <w:jc w:val="center"/>
              <w:ind w:left="782"/>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36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17"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108"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color w:val="auto"/>
        </w:rPr>
        <w:t>On March 23, 2022, Tenaya Therapeutics, Inc. (the “Company”) issued a press release announcing its financial results for the fourth quarter ended December 31, 2021. The full text of the press release is attached hereto as Exhibit 99.1 and is incorporated herein by reference.</w:t>
      </w:r>
    </w:p>
    <w:p>
      <w:pPr>
        <w:spacing w:after="0" w:line="147"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139"/>
              <w:spacing w:after="0"/>
              <w:rPr>
                <w:sz w:val="20"/>
                <w:szCs w:val="20"/>
                <w:color w:val="auto"/>
              </w:rPr>
            </w:pPr>
            <w:r>
              <w:rPr>
                <w:rFonts w:ascii="Arial" w:cs="Arial" w:eastAsia="Arial" w:hAnsi="Arial"/>
                <w:sz w:val="14"/>
                <w:szCs w:val="14"/>
                <w:color w:val="auto"/>
                <w:w w:val="99"/>
              </w:rPr>
              <w:t>Exhibit</w:t>
            </w:r>
          </w:p>
        </w:tc>
        <w:tc>
          <w:tcPr>
            <w:tcW w:w="47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tcPr>
          <w:p>
            <w:pPr>
              <w:jc w:val="center"/>
              <w:ind w:right="139"/>
              <w:spacing w:after="0"/>
              <w:rPr>
                <w:sz w:val="20"/>
                <w:szCs w:val="20"/>
                <w:color w:val="auto"/>
              </w:rPr>
            </w:pPr>
            <w:r>
              <w:rPr>
                <w:rFonts w:ascii="Arial" w:cs="Arial" w:eastAsia="Arial" w:hAnsi="Arial"/>
                <w:sz w:val="14"/>
                <w:szCs w:val="14"/>
                <w:color w:val="auto"/>
              </w:rPr>
              <w:t>No.</w:t>
            </w:r>
          </w:p>
        </w:tc>
        <w:tc>
          <w:tcPr>
            <w:tcW w:w="1008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55"/>
        </w:trPr>
        <w:tc>
          <w:tcPr>
            <w:tcW w:w="1160" w:type="dxa"/>
            <w:vAlign w:val="bottom"/>
          </w:tcPr>
          <w:p>
            <w:pPr>
              <w:ind w:left="20"/>
              <w:spacing w:after="0"/>
              <w:rPr>
                <w:sz w:val="20"/>
                <w:szCs w:val="20"/>
                <w:color w:val="auto"/>
              </w:rPr>
            </w:pPr>
            <w:r>
              <w:rPr>
                <w:rFonts w:ascii="Arial" w:cs="Arial" w:eastAsia="Arial" w:hAnsi="Arial"/>
                <w:sz w:val="18"/>
                <w:szCs w:val="18"/>
                <w:color w:val="auto"/>
              </w:rPr>
              <w:t>99.1</w:t>
            </w:r>
          </w:p>
        </w:tc>
        <w:tc>
          <w:tcPr>
            <w:tcW w:w="100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Tenaya Therapeutics, Inc., dated March 23, 2022</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4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vMerge w:val="continue"/>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06"/>
        </w:trPr>
        <w:tc>
          <w:tcPr>
            <w:tcW w:w="11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TENAYA THERAPEUTICS, INC.</w:t>
      </w:r>
    </w:p>
    <w:p>
      <w:pPr>
        <w:spacing w:after="0" w:line="16" w:lineRule="exact"/>
        <w:rPr>
          <w:sz w:val="20"/>
          <w:szCs w:val="20"/>
          <w:color w:val="auto"/>
        </w:rPr>
      </w:pPr>
    </w:p>
    <w:p>
      <w:pPr>
        <w:ind w:left="5580"/>
        <w:spacing w:after="0"/>
        <w:tabs>
          <w:tab w:leader="none" w:pos="6100" w:val="left"/>
        </w:tabs>
        <w:rPr>
          <w:sz w:val="20"/>
          <w:szCs w:val="20"/>
          <w:color w:val="auto"/>
        </w:rPr>
      </w:pPr>
      <w:r>
        <w:rPr>
          <w:rFonts w:ascii="Arial" w:cs="Arial" w:eastAsia="Arial" w:hAnsi="Arial"/>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4445</wp:posOffset>
            </wp:positionV>
            <wp:extent cx="3257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Leone D. Patterson, M.B.A.</w:t>
      </w:r>
    </w:p>
    <w:p>
      <w:pPr>
        <w:spacing w:after="0" w:line="1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and Business Officer</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57120" cy="1234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Tenaya Therapeutics Reports Fourth Quarter and Year-End 2021 Financial Results and Provides Business Updates</w:t>
      </w:r>
    </w:p>
    <w:p>
      <w:pPr>
        <w:spacing w:after="0" w:line="274"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i w:val="1"/>
          <w:iCs w:val="1"/>
          <w:color w:val="auto"/>
        </w:rPr>
        <w:t>Strengthened Leadership Team with the Additions of Sunita Sethi as Senior Vice President of Regulatory Affairs and Naymisha Patel as Senior Vice President of Quality</w:t>
      </w:r>
    </w:p>
    <w:p>
      <w:pPr>
        <w:spacing w:after="0" w:line="165"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b w:val="1"/>
          <w:bCs w:val="1"/>
          <w:color w:val="auto"/>
        </w:rPr>
        <w:t>South San Francisco, Calif. – March 23, 2022</w:t>
      </w:r>
      <w:r>
        <w:rPr>
          <w:rFonts w:ascii="Arial" w:cs="Arial" w:eastAsia="Arial" w:hAnsi="Arial"/>
          <w:sz w:val="18"/>
          <w:szCs w:val="18"/>
          <w:color w:val="auto"/>
        </w:rPr>
        <w:t>—Tenaya Therapeutics, Inc. (NASDAQ: TNYA), a biotechnology company with a mission to discover,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and deliver potentially curative therapies that address the underlying causes of heart disease, today provided business and program updates, and reported financial results for the fourth quarter and full year ended December 31, 2021.</w:t>
      </w:r>
    </w:p>
    <w:p>
      <w:pPr>
        <w:spacing w:after="0" w:line="16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2021, we achieved important milestones across research, preclinical, manufacturing and corporate operations, in line with our commitment to advance the treatment of heart disease with disease-modifying therapeutics. Our progress continues in 2022 with three therapeutic candidates advancing towards the clinic, and with increasingly robust manufacturing and clinical development capabilities,” said Faraz Ali, Chief Executive Officer of Tenaya. “With the appointments of Dr. Sethi and Ms. Patel, we continue to add depth, breadth, and diversity to our leadership team to support our transition into a clinical-stage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108"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TN-201 – MYBPC3 Gene Therapy Program for Genetic Hypertrophic Cardiomyopathy</w:t>
      </w:r>
    </w:p>
    <w:p>
      <w:pPr>
        <w:spacing w:after="0" w:line="103" w:lineRule="exact"/>
        <w:rPr>
          <w:rFonts w:ascii="Arial" w:cs="Arial" w:eastAsia="Arial" w:hAnsi="Arial"/>
          <w:sz w:val="18"/>
          <w:szCs w:val="18"/>
          <w:color w:val="auto"/>
        </w:rPr>
      </w:pPr>
    </w:p>
    <w:p>
      <w:pPr>
        <w:ind w:left="1540" w:right="320" w:hanging="509"/>
        <w:spacing w:after="0" w:line="261" w:lineRule="auto"/>
        <w:rPr>
          <w:rFonts w:ascii="Arial" w:cs="Arial" w:eastAsia="Arial" w:hAnsi="Arial"/>
          <w:sz w:val="18"/>
          <w:szCs w:val="18"/>
          <w:color w:val="auto"/>
        </w:rPr>
      </w:pPr>
      <w:r>
        <w:rPr>
          <w:rFonts w:ascii="Arial" w:cs="Arial" w:eastAsia="Arial" w:hAnsi="Arial"/>
          <w:sz w:val="18"/>
          <w:szCs w:val="18"/>
          <w:color w:val="auto"/>
        </w:rPr>
        <w:t>oTenaya expects to submit an Investigational New Drug (IND) application to the U.S. Food and Drug Administration (FDA) in the second half of 2022.</w:t>
      </w:r>
    </w:p>
    <w:p>
      <w:pPr>
        <w:spacing w:after="0" w:line="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 xml:space="preserve">Site activation and enrollment in the MyClimb Natural History Study of pediatric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mutations is ongoing.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TN-301 – HDAC6 Small Molecule Inhibitor for Heart Failure with Preserved Ejection Fraction</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Tenaya expects to submit an IND application to the FDA in the second half of 2022.</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TN-401 – PKP2 Gene Therapy Program for Genetic Arrhythmogenic Right Ventricular Cardiomyopathy</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Tenaya expects to submit an IND application to the FDA in 2023.</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cGMP Manufacturing Facility</w:t>
      </w:r>
    </w:p>
    <w:p>
      <w:pPr>
        <w:spacing w:after="0" w:line="103" w:lineRule="exact"/>
        <w:rPr>
          <w:rFonts w:ascii="Arial" w:cs="Arial" w:eastAsia="Arial" w:hAnsi="Arial"/>
          <w:sz w:val="18"/>
          <w:szCs w:val="18"/>
          <w:color w:val="auto"/>
        </w:rPr>
      </w:pPr>
    </w:p>
    <w:p>
      <w:pPr>
        <w:ind w:left="1540" w:right="260" w:hanging="509"/>
        <w:spacing w:after="0" w:line="261" w:lineRule="auto"/>
        <w:rPr>
          <w:rFonts w:ascii="Arial" w:cs="Arial" w:eastAsia="Arial" w:hAnsi="Arial"/>
          <w:sz w:val="18"/>
          <w:szCs w:val="18"/>
          <w:color w:val="auto"/>
        </w:rPr>
      </w:pPr>
      <w:r>
        <w:rPr>
          <w:rFonts w:ascii="Arial" w:cs="Arial" w:eastAsia="Arial" w:hAnsi="Arial"/>
          <w:sz w:val="18"/>
          <w:szCs w:val="18"/>
          <w:color w:val="auto"/>
        </w:rPr>
        <w:t>oTenaya expects its state-of-the-art, modular cGMP manufacturing facility in Union City, California, will become operational in the first half of 2022.</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Leadership Team</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Tenaya continues to strengthen its leadership team with the following appointments and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 w:name="page5"/>
    <w:bookmarkEnd w:id="4"/>
    <w:p>
      <w:pPr>
        <w:ind w:left="1540" w:hanging="514"/>
        <w:spacing w:after="0" w:line="259"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Sunita Sethi, Pharm.D., has been appointed Senior Vice President of Regulatory Affairs. Dr. Sethi has over thirty years of relevant industry experience, having held leadership roles in regulatory, medical affairs, clinical research, and pharmacovigilance at Astra Zeneca, Pharmacyclics, Elan Pharmaceuticals, J&amp;J, and Parke Davis. Most recently, she served as Senior Vice President, Head of Global Regulatory Affairs at ChemoCentryx, leading efforts to support the company’s first FDA approval for an orphan indication. Dr. Sethi earned her B.S. from Rutgers University and Pharm.D. from the University of South Carolina.</w:t>
      </w:r>
    </w:p>
    <w:p>
      <w:pPr>
        <w:spacing w:after="0" w:line="65" w:lineRule="exact"/>
        <w:rPr>
          <w:rFonts w:ascii="Arial" w:cs="Arial" w:eastAsia="Arial" w:hAnsi="Arial"/>
          <w:sz w:val="17"/>
          <w:szCs w:val="17"/>
          <w:color w:val="auto"/>
        </w:rPr>
      </w:pPr>
    </w:p>
    <w:p>
      <w:pPr>
        <w:ind w:left="1540" w:right="160" w:hanging="514"/>
        <w:spacing w:after="0" w:line="276"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Naymisha (Isha) Patel, M.B.A., has been appointed Senior Vice President of Quality. Ms. Patel has over twenty-five years industry experience in Quality and Compliance, with a focus on building Quality functions from the ground up for diverse therapeutics, including some cell and gene therapies. She has held positions of increasing leadership at Ocular Therapeutics, Prothena, StemCells, Geron and Nektar Therapeutics. Prior to joining Tenaya, Ms. Patel served as Vice President, Quality, for Evolus Inc., where she strengthened quality systems in support of global commercialization of medical aesthetic products. Ms. Patel earned her B.S. from Maharaja Sayajirao (MS) University, India, B.A. from California State University, and M.B.A. from Northcentral University.</w:t>
      </w:r>
    </w:p>
    <w:p>
      <w:pPr>
        <w:spacing w:after="0" w:line="53" w:lineRule="exact"/>
        <w:rPr>
          <w:rFonts w:ascii="Arial" w:cs="Arial" w:eastAsia="Arial" w:hAnsi="Arial"/>
          <w:sz w:val="16"/>
          <w:szCs w:val="16"/>
          <w:color w:val="auto"/>
        </w:rPr>
      </w:pPr>
    </w:p>
    <w:p>
      <w:pPr>
        <w:ind w:left="1540" w:right="140" w:hanging="514"/>
        <w:spacing w:after="0" w:line="259"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Kee Hong Kim, Ph.D., has been promoted to Chief Technology Officer. Dr. Kim has served as Senior Vice President, Manufacturing and Technical Operations at Tenaya since October 2018, and has led Tenaya’s effort to internalize Process Development, Analytical Development, and Quality Control capabilities, and overseen the establishment of Tenaya’s cGMP manufacturing facility. Prior to joining Tenaya, he served in roles of increasing leadership at several gene and cell therapies companies, including Agilis Biotherapeutics, Shire, Avalanche Biotechnologies (now Adverum), and Dendreon.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Financial Highlights</w:t>
      </w:r>
    </w:p>
    <w:p>
      <w:pPr>
        <w:spacing w:after="0" w:line="104" w:lineRule="exact"/>
        <w:rPr>
          <w:sz w:val="20"/>
          <w:szCs w:val="20"/>
          <w:color w:val="auto"/>
        </w:rPr>
      </w:pPr>
    </w:p>
    <w:p>
      <w:pPr>
        <w:ind w:left="1020" w:right="8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2021, cash, cash equivalents and investments in marketable securities were $251.3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$128.5 million as of December 31, 2020. Tenaya expects current cash, cash equivalents and investments in marketable securities will be sufficient to fund its current operating plan at least into the second half of 2023.</w:t>
      </w:r>
    </w:p>
    <w:p>
      <w:pPr>
        <w:spacing w:after="0" w:line="68" w:lineRule="exact"/>
        <w:rPr>
          <w:rFonts w:ascii="Arial" w:cs="Arial" w:eastAsia="Arial" w:hAnsi="Arial"/>
          <w:sz w:val="18"/>
          <w:szCs w:val="18"/>
          <w:color w:val="auto"/>
        </w:rPr>
      </w:pPr>
    </w:p>
    <w:p>
      <w:pPr>
        <w:ind w:left="1020" w:right="8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Research &amp; Development (R&amp;D) Expenses: </w:t>
      </w:r>
      <w:r>
        <w:rPr>
          <w:rFonts w:ascii="Arial" w:cs="Arial" w:eastAsia="Arial" w:hAnsi="Arial"/>
          <w:sz w:val="18"/>
          <w:szCs w:val="18"/>
          <w:color w:val="auto"/>
        </w:rPr>
        <w:t>R&amp;D expenses for the full year ended December 31, 2021, were $54.4 million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$31.1 million in 2020. Non-cash stock-based compensation included in R&amp;D expense was $1.2 million for the full year ended December 31, 2021.</w:t>
      </w:r>
    </w:p>
    <w:p>
      <w:pPr>
        <w:spacing w:after="0" w:line="68" w:lineRule="exact"/>
        <w:rPr>
          <w:rFonts w:ascii="Arial" w:cs="Arial" w:eastAsia="Arial" w:hAnsi="Arial"/>
          <w:sz w:val="18"/>
          <w:szCs w:val="18"/>
          <w:color w:val="auto"/>
        </w:rPr>
      </w:pPr>
    </w:p>
    <w:p>
      <w:pPr>
        <w:ind w:left="1020" w:right="28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General &amp; Administrative (G&amp;A) Expenses: </w:t>
      </w:r>
      <w:r>
        <w:rPr>
          <w:rFonts w:ascii="Arial" w:cs="Arial" w:eastAsia="Arial" w:hAnsi="Arial"/>
          <w:sz w:val="18"/>
          <w:szCs w:val="18"/>
          <w:color w:val="auto"/>
        </w:rPr>
        <w:t>G&amp;A expenses for the full year ended December 31, 2021, were $18.4 million in 2021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$7.8 million in 2020. Non-cash stock-based compensation included in G&amp;A expense was $1.8 million for the full year ended December 31, 2021.</w:t>
      </w:r>
    </w:p>
    <w:p>
      <w:pPr>
        <w:spacing w:after="0" w:line="68" w:lineRule="exact"/>
        <w:rPr>
          <w:rFonts w:ascii="Arial" w:cs="Arial" w:eastAsia="Arial" w:hAnsi="Arial"/>
          <w:sz w:val="18"/>
          <w:szCs w:val="18"/>
          <w:color w:val="auto"/>
        </w:rPr>
      </w:pPr>
    </w:p>
    <w:p>
      <w:pPr>
        <w:ind w:left="1020" w:right="40" w:hanging="503"/>
        <w:spacing w:after="0" w:line="26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full year ended December 31, 2021, was $72.7 million, or $4.10 per share, compared to a net loss of $38.4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$39.50 per share, for the full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6"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cardiovascular disorders</w:t>
      </w:r>
      <w:r>
        <w:rPr>
          <w:rFonts w:ascii="Arial" w:cs="Arial" w:eastAsia="Arial" w:hAnsi="Arial"/>
          <w:sz w:val="18"/>
          <w:szCs w:val="18"/>
          <w:u w:val="single" w:color="auto"/>
          <w:color w:val="auto"/>
        </w:rPr>
        <w:t>,</w:t>
      </w:r>
      <w:r>
        <w:rPr>
          <w:rFonts w:ascii="Arial" w:cs="Arial" w:eastAsia="Arial" w:hAnsi="Arial"/>
          <w:sz w:val="18"/>
          <w:szCs w:val="18"/>
          <w:color w:val="auto"/>
        </w:rPr>
        <w:t xml:space="preserve"> as well as for more prevalent heart conditions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through three distinct but interrelated product platforms: Gene Therapy, Cellular Regeneration and Precision Medicine. For more information, visit www.tenayatherapeutics.com.</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“expects” “and “will,” and similar expressions are intended to identify forward-looking statements. Such forward-looking statements include,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17"/>
          <w:szCs w:val="17"/>
          <w:color w:val="auto"/>
        </w:rPr>
        <w:t>statements regarding the expected timing of IND applications for TN-201, TN-301 and TN-401, statements regarding the cGMP manufacturing facility, the sufficiency of projected cash flows,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the timing, progress and results of preclinical studies for TN-201, TN-301, TN-401 and Tenaya’s other programs; Tenaya’s ability to raise any additional funding it will need to continue to pursue its business and product development plans; negative impacts of the COVID-19 pandemic on Tenaya’s manufacturing and operations, including preclinical studies and planned clinical trials; the timing, scope and likelihood of regulatory filings and approvals; the potential for any clinical trial results to differ from preclinical, interim, preliminary, topline or expected results; Tenaya’s manufacturing,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34" w:lineRule="auto"/>
        <w:rPr>
          <w:sz w:val="20"/>
          <w:szCs w:val="20"/>
          <w:color w:val="auto"/>
        </w:rPr>
      </w:pPr>
      <w:r>
        <w:rPr>
          <w:rFonts w:ascii="Arial" w:cs="Arial" w:eastAsia="Arial" w:hAnsi="Arial"/>
          <w:sz w:val="18"/>
          <w:szCs w:val="18"/>
          <w:color w:val="auto"/>
        </w:rPr>
        <w:t>Michelle Corral</w:t>
      </w:r>
    </w:p>
    <w:p>
      <w:pPr>
        <w:spacing w:after="0" w:line="235" w:lineRule="auto"/>
        <w:rPr>
          <w:sz w:val="20"/>
          <w:szCs w:val="20"/>
          <w:color w:val="auto"/>
        </w:rPr>
      </w:pPr>
      <w:r>
        <w:rPr>
          <w:rFonts w:ascii="Arial" w:cs="Arial" w:eastAsia="Arial" w:hAnsi="Arial"/>
          <w:sz w:val="18"/>
          <w:szCs w:val="18"/>
          <w:color w:val="auto"/>
        </w:rPr>
        <w:t>Vice President, Investor Relationship and Corporate Communications</w:t>
      </w:r>
    </w:p>
    <w:p>
      <w:pPr>
        <w:spacing w:after="0" w:line="235" w:lineRule="auto"/>
        <w:rPr>
          <w:sz w:val="20"/>
          <w:szCs w:val="20"/>
          <w:color w:val="auto"/>
        </w:rPr>
      </w:pPr>
      <w:r>
        <w:rPr>
          <w:rFonts w:ascii="Arial" w:cs="Arial" w:eastAsia="Arial" w:hAnsi="Arial"/>
          <w:sz w:val="18"/>
          <w:szCs w:val="18"/>
          <w:color w:val="auto"/>
        </w:rPr>
        <w:t>Tenaya Therapeutics</w:t>
      </w:r>
    </w:p>
    <w:p>
      <w:pPr>
        <w:spacing w:after="0"/>
        <w:rPr>
          <w:sz w:val="20"/>
          <w:szCs w:val="20"/>
          <w:color w:val="auto"/>
        </w:rPr>
      </w:pPr>
      <w:r>
        <w:rPr>
          <w:rFonts w:ascii="Arial" w:cs="Arial" w:eastAsia="Arial" w:hAnsi="Arial"/>
          <w:sz w:val="18"/>
          <w:szCs w:val="18"/>
          <w:color w:val="auto"/>
        </w:rPr>
        <w:t>IR@tenayathera.com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234" w:lineRule="auto"/>
        <w:rPr>
          <w:sz w:val="20"/>
          <w:szCs w:val="20"/>
          <w:color w:val="auto"/>
        </w:rPr>
      </w:pPr>
      <w:r>
        <w:rPr>
          <w:rFonts w:ascii="Arial" w:cs="Arial" w:eastAsia="Arial" w:hAnsi="Arial"/>
          <w:sz w:val="18"/>
          <w:szCs w:val="18"/>
          <w:color w:val="auto"/>
        </w:rPr>
        <w:t>Ten Bridge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Wendy@tenbridgecommunications.com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6"/>
                <w:szCs w:val="16"/>
                <w:color w:val="auto"/>
              </w:rPr>
            </w:pPr>
          </w:p>
        </w:tc>
        <w:tc>
          <w:tcPr>
            <w:tcW w:w="276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20,953</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8,364</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54,393</w:t>
            </w:r>
          </w:p>
        </w:tc>
        <w:tc>
          <w:tcPr>
            <w:tcW w:w="20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5,211</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1,958</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18,413</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26,164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72,806</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(26,164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(10,322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(72,806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(38,912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120"/>
              <w:spacing w:after="0" w:line="162" w:lineRule="exact"/>
              <w:rPr>
                <w:sz w:val="20"/>
                <w:szCs w:val="20"/>
                <w:color w:val="auto"/>
              </w:rPr>
            </w:pPr>
            <w:r>
              <w:rPr>
                <w:rFonts w:ascii="Arial" w:cs="Arial" w:eastAsia="Arial" w:hAnsi="Arial"/>
                <w:sz w:val="18"/>
                <w:szCs w:val="18"/>
                <w:color w:val="auto"/>
              </w:rPr>
              <w:t>Change in fair value of convertible preferred</w:t>
            </w:r>
          </w:p>
        </w:tc>
        <w:tc>
          <w:tcPr>
            <w:tcW w:w="260" w:type="dxa"/>
            <w:vAlign w:val="bottom"/>
          </w:tcPr>
          <w:p>
            <w:pPr>
              <w:spacing w:after="0"/>
              <w:rPr>
                <w:sz w:val="14"/>
                <w:szCs w:val="14"/>
                <w:color w:val="auto"/>
              </w:rPr>
            </w:pPr>
          </w:p>
        </w:tc>
        <w:tc>
          <w:tcPr>
            <w:tcW w:w="140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3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2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40"/>
              <w:spacing w:after="0"/>
              <w:rPr>
                <w:sz w:val="20"/>
                <w:szCs w:val="20"/>
                <w:color w:val="auto"/>
              </w:rPr>
            </w:pPr>
            <w:r>
              <w:rPr>
                <w:rFonts w:ascii="Arial" w:cs="Arial" w:eastAsia="Arial" w:hAnsi="Arial"/>
                <w:sz w:val="18"/>
                <w:szCs w:val="18"/>
                <w:color w:val="auto"/>
              </w:rPr>
              <w:t>stock tranche liability</w:t>
            </w: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(54 )</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(23 )</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(26,151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(10,318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(72,721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(38,395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486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1"/>
              <w:spacing w:after="0" w:line="183" w:lineRule="exact"/>
              <w:rPr>
                <w:sz w:val="20"/>
                <w:szCs w:val="20"/>
                <w:color w:val="auto"/>
              </w:rPr>
            </w:pPr>
            <w:r>
              <w:rPr>
                <w:rFonts w:ascii="Arial" w:cs="Arial" w:eastAsia="Arial" w:hAnsi="Arial"/>
                <w:sz w:val="18"/>
                <w:szCs w:val="18"/>
                <w:color w:val="auto"/>
              </w:rPr>
              <w:t>(0.63 )</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(9.86 )</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1"/>
              <w:spacing w:after="0" w:line="183" w:lineRule="exact"/>
              <w:rPr>
                <w:sz w:val="20"/>
                <w:szCs w:val="20"/>
                <w:color w:val="auto"/>
              </w:rPr>
            </w:pPr>
            <w:r>
              <w:rPr>
                <w:rFonts w:ascii="Arial" w:cs="Arial" w:eastAsia="Arial" w:hAnsi="Arial"/>
                <w:sz w:val="18"/>
                <w:szCs w:val="18"/>
                <w:color w:val="auto"/>
              </w:rPr>
              <w:t>(4.10 )</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(39.50 )</w:t>
            </w:r>
          </w:p>
        </w:tc>
        <w:tc>
          <w:tcPr>
            <w:tcW w:w="0" w:type="dxa"/>
            <w:vAlign w:val="bottom"/>
          </w:tcPr>
          <w:p>
            <w:pPr>
              <w:spacing w:after="0"/>
              <w:rPr>
                <w:sz w:val="1"/>
                <w:szCs w:val="1"/>
                <w:color w:val="auto"/>
              </w:rPr>
            </w:pPr>
          </w:p>
        </w:tc>
      </w:tr>
      <w:tr>
        <w:trPr>
          <w:trHeight w:val="155"/>
        </w:trPr>
        <w:tc>
          <w:tcPr>
            <w:tcW w:w="48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w w:val="94"/>
              </w:rPr>
              <w:t>Weighted-average shares used in computing net loss per share,</w:t>
            </w:r>
          </w:p>
        </w:tc>
        <w:tc>
          <w:tcPr>
            <w:tcW w:w="2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41,253,720</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1,046,790</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17,734,166</w:t>
            </w:r>
          </w:p>
        </w:tc>
        <w:tc>
          <w:tcPr>
            <w:tcW w:w="20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972,091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08"/>
        </w:trPr>
        <w:tc>
          <w:tcPr>
            <w:tcW w:w="4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-2302510</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-2302510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-2302510</wp:posOffset>
            </wp:positionV>
            <wp:extent cx="603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-2302510</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-1402080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-1402080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-1402080</wp:posOffset>
            </wp:positionV>
            <wp:extent cx="6032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-1402080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-1130935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-1113790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-1130935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-1113790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-1130935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-1113790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-1130935</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-1113790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-753745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-736600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-753745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-736600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-753745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-736600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-753745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-736600</wp:posOffset>
            </wp:positionV>
            <wp:extent cx="59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11"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(In thousands)</w:t>
      </w:r>
    </w:p>
    <w:p>
      <w:pPr>
        <w:ind w:left="5160"/>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38,129</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128,535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Investments in marketable securities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213,171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255,358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129,964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43,020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non-current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3,579</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314,189</w:t>
            </w:r>
          </w:p>
        </w:tc>
        <w:tc>
          <w:tcPr>
            <w:tcW w:w="5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148,161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LIABILITIES, CONVERTIBLE PREFERRED STOCK AND</w:t>
            </w: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21,774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5,041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rent and other lease liabilities, non-current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13,707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220,754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278,526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(81,315 )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314,189</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148,161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1"/>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-2190750</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-2190750</wp:posOffset>
            </wp:positionV>
            <wp:extent cx="596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-1016635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-1016635</wp:posOffset>
            </wp:positionV>
            <wp:extent cx="596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2022-03-23T15:25:53Z</dcterms:created>
  <dcterms:modified xsi:type="dcterms:W3CDTF">2022-03-23T15:25:53Z</dcterms:modified>
</cp:coreProperties>
</file>