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nya-20230809.htm"/>
      <w:bookmarkStart w:id="1" w:name="kstnya20230809"/>
      <w:bookmarkEnd w:id="0"/>
      <w:bookmarkEnd w:id="1"/>
      <w:r>
        <w:rPr/>
        <w:t> </w:t>
      </w:r>
    </w:p>
    <w:p>
      <w:pPr>
        <w:pStyle w:val="TextBody"/>
        <w:bidi w:val="0"/>
        <w:spacing w:before="8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36"/>
        </w:rPr>
        <w:t>FORM 8-K</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4"/>
        </w:rPr>
        <w:t>CURRENT REPORT</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Pursuant to Section 13 or 15(d)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of the Securities Exchange Act of 1934</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4"/>
        </w:rPr>
        <w:t>Date of Report (Date of earliest event reported):</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August 9, 2023</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48"/>
        </w:rPr>
        <w:t>Tenaya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bidi w:val="0"/>
        <w:spacing w:before="0" w:after="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001-40656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81-3789973</w:t>
            </w:r>
          </w:p>
        </w:tc>
      </w:tr>
      <w:tr>
        <w:trPr/>
        <w:tc>
          <w:tcPr>
            <w:tcW w:w="20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of incorporation)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6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(Commission</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File Number)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bl>
    <w:p>
      <w:pPr>
        <w:pStyle w:val="TextBody"/>
        <w:bidi w:val="0"/>
        <w:spacing w:before="240" w:after="0"/>
        <w:jc w:val="center"/>
        <w:rPr>
          <w:rFonts w:ascii="Times New Roman" w:hAnsi="Times New Roman"/>
          <w:sz w:val="20"/>
        </w:rPr>
      </w:pPr>
      <w:r>
        <w:rPr>
          <w:rFonts w:ascii="Times New Roman;serif" w:hAnsi="Times New Roman;serif"/>
          <w:b/>
          <w:sz w:val="20"/>
        </w:rPr>
        <w:t>171 Oyster Point Boulevard, Suite 500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South San Francisco, CA</w:t>
      </w:r>
      <w:r>
        <w:rPr>
          <w:rFonts w:ascii="Times New Roman" w:hAnsi="Times New Roman"/>
          <w:sz w:val="20"/>
        </w:rPr>
        <w:t xml:space="preserve"> </w:t>
      </w:r>
      <w:r>
        <w:rPr>
          <w:rFonts w:ascii="Times New Roman;serif" w:hAnsi="Times New Roman;serif"/>
          <w:b/>
          <w:sz w:val="20"/>
        </w:rPr>
        <w:t>94080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(Address of principal executive offices, including zip code)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(650) 825-6990</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20"/>
        </w:rPr>
        <w:t>Not Applicable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16"/>
        </w:rPr>
        <w:t>(Former name or former address, if changed since last report)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 (see General Instruction A.2. below):</w:t>
      </w:r>
      <w:r>
        <w:rPr>
          <w:rFonts w:ascii="Times New Roman" w:hAnsi="Times New Roman"/>
          <w:sz w:val="20"/>
        </w:rPr>
        <w:t xml:space="preserve">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74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val="false"/>
                <w:sz w:val="20"/>
              </w:rPr>
              <w:t>Written communications pursuant to Rule 425 under the Securities Act (17 CFR 230.425)</w:t>
            </w:r>
            <w:r>
              <w:rPr>
                <w:rFonts w:ascii="Times New Roman" w:hAnsi="Times New Roman"/>
                <w:sz w:val="20"/>
              </w:rPr>
              <w:t xml:space="preserve"> </w:t>
            </w:r>
          </w:p>
        </w:tc>
      </w:tr>
    </w:tbl>
    <w:p>
      <w:pPr>
        <w:pStyle w:val="TextBody"/>
        <w:bidi w:val="0"/>
        <w:spacing w:before="0" w:after="0"/>
        <w:jc w:val="left"/>
        <w:rPr/>
      </w:pPr>
      <w:r>
        <w:rPr/>
        <w:t> </w:t>
      </w:r>
    </w:p>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74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Soliciting material pursuant to Rule 14a-12 under the Exchange Act (17 CFR 240.14a-12)</w:t>
            </w:r>
          </w:p>
        </w:tc>
      </w:tr>
    </w:tbl>
    <w:p>
      <w:pPr>
        <w:pStyle w:val="TextBody"/>
        <w:bidi w:val="0"/>
        <w:spacing w:before="0" w:after="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1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14d-2(b) under the Exchange Act (17 CFR 240.14d-2(b))</w:t>
            </w:r>
          </w:p>
        </w:tc>
      </w:tr>
    </w:tbl>
    <w:p>
      <w:pPr>
        <w:pStyle w:val="TextBody"/>
        <w:bidi w:val="0"/>
        <w:spacing w:before="0" w:after="0"/>
        <w:jc w:val="left"/>
        <w:rPr/>
      </w:pPr>
      <w:r>
        <w:rPr/>
        <w:t> </w:t>
      </w:r>
    </w:p>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1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990" w:type="dxa"/>
        <w:jc w:val="left"/>
        <w:tblInd w:w="0" w:type="dxa"/>
        <w:tblLayout w:type="fixed"/>
        <w:tblCellMar>
          <w:top w:w="28" w:type="dxa"/>
          <w:left w:w="28" w:type="dxa"/>
          <w:bottom w:w="28" w:type="dxa"/>
          <w:right w:w="28" w:type="dxa"/>
        </w:tblCellMar>
      </w:tblPr>
      <w:tblGrid>
        <w:gridCol w:w="3871"/>
        <w:gridCol w:w="146"/>
        <w:gridCol w:w="826"/>
        <w:gridCol w:w="146"/>
        <w:gridCol w:w="300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0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Name of exchange</w:t>
            </w:r>
          </w:p>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on which registered</w:t>
            </w:r>
          </w:p>
        </w:tc>
      </w:tr>
      <w:tr>
        <w:trPr/>
        <w:tc>
          <w:tcPr>
            <w:tcW w:w="387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TNYA</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0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The Nasdaq Global Select Market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Item 2.02 Results of Operations and 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9, 2023, Tenaya Therapeutics, Inc. (the “Company”) issued a press release announcing its financial results for the quarter ended June 30, 2023. The full text of the press release is attached hereto as Exhibit 99.1 and is incorporated herein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All of the information furnished in this Item 2.02 and Item 9.01 (including Exhibit 99.1) shall not be deemed to be “filed” for purposes of Section 18 of the Securities Exchange Act of 1934, as amended, and shall not be incorporated by reference in any filing under the Securities Act of 1933, as amended, or the Securities Exchange Act of 1934, as amended, except as shall be expressly set forth by specific reference in such a filing.</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serif" w:hAnsi="Times New Roman;serif"/>
          <w:b/>
          <w:sz w:val="20"/>
        </w:rPr>
        <w:t>Item 9.01 Financial Statements and 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 Exhibits.</w:t>
      </w:r>
      <w:r>
        <w:rPr>
          <w:rFonts w:ascii="Times New Roman" w:hAnsi="Times New Roman"/>
          <w:sz w:val="20"/>
        </w:rPr>
        <w:t xml:space="preserve"> </w:t>
      </w:r>
    </w:p>
    <w:p>
      <w:pPr>
        <w:pStyle w:val="TextBody"/>
        <w:bidi w:val="0"/>
        <w:spacing w:before="0" w:after="0"/>
        <w:jc w:val="left"/>
        <w:rPr/>
      </w:pPr>
      <w:r>
        <w:rPr/>
        <w:t> </w:t>
      </w:r>
    </w:p>
    <w:tbl>
      <w:tblPr>
        <w:tblW w:w="7378" w:type="dxa"/>
        <w:jc w:val="left"/>
        <w:tblInd w:w="0" w:type="dxa"/>
        <w:tblLayout w:type="fixed"/>
        <w:tblCellMar>
          <w:top w:w="28" w:type="dxa"/>
          <w:left w:w="28" w:type="dxa"/>
          <w:bottom w:w="28" w:type="dxa"/>
          <w:right w:w="28" w:type="dxa"/>
        </w:tblCellMar>
      </w:tblPr>
      <w:tblGrid>
        <w:gridCol w:w="631"/>
        <w:gridCol w:w="146"/>
        <w:gridCol w:w="6601"/>
      </w:tblGrid>
      <w:tr>
        <w:trPr/>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Exhibit</w:t>
              <w:br/>
              <w:t>No.</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Description</w:t>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99.1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1"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tnya-ex99_1.htm">
              <w:r>
                <w:rPr>
                  <w:rStyle w:val="InternetLink"/>
                  <w:rFonts w:ascii="Times New Roman;serif" w:hAnsi="Times New Roman;serif"/>
                  <w:b w:val="false"/>
                  <w:sz w:val="20"/>
                  <w:u w:val="single"/>
                </w:rPr>
                <w:t>Press Release of Tenaya Therapeutics, Inc., dated August 9, 2023</w:t>
              </w:r>
            </w:hyperlink>
          </w:p>
        </w:tc>
      </w:tr>
      <w:tr>
        <w:trPr/>
        <w:tc>
          <w:tcPr>
            <w:tcW w:w="6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66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SIGNATURES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r>
        <w:rPr>
          <w:rFonts w:ascii="Times New Roman" w:hAnsi="Times New Roman"/>
          <w:sz w:val="20"/>
        </w:rPr>
        <w:t xml:space="preserve"> </w:t>
      </w:r>
    </w:p>
    <w:p>
      <w:pPr>
        <w:pStyle w:val="TextBody"/>
        <w:bidi w:val="0"/>
        <w:spacing w:before="0" w:after="0"/>
        <w:jc w:val="left"/>
        <w:rPr/>
      </w:pPr>
      <w:r>
        <w:rPr/>
        <w:t> </w:t>
      </w:r>
    </w:p>
    <w:tbl>
      <w:tblPr>
        <w:tblW w:w="5665" w:type="dxa"/>
        <w:jc w:val="left"/>
        <w:tblInd w:w="0" w:type="dxa"/>
        <w:tblLayout w:type="fixed"/>
        <w:tblCellMar>
          <w:top w:w="28" w:type="dxa"/>
          <w:left w:w="28" w:type="dxa"/>
          <w:bottom w:w="28" w:type="dxa"/>
          <w:right w:w="28" w:type="dxa"/>
        </w:tblCellMar>
      </w:tblPr>
      <w:tblGrid>
        <w:gridCol w:w="1846"/>
        <w:gridCol w:w="146"/>
        <w:gridCol w:w="406"/>
        <w:gridCol w:w="146"/>
        <w:gridCol w:w="312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673" w:type="dxa"/>
            <w:gridSpan w:val="3"/>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TENAYA THERAPEUTICS, INC.</w:t>
            </w:r>
          </w:p>
        </w:tc>
      </w:tr>
      <w:tr>
        <w:trPr/>
        <w:tc>
          <w:tcPr>
            <w:tcW w:w="1846" w:type="dxa"/>
            <w:tcBorders/>
            <w:vAlign w:val="center"/>
          </w:tcPr>
          <w:p>
            <w:pPr>
              <w:pStyle w:val="TableContents"/>
              <w:bidi w:val="0"/>
              <w:spacing w:before="0" w:after="20"/>
              <w:ind w:left="0" w:right="0" w:hanging="0"/>
              <w:jc w:val="left"/>
              <w:rPr/>
            </w:pPr>
            <w:r>
              <w:rPr/>
              <w:t> </w:t>
            </w:r>
          </w:p>
        </w:tc>
        <w:tc>
          <w:tcPr>
            <w:tcW w:w="146" w:type="dxa"/>
            <w:tcBorders/>
            <w:vAlign w:val="center"/>
          </w:tcPr>
          <w:p>
            <w:pPr>
              <w:pStyle w:val="TableContents"/>
              <w:bidi w:val="0"/>
              <w:spacing w:before="0" w:after="20"/>
              <w:ind w:left="0" w:right="0" w:hanging="0"/>
              <w:jc w:val="left"/>
              <w:rPr/>
            </w:pPr>
            <w:r>
              <w:rPr/>
              <w:t> </w:t>
            </w:r>
          </w:p>
        </w:tc>
        <w:tc>
          <w:tcPr>
            <w:tcW w:w="406" w:type="dxa"/>
            <w:tcBorders/>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0"/>
              <w:ind w:left="0" w:right="0" w:hanging="0"/>
              <w:jc w:val="left"/>
              <w:rPr/>
            </w:pPr>
            <w:r>
              <w:rPr/>
              <w:t> </w:t>
            </w:r>
          </w:p>
        </w:tc>
        <w:tc>
          <w:tcPr>
            <w:tcW w:w="3121" w:type="dxa"/>
            <w:tcBorders>
              <w:bottom w:val="single" w:sz="4" w:space="0" w:color="000000"/>
            </w:tcBorders>
            <w:tcMar>
              <w:top w:w="0" w:type="dxa"/>
              <w:left w:w="0" w:type="dxa"/>
              <w:right w:w="0" w:type="dxa"/>
            </w:tcMar>
            <w:vAlign w:val="center"/>
          </w:tcPr>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Leone D. Patterson, M.B.A.</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Leone D. Patterson, M.B.A.</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and Business Officer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12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 w:name="tnya-ex99_1.htm"/>
      <w:bookmarkStart w:id="3" w:name="kstnyaex99_1"/>
      <w:bookmarkEnd w:id="2"/>
      <w:bookmarkEnd w:id="3"/>
      <w:r>
        <w:rPr/>
        <w:t> </w:t>
      </w:r>
      <w:r>
        <w:br w:type="page"/>
      </w:r>
    </w:p>
    <w:p>
      <w:pPr>
        <w:pStyle w:val="TextBody"/>
        <w:bidi w:val="0"/>
        <w:spacing w:before="0" w:after="0"/>
        <w:jc w:val="right"/>
        <w:rPr>
          <w:rFonts w:ascii="Times New Roman" w:hAnsi="Times New Roman"/>
          <w:sz w:val="20"/>
        </w:rPr>
      </w:pPr>
      <w:r>
        <w:rPr>
          <w:rFonts w:ascii="Times New Roman;serif" w:hAnsi="Times New Roman;serif"/>
          <w:b/>
          <w:sz w:val="20"/>
        </w:rPr>
        <w:t>Exhibit 99.1</w:t>
      </w:r>
      <w:r>
        <w:rPr>
          <w:rFonts w:ascii="Times New Roman" w:hAnsi="Times New Roman"/>
          <w:sz w:val="20"/>
        </w:rPr>
        <w:t xml:space="preserve"> </w:t>
      </w:r>
    </w:p>
    <w:p>
      <w:pPr>
        <w:pStyle w:val="TextBody"/>
        <w:bidi w:val="0"/>
        <w:spacing w:before="0" w:after="0"/>
        <w:jc w:val="center"/>
        <w:rPr/>
      </w:pPr>
      <w:r>
        <w:rPr/>
        <w:drawing>
          <wp:inline distT="0" distB="0" distL="0" distR="0">
            <wp:extent cx="2619375"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71600"/>
                    </a:xfrm>
                    <a:prstGeom prst="rect">
                      <a:avLst/>
                    </a:prstGeom>
                  </pic:spPr>
                </pic:pic>
              </a:graphicData>
            </a:graphic>
          </wp:inline>
        </w:drawing>
      </w: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sz w:val="24"/>
        </w:rPr>
      </w:pPr>
      <w:r>
        <w:rPr>
          <w:rFonts w:ascii="Times New Roman;serif" w:hAnsi="Times New Roman;serif"/>
          <w:b/>
          <w:sz w:val="24"/>
        </w:rPr>
        <w:t xml:space="preserve">Tenaya Therapeutics Reports Second Quarter 2023 Financial Results and </w:t>
        <w:br/>
        <w:t>Provides Business Update</w:t>
      </w:r>
    </w:p>
    <w:p>
      <w:pPr>
        <w:pStyle w:val="TextBody"/>
        <w:bidi w:val="0"/>
        <w:spacing w:before="0" w:after="0"/>
        <w:jc w:val="center"/>
        <w:rPr>
          <w:rFonts w:ascii="Times New Roman;serif" w:hAnsi="Times New Roman;serif"/>
          <w:b w:val="false"/>
          <w:i/>
          <w:sz w:val="22"/>
        </w:rPr>
      </w:pPr>
      <w:r>
        <w:rPr>
          <w:rFonts w:ascii="Times New Roman;serif" w:hAnsi="Times New Roman;serif"/>
          <w:b w:val="false"/>
          <w:i/>
          <w:sz w:val="22"/>
        </w:rPr>
        <w:t>Dosing of First Patient in Phase 1b Trial of TN-201 On Track to Occur in Q3 2023</w:t>
      </w:r>
    </w:p>
    <w:p>
      <w:pPr>
        <w:pStyle w:val="TextBody"/>
        <w:bidi w:val="0"/>
        <w:spacing w:before="0" w:after="0"/>
        <w:jc w:val="center"/>
        <w:rPr>
          <w:rFonts w:ascii="Times New Roman;serif" w:hAnsi="Times New Roman;serif"/>
          <w:b w:val="false"/>
          <w:i/>
          <w:sz w:val="22"/>
        </w:rPr>
      </w:pPr>
      <w:r>
        <w:rPr>
          <w:rFonts w:ascii="Times New Roman;serif" w:hAnsi="Times New Roman;serif"/>
          <w:b w:val="false"/>
          <w:i/>
          <w:sz w:val="22"/>
        </w:rPr>
        <w:t>Data from Phase 1 Clinical Trial of TN-301 Accepted for Presentation at HFSA 2023</w:t>
      </w:r>
    </w:p>
    <w:p>
      <w:pPr>
        <w:pStyle w:val="TextBody"/>
        <w:bidi w:val="0"/>
        <w:spacing w:before="0" w:after="0"/>
        <w:jc w:val="center"/>
        <w:rPr>
          <w:rFonts w:ascii="Times New Roman;serif" w:hAnsi="Times New Roman;serif"/>
          <w:b w:val="false"/>
          <w:i/>
          <w:sz w:val="22"/>
        </w:rPr>
      </w:pPr>
      <w:r>
        <w:rPr>
          <w:rFonts w:ascii="Times New Roman;serif" w:hAnsi="Times New Roman;serif"/>
          <w:b w:val="false"/>
          <w:i/>
          <w:sz w:val="22"/>
        </w:rPr>
        <w:t>IND Application for TN-401 Anticipated in Second Half 2023</w:t>
      </w:r>
    </w:p>
    <w:p>
      <w:pPr>
        <w:pStyle w:val="TextBody"/>
        <w:bidi w:val="0"/>
        <w:spacing w:before="0" w:after="0"/>
        <w:jc w:val="center"/>
        <w:rPr>
          <w:rFonts w:ascii="Times New Roman;serif" w:hAnsi="Times New Roman;serif"/>
          <w:b w:val="false"/>
          <w:i/>
          <w:sz w:val="22"/>
        </w:rPr>
      </w:pPr>
      <w:r>
        <w:rPr>
          <w:rFonts w:ascii="Times New Roman;serif" w:hAnsi="Times New Roman;serif"/>
          <w:b w:val="false"/>
          <w:i/>
          <w:sz w:val="22"/>
        </w:rPr>
        <w:t xml:space="preserve">Second Quarter Cash and Investments of $152 Million; </w:t>
        <w:br/>
        <w:t>Runway to Fund Operations into First Half 2025</w:t>
      </w:r>
    </w:p>
    <w:p>
      <w:pPr>
        <w:pStyle w:val="TextBody"/>
        <w:bidi w:val="0"/>
        <w:spacing w:before="0" w:after="0"/>
        <w:jc w:val="left"/>
        <w:rPr>
          <w:rFonts w:ascii="Times New Roman" w:hAnsi="Times New Roman"/>
          <w:sz w:val="20"/>
        </w:rPr>
      </w:pPr>
      <w:r>
        <w:rPr>
          <w:rFonts w:ascii="Times New Roman;serif" w:hAnsi="Times New Roman;serif"/>
          <w:b/>
          <w:sz w:val="22"/>
        </w:rPr>
        <w:t>SOUTH SAN FRANCISCO, Calif., August 9, 2023</w:t>
      </w:r>
      <w:r>
        <w:rPr>
          <w:rFonts w:ascii="Times New Roman" w:hAnsi="Times New Roman"/>
          <w:sz w:val="20"/>
        </w:rPr>
        <w:t xml:space="preserve"> </w:t>
      </w:r>
      <w:r>
        <w:rPr>
          <w:rFonts w:ascii="Times New Roman;serif" w:hAnsi="Times New Roman;serif"/>
          <w:b w:val="false"/>
          <w:sz w:val="22"/>
        </w:rPr>
        <w:t>-- Tenaya Therapeutics, Inc. (NASDAQ: TNYA), a clinical-stage biotechnology company with a mission to discover, develop and deliver potentially curative therapies that address the underlying causes of heart disease, today reported financial results and provided a corporate update for the second quarter ended June 30, 2023.</w:t>
      </w:r>
    </w:p>
    <w:p>
      <w:pPr>
        <w:pStyle w:val="TextBody"/>
        <w:bidi w:val="0"/>
        <w:spacing w:before="0" w:after="0"/>
        <w:jc w:val="left"/>
        <w:rPr/>
      </w:pPr>
      <w:r>
        <w:rPr/>
        <w:t>“</w:t>
      </w:r>
      <w:r>
        <w:rPr>
          <w:rFonts w:ascii="Times New Roman;serif" w:hAnsi="Times New Roman;serif"/>
          <w:b w:val="false"/>
          <w:sz w:val="22"/>
        </w:rPr>
        <w:t>We are looking ahead to important near-term milestones across all our programs. Dosing the first patient in our first clinical trial for TN-201 will be a significant moment for our company and bring us one step closer to bringing much-needed solutions to those impacted by genetic HCM,” said Faraz Ali, Chief Executive Officer of Tenaya. “We are also looking forward to presenting healthy participant data from our TN-301 small molecule program and filing the IND for our TN-401 gene therapy candidate later this year. Our continued progress is supported by our unwavering commitment to fight heart disease on behalf of individuals and families.”</w:t>
      </w:r>
    </w:p>
    <w:p>
      <w:pPr>
        <w:pStyle w:val="TextBody"/>
        <w:bidi w:val="0"/>
        <w:spacing w:before="0" w:after="0"/>
        <w:jc w:val="left"/>
        <w:rPr>
          <w:rFonts w:ascii="Times New Roman" w:hAnsi="Times New Roman"/>
          <w:sz w:val="20"/>
        </w:rPr>
      </w:pPr>
      <w:r>
        <w:rPr>
          <w:rFonts w:ascii="Times New Roman;serif" w:hAnsi="Times New Roman;serif"/>
          <w:b/>
          <w:sz w:val="22"/>
        </w:rPr>
        <w:t>Business and Program Updates</w:t>
      </w:r>
      <w:r>
        <w:rPr>
          <w:rFonts w:ascii="Times New Roman;serif" w:hAnsi="Times New Roman;serif"/>
          <w:b w:val="false"/>
          <w:sz w:val="22"/>
        </w:rPr>
        <w:br/>
      </w:r>
      <w:r>
        <w:rPr>
          <w:rFonts w:ascii="Times New Roman;serif" w:hAnsi="Times New Roman;serif"/>
          <w:b w:val="false"/>
          <w:i/>
          <w:sz w:val="22"/>
        </w:rPr>
        <w:t>TN-201 – Gene Therapy for MYBPC3-Associated Hypertrophic Cardiomyopathy (HCM)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2"/>
        </w:rPr>
      </w:pPr>
      <w:r>
        <w:rPr>
          <w:rFonts w:ascii="Times New Roman;serif" w:hAnsi="Times New Roman;serif"/>
          <w:b w:val="false"/>
          <w:sz w:val="22"/>
        </w:rPr>
        <w:t xml:space="preserve">In April 2023, the U.S. Food and Drug Administration (FDA) granted Fast Track designation for Tenaya’s lead gene therapy program, TN-201. Companies with therapies that receive the Fast Track designation are eligible for more frequent communication with the agency and may qualify for Accelerated Approval and Priority Review if relevant criteria are met.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2"/>
        </w:rPr>
      </w:pPr>
      <w:r>
        <w:rPr>
          <w:rFonts w:ascii="Times New Roman;serif" w:hAnsi="Times New Roman;serif"/>
          <w:b w:val="false"/>
          <w:sz w:val="22"/>
        </w:rPr>
        <w:t>Tenaya anticipates dosing its first patient in the “MyPeak-1” Phase 1b multi-center, open-label, dose-escalation clinical trial of TN-201 during the third quarter of 2023 (ClinicalTrials.gov #NCT05836259).</w:t>
      </w:r>
    </w:p>
    <w:p>
      <w:pPr>
        <w:pStyle w:val="TextBody"/>
        <w:bidi w:val="0"/>
        <w:spacing w:before="120" w:after="0"/>
        <w:jc w:val="left"/>
        <w:rPr>
          <w:rFonts w:ascii="Times New Roman" w:hAnsi="Times New Roman"/>
          <w:b w:val="false"/>
          <w:sz w:val="22"/>
        </w:rPr>
      </w:pPr>
      <w:r>
        <w:rPr>
          <w:rFonts w:ascii="Times New Roman" w:hAnsi="Times New Roman"/>
          <w:b w:val="false"/>
          <w:sz w:val="22"/>
        </w:rPr>
        <w:t>o</w:t>
      </w:r>
    </w:p>
    <w:p>
      <w:pPr>
        <w:pStyle w:val="TextBody"/>
        <w:bidi w:val="0"/>
        <w:spacing w:before="120" w:after="283"/>
        <w:jc w:val="left"/>
        <w:rPr/>
      </w:pPr>
      <w:r>
        <w:rPr>
          <w:rFonts w:ascii="Times New Roman;serif" w:hAnsi="Times New Roman;serif"/>
          <w:b w:val="false"/>
          <w:sz w:val="22"/>
        </w:rPr>
        <w:t xml:space="preserve">The Phase 1b trial is designed to assess the safety, tolerability and pharmacodynamics of a one-time intravenous infusion of TN-201 in symptomatic adults with </w:t>
      </w:r>
      <w:r>
        <w:rPr>
          <w:rFonts w:ascii="Times New Roman;serif" w:hAnsi="Times New Roman;serif"/>
          <w:b w:val="false"/>
          <w:i/>
          <w:sz w:val="22"/>
        </w:rPr>
        <w:t>MYBPC3</w:t>
      </w:r>
      <w:r>
        <w:rPr>
          <w:rFonts w:ascii="Times New Roman;serif" w:hAnsi="Times New Roman;serif"/>
          <w:b w:val="false"/>
          <w:sz w:val="22"/>
        </w:rPr>
        <w:t>-associated HCM. Initial data from the MyPeak-1 clinical trial are anticipated in 2024.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sz w:val="22"/>
        </w:rPr>
        <w:t xml:space="preserve">In July 2023, Tenaya received notification from the U.S. Patent and Trademarks Office (USPTO) that a notice of allowance has been issued for patent application No. 17/581,576. The allowed patent application includes claims covering a method of treating HCM or cardiomyopathy caused by a </w:t>
      </w:r>
      <w:r>
        <w:rPr>
          <w:rFonts w:ascii="Times New Roman;serif" w:hAnsi="Times New Roman;serif"/>
          <w:b w:val="false"/>
          <w:i/>
          <w:sz w:val="22"/>
        </w:rPr>
        <w:t>MYBPC3</w:t>
      </w:r>
      <w:r>
        <w:rPr/>
        <w:t xml:space="preserve"> </w:t>
      </w:r>
      <w:r>
        <w:rPr>
          <w:rFonts w:ascii="Times New Roman;serif" w:hAnsi="Times New Roman;serif"/>
          <w:b w:val="false"/>
          <w:sz w:val="22"/>
        </w:rPr>
        <w:t xml:space="preserve">mutation and expands upon Tenaya’s existing composition of matter protections by extending coverage to methods of use as the company continues to enhance its protection around different aspects of the TN-201 gene therapy program. The new patent issuing from the allowed patent application is expected to expire no earlier than February 2041. </w:t>
      </w:r>
    </w:p>
    <w:p>
      <w:pPr>
        <w:pStyle w:val="TextBody"/>
        <w:bidi w:val="0"/>
        <w:spacing w:before="0" w:after="0"/>
        <w:jc w:val="left"/>
        <w:rPr>
          <w:rFonts w:ascii="Times New Roman;serif" w:hAnsi="Times New Roman;serif"/>
          <w:b w:val="false"/>
          <w:i/>
          <w:sz w:val="22"/>
        </w:rPr>
      </w:pPr>
      <w:r>
        <w:rPr>
          <w:rFonts w:ascii="Times New Roman;serif" w:hAnsi="Times New Roman;serif"/>
          <w:b w:val="false"/>
          <w:i/>
          <w:sz w:val="22"/>
        </w:rPr>
        <w:t>TN-301 – Small Molecule HDAC6 Inhibitor for Heart Failure with Preserved Ejection Fraction (HFpEF)</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2"/>
        </w:rPr>
        <w:t>Data from Tenaya’s Phase 1 clinical trial of TN-301 in healthy volunteers have been accepted for presentation at the Heart Failure Society of America’s (HFSA) Annual Scientific Meeting, taking place October 6-9,</w:t>
      </w:r>
      <w:r>
        <w:rPr/>
        <w:t xml:space="preserve"> </w:t>
      </w:r>
      <w:r>
        <w:rPr>
          <w:rFonts w:ascii="Times New Roman;serif" w:hAnsi="Times New Roman;serif"/>
          <w:b w:val="false"/>
          <w:sz w:val="22"/>
        </w:rPr>
        <w:t>2023.</w:t>
      </w:r>
    </w:p>
    <w:p>
      <w:pPr>
        <w:pStyle w:val="TextBody"/>
        <w:bidi w:val="0"/>
        <w:spacing w:before="120" w:after="0"/>
        <w:jc w:val="left"/>
        <w:rPr>
          <w:rFonts w:ascii="Times New Roman" w:hAnsi="Times New Roman"/>
          <w:b w:val="false"/>
          <w:sz w:val="22"/>
        </w:rPr>
      </w:pPr>
      <w:r>
        <w:rPr>
          <w:rFonts w:ascii="Times New Roman" w:hAnsi="Times New Roman"/>
          <w:b w:val="false"/>
          <w:sz w:val="22"/>
        </w:rPr>
        <w:t>o</w:t>
      </w:r>
    </w:p>
    <w:p>
      <w:pPr>
        <w:pStyle w:val="TextBody"/>
        <w:bidi w:val="0"/>
        <w:spacing w:before="120" w:after="0"/>
        <w:jc w:val="left"/>
        <w:rPr/>
      </w:pPr>
      <w:r>
        <w:rPr>
          <w:rFonts w:ascii="Times New Roman;serif" w:hAnsi="Times New Roman;serif"/>
          <w:b w:val="false"/>
          <w:sz w:val="22"/>
        </w:rPr>
        <w:t>Tenaya has completed the Phase 1 clinical trial of TN-301 in healthy participants. No dose-limiting toxicities were reported across a wide range of doses and</w:t>
      </w:r>
      <w:r>
        <w:rPr/>
        <w:t xml:space="preserve"> </w:t>
      </w:r>
      <w:r>
        <w:rPr>
          <w:rFonts w:ascii="Times New Roman;serif" w:hAnsi="Times New Roman;serif"/>
          <w:b w:val="false"/>
          <w:sz w:val="22"/>
        </w:rPr>
        <w:t xml:space="preserve">initial target engagement, measured by the biomarker tubulin acetylation, was achieved. </w:t>
      </w:r>
    </w:p>
    <w:p>
      <w:pPr>
        <w:pStyle w:val="TextBody"/>
        <w:bidi w:val="0"/>
        <w:spacing w:before="120" w:after="0"/>
        <w:jc w:val="left"/>
        <w:rPr>
          <w:rFonts w:ascii="Times New Roman" w:hAnsi="Times New Roman"/>
          <w:b w:val="false"/>
          <w:sz w:val="22"/>
        </w:rPr>
      </w:pPr>
      <w:r>
        <w:rPr>
          <w:rFonts w:ascii="Times New Roman" w:hAnsi="Times New Roman"/>
          <w:b w:val="false"/>
          <w:sz w:val="22"/>
        </w:rPr>
        <w:t>o</w:t>
      </w:r>
    </w:p>
    <w:p>
      <w:pPr>
        <w:pStyle w:val="TextBody"/>
        <w:bidi w:val="0"/>
        <w:spacing w:before="120" w:after="0"/>
        <w:jc w:val="left"/>
        <w:rPr>
          <w:rFonts w:ascii="Times New Roman;serif" w:hAnsi="Times New Roman;serif"/>
          <w:b w:val="false"/>
          <w:sz w:val="22"/>
        </w:rPr>
      </w:pPr>
      <w:r>
        <w:rPr>
          <w:rFonts w:ascii="Times New Roman;serif" w:hAnsi="Times New Roman;serif"/>
          <w:b w:val="false"/>
          <w:sz w:val="22"/>
        </w:rPr>
        <w:t>The randomized, double-blind, placebo-controlled clinical trial was designed to evaluate the safety, tolerability, pharmacokinetics and pharmacodynamics of escalating oral doses of TN-301 to help guide dosing in future studies.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2"/>
        </w:rPr>
      </w:pPr>
      <w:r>
        <w:rPr>
          <w:rFonts w:ascii="Times New Roman;serif" w:hAnsi="Times New Roman;serif"/>
          <w:b w:val="false"/>
          <w:sz w:val="22"/>
        </w:rPr>
        <w:t>Results from preclinical studies testing the combination of HDAC6 inhibition with SGLT2 inhibition in a validated model of HFpEF have also been accepted for presentation at the upcoming HFSA meeting.</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val="false"/>
          <w:sz w:val="22"/>
        </w:rPr>
        <w:t>Preclinical data from the TN-301 program</w:t>
      </w:r>
      <w:r>
        <w:rPr/>
        <w:t xml:space="preserve"> </w:t>
      </w:r>
      <w:r>
        <w:rPr>
          <w:rFonts w:ascii="Times New Roman;serif" w:hAnsi="Times New Roman;serif"/>
          <w:b w:val="false"/>
          <w:sz w:val="22"/>
        </w:rPr>
        <w:t xml:space="preserve">presented on August 1, 2023, at the American Heart Association’s Basic Cardiovascular Sciences (BCVS) Scientific Session suggest HDAC6 inhibition may improve undesirable HFpEF phenotype characteristics such as dysregulated metabolism, fibrosis and hypertrophy. </w:t>
      </w:r>
    </w:p>
    <w:p>
      <w:pPr>
        <w:pStyle w:val="TextBody"/>
        <w:bidi w:val="0"/>
        <w:spacing w:before="0" w:after="0"/>
        <w:jc w:val="left"/>
        <w:rPr>
          <w:rFonts w:ascii="Times New Roman;serif" w:hAnsi="Times New Roman;serif"/>
          <w:b w:val="false"/>
          <w:i/>
          <w:sz w:val="22"/>
        </w:rPr>
      </w:pPr>
      <w:r>
        <w:rPr>
          <w:rFonts w:ascii="Times New Roman;serif" w:hAnsi="Times New Roman;serif"/>
          <w:b w:val="false"/>
          <w:i/>
          <w:sz w:val="22"/>
        </w:rPr>
        <w:t>TN-401 – Gene Therapy for PKP2-Associated Arrhythmogenic Right Ventricular Cardiomyopathy (ARVC)</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2"/>
        </w:rPr>
        <w:t xml:space="preserve">Tenaya plans to submit an Investigational New Drug application (IND) to the FDA for TN-401 for the potential treatment of ARVC caused by </w:t>
      </w:r>
      <w:r>
        <w:rPr>
          <w:rFonts w:ascii="Times New Roman;serif" w:hAnsi="Times New Roman;serif"/>
          <w:b w:val="false"/>
          <w:i/>
          <w:sz w:val="22"/>
        </w:rPr>
        <w:t>PKP2</w:t>
      </w:r>
      <w:r>
        <w:rPr/>
        <w:t xml:space="preserve"> </w:t>
      </w:r>
      <w:r>
        <w:rPr>
          <w:rFonts w:ascii="Times New Roman;serif" w:hAnsi="Times New Roman;serif"/>
          <w:b w:val="false"/>
          <w:sz w:val="22"/>
        </w:rPr>
        <w:t xml:space="preserve">genetic mutations in the second half of 2023. A single dose of TN-401 is designed to deliver a fully functional </w:t>
      </w:r>
      <w:r>
        <w:rPr>
          <w:rFonts w:ascii="Times New Roman;serif" w:hAnsi="Times New Roman;serif"/>
          <w:b w:val="false"/>
          <w:i/>
          <w:sz w:val="22"/>
        </w:rPr>
        <w:t xml:space="preserve">PKP2 </w:t>
      </w:r>
      <w:r>
        <w:rPr>
          <w:rFonts w:ascii="Times New Roman;serif" w:hAnsi="Times New Roman;serif"/>
          <w:b w:val="false"/>
          <w:sz w:val="22"/>
        </w:rPr>
        <w:t>gene to cardiomyocytes in the heart and restore production of the plakophilin 2 protein in order to prevent arrhythmia and reverse disease following a single dose.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2"/>
        </w:rPr>
      </w:pPr>
      <w:r>
        <w:rPr>
          <w:rFonts w:ascii="Times New Roman;serif" w:hAnsi="Times New Roman;serif"/>
          <w:b w:val="false"/>
          <w:sz w:val="22"/>
        </w:rPr>
        <w:t>Tenaya presented data from a new preclinical mouse model at BCVS on August 1, 2023, showing that a single dose of gene therapy prevented ARVC development and significantly prolonged survival.</w:t>
      </w:r>
    </w:p>
    <w:p>
      <w:pPr>
        <w:pStyle w:val="TextBody"/>
        <w:bidi w:val="0"/>
        <w:spacing w:before="120" w:after="0"/>
        <w:jc w:val="both"/>
        <w:rPr/>
      </w:pPr>
      <w:r>
        <w:rPr/>
        <w:t>•</w:t>
      </w:r>
    </w:p>
    <w:p>
      <w:pPr>
        <w:pStyle w:val="TextBody"/>
        <w:bidi w:val="0"/>
        <w:spacing w:before="120" w:after="283"/>
        <w:jc w:val="both"/>
        <w:rPr/>
      </w:pPr>
      <w:r>
        <w:rPr>
          <w:rFonts w:ascii="Times New Roman;serif" w:hAnsi="Times New Roman;serif"/>
          <w:b w:val="false"/>
          <w:sz w:val="22"/>
        </w:rPr>
        <w:t xml:space="preserve">In June 2023, Tenaya received notification from the USPTO that a notice of allowance has been issued for patent application No. 17/390,395. The new patent issuing from the allowed patent application will be the first patent issued by the USPTO to cover an AAV gene therapy for </w:t>
      </w:r>
      <w:r>
        <w:rPr>
          <w:rFonts w:ascii="Times New Roman;serif" w:hAnsi="Times New Roman;serif"/>
          <w:b w:val="false"/>
          <w:i/>
          <w:sz w:val="22"/>
        </w:rPr>
        <w:t xml:space="preserve">PKP2 </w:t>
      </w:r>
      <w:r>
        <w:rPr>
          <w:rFonts w:ascii="Times New Roman;serif" w:hAnsi="Times New Roman;serif"/>
          <w:b w:val="false"/>
          <w:sz w:val="22"/>
        </w:rPr>
        <w:t xml:space="preserve">and is expected to expire no earlier than July 2041. </w:t>
      </w:r>
    </w:p>
    <w:p>
      <w:pPr>
        <w:pStyle w:val="TextBody"/>
        <w:bidi w:val="0"/>
        <w:spacing w:before="0" w:after="0"/>
        <w:jc w:val="left"/>
        <w:rPr>
          <w:rFonts w:ascii="Times New Roman;serif" w:hAnsi="Times New Roman;serif"/>
          <w:b w:val="false"/>
          <w:i/>
          <w:sz w:val="22"/>
        </w:rPr>
      </w:pPr>
      <w:r>
        <w:rPr>
          <w:rFonts w:ascii="Times New Roman;serif" w:hAnsi="Times New Roman;serif"/>
          <w:b w:val="false"/>
          <w:i/>
          <w:sz w:val="22"/>
        </w:rPr>
        <w:t>Research</w:t>
      </w:r>
    </w:p>
    <w:p>
      <w:pPr>
        <w:pStyle w:val="TextBody"/>
        <w:bidi w:val="0"/>
        <w:spacing w:before="0" w:after="0"/>
        <w:jc w:val="left"/>
        <w:rPr>
          <w:rFonts w:ascii="Times New Roman" w:hAnsi="Times New Roman"/>
          <w:sz w:val="20"/>
        </w:rPr>
      </w:pPr>
      <w:r>
        <w:rPr>
          <w:rFonts w:ascii="Times New Roman;serif" w:hAnsi="Times New Roman;serif"/>
          <w:b w:val="false"/>
          <w:sz w:val="22"/>
        </w:rPr>
        <w:t>Tenaya researchers also presented new data at BCVS on August 1, 2023, detailing the company’s drug discovery capabilities for identifying human genetic targets in models of human heart conditions.</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2"/>
        </w:rPr>
        <w:t>Tenaya’s novel high throughput screening methods in human induced pluripotent stem cells derived cardiomyocytes were applied to identifying genes of interest in heart muscle cells.</w:t>
      </w:r>
      <w:r>
        <w:rPr>
          <w:rFonts w:ascii="Times New Roman" w:hAnsi="Times New Roman"/>
          <w:sz w:val="20"/>
        </w:rPr>
        <w:t xml:space="preserve"> </w:t>
      </w:r>
    </w:p>
    <w:p>
      <w:pPr>
        <w:pStyle w:val="TextBody"/>
        <w:bidi w:val="0"/>
        <w:spacing w:before="0" w:after="0"/>
        <w:jc w:val="left"/>
        <w:rPr>
          <w:rFonts w:ascii="Times New Roman;serif" w:hAnsi="Times New Roman;serif"/>
          <w:b/>
          <w:sz w:val="22"/>
        </w:rPr>
      </w:pPr>
      <w:r>
        <w:rPr>
          <w:rFonts w:ascii="Times New Roman;serif" w:hAnsi="Times New Roman;serif"/>
          <w:b/>
          <w:sz w:val="22"/>
        </w:rPr>
        <w:t>Second Quarter 2023 Financial Highlights</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2"/>
        </w:rPr>
        <w:t xml:space="preserve">Cash Position and guidance: </w:t>
      </w:r>
      <w:r>
        <w:rPr>
          <w:rFonts w:ascii="Times New Roman;serif" w:hAnsi="Times New Roman;serif"/>
          <w:b w:val="false"/>
          <w:sz w:val="22"/>
        </w:rPr>
        <w:t>As of June 30, 2023, cash, cash equivalents and investments in marketable securities were $151.6 million. Tenaya expects current cash, cash equivalents and investments in marketable securities (current and noncurrent) will be sufficient to fund the company into the first half of 2025.</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2"/>
        </w:rPr>
        <w:t xml:space="preserve">Research &amp; Development (R&amp;D) Expenses: </w:t>
      </w:r>
      <w:r>
        <w:rPr>
          <w:rFonts w:ascii="Times New Roman;serif" w:hAnsi="Times New Roman;serif"/>
          <w:b w:val="false"/>
          <w:sz w:val="22"/>
        </w:rPr>
        <w:t>R&amp;D expenses for the quarter ended June 30, 2023, were $26.5 million. Non-cash stock-based compensation included in R&amp;D expense was $1.8 million for the quarter ended June 30, 2023.</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sz w:val="22"/>
        </w:rPr>
        <w:t xml:space="preserve">General &amp; Administrative (G&amp;A) Expenses: </w:t>
      </w:r>
      <w:r>
        <w:rPr>
          <w:rFonts w:ascii="Times New Roman;serif" w:hAnsi="Times New Roman;serif"/>
          <w:b w:val="false"/>
          <w:sz w:val="22"/>
        </w:rPr>
        <w:t>G&amp;A expenses for the quarter ended June 30, 2023, were $8.6 million. Non-cash stock-based compensation included in G&amp;A expense was $2.1 million for the quarter ended June 30, 2023.</w:t>
      </w:r>
    </w:p>
    <w:p>
      <w:pPr>
        <w:pStyle w:val="TextBody"/>
        <w:bidi w:val="0"/>
        <w:spacing w:before="120" w:after="0"/>
        <w:jc w:val="left"/>
        <w:rPr/>
      </w:pPr>
      <w:r>
        <w:rPr/>
        <w:t>•</w:t>
      </w:r>
    </w:p>
    <w:p>
      <w:pPr>
        <w:pStyle w:val="TextBody"/>
        <w:bidi w:val="0"/>
        <w:spacing w:before="120" w:after="283"/>
        <w:jc w:val="left"/>
        <w:rPr/>
      </w:pPr>
      <w:r>
        <w:rPr>
          <w:rFonts w:ascii="Times New Roman;serif" w:hAnsi="Times New Roman;serif"/>
          <w:b/>
          <w:sz w:val="22"/>
        </w:rPr>
        <w:t xml:space="preserve">Net Loss: </w:t>
      </w:r>
      <w:r>
        <w:rPr>
          <w:rFonts w:ascii="Times New Roman;serif" w:hAnsi="Times New Roman;serif"/>
          <w:b w:val="false"/>
          <w:sz w:val="22"/>
        </w:rPr>
        <w:t>Net loss for the quarter ended June 30, 2023, was $33.3 million, or $0.45 per share.</w:t>
      </w:r>
    </w:p>
    <w:p>
      <w:pPr>
        <w:pStyle w:val="TextBody"/>
        <w:bidi w:val="0"/>
        <w:spacing w:before="0" w:after="0"/>
        <w:jc w:val="left"/>
        <w:rPr>
          <w:rFonts w:ascii="Times New Roman" w:hAnsi="Times New Roman"/>
          <w:sz w:val="20"/>
        </w:rPr>
      </w:pPr>
      <w:r>
        <w:rPr>
          <w:rFonts w:ascii="Times New Roman;serif" w:hAnsi="Times New Roman;serif"/>
          <w:b/>
          <w:sz w:val="22"/>
        </w:rPr>
        <w:t>About Tenaya Therapeutics</w:t>
      </w:r>
      <w:r>
        <w:rPr>
          <w:rFonts w:ascii="Times New Roman;serif" w:hAnsi="Times New Roman;serif"/>
          <w:b w:val="false"/>
          <w:sz w:val="22"/>
        </w:rPr>
        <w:br/>
        <w:t xml:space="preserve">Tenaya Therapeutics is a clinical-stage biotechnology company committed to a bold mission: to discover, develop and deliver potentially curative therapies that address the underlying drivers of heart disease. Leveraging its integrated and interrelated Gene Therapy, Cellular Regeneration and Precision Medicine platforms and proprietary core capabilities, the company is advancing a pipeline of novel therapies with diverse treatment modalities for rare genetic cardiovascular disorders and more prevalent heart conditions. Tenaya’s most advanced candidates include TN-201, a gene therapy for </w:t>
      </w:r>
      <w:r>
        <w:rPr>
          <w:rFonts w:ascii="Times New Roman;serif" w:hAnsi="Times New Roman;serif"/>
          <w:b w:val="false"/>
          <w:i/>
          <w:sz w:val="22"/>
        </w:rPr>
        <w:t>MYBPC3</w:t>
      </w:r>
      <w:r>
        <w:rPr>
          <w:rFonts w:ascii="Times New Roman;serif" w:hAnsi="Times New Roman;serif"/>
          <w:b w:val="false"/>
          <w:sz w:val="22"/>
        </w:rPr>
        <w:t xml:space="preserve">-associated hypertrophic cardiomyopathy (HCM), TN-401, a gene therapy for </w:t>
      </w:r>
      <w:r>
        <w:rPr>
          <w:rFonts w:ascii="Times New Roman;serif" w:hAnsi="Times New Roman;serif"/>
          <w:b w:val="false"/>
          <w:i/>
          <w:sz w:val="22"/>
        </w:rPr>
        <w:t>PKP2</w:t>
      </w:r>
      <w:r>
        <w:rPr>
          <w:rFonts w:ascii="Times New Roman;serif" w:hAnsi="Times New Roman;serif"/>
          <w:b w:val="false"/>
          <w:sz w:val="22"/>
        </w:rPr>
        <w:t>-associated arrhythmogenic right ventricular cardiomyopathy (ARVC), and TN-301, a small molecule HDAC6 inhibitor being initially developed for heart failure with preserved ejection fraction (HFpEF). Tenaya also has multiple early-stage programs progressing through preclinical development. For more information, visit www.tenayatherapeutics.com.</w:t>
      </w:r>
    </w:p>
    <w:p>
      <w:pPr>
        <w:pStyle w:val="TextBody"/>
        <w:bidi w:val="0"/>
        <w:spacing w:before="0" w:after="0"/>
        <w:jc w:val="left"/>
        <w:rPr>
          <w:rFonts w:ascii="Times New Roman" w:hAnsi="Times New Roman"/>
          <w:sz w:val="20"/>
        </w:rPr>
      </w:pPr>
      <w:r>
        <w:rPr>
          <w:rFonts w:ascii="Times New Roman;serif" w:hAnsi="Times New Roman;serif"/>
          <w:b/>
          <w:sz w:val="22"/>
        </w:rPr>
        <w:t>Forward-looking Statement</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serif" w:hAnsi="Times New Roman;serif"/>
          <w:b w:val="false"/>
          <w:sz w:val="22"/>
        </w:rPr>
        <w:t>This press release contains forward-looking statements as that term is defined in Section 27A of the Securities Act of 1933 and Section 21E of the Securities Exchange Act of 1934. Statements in this press release that are not purely historical are forward-looking statements. Words such as “anticipated,” “looking ahead,” “looking forward,” “may,” “expected,” “plans,” “will,” and similar expressions are intended to identify forward-looking statements. Such forward-looking statements include, among other things, statements regarding 2023 development and regulatory milestones; Tenaya’s plan to present data from the Phase 1 clinical trial evaluating TN-301, as well as results from preclinical studies, at the upcoming HFSA conference; expected timing of the submission of the TN-401 IND; eligibility for increased communication with the FDA and potential qualification for accelerated approval and priority review for TN-201; expected timing for, commencement of dosing in the Phase 1b clinical trial evaluating TN-201 and availability of initial data from the trial; the expected expiration dates of new patents; the potential for Tenaya’s future programs; the sufficiency of Tenaya’s cash resources to fund the company into the first half 2025; and statements by Tenaya’s chief executive officer. The forward-looking statements contained herein are based upon Tenaya’s current expectations and involve assumptions that may never materialize or may prove to be incorrect. These forward-looking statements are neither promises nor guarantees and are subject to a variety of risks and uncertainties, including but not limited to: Tenaya’s ability to develop, initiate or complete preclinical studies and clinical trials for its product candidates; the timing, scope and likelihood of regulatory filings and approvals; the availability of data at the referenced times; risks associated with the process of discovering, developing and commercializing</w:t>
      </w:r>
      <w:r>
        <w:rPr>
          <w:rFonts w:ascii="Times New Roman" w:hAnsi="Times New Roman"/>
          <w:sz w:val="20"/>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2"/>
        </w:rPr>
      </w:pPr>
      <w:r>
        <w:rPr>
          <w:rFonts w:ascii="Times New Roman;serif" w:hAnsi="Times New Roman;serif"/>
          <w:b w:val="false"/>
          <w:sz w:val="22"/>
        </w:rPr>
        <w:t>drugs that are safe and effective for use as human therapeutics and operating as an early stage company; Tenaya’s ability to raise any additional funding it will need to continue to pursue its business and product development plans; the potential for any clinical trial results to differ from preclinical, interim, preliminary, topline or expected results; Tenaya’s ability to successfully operate a manufacturing facility for clinical or commercial supply; Tenaya’s commercialization and marketing capabilities and strategy; the loss of key scientific or management personnel; competition in the industry in which Tenaya operates; Tenaya’s reliance on third parties; Tenaya’s ability to obtain and maintain intellectual property protection for its product candidates; general economic and market conditions; and other risks. Information regarding the foregoing and additional risks may be found in the section entitled “Risk Factors” in documents that Tenaya files from time to time with the Securities and Exchange Commission. These forward-looking statements are made as of the date of this press release, and Tenaya assumes no obligation to update or revise any forward-looking statements, whether as a result of new information, future events or otherwise, except as required by law.</w:t>
      </w:r>
    </w:p>
    <w:p>
      <w:pPr>
        <w:pStyle w:val="TextBody"/>
        <w:bidi w:val="0"/>
        <w:spacing w:before="0" w:after="0"/>
        <w:jc w:val="left"/>
        <w:rPr/>
      </w:pPr>
      <w:r>
        <w:rPr/>
        <w:t> </w:t>
      </w:r>
    </w:p>
    <w:p>
      <w:pPr>
        <w:pStyle w:val="TextBody"/>
        <w:bidi w:val="0"/>
        <w:spacing w:before="0" w:after="0"/>
        <w:jc w:val="left"/>
        <w:rPr>
          <w:rFonts w:ascii="Times New Roman;serif" w:hAnsi="Times New Roman;serif"/>
          <w:b/>
          <w:sz w:val="22"/>
        </w:rPr>
      </w:pPr>
      <w:r>
        <w:rPr>
          <w:rFonts w:ascii="Times New Roman;serif" w:hAnsi="Times New Roman;serif"/>
          <w:b/>
          <w:sz w:val="22"/>
        </w:rPr>
        <w:t>Contacts</w:t>
      </w:r>
    </w:p>
    <w:tbl>
      <w:tblPr>
        <w:tblW w:w="7922" w:type="dxa"/>
        <w:jc w:val="left"/>
        <w:tblInd w:w="0" w:type="dxa"/>
        <w:tblLayout w:type="fixed"/>
        <w:tblCellMar>
          <w:top w:w="28" w:type="dxa"/>
          <w:left w:w="28" w:type="dxa"/>
          <w:bottom w:w="28" w:type="dxa"/>
          <w:right w:w="28" w:type="dxa"/>
        </w:tblCellMar>
      </w:tblPr>
      <w:tblGrid>
        <w:gridCol w:w="3991"/>
        <w:gridCol w:w="3931"/>
      </w:tblGrid>
      <w:tr>
        <w:trPr/>
        <w:tc>
          <w:tcPr>
            <w:tcW w:w="3991"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39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2"/>
              </w:rPr>
            </w:pPr>
            <w:r>
              <w:rPr>
                <w:rFonts w:ascii="Times New Roman;serif" w:hAnsi="Times New Roman;serif"/>
                <w:b/>
                <w:sz w:val="22"/>
              </w:rPr>
              <w:t>Investors</w:t>
            </w:r>
            <w:r>
              <w:rPr>
                <w:rFonts w:ascii="Times New Roman" w:hAnsi="Times New Roman"/>
                <w:sz w:val="22"/>
              </w:rPr>
              <w:t xml:space="preserve"> </w:t>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2"/>
              </w:rPr>
            </w:pPr>
            <w:r>
              <w:rPr>
                <w:rFonts w:ascii="Times New Roman;serif" w:hAnsi="Times New Roman;serif"/>
                <w:b/>
                <w:sz w:val="22"/>
              </w:rPr>
              <w:t>Media</w:t>
            </w:r>
          </w:p>
        </w:tc>
      </w:tr>
      <w:tr>
        <w:trPr/>
        <w:tc>
          <w:tcPr>
            <w:tcW w:w="399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Michelle Corral</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Vice President, Investor Relationship and</w:t>
            </w:r>
          </w:p>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Corporate Communications</w:t>
              <w:br/>
              <w:t>Tenaya Therapeutics</w:t>
              <w:br/>
              <w:t>IR@tenayathera.com</w:t>
            </w:r>
          </w:p>
        </w:tc>
        <w:tc>
          <w:tcPr>
            <w:tcW w:w="39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2"/>
              </w:rPr>
            </w:pPr>
            <w:r>
              <w:rPr>
                <w:rFonts w:ascii="Times New Roman;serif" w:hAnsi="Times New Roman;serif"/>
                <w:b w:val="false"/>
                <w:sz w:val="22"/>
              </w:rPr>
              <w:t>Wendy Ryan</w:t>
              <w:br/>
              <w:t>Ten Bridge Communications</w:t>
              <w:br/>
              <w:t>Wendy@tenbridgecommunications.com</w:t>
            </w:r>
          </w:p>
        </w:tc>
      </w:tr>
    </w:tbl>
    <w:p>
      <w:pPr>
        <w:pStyle w:val="TextBody"/>
        <w:bidi w:val="0"/>
        <w:spacing w:before="0" w:after="0"/>
        <w:jc w:val="left"/>
        <w:rPr>
          <w:rFonts w:ascii="Times New Roman" w:hAnsi="Times New Roman"/>
          <w:sz w:val="20"/>
        </w:rPr>
      </w:pPr>
      <w:r>
        <w:rPr>
          <w:rFonts w:ascii="Times New Roman;serif" w:hAnsi="Times New Roman;serif"/>
          <w:b/>
          <w:sz w:val="20"/>
        </w:rPr>
        <w:br/>
      </w:r>
      <w:r>
        <w:rPr>
          <w:rFonts w:ascii="Times New Roman" w:hAnsi="Times New Roman"/>
          <w:sz w:val="20"/>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TENAYA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Condensed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i/>
          <w:sz w:val="20"/>
        </w:rPr>
        <w:t>(In thousands, except share and per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i/>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3424"/>
        <w:gridCol w:w="146"/>
        <w:gridCol w:w="211"/>
        <w:gridCol w:w="1036"/>
        <w:gridCol w:w="266"/>
        <w:gridCol w:w="146"/>
        <w:gridCol w:w="211"/>
        <w:gridCol w:w="1036"/>
        <w:gridCol w:w="266"/>
        <w:gridCol w:w="146"/>
        <w:gridCol w:w="211"/>
        <w:gridCol w:w="1036"/>
        <w:gridCol w:w="266"/>
        <w:gridCol w:w="146"/>
        <w:gridCol w:w="211"/>
        <w:gridCol w:w="1036"/>
        <w:gridCol w:w="411"/>
      </w:tblGrid>
      <w:tr>
        <w:trPr/>
        <w:tc>
          <w:tcPr>
            <w:tcW w:w="3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9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4"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left"/>
              <w:rPr/>
            </w:pPr>
            <w:r>
              <w:rPr/>
              <w:t> </w:t>
            </w:r>
          </w:p>
        </w:tc>
        <w:tc>
          <w:tcPr>
            <w:tcW w:w="411" w:type="dxa"/>
            <w:tcBorders/>
            <w:vAlign w:val="center"/>
          </w:tcPr>
          <w:p>
            <w:pPr>
              <w:pStyle w:val="TableContents"/>
              <w:bidi w:val="0"/>
              <w:spacing w:before="0" w:after="0"/>
              <w:ind w:left="0" w:right="0" w:firstLine="100"/>
              <w:jc w:val="left"/>
              <w:rPr/>
            </w:pPr>
            <w:r>
              <w:rPr/>
              <w:t> </w:t>
            </w:r>
          </w:p>
        </w:tc>
      </w:tr>
      <w:tr>
        <w:trPr/>
        <w:tc>
          <w:tcPr>
            <w:tcW w:w="34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26,477</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20,876</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52,082</w:t>
            </w:r>
          </w:p>
        </w:tc>
        <w:tc>
          <w:tcPr>
            <w:tcW w:w="2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45,031</w:t>
            </w:r>
          </w:p>
        </w:tc>
        <w:tc>
          <w:tcPr>
            <w:tcW w:w="411" w:type="dxa"/>
            <w:tcBorders/>
            <w:vAlign w:val="center"/>
          </w:tcPr>
          <w:p>
            <w:pPr>
              <w:pStyle w:val="TableContents"/>
              <w:bidi w:val="0"/>
              <w:spacing w:before="0" w:after="0"/>
              <w:ind w:left="0" w:right="0" w:firstLine="100"/>
              <w:jc w:val="left"/>
              <w:rPr/>
            </w:pPr>
            <w:r>
              <w:rPr/>
              <w:t> </w:t>
            </w:r>
          </w:p>
        </w:tc>
      </w:tr>
      <w:tr>
        <w:trPr/>
        <w:tc>
          <w:tcPr>
            <w:tcW w:w="3424"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8,627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7,743</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16,745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14,742</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35,104</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28,619</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68,827</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59,773</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(35,104</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(28,619</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(68,827</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(59,773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100"/>
              <w:jc w:val="right"/>
              <w:rPr/>
            </w:pPr>
            <w:r>
              <w:rPr/>
              <w:t> </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1,837</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3,810</w:t>
            </w:r>
          </w:p>
        </w:tc>
        <w:tc>
          <w:tcPr>
            <w:tcW w:w="266" w:type="dxa"/>
            <w:tcBorders/>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321</w:t>
            </w:r>
          </w:p>
        </w:tc>
        <w:tc>
          <w:tcPr>
            <w:tcW w:w="411" w:type="dxa"/>
            <w:tcBorders/>
            <w:vAlign w:val="center"/>
          </w:tcPr>
          <w:p>
            <w:pPr>
              <w:pStyle w:val="TableContents"/>
              <w:bidi w:val="0"/>
              <w:spacing w:before="0" w:after="0"/>
              <w:ind w:left="0" w:right="0" w:firstLine="100"/>
              <w:jc w:val="left"/>
              <w:rPr/>
            </w:pPr>
            <w:r>
              <w:rPr/>
              <w:t> </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 other income (expense), net</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1,835</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3,821</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before income tax expense</w:t>
            </w:r>
          </w:p>
        </w:tc>
        <w:tc>
          <w:tcPr>
            <w:tcW w:w="146" w:type="dxa"/>
            <w:tcBorders/>
            <w:vAlign w:val="center"/>
          </w:tcPr>
          <w:p>
            <w:pPr>
              <w:pStyle w:val="TableContents"/>
              <w:bidi w:val="0"/>
              <w:spacing w:before="0" w:after="0"/>
              <w:ind w:left="1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(33,269</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(28,397</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(65,006</w:t>
            </w:r>
          </w:p>
        </w:tc>
        <w:tc>
          <w:tcPr>
            <w:tcW w:w="266"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(59,453</w:t>
            </w:r>
          </w:p>
        </w:tc>
        <w:tc>
          <w:tcPr>
            <w:tcW w:w="4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Income tax expense</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(33,269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(28,397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(65,006</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(59,453</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(0.45</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(0.69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(0.89</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(1.44</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424" w:type="dxa"/>
            <w:tcBorders/>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Weighted-average shares used in computing net loss per share, basic and diluted</w:t>
            </w:r>
          </w:p>
        </w:tc>
        <w:tc>
          <w:tcPr>
            <w:tcW w:w="146" w:type="dxa"/>
            <w:tcBorders/>
            <w:vAlign w:val="center"/>
          </w:tcPr>
          <w:p>
            <w:pPr>
              <w:pStyle w:val="TableContents"/>
              <w:bidi w:val="0"/>
              <w:spacing w:before="0" w:after="0"/>
              <w:ind w:left="10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73,399,847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41,302,157</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73,249,702</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146" w:type="dxa"/>
            <w:tcBorders/>
            <w:vAlign w:val="center"/>
          </w:tcPr>
          <w:p>
            <w:pPr>
              <w:pStyle w:val="TableContents"/>
              <w:bidi w:val="0"/>
              <w:spacing w:before="0" w:after="0"/>
              <w:ind w:left="10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41,285,168</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TENAYA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Condensed Balance Sheet Data</w:t>
      </w:r>
      <w:r>
        <w:rPr>
          <w:rFonts w:ascii="Times New Roman" w:hAnsi="Times New Roman"/>
          <w:sz w:val="20"/>
        </w:rPr>
        <w:t xml:space="preserve"> </w:t>
      </w:r>
    </w:p>
    <w:p>
      <w:pPr>
        <w:pStyle w:val="TextBody"/>
        <w:bidi w:val="0"/>
        <w:spacing w:before="0" w:after="0"/>
        <w:jc w:val="center"/>
        <w:rPr>
          <w:rFonts w:ascii="Times New Roman;serif" w:hAnsi="Times New Roman;serif"/>
          <w:b/>
          <w:i/>
          <w:sz w:val="20"/>
        </w:rPr>
      </w:pPr>
      <w:r>
        <w:rPr>
          <w:rFonts w:ascii="Times New Roman;serif" w:hAnsi="Times New Roman;serif"/>
          <w:b/>
          <w:i/>
          <w:sz w:val="20"/>
        </w:rPr>
        <w:t>(In thousands)</w:t>
      </w:r>
    </w:p>
    <w:p>
      <w:pPr>
        <w:pStyle w:val="TextBody"/>
        <w:bidi w:val="0"/>
        <w:spacing w:before="0" w:after="0"/>
        <w:jc w:val="center"/>
        <w:rPr>
          <w:rFonts w:ascii="Times New Roman" w:hAnsi="Times New Roman"/>
          <w:sz w:val="20"/>
        </w:rPr>
      </w:pPr>
      <w:r>
        <w:rPr>
          <w:rFonts w:ascii="Times New Roman;serif" w:hAnsi="Times New Roman;serif"/>
          <w:b/>
          <w:i/>
          <w:sz w:val="20"/>
        </w:rPr>
        <w:t>(Unaudited)</w:t>
      </w:r>
      <w:r>
        <w:rPr>
          <w:rFonts w:ascii="Times New Roman" w:hAnsi="Times New Roman"/>
          <w:sz w:val="20"/>
        </w:rPr>
        <w:t xml:space="preserve"> </w:t>
      </w:r>
    </w:p>
    <w:p>
      <w:pPr>
        <w:pStyle w:val="TextBody"/>
        <w:bidi w:val="0"/>
        <w:spacing w:before="0" w:after="0"/>
        <w:jc w:val="left"/>
        <w:rPr/>
      </w:pPr>
      <w:r>
        <w:rPr/>
        <w:t> </w:t>
      </w:r>
    </w:p>
    <w:tbl>
      <w:tblPr>
        <w:tblW w:w="6782" w:type="dxa"/>
        <w:jc w:val="left"/>
        <w:tblInd w:w="0" w:type="dxa"/>
        <w:tblLayout w:type="fixed"/>
        <w:tblCellMar>
          <w:top w:w="28" w:type="dxa"/>
          <w:left w:w="28" w:type="dxa"/>
          <w:bottom w:w="28" w:type="dxa"/>
          <w:right w:w="28" w:type="dxa"/>
        </w:tblCellMar>
      </w:tblPr>
      <w:tblGrid>
        <w:gridCol w:w="4066"/>
        <w:gridCol w:w="146"/>
        <w:gridCol w:w="211"/>
        <w:gridCol w:w="781"/>
        <w:gridCol w:w="146"/>
        <w:gridCol w:w="146"/>
        <w:gridCol w:w="233"/>
        <w:gridCol w:w="862"/>
        <w:gridCol w:w="19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151,641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204,230</w:t>
            </w:r>
          </w:p>
        </w:tc>
        <w:tc>
          <w:tcPr>
            <w:tcW w:w="191"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278,945</w:t>
            </w:r>
          </w:p>
        </w:tc>
        <w:tc>
          <w:tcPr>
            <w:tcW w:w="191"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35,569</w:t>
            </w:r>
          </w:p>
        </w:tc>
        <w:tc>
          <w:tcPr>
            <w:tcW w:w="191" w:type="dxa"/>
            <w:tcBorders/>
            <w:vAlign w:val="center"/>
          </w:tcPr>
          <w:p>
            <w:pPr>
              <w:pStyle w:val="TableContents"/>
              <w:bidi w:val="0"/>
              <w:spacing w:before="0" w:after="0"/>
              <w:ind w:left="0" w:right="0" w:hanging="0"/>
              <w:jc w:val="left"/>
              <w:rPr/>
            </w:pPr>
            <w:r>
              <w:rPr/>
              <w:t> </w:t>
            </w:r>
          </w:p>
        </w:tc>
      </w:tr>
      <w:tr>
        <w:trPr/>
        <w:tc>
          <w:tcPr>
            <w:tcW w:w="40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220,754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6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278,945</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2363</Words>
  <Characters>13484</Characters>
  <CharactersWithSpaces>15905</CharactersWithSpaces>
  <Paragraphs>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