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Burroughs Amy L.</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12/05/2022</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Tenaya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TNYA</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TENAYA THERAPEUTICS, INC.</w:t>
      </w:r>
    </w:p>
    <w:p>
      <w:pPr>
        <w:spacing w:after="0" w:line="13"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171 OYSTER POINT BLVD., 5TH FLR.</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Jennifer Drimmer</w:t>
            </w:r>
          </w:p>
        </w:tc>
        <w:tc>
          <w:tcPr>
            <w:tcW w:w="30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Rokovich, Attorney-in-</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12/07/2022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Tenaya Therapeutics, Inc. (the Company), hereby constitutes and appoints Faraz Ali, Leone Patterson and Jennifer Drimmer Rokovich, and each of them, as the undersigneds true and lawful attorney-in-fact to:</w:t>
      </w:r>
    </w:p>
    <w:p>
      <w:pPr>
        <w:spacing w:after="0" w:line="87" w:lineRule="exact"/>
        <w:rPr>
          <w:sz w:val="20"/>
          <w:szCs w:val="20"/>
          <w:color w:val="auto"/>
        </w:rPr>
      </w:pPr>
    </w:p>
    <w:p>
      <w:pPr>
        <w:ind w:right="61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8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325"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5, 2022.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Amy Burroughs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Amy Burroughs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2564"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2022-12-07T17:15:09Z</dcterms:created>
  <dcterms:modified xsi:type="dcterms:W3CDTF">2022-12-07T17:15:09Z</dcterms:modified>
</cp:coreProperties>
</file>