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FORM 8-K</w:t>
      </w:r>
    </w:p>
    <w:p>
      <w:pPr>
        <w:spacing w:after="0" w:line="118"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Pursuant to Section 13 or 15(d)</w:t>
      </w:r>
    </w:p>
    <w:p>
      <w:pPr>
        <w:jc w:val="center"/>
        <w:ind w:right="-4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March 8, 2023</w:t>
      </w:r>
    </w:p>
    <w:p>
      <w:pPr>
        <w:spacing w:after="0" w:line="58" w:lineRule="exact"/>
        <w:rPr>
          <w:sz w:val="24"/>
          <w:szCs w:val="24"/>
          <w:color w:val="auto"/>
        </w:rPr>
      </w:pPr>
    </w:p>
    <w:p>
      <w:pPr>
        <w:ind w:left="3180"/>
        <w:spacing w:after="0"/>
        <w:rPr>
          <w:sz w:val="20"/>
          <w:szCs w:val="20"/>
          <w:color w:val="auto"/>
        </w:rPr>
      </w:pPr>
      <w:r>
        <w:rPr>
          <w:rFonts w:ascii="Arial" w:cs="Arial" w:eastAsia="Arial" w:hAnsi="Arial"/>
          <w:sz w:val="43"/>
          <w:szCs w:val="43"/>
          <w:b w:val="1"/>
          <w:bCs w:val="1"/>
          <w:color w:val="auto"/>
        </w:rPr>
        <w:t>Tenaya Therapeutics, Inc.</w:t>
      </w:r>
    </w:p>
    <w:p>
      <w:pPr>
        <w:spacing w:after="0" w:line="50"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720"/>
          </w:cols>
          <w:pgMar w:left="320" w:top="517" w:right="859" w:bottom="1440" w:gutter="0" w:footer="0" w:header="0"/>
        </w:sectPr>
      </w:pPr>
    </w:p>
    <w:p>
      <w:pPr>
        <w:spacing w:after="0" w:line="205" w:lineRule="exact"/>
        <w:rPr>
          <w:sz w:val="24"/>
          <w:szCs w:val="24"/>
          <w:color w:val="auto"/>
        </w:rPr>
      </w:pPr>
    </w:p>
    <w:p>
      <w:pPr>
        <w:ind w:left="19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001-40656</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81-3789973</w:t>
      </w:r>
    </w:p>
    <w:p>
      <w:pPr>
        <w:spacing w:after="0" w:line="31" w:lineRule="exact"/>
        <w:rPr>
          <w:sz w:val="24"/>
          <w:szCs w:val="24"/>
          <w:color w:val="auto"/>
        </w:rPr>
      </w:pPr>
    </w:p>
    <w:p>
      <w:pPr>
        <w:sectPr>
          <w:pgSz w:w="11900" w:h="16838" w:orient="portrait"/>
          <w:cols w:equalWidth="0" w:num="3">
            <w:col w:w="4760" w:space="720"/>
            <w:col w:w="2580" w:space="720"/>
            <w:col w:w="1940"/>
          </w:cols>
          <w:pgMar w:left="320" w:top="517" w:right="859" w:bottom="1440" w:gutter="0" w:footer="0" w:header="0"/>
          <w:type w:val="continuous"/>
        </w:sectPr>
      </w:pPr>
    </w:p>
    <w:p>
      <w:pPr>
        <w:spacing w:after="0" w:line="12" w:lineRule="exact"/>
        <w:rPr>
          <w:sz w:val="24"/>
          <w:szCs w:val="24"/>
          <w:color w:val="auto"/>
        </w:rPr>
      </w:pPr>
    </w:p>
    <w:p>
      <w:pPr>
        <w:jc w:val="center"/>
        <w:ind w:right="200"/>
        <w:spacing w:after="0"/>
        <w:rPr>
          <w:sz w:val="20"/>
          <w:szCs w:val="20"/>
          <w:color w:val="auto"/>
        </w:rPr>
      </w:pPr>
      <w:r>
        <w:rPr>
          <w:rFonts w:ascii="Arial" w:cs="Arial" w:eastAsia="Arial" w:hAnsi="Arial"/>
          <w:sz w:val="13"/>
          <w:szCs w:val="13"/>
          <w:b w:val="1"/>
          <w:bCs w:val="1"/>
          <w:color w:val="auto"/>
        </w:rPr>
        <w:t>(State or other jurisdiction</w:t>
      </w:r>
    </w:p>
    <w:p>
      <w:pPr>
        <w:jc w:val="center"/>
        <w:ind w:right="2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20" w:space="720"/>
            <w:col w:w="2500" w:space="720"/>
            <w:col w:w="2060"/>
          </w:cols>
          <w:pgMar w:left="320" w:top="517" w:right="859" w:bottom="1440" w:gutter="0" w:footer="0" w:header="0"/>
          <w:type w:val="continuous"/>
        </w:sectPr>
      </w:pPr>
    </w:p>
    <w:p>
      <w:pPr>
        <w:spacing w:after="0" w:line="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171 Oyster Point Boulevard, Suite 500</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South San Francisco, CA 94080</w:t>
      </w:r>
    </w:p>
    <w:p>
      <w:pPr>
        <w:spacing w:after="0" w:line="2" w:lineRule="exact"/>
        <w:rPr>
          <w:sz w:val="24"/>
          <w:szCs w:val="24"/>
          <w:color w:val="auto"/>
        </w:rPr>
      </w:pPr>
    </w:p>
    <w:p>
      <w:pPr>
        <w:jc w:val="center"/>
        <w:ind w:right="-4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84"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(650) 825-6990</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22"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70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0720"/>
          </w:cols>
          <w:pgMar w:left="320" w:top="517" w:right="859" w:bottom="1440" w:gutter="0" w:footer="0" w:header="0"/>
          <w:type w:val="continuous"/>
        </w:sectPr>
      </w:pPr>
    </w:p>
    <w:p>
      <w:pPr>
        <w:spacing w:after="0" w:line="99"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8" w:lineRule="exact"/>
        <w:rPr>
          <w:rFonts w:ascii="MS PGothic" w:cs="MS PGothic" w:eastAsia="MS PGothic" w:hAnsi="MS PGothic"/>
          <w:sz w:val="18"/>
          <w:szCs w:val="18"/>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220" w:firstLine="17"/>
        <w:spacing w:after="0" w:line="378" w:lineRule="auto"/>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560" w:type="dxa"/>
        <w:tblCellMar>
          <w:top w:w="0" w:type="dxa"/>
          <w:left w:w="0" w:type="dxa"/>
          <w:bottom w:w="0" w:type="dxa"/>
          <w:right w:w="0" w:type="dxa"/>
        </w:tblCellMar>
      </w:tblPr>
      <w:tr>
        <w:trPr>
          <w:trHeight w:val="150"/>
        </w:trPr>
        <w:tc>
          <w:tcPr>
            <w:tcW w:w="4180" w:type="dxa"/>
            <w:vAlign w:val="bottom"/>
            <w:vMerge w:val="restart"/>
          </w:tcPr>
          <w:p>
            <w:pPr>
              <w:jc w:val="center"/>
              <w:ind w:right="699"/>
              <w:spacing w:after="0"/>
              <w:rPr>
                <w:sz w:val="20"/>
                <w:szCs w:val="20"/>
                <w:color w:val="auto"/>
              </w:rPr>
            </w:pPr>
            <w:r>
              <w:rPr>
                <w:rFonts w:ascii="Arial" w:cs="Arial" w:eastAsia="Arial" w:hAnsi="Arial"/>
                <w:sz w:val="14"/>
                <w:szCs w:val="14"/>
                <w:b w:val="1"/>
                <w:bCs w:val="1"/>
                <w:color w:val="auto"/>
                <w:w w:val="89"/>
              </w:rPr>
              <w:t>Title of each class</w:t>
            </w:r>
          </w:p>
        </w:tc>
        <w:tc>
          <w:tcPr>
            <w:tcW w:w="2260" w:type="dxa"/>
            <w:vAlign w:val="bottom"/>
          </w:tcPr>
          <w:p>
            <w:pPr>
              <w:jc w:val="center"/>
              <w:ind w:right="42"/>
              <w:spacing w:after="0" w:line="150" w:lineRule="exact"/>
              <w:rPr>
                <w:sz w:val="20"/>
                <w:szCs w:val="20"/>
                <w:color w:val="auto"/>
              </w:rPr>
            </w:pPr>
            <w:r>
              <w:rPr>
                <w:rFonts w:ascii="Arial" w:cs="Arial" w:eastAsia="Arial" w:hAnsi="Arial"/>
                <w:sz w:val="14"/>
                <w:szCs w:val="14"/>
                <w:b w:val="1"/>
                <w:bCs w:val="1"/>
                <w:color w:val="auto"/>
                <w:w w:val="97"/>
              </w:rPr>
              <w:t>Trading</w:t>
            </w:r>
          </w:p>
        </w:tc>
        <w:tc>
          <w:tcPr>
            <w:tcW w:w="3480" w:type="dxa"/>
            <w:vAlign w:val="bottom"/>
          </w:tcPr>
          <w:p>
            <w:pPr>
              <w:jc w:val="center"/>
              <w:ind w:left="762"/>
              <w:spacing w:after="0" w:line="150" w:lineRule="exact"/>
              <w:rPr>
                <w:sz w:val="20"/>
                <w:szCs w:val="20"/>
                <w:color w:val="auto"/>
              </w:rPr>
            </w:pPr>
            <w:r>
              <w:rPr>
                <w:rFonts w:ascii="Arial" w:cs="Arial" w:eastAsia="Arial" w:hAnsi="Arial"/>
                <w:sz w:val="14"/>
                <w:szCs w:val="14"/>
                <w:b w:val="1"/>
                <w:bCs w:val="1"/>
                <w:color w:val="auto"/>
                <w:w w:val="90"/>
              </w:rPr>
              <w:t>Name of exchange</w:t>
            </w:r>
          </w:p>
        </w:tc>
        <w:tc>
          <w:tcPr>
            <w:tcW w:w="0" w:type="dxa"/>
            <w:vAlign w:val="bottom"/>
          </w:tcPr>
          <w:p>
            <w:pPr>
              <w:spacing w:after="0"/>
              <w:rPr>
                <w:sz w:val="1"/>
                <w:szCs w:val="1"/>
                <w:color w:val="auto"/>
              </w:rPr>
            </w:pPr>
          </w:p>
        </w:tc>
      </w:tr>
      <w:tr>
        <w:trPr>
          <w:trHeight w:val="153"/>
        </w:trPr>
        <w:tc>
          <w:tcPr>
            <w:tcW w:w="4180" w:type="dxa"/>
            <w:vAlign w:val="bottom"/>
            <w:vMerge w:val="continue"/>
          </w:tcPr>
          <w:p>
            <w:pPr>
              <w:spacing w:after="0"/>
              <w:rPr>
                <w:sz w:val="13"/>
                <w:szCs w:val="13"/>
                <w:color w:val="auto"/>
              </w:rPr>
            </w:pPr>
          </w:p>
        </w:tc>
        <w:tc>
          <w:tcPr>
            <w:tcW w:w="226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1"/>
              </w:rPr>
              <w:t>Symbol(s)</w:t>
            </w:r>
          </w:p>
        </w:tc>
        <w:tc>
          <w:tcPr>
            <w:tcW w:w="3480" w:type="dxa"/>
            <w:vAlign w:val="bottom"/>
          </w:tcPr>
          <w:p>
            <w:pPr>
              <w:jc w:val="center"/>
              <w:ind w:left="762"/>
              <w:spacing w:after="0" w:line="153" w:lineRule="exact"/>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34"/>
        </w:trPr>
        <w:tc>
          <w:tcPr>
            <w:tcW w:w="4180" w:type="dxa"/>
            <w:vAlign w:val="bottom"/>
          </w:tcPr>
          <w:p>
            <w:pPr>
              <w:jc w:val="center"/>
              <w:ind w:right="699"/>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2260" w:type="dxa"/>
            <w:vAlign w:val="bottom"/>
          </w:tcPr>
          <w:p>
            <w:pPr>
              <w:jc w:val="center"/>
              <w:ind w:right="42"/>
              <w:spacing w:after="0"/>
              <w:rPr>
                <w:sz w:val="20"/>
                <w:szCs w:val="20"/>
                <w:color w:val="auto"/>
              </w:rPr>
            </w:pPr>
            <w:r>
              <w:rPr>
                <w:rFonts w:ascii="Arial" w:cs="Arial" w:eastAsia="Arial" w:hAnsi="Arial"/>
                <w:sz w:val="18"/>
                <w:szCs w:val="18"/>
                <w:b w:val="1"/>
                <w:bCs w:val="1"/>
                <w:color w:val="auto"/>
              </w:rPr>
              <w:t>TNYA</w:t>
            </w:r>
          </w:p>
        </w:tc>
        <w:tc>
          <w:tcPr>
            <w:tcW w:w="3480" w:type="dxa"/>
            <w:vAlign w:val="bottom"/>
          </w:tcPr>
          <w:p>
            <w:pPr>
              <w:jc w:val="center"/>
              <w:ind w:left="782"/>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9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517" w:right="859" w:bottom="1440" w:gutter="0" w:footer="0" w:header="0"/>
          <w:type w:val="continuous"/>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76"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On March 8, 2023, Tenaya Therapeutics, Inc. (the “Company”) issued a press release announcing its financial results for the fourth quarter and full year ended December 31, 2022. The full text of the press release is attached hereto as Exhibit 99.1 and is incorporated herein by reference.</w:t>
      </w:r>
    </w:p>
    <w:p>
      <w:pPr>
        <w:spacing w:after="0" w:line="146"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All of the information furnished in this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ind w:right="139"/>
              <w:spacing w:after="0"/>
              <w:rPr>
                <w:sz w:val="20"/>
                <w:szCs w:val="20"/>
                <w:color w:val="auto"/>
              </w:rPr>
            </w:pPr>
            <w:r>
              <w:rPr>
                <w:rFonts w:ascii="Arial" w:cs="Arial" w:eastAsia="Arial" w:hAnsi="Arial"/>
                <w:sz w:val="14"/>
                <w:szCs w:val="14"/>
                <w:color w:val="auto"/>
              </w:rPr>
              <w:t>Exhibit</w:t>
            </w:r>
          </w:p>
        </w:tc>
        <w:tc>
          <w:tcPr>
            <w:tcW w:w="4680" w:type="dxa"/>
            <w:vAlign w:val="bottom"/>
          </w:tcPr>
          <w:p>
            <w:pPr>
              <w:spacing w:after="0"/>
              <w:rPr>
                <w:sz w:val="14"/>
                <w:szCs w:val="14"/>
                <w:color w:val="auto"/>
              </w:rPr>
            </w:pPr>
          </w:p>
        </w:tc>
        <w:tc>
          <w:tcPr>
            <w:tcW w:w="5420" w:type="dxa"/>
            <w:vAlign w:val="bottom"/>
          </w:tcPr>
          <w:p>
            <w:pPr>
              <w:spacing w:after="0"/>
              <w:rPr>
                <w:sz w:val="14"/>
                <w:szCs w:val="14"/>
                <w:color w:val="auto"/>
              </w:rPr>
            </w:pPr>
          </w:p>
        </w:tc>
      </w:tr>
      <w:tr>
        <w:trPr>
          <w:trHeight w:val="182"/>
        </w:trPr>
        <w:tc>
          <w:tcPr>
            <w:tcW w:w="1140" w:type="dxa"/>
            <w:vAlign w:val="bottom"/>
          </w:tcPr>
          <w:p>
            <w:pPr>
              <w:jc w:val="center"/>
              <w:ind w:right="139"/>
              <w:spacing w:after="0"/>
              <w:rPr>
                <w:sz w:val="20"/>
                <w:szCs w:val="20"/>
                <w:color w:val="auto"/>
              </w:rPr>
            </w:pPr>
            <w:r>
              <w:rPr>
                <w:rFonts w:ascii="Arial" w:cs="Arial" w:eastAsia="Arial" w:hAnsi="Arial"/>
                <w:sz w:val="14"/>
                <w:szCs w:val="14"/>
                <w:color w:val="auto"/>
                <w:w w:val="91"/>
              </w:rPr>
              <w:t>No.</w:t>
            </w:r>
          </w:p>
        </w:tc>
        <w:tc>
          <w:tcPr>
            <w:tcW w:w="1010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82"/>
        </w:trPr>
        <w:tc>
          <w:tcPr>
            <w:tcW w:w="1140" w:type="dxa"/>
            <w:vAlign w:val="bottom"/>
          </w:tcPr>
          <w:p>
            <w:pPr>
              <w:ind w:left="20"/>
              <w:spacing w:after="0"/>
              <w:rPr>
                <w:sz w:val="20"/>
                <w:szCs w:val="20"/>
                <w:color w:val="auto"/>
              </w:rPr>
            </w:pPr>
            <w:r>
              <w:rPr>
                <w:rFonts w:ascii="Arial" w:cs="Arial" w:eastAsia="Arial" w:hAnsi="Arial"/>
                <w:sz w:val="18"/>
                <w:szCs w:val="18"/>
                <w:color w:val="auto"/>
              </w:rPr>
              <w:t>99.1</w:t>
            </w:r>
          </w:p>
        </w:tc>
        <w:tc>
          <w:tcPr>
            <w:tcW w:w="10100" w:type="dxa"/>
            <w:vAlign w:val="bottom"/>
            <w:gridSpan w:val="2"/>
          </w:tcPr>
          <w:p>
            <w:pPr>
              <w:spacing w:after="0"/>
              <w:rPr>
                <w:sz w:val="20"/>
                <w:szCs w:val="20"/>
                <w:color w:val="auto"/>
              </w:rPr>
            </w:pPr>
            <w:r>
              <w:rPr>
                <w:rFonts w:ascii="Arial" w:cs="Arial" w:eastAsia="Arial" w:hAnsi="Arial"/>
                <w:sz w:val="18"/>
                <w:szCs w:val="18"/>
                <w:color w:val="0000FF"/>
              </w:rPr>
              <w:t>Press Release of Tenaya Therapeutics, Inc., dated March 8, 2023</w:t>
            </w:r>
          </w:p>
        </w:tc>
      </w:tr>
      <w:tr>
        <w:trPr>
          <w:trHeight w:val="20"/>
        </w:trPr>
        <w:tc>
          <w:tcPr>
            <w:tcW w:w="1140" w:type="dxa"/>
            <w:vAlign w:val="bottom"/>
          </w:tcPr>
          <w:p>
            <w:pPr>
              <w:spacing w:after="0" w:line="20" w:lineRule="exact"/>
              <w:rPr>
                <w:sz w:val="1"/>
                <w:szCs w:val="1"/>
                <w:color w:val="auto"/>
              </w:rPr>
            </w:pPr>
          </w:p>
        </w:tc>
        <w:tc>
          <w:tcPr>
            <w:tcW w:w="4680" w:type="dxa"/>
            <w:vAlign w:val="bottom"/>
            <w:tcBorders>
              <w:right w:val="single" w:sz="8" w:color="0000EE"/>
            </w:tcBorders>
            <w:shd w:val="clear" w:color="auto" w:fill="0000FF"/>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237"/>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101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1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TENAYA THERAPEUTICS, INC.</w:t>
      </w:r>
    </w:p>
    <w:p>
      <w:pPr>
        <w:spacing w:after="0" w:line="40" w:lineRule="exact"/>
        <w:rPr>
          <w:sz w:val="20"/>
          <w:szCs w:val="20"/>
          <w:color w:val="auto"/>
        </w:rPr>
      </w:pPr>
    </w:p>
    <w:p>
      <w:pPr>
        <w:ind w:left="5600"/>
        <w:spacing w:after="0"/>
        <w:tabs>
          <w:tab w:leader="none" w:pos="6100" w:val="left"/>
        </w:tabs>
        <w:rPr>
          <w:sz w:val="20"/>
          <w:szCs w:val="20"/>
          <w:color w:val="auto"/>
        </w:rPr>
      </w:pPr>
      <w:r>
        <w:rPr>
          <w:rFonts w:ascii="Arial" w:cs="Arial" w:eastAsia="Arial" w:hAnsi="Arial"/>
          <w:sz w:val="18"/>
          <w:szCs w:val="18"/>
          <w:color w:val="auto"/>
        </w:rPr>
        <w:t>By:</w:t>
        <w:tab/>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31750</wp:posOffset>
            </wp:positionV>
            <wp:extent cx="3257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Leone D. Patterson, M.B.A.</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and Business Officer</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4" w:name="page5"/>
    <w:bookmarkEnd w:id="4"/>
    <w:p>
      <w:pPr>
        <w:ind w:left="1026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24765</wp:posOffset>
            </wp:positionV>
            <wp:extent cx="2357120" cy="12344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Tenaya Therapeutics Reports Fourth Quarter and Full Year 2022 Financial Results and Provides Business Update</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TN-201 IND Cleared in January; Plan to Begin Phase 1b Dosing in MYBPC3-associated HCM Patients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Third Quarter 2023</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Dosing Commenced in Multiple-Ascending Dose Stage of First-In-Human Clinical Trial of TN-301; Data Anticipated in Second Half 2023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2022 Year End Cash and Investments of $204 Million; Runway to Fund Operations into First Half 2025</w:t>
      </w:r>
    </w:p>
    <w:p>
      <w:pPr>
        <w:spacing w:after="0" w:line="200" w:lineRule="exact"/>
        <w:rPr>
          <w:sz w:val="20"/>
          <w:szCs w:val="20"/>
          <w:color w:val="auto"/>
        </w:rPr>
      </w:pPr>
    </w:p>
    <w:p>
      <w:pPr>
        <w:spacing w:after="0" w:line="23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South San Francisco, Calif. – March 8, 2023 </w:t>
      </w:r>
      <w:r>
        <w:rPr>
          <w:rFonts w:ascii="Arial" w:cs="Arial" w:eastAsia="Arial" w:hAnsi="Arial"/>
          <w:sz w:val="18"/>
          <w:szCs w:val="18"/>
          <w:color w:val="auto"/>
        </w:rPr>
        <w:t>– Tenaya Therapeutics, Inc. (NASDAQ: TNYA), a clinical-stage biotechnology company with a mission to</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 develop and deliver potentially curative therapies that address the underlying causes of heart disease, today reported financial results for the fourth quarter and full year ended December 31, 2022 and provided a corporate update.</w:t>
      </w:r>
    </w:p>
    <w:p>
      <w:pPr>
        <w:spacing w:after="0" w:line="180"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“Tenaya enters 2023 well capitalized and with meaningful milestones ahead,” said Faraz Ali, Chief Executive Officer of Tenaya. “This year, we look forward to beginning clinical testing of our lead gene therapy candidate, TN-201, sharing data from our first-in-human clinical trial of TN-301, and submitting an IND for our TN-401 gene therapy candidate, as well as presenting additional data detailing insights on current pipeline candidates and emerging platform innovations.”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Program Updates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TN-201 – MYBPC3 Gene Therapy Program for Genetic Hypertrophic Cardiomyopathy (HCM)</w:t>
      </w:r>
    </w:p>
    <w:p>
      <w:pPr>
        <w:spacing w:after="0" w:line="103" w:lineRule="exact"/>
        <w:rPr>
          <w:sz w:val="20"/>
          <w:szCs w:val="20"/>
          <w:color w:val="auto"/>
        </w:rPr>
      </w:pPr>
    </w:p>
    <w:p>
      <w:pPr>
        <w:ind w:left="1020" w:right="60" w:hanging="503"/>
        <w:spacing w:after="0" w:line="259"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In January 2023, Tenaya received notification from the U.S. Food and Drug Administration (FDA) that clinical testing of TN-201 may proceed based on the agency’s review of the company’s Investigational New Drug (IND) application. TN-201 is designed to deliver a fully functional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to restore normal levels of MyBP-C protein and thereby potentially halt disease progression and reverse the course of genetic HCM after a single dose.</w:t>
      </w:r>
    </w:p>
    <w:p>
      <w:pPr>
        <w:spacing w:after="0" w:line="78" w:lineRule="exact"/>
        <w:rPr>
          <w:rFonts w:ascii="Arial" w:cs="Arial" w:eastAsia="Arial" w:hAnsi="Arial"/>
          <w:sz w:val="18"/>
          <w:szCs w:val="18"/>
          <w:color w:val="auto"/>
        </w:rPr>
      </w:pPr>
    </w:p>
    <w:p>
      <w:pPr>
        <w:ind w:left="1020" w:hanging="503"/>
        <w:spacing w:after="0" w:line="263"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Tenaya plans to commence a Phase 1b multi-center, open-label, dose-escalation study to assess the safety, tolerability and pharmacodynamics of a one-time intravenous infusion of TN-201 in symptomatic adults with </w:t>
      </w:r>
      <w:r>
        <w:rPr>
          <w:rFonts w:ascii="Arial" w:cs="Arial" w:eastAsia="Arial" w:hAnsi="Arial"/>
          <w:sz w:val="18"/>
          <w:szCs w:val="18"/>
          <w:i w:val="1"/>
          <w:iCs w:val="1"/>
          <w:color w:val="auto"/>
        </w:rPr>
        <w:t>MYBPC3</w:t>
      </w:r>
      <w:r>
        <w:rPr>
          <w:rFonts w:ascii="Arial" w:cs="Arial" w:eastAsia="Arial" w:hAnsi="Arial"/>
          <w:sz w:val="18"/>
          <w:szCs w:val="18"/>
          <w:color w:val="auto"/>
        </w:rPr>
        <w:t>-associated HCM in the third quarter of 2023. Initial data from the Phase 1b trial are anticipated in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TN-301 – Small Molecule HDAC6 Inhibitor for Heart Failure with Preserved Ejection Fraction (HFpEF)</w:t>
      </w:r>
    </w:p>
    <w:p>
      <w:pPr>
        <w:spacing w:after="0" w:line="117" w:lineRule="exact"/>
        <w:rPr>
          <w:sz w:val="20"/>
          <w:szCs w:val="20"/>
          <w:color w:val="auto"/>
        </w:rPr>
      </w:pPr>
    </w:p>
    <w:p>
      <w:pPr>
        <w:ind w:left="1020" w:right="6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Tenaya commenced dosing of healthy participants in the multiple-ascending dose (MAD) stage of its ongoing Phase 1 trial evaluating the safety, tolerability, pharmacokinetics, and pharmacodynamics of escalating oral doses of TN-301, a highly selective small molecule inhibitor of HDAC6 being developed for the potential treatment of HFpEF.</w:t>
      </w:r>
    </w:p>
    <w:p>
      <w:pPr>
        <w:spacing w:after="0" w:line="75" w:lineRule="exact"/>
        <w:rPr>
          <w:rFonts w:ascii="Arial" w:cs="Arial" w:eastAsia="Arial" w:hAnsi="Arial"/>
          <w:sz w:val="18"/>
          <w:szCs w:val="18"/>
          <w:color w:val="auto"/>
        </w:rPr>
      </w:pPr>
    </w:p>
    <w:p>
      <w:pPr>
        <w:ind w:left="1540" w:right="600" w:hanging="509"/>
        <w:spacing w:after="0" w:line="277" w:lineRule="auto"/>
        <w:rPr>
          <w:rFonts w:ascii="Arial" w:cs="Arial" w:eastAsia="Arial" w:hAnsi="Arial"/>
          <w:sz w:val="18"/>
          <w:szCs w:val="18"/>
          <w:color w:val="auto"/>
        </w:rPr>
      </w:pPr>
      <w:r>
        <w:rPr>
          <w:rFonts w:ascii="Arial" w:cs="Arial" w:eastAsia="Arial" w:hAnsi="Arial"/>
          <w:sz w:val="18"/>
          <w:szCs w:val="18"/>
          <w:color w:val="auto"/>
        </w:rPr>
        <w:t>oTN-301 was generally well tolerated during the single ascending (SAD) stage of Tenaya’s randomized, double-blind, placebo-controlled Phase 1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ind w:left="1540" w:right="160" w:hanging="514"/>
        <w:spacing w:after="0" w:line="277" w:lineRule="auto"/>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Initial target engagement, measured by the biomarker of tubulin acetylation, was achieved at dose levels thought to be in therapeutic ranges based on preclinical experiments.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Tenaya expects to report data from both the SAD and MAD stages of the Phase 1 clinical trial in the second half of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TN-401 – PKP2 Gene Therapy Program for Arrhythmogenic Right Ventricular Cardiomyopathy (ARVC)</w:t>
      </w:r>
    </w:p>
    <w:p>
      <w:pPr>
        <w:spacing w:after="0" w:line="117" w:lineRule="exact"/>
        <w:rPr>
          <w:sz w:val="20"/>
          <w:szCs w:val="20"/>
          <w:color w:val="auto"/>
        </w:rPr>
      </w:pPr>
    </w:p>
    <w:p>
      <w:pPr>
        <w:ind w:left="1020" w:right="20" w:hanging="503"/>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Tenaya plans to submit an IND application for TN-401 to the FDA in the second half of 2023. IND-enabling studies and manufacturing of clinical supply are currently underway. TN-401 is designed to deliver a fully functional </w:t>
      </w:r>
      <w:r>
        <w:rPr>
          <w:rFonts w:ascii="Arial" w:cs="Arial" w:eastAsia="Arial" w:hAnsi="Arial"/>
          <w:sz w:val="18"/>
          <w:szCs w:val="18"/>
          <w:i w:val="1"/>
          <w:iCs w:val="1"/>
          <w:color w:val="auto"/>
        </w:rPr>
        <w:t>PKP2</w:t>
      </w:r>
      <w:r>
        <w:rPr>
          <w:rFonts w:ascii="Arial" w:cs="Arial" w:eastAsia="Arial" w:hAnsi="Arial"/>
          <w:sz w:val="18"/>
          <w:szCs w:val="18"/>
          <w:color w:val="auto"/>
        </w:rPr>
        <w:t xml:space="preserve"> gene to reverse disease and prevent arrhythmia after a single dose.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w:t>
      </w:r>
    </w:p>
    <w:p>
      <w:pPr>
        <w:spacing w:after="0" w:line="131" w:lineRule="exact"/>
        <w:rPr>
          <w:sz w:val="20"/>
          <w:szCs w:val="20"/>
          <w:color w:val="auto"/>
        </w:rPr>
      </w:pPr>
    </w:p>
    <w:p>
      <w:pPr>
        <w:ind w:left="1020" w:right="160" w:hanging="503"/>
        <w:spacing w:after="0" w:line="25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November 2022, Tenaya completed a follow-on public offering of approximately 25.4 </w:t>
      </w:r>
      <w:r>
        <w:rPr>
          <w:rFonts w:ascii="Arial" w:cs="Arial" w:eastAsia="Arial" w:hAnsi="Arial"/>
          <w:sz w:val="18"/>
          <w:szCs w:val="18"/>
          <w:color w:val="333333"/>
        </w:rPr>
        <w:t>million shares of its common stock and, to certain</w:t>
      </w:r>
      <w:r>
        <w:rPr>
          <w:rFonts w:ascii="Arial" w:cs="Arial" w:eastAsia="Arial" w:hAnsi="Arial"/>
          <w:sz w:val="18"/>
          <w:szCs w:val="18"/>
          <w:color w:val="auto"/>
        </w:rPr>
        <w:t xml:space="preserve"> </w:t>
      </w:r>
      <w:r>
        <w:rPr>
          <w:rFonts w:ascii="Arial" w:cs="Arial" w:eastAsia="Arial" w:hAnsi="Arial"/>
          <w:sz w:val="18"/>
          <w:szCs w:val="18"/>
          <w:color w:val="333333"/>
        </w:rPr>
        <w:t xml:space="preserve">investors in lieu of common stock, pre-funded warrants to purchase up to an aggregate of approximately 6.2 million shares </w:t>
      </w:r>
      <w:r>
        <w:rPr>
          <w:rFonts w:ascii="Arial" w:cs="Arial" w:eastAsia="Arial" w:hAnsi="Arial"/>
          <w:sz w:val="18"/>
          <w:szCs w:val="18"/>
          <w:color w:val="000000"/>
        </w:rPr>
        <w:t>at a public</w:t>
      </w:r>
      <w:r>
        <w:rPr>
          <w:rFonts w:ascii="Arial" w:cs="Arial" w:eastAsia="Arial" w:hAnsi="Arial"/>
          <w:sz w:val="18"/>
          <w:szCs w:val="18"/>
          <w:color w:val="333333"/>
        </w:rPr>
        <w:t xml:space="preserve"> </w:t>
      </w:r>
      <w:r>
        <w:rPr>
          <w:rFonts w:ascii="Arial" w:cs="Arial" w:eastAsia="Arial" w:hAnsi="Arial"/>
          <w:sz w:val="18"/>
          <w:szCs w:val="18"/>
          <w:color w:val="000000"/>
        </w:rPr>
        <w:t>offering price of $2.60 per share and $2.599 per pre-funded warrant. The net proceeds to Tenaya were $76.9 million after discounts, commissions, and other offering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2022 Financial Highlights</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December 31, 2022, cash, cash equivalents and investments in marketable securities (current and noncurrent) were $204.2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Tenaya expects current cash, cash equivalents and investments in marketable securities (current and noncurrent) will be sufficient to fund the company into the first half of 2025.</w:t>
      </w:r>
    </w:p>
    <w:p>
      <w:pPr>
        <w:spacing w:after="0" w:line="78" w:lineRule="exact"/>
        <w:rPr>
          <w:sz w:val="20"/>
          <w:szCs w:val="20"/>
          <w:color w:val="auto"/>
        </w:rPr>
      </w:pPr>
    </w:p>
    <w:p>
      <w:pPr>
        <w:jc w:val="both"/>
        <w:ind w:left="1020" w:right="200" w:hanging="503"/>
        <w:spacing w:after="0" w:line="26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Research &amp; Development (R&amp;D) Expenses: </w:t>
      </w:r>
      <w:r>
        <w:rPr>
          <w:rFonts w:ascii="Arial" w:cs="Arial" w:eastAsia="Arial" w:hAnsi="Arial"/>
          <w:sz w:val="18"/>
          <w:szCs w:val="18"/>
          <w:color w:val="auto"/>
        </w:rPr>
        <w:t>R&amp;D expenses were $25.7 million for the fourth quarter and $94.5 million for the full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2022. Non-cash stock-based compensation included in R&amp;D expense was $1.1 million for the fourth quarter and $4.9 million for the full year ended December 31, 2022.</w:t>
      </w:r>
    </w:p>
    <w:p>
      <w:pPr>
        <w:spacing w:after="0" w:line="67" w:lineRule="exact"/>
        <w:rPr>
          <w:rFonts w:ascii="Arial" w:cs="Arial" w:eastAsia="Arial" w:hAnsi="Arial"/>
          <w:sz w:val="18"/>
          <w:szCs w:val="18"/>
          <w:color w:val="auto"/>
        </w:rPr>
      </w:pPr>
    </w:p>
    <w:p>
      <w:pPr>
        <w:ind w:left="1020" w:right="200" w:hanging="503"/>
        <w:spacing w:after="0" w:line="26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General &amp; Administrative (G&amp;A) Expenses: </w:t>
      </w:r>
      <w:r>
        <w:rPr>
          <w:rFonts w:ascii="Arial" w:cs="Arial" w:eastAsia="Arial" w:hAnsi="Arial"/>
          <w:sz w:val="18"/>
          <w:szCs w:val="18"/>
          <w:color w:val="auto"/>
        </w:rPr>
        <w:t>G&amp;A expenses were $8.8 million for the fourth quarter and $31.1 million for the full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2022. Non-cash stock-based compensation included in G&amp;A expense was $2.1 million for the fourth quarter and $6.6 million for the full year ended December 31, 2022.</w:t>
      </w:r>
    </w:p>
    <w:p>
      <w:pPr>
        <w:spacing w:after="0" w:line="67" w:lineRule="exact"/>
        <w:rPr>
          <w:rFonts w:ascii="Arial" w:cs="Arial" w:eastAsia="Arial" w:hAnsi="Arial"/>
          <w:sz w:val="18"/>
          <w:szCs w:val="18"/>
          <w:color w:val="auto"/>
        </w:rPr>
      </w:pPr>
    </w:p>
    <w:p>
      <w:pPr>
        <w:ind w:left="1020" w:hanging="503"/>
        <w:spacing w:after="0" w:line="26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$33.5 million, or $0.61 loss per share for the fourth quarter ended December 31, 2022. For the full year 2022, net loss</w:t>
      </w:r>
      <w:r>
        <w:rPr>
          <w:rFonts w:ascii="Arial" w:cs="Arial" w:eastAsia="Arial" w:hAnsi="Arial"/>
          <w:sz w:val="18"/>
          <w:szCs w:val="18"/>
          <w:b w:val="1"/>
          <w:bCs w:val="1"/>
          <w:color w:val="auto"/>
        </w:rPr>
        <w:t xml:space="preserve"> </w:t>
      </w:r>
      <w:r>
        <w:rPr>
          <w:rFonts w:ascii="Arial" w:cs="Arial" w:eastAsia="Arial" w:hAnsi="Arial"/>
          <w:sz w:val="18"/>
          <w:szCs w:val="18"/>
          <w:color w:val="auto"/>
        </w:rPr>
        <w:t>was $123.7 million, or $2.76 per share. The number of Tenaya’s common stock outstanding as of December 31, 2022, was 66.9 million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Tenaya Therapeutics</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Tenaya Therapeutics is a clinical-stage biotechnology company committed to a bold mission: to discover, develop and deliver potentially curative therapies that address the underlying drivers of heart disease. Leveraging its integrated and interrelated Gene Therapy, Cellular Regeneration and Precision Medicine platforms and proprietary core capabilities, the company is advancing a pipeline of novel therapies with diverse treatment modalities for rare genetic cardiovascular disorders and more prevalent heart conditions. Tenaya’s most advanced candidates include TN-201, a gene therapy for </w:t>
      </w:r>
      <w:r>
        <w:rPr>
          <w:rFonts w:ascii="Arial" w:cs="Arial" w:eastAsia="Arial" w:hAnsi="Arial"/>
          <w:sz w:val="16"/>
          <w:szCs w:val="16"/>
          <w:i w:val="1"/>
          <w:iCs w:val="1"/>
          <w:color w:val="auto"/>
        </w:rPr>
        <w:t>MYBPC3-</w:t>
      </w:r>
      <w:r>
        <w:rPr>
          <w:rFonts w:ascii="Arial" w:cs="Arial" w:eastAsia="Arial" w:hAnsi="Arial"/>
          <w:sz w:val="16"/>
          <w:szCs w:val="16"/>
          <w:color w:val="auto"/>
        </w:rPr>
        <w:t xml:space="preserve">associated hypertrophic cardiomyopathy (HCM), TN-401, a gene therapy for </w:t>
      </w:r>
      <w:r>
        <w:rPr>
          <w:rFonts w:ascii="Arial" w:cs="Arial" w:eastAsia="Arial" w:hAnsi="Arial"/>
          <w:sz w:val="16"/>
          <w:szCs w:val="16"/>
          <w:i w:val="1"/>
          <w:iCs w:val="1"/>
          <w:color w:val="auto"/>
        </w:rPr>
        <w:t>PKP2</w:t>
      </w:r>
      <w:r>
        <w:rPr>
          <w:rFonts w:ascii="Arial" w:cs="Arial" w:eastAsia="Arial" w:hAnsi="Arial"/>
          <w:sz w:val="16"/>
          <w:szCs w:val="16"/>
          <w:color w:val="auto"/>
        </w:rPr>
        <w:t>-associated arrhythmogenic right ventricular cardiomyopathy (ARVC), and TN-301, a small molecule HDAC6 inhibitor being initially developed for heart failure with preserved ejection fraction (HFpEF). Tenaya also has multiple early-stage programs progressing through preclinical development. For more information, visit www.tenayatherapeutics.com.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“look forward,” “plans,” “anticipated,” “expects,” “will,” and similar expressions are intended to identify forward-looking statements. Such forward-looking statements include, among other things, statements regarding 2023 key milestones, including the initiation of clinical testing of TN-201, data from the first-in-human clinical trial of TN-301, submission of the TN-401 IND and the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 w:name="page7"/>
    <w:bookmarkEnd w:id="6"/>
    <w:p>
      <w:pPr>
        <w:ind w:right="20"/>
        <w:spacing w:after="0" w:line="267" w:lineRule="auto"/>
        <w:rPr>
          <w:sz w:val="20"/>
          <w:szCs w:val="20"/>
          <w:color w:val="auto"/>
        </w:rPr>
      </w:pPr>
      <w:r>
        <w:rPr>
          <w:rFonts w:ascii="Arial" w:cs="Arial" w:eastAsia="Arial" w:hAnsi="Arial"/>
          <w:sz w:val="17"/>
          <w:szCs w:val="17"/>
          <w:color w:val="auto"/>
        </w:rPr>
        <w:t>of data from pipeline candidates and platform innovations; expected timing for, commencement of dosing in the Phase 1b clinical trial evaluating TN-201 and availability of initial data from the trial, data from the SAD and MAD stages of the Phase 1 clinical trial evaluating TN-301 and the submission of the TN-401 IND; the potential of, and expectations regarding, Tenaya’s product candidates; the sufficiency of Tenaya’s cash resources to fund the company into the first half 2025; and statements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Tenaya’s ability to develop, initiate or complete preclinical studies and clinical trials for its product candidates; the timing, scope and likelihood of regulatory filings and approvals; the availability of data at the referenced times; risks associated with the process of discovering, developing and commercializing drugs that are safe and effective for use as human therapeutics and operating as an early stage company; Tenaya’s ability to raise any additional funding it will need to continue to pursue its business and product development plans; the potential for any clinical trial results to differ from preclinical, interim, preliminary, topline or expected results; Tenaya’s ability to successfully operate a manufacturing facility for clinical or commercial supply; Tenaya’s commercialization and marketing capabilities and strategy; the loss of key scientific or management personnel; competition in the industry in which Tenaya operates; Tenaya’s reliance on third parties; Tenaya’s ability to obtain and maintain intellectual property protection for its product candidates; negative impacts of the COVID-19 pandemic on Tenaya’s operations, including preclinical studies, planned clinical trials and manufacturing activities;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6360" w:type="dxa"/>
            <w:vAlign w:val="bottom"/>
          </w:tcPr>
          <w:p>
            <w:pPr>
              <w:spacing w:after="0"/>
              <w:rPr>
                <w:sz w:val="18"/>
                <w:szCs w:val="18"/>
                <w:color w:val="auto"/>
              </w:rPr>
            </w:pPr>
          </w:p>
        </w:tc>
      </w:tr>
      <w:tr>
        <w:trPr>
          <w:trHeight w:val="234"/>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Investors</w:t>
            </w:r>
          </w:p>
        </w:tc>
        <w:tc>
          <w:tcPr>
            <w:tcW w:w="6360" w:type="dxa"/>
            <w:vAlign w:val="bottom"/>
          </w:tcPr>
          <w:p>
            <w:pPr>
              <w:ind w:left="1900"/>
              <w:spacing w:after="0"/>
              <w:rPr>
                <w:sz w:val="20"/>
                <w:szCs w:val="20"/>
                <w:color w:val="auto"/>
              </w:rPr>
            </w:pPr>
            <w:r>
              <w:rPr>
                <w:rFonts w:ascii="Arial" w:cs="Arial" w:eastAsia="Arial" w:hAnsi="Arial"/>
                <w:sz w:val="18"/>
                <w:szCs w:val="18"/>
                <w:b w:val="1"/>
                <w:bCs w:val="1"/>
                <w:color w:val="auto"/>
              </w:rPr>
              <w:t>Media</w:t>
            </w: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Michelle Corral</w:t>
            </w:r>
          </w:p>
        </w:tc>
        <w:tc>
          <w:tcPr>
            <w:tcW w:w="6360" w:type="dxa"/>
            <w:vAlign w:val="bottom"/>
          </w:tcPr>
          <w:p>
            <w:pPr>
              <w:ind w:left="1900"/>
              <w:spacing w:after="0"/>
              <w:rPr>
                <w:sz w:val="20"/>
                <w:szCs w:val="20"/>
                <w:color w:val="auto"/>
              </w:rPr>
            </w:pPr>
            <w:r>
              <w:rPr>
                <w:rFonts w:ascii="Arial" w:cs="Arial" w:eastAsia="Arial" w:hAnsi="Arial"/>
                <w:sz w:val="18"/>
                <w:szCs w:val="18"/>
                <w:color w:val="auto"/>
              </w:rPr>
              <w:t>Wendy Ryan</w:t>
            </w: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Vice President, Investor Relationship and</w:t>
            </w:r>
          </w:p>
        </w:tc>
        <w:tc>
          <w:tcPr>
            <w:tcW w:w="6360" w:type="dxa"/>
            <w:vAlign w:val="bottom"/>
          </w:tcPr>
          <w:p>
            <w:pPr>
              <w:ind w:left="1900"/>
              <w:spacing w:after="0"/>
              <w:rPr>
                <w:sz w:val="20"/>
                <w:szCs w:val="20"/>
                <w:color w:val="auto"/>
              </w:rPr>
            </w:pPr>
            <w:r>
              <w:rPr>
                <w:rFonts w:ascii="Arial" w:cs="Arial" w:eastAsia="Arial" w:hAnsi="Arial"/>
                <w:sz w:val="18"/>
                <w:szCs w:val="18"/>
                <w:color w:val="auto"/>
              </w:rPr>
              <w:t>Ten Bridge Communications</w:t>
            </w: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Corporate Communications</w:t>
            </w:r>
          </w:p>
        </w:tc>
        <w:tc>
          <w:tcPr>
            <w:tcW w:w="6360" w:type="dxa"/>
            <w:vAlign w:val="bottom"/>
          </w:tcPr>
          <w:p>
            <w:pPr>
              <w:ind w:left="1900"/>
              <w:spacing w:after="0"/>
              <w:rPr>
                <w:sz w:val="20"/>
                <w:szCs w:val="20"/>
                <w:color w:val="auto"/>
              </w:rPr>
            </w:pPr>
            <w:r>
              <w:rPr>
                <w:rFonts w:ascii="Arial" w:cs="Arial" w:eastAsia="Arial" w:hAnsi="Arial"/>
                <w:sz w:val="18"/>
                <w:szCs w:val="18"/>
                <w:color w:val="auto"/>
              </w:rPr>
              <w:t>Wendy@tenbridgecommunications.com</w:t>
            </w: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Tenaya Therapeutics</w:t>
            </w:r>
          </w:p>
        </w:tc>
        <w:tc>
          <w:tcPr>
            <w:tcW w:w="6360" w:type="dxa"/>
            <w:vAlign w:val="bottom"/>
          </w:tcPr>
          <w:p>
            <w:pPr>
              <w:spacing w:after="0"/>
              <w:rPr>
                <w:sz w:val="18"/>
                <w:szCs w:val="18"/>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IR@tenayathera.com</w:t>
            </w:r>
          </w:p>
        </w:tc>
        <w:tc>
          <w:tcPr>
            <w:tcW w:w="6360" w:type="dxa"/>
            <w:vAlign w:val="bottom"/>
          </w:tcPr>
          <w:p>
            <w:pPr>
              <w:spacing w:after="0"/>
              <w:rPr>
                <w:sz w:val="20"/>
                <w:szCs w:val="20"/>
                <w:color w:val="auto"/>
              </w:rPr>
            </w:pPr>
          </w:p>
        </w:tc>
      </w:tr>
      <w:tr>
        <w:trPr>
          <w:trHeight w:val="992"/>
        </w:trPr>
        <w:tc>
          <w:tcPr>
            <w:tcW w:w="488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gridSpan w:val="5"/>
          </w:tcPr>
          <w:p>
            <w:pPr>
              <w:jc w:val="right"/>
              <w:ind w:right="89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25,748</w:t>
            </w:r>
          </w:p>
        </w:tc>
        <w:tc>
          <w:tcPr>
            <w:tcW w:w="24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20,953</w:t>
            </w:r>
          </w:p>
        </w:tc>
        <w:tc>
          <w:tcPr>
            <w:tcW w:w="2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94,537</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54,393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8,802</w:t>
            </w:r>
          </w:p>
        </w:tc>
        <w:tc>
          <w:tcPr>
            <w:tcW w:w="2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31,084</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34,550</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125,621</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(34,550</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(26,164</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(125,621</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(72,806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2"/>
        </w:trPr>
        <w:tc>
          <w:tcPr>
            <w:tcW w:w="53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1,037</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(3 )</w:t>
            </w:r>
          </w:p>
        </w:tc>
        <w:tc>
          <w:tcPr>
            <w:tcW w:w="380" w:type="dxa"/>
            <w:vAlign w:val="bottom"/>
          </w:tcPr>
          <w:p>
            <w:pPr>
              <w:spacing w:after="0"/>
              <w:rPr>
                <w:sz w:val="21"/>
                <w:szCs w:val="21"/>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(54 )</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7"/>
        </w:trPr>
        <w:tc>
          <w:tcPr>
            <w:tcW w:w="538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2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w:t>
            </w:r>
          </w:p>
        </w:tc>
        <w:tc>
          <w:tcPr>
            <w:tcW w:w="2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Net loss before income tax expense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(33,516</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(26,151</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(123,665</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(72,721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9"/>
        </w:trPr>
        <w:tc>
          <w:tcPr>
            <w:tcW w:w="53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(33,516</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(26,151</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(123,665</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(72,721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538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0"/>
              <w:spacing w:after="0"/>
              <w:rPr>
                <w:sz w:val="20"/>
                <w:szCs w:val="20"/>
                <w:color w:val="auto"/>
              </w:rPr>
            </w:pPr>
            <w:r>
              <w:rPr>
                <w:rFonts w:ascii="Arial" w:cs="Arial" w:eastAsia="Arial" w:hAnsi="Arial"/>
                <w:sz w:val="18"/>
                <w:szCs w:val="18"/>
                <w:color w:val="auto"/>
                <w:w w:val="95"/>
              </w:rPr>
              <w:t>Weighted-average shares used in computing net loss per share, basic</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55,250,372</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7"/>
              </w:rPr>
              <w:t>41,253,720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44,823,597</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5"/>
              </w:rPr>
              <w:t>17,734,166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20"/>
              <w:spacing w:after="0" w:line="203" w:lineRule="exact"/>
              <w:rPr>
                <w:sz w:val="20"/>
                <w:szCs w:val="20"/>
                <w:color w:val="auto"/>
              </w:rPr>
            </w:pPr>
            <w:r>
              <w:rPr>
                <w:rFonts w:ascii="Arial" w:cs="Arial" w:eastAsia="Arial" w:hAnsi="Arial"/>
                <w:sz w:val="18"/>
                <w:szCs w:val="18"/>
                <w:color w:val="auto"/>
              </w:rPr>
              <w:t>and diluted</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5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 Data</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24"/>
        </w:trPr>
        <w:tc>
          <w:tcPr>
            <w:tcW w:w="7700" w:type="dxa"/>
            <w:vAlign w:val="bottom"/>
          </w:tcPr>
          <w:p>
            <w:pPr>
              <w:ind w:left="20"/>
              <w:spacing w:after="0"/>
              <w:rPr>
                <w:sz w:val="20"/>
                <w:szCs w:val="20"/>
                <w:color w:val="auto"/>
              </w:rPr>
            </w:pPr>
            <w:r>
              <w:rPr>
                <w:rFonts w:ascii="Arial" w:cs="Arial" w:eastAsia="Arial" w:hAnsi="Arial"/>
                <w:sz w:val="18"/>
                <w:szCs w:val="18"/>
                <w:color w:val="auto"/>
              </w:rPr>
              <w:t>Cash, cash equivalents and marketable securities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204,230</w:t>
            </w:r>
          </w:p>
        </w:tc>
        <w:tc>
          <w:tcPr>
            <w:tcW w:w="3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251,300</w:t>
            </w:r>
          </w:p>
        </w:tc>
        <w:tc>
          <w:tcPr>
            <w:tcW w:w="100" w:type="dxa"/>
            <w:vAlign w:val="bottom"/>
          </w:tcPr>
          <w:p>
            <w:pPr>
              <w:spacing w:after="0"/>
              <w:rPr>
                <w:sz w:val="19"/>
                <w:szCs w:val="19"/>
                <w:color w:val="auto"/>
              </w:rPr>
            </w:pPr>
          </w:p>
        </w:tc>
      </w:tr>
      <w:tr>
        <w:trPr>
          <w:trHeight w:val="242"/>
        </w:trPr>
        <w:tc>
          <w:tcPr>
            <w:tcW w:w="77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278,945</w:t>
            </w:r>
          </w:p>
        </w:tc>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314,189</w:t>
            </w:r>
          </w:p>
        </w:tc>
        <w:tc>
          <w:tcPr>
            <w:tcW w:w="100" w:type="dxa"/>
            <w:vAlign w:val="bottom"/>
          </w:tcPr>
          <w:p>
            <w:pPr>
              <w:spacing w:after="0"/>
              <w:rPr>
                <w:sz w:val="21"/>
                <w:szCs w:val="2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35,569</w:t>
            </w:r>
          </w:p>
        </w:tc>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35,663</w:t>
            </w:r>
          </w:p>
        </w:tc>
        <w:tc>
          <w:tcPr>
            <w:tcW w:w="100" w:type="dxa"/>
            <w:vAlign w:val="bottom"/>
          </w:tcPr>
          <w:p>
            <w:pPr>
              <w:spacing w:after="0"/>
              <w:rPr>
                <w:sz w:val="21"/>
                <w:szCs w:val="21"/>
                <w:color w:val="auto"/>
              </w:rPr>
            </w:pP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278,945</w:t>
            </w:r>
          </w:p>
        </w:tc>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314,189</w:t>
            </w:r>
          </w:p>
        </w:tc>
        <w:tc>
          <w:tcPr>
            <w:tcW w:w="100" w:type="dxa"/>
            <w:vAlign w:val="bottom"/>
          </w:tcPr>
          <w:p>
            <w:pPr>
              <w:spacing w:after="0"/>
              <w:rPr>
                <w:sz w:val="21"/>
                <w:szCs w:val="21"/>
                <w:color w:val="auto"/>
              </w:rPr>
            </w:pPr>
          </w:p>
        </w:tc>
      </w:tr>
      <w:tr>
        <w:trPr>
          <w:trHeight w:val="1208"/>
        </w:trPr>
        <w:tc>
          <w:tcPr>
            <w:tcW w:w="7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o"/>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2023-03-08T15:21:18Z</dcterms:created>
  <dcterms:modified xsi:type="dcterms:W3CDTF">2023-03-08T15:21:18Z</dcterms:modified>
</cp:coreProperties>
</file>