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2"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168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168390"/>
                    </a:xfrm>
                    <a:prstGeom prst="rect">
                      <a:avLst/>
                    </a:prstGeom>
                    <a:noFill/>
                  </pic:spPr>
                </pic:pic>
              </a:graphicData>
            </a:graphic>
          </wp:anchor>
        </w:drawing>
      </w:r>
    </w:p>
    <w:p>
      <w:pPr>
        <w:spacing w:after="0" w:line="38" w:lineRule="exact"/>
        <w:rPr>
          <w:sz w:val="24"/>
          <w:szCs w:val="24"/>
          <w:color w:val="auto"/>
        </w:rPr>
      </w:pPr>
    </w:p>
    <w:p>
      <w:pPr>
        <w:sectPr>
          <w:pgSz w:w="11900" w:h="16930"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GOEDDEL DAVID V</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Tenaya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TNYA</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20" w:type="dxa"/>
            <w:vAlign w:val="bottom"/>
            <w:gridSpan w:val="5"/>
            <w:vMerge w:val="continue"/>
          </w:tcPr>
          <w:p>
            <w:pPr>
              <w:spacing w:after="0"/>
              <w:rPr>
                <w:sz w:val="4"/>
                <w:szCs w:val="4"/>
                <w:color w:val="auto"/>
              </w:rPr>
            </w:pPr>
          </w:p>
        </w:tc>
        <w:tc>
          <w:tcPr>
            <w:tcW w:w="3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gridSpan w:val="2"/>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360" w:type="dxa"/>
            <w:vAlign w:val="bottom"/>
          </w:tcPr>
          <w:p>
            <w:pPr>
              <w:spacing w:after="0"/>
              <w:rPr>
                <w:sz w:val="2"/>
                <w:szCs w:val="2"/>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6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3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16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50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640" w:type="dxa"/>
            <w:vAlign w:val="bottom"/>
            <w:gridSpan w:val="5"/>
            <w:vMerge w:val="restart"/>
          </w:tcPr>
          <w:p>
            <w:pPr>
              <w:ind w:left="3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500" w:type="dxa"/>
            <w:vAlign w:val="bottom"/>
            <w:gridSpan w:val="3"/>
            <w:vMerge w:val="continue"/>
          </w:tcPr>
          <w:p>
            <w:pPr>
              <w:spacing w:after="0"/>
              <w:rPr>
                <w:sz w:val="6"/>
                <w:szCs w:val="6"/>
                <w:color w:val="auto"/>
              </w:rPr>
            </w:pPr>
          </w:p>
        </w:tc>
        <w:tc>
          <w:tcPr>
            <w:tcW w:w="164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02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6"/>
                <w:szCs w:val="16"/>
                <w:color w:val="auto"/>
              </w:rPr>
            </w:pPr>
          </w:p>
        </w:tc>
        <w:tc>
          <w:tcPr>
            <w:tcW w:w="880" w:type="dxa"/>
            <w:vAlign w:val="bottom"/>
            <w:gridSpan w:val="2"/>
          </w:tcPr>
          <w:p>
            <w:pPr>
              <w:ind w:left="380"/>
              <w:spacing w:after="0"/>
              <w:rPr>
                <w:sz w:val="20"/>
                <w:szCs w:val="20"/>
                <w:color w:val="auto"/>
              </w:rPr>
            </w:pPr>
            <w:r>
              <w:rPr>
                <w:rFonts w:ascii="Arial" w:cs="Arial" w:eastAsia="Arial" w:hAnsi="Arial"/>
                <w:sz w:val="13"/>
                <w:szCs w:val="13"/>
                <w:color w:val="auto"/>
              </w:rPr>
              <w:t>below)</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1 LETTERMAN DRIVE</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gridSpan w:val="3"/>
          </w:tcPr>
          <w:p>
            <w:pPr>
              <w:ind w:left="80"/>
              <w:spacing w:after="0"/>
              <w:rPr>
                <w:sz w:val="20"/>
                <w:szCs w:val="20"/>
                <w:color w:val="auto"/>
              </w:rPr>
            </w:pPr>
            <w:r>
              <w:rPr>
                <w:rFonts w:ascii="Arial" w:cs="Arial" w:eastAsia="Arial" w:hAnsi="Arial"/>
                <w:sz w:val="17"/>
                <w:szCs w:val="17"/>
                <w:color w:val="0000FF"/>
              </w:rPr>
              <w:t>01/17/2023</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5"/>
          </w:tcPr>
          <w:p>
            <w:pPr>
              <w:spacing w:after="0"/>
              <w:rPr>
                <w:sz w:val="20"/>
                <w:szCs w:val="20"/>
                <w:color w:val="auto"/>
              </w:rPr>
            </w:pPr>
            <w:r>
              <w:rPr>
                <w:rFonts w:ascii="Arial" w:cs="Arial" w:eastAsia="Arial" w:hAnsi="Arial"/>
                <w:sz w:val="17"/>
                <w:szCs w:val="17"/>
                <w:color w:val="0000FF"/>
              </w:rPr>
              <w:t>BUILDING D, SUITE DM-900</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10"/>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3"/>
                <w:szCs w:val="13"/>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13"/>
                <w:szCs w:val="13"/>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3140" w:type="dxa"/>
            <w:vAlign w:val="bottom"/>
            <w:gridSpan w:val="8"/>
            <w:vMerge w:val="restart"/>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68" w:lineRule="exact"/>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1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14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gridSpan w:val="2"/>
          </w:tcPr>
          <w:p>
            <w:pPr>
              <w:spacing w:after="0"/>
              <w:rPr>
                <w:sz w:val="3"/>
                <w:szCs w:val="3"/>
                <w:color w:val="auto"/>
              </w:rPr>
            </w:pPr>
          </w:p>
        </w:tc>
        <w:tc>
          <w:tcPr>
            <w:tcW w:w="36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080" w:type="dxa"/>
            <w:vAlign w:val="bottom"/>
            <w:tcBorders>
              <w:bottom w:val="single" w:sz="8" w:color="2C2C2C"/>
            </w:tcBorders>
            <w:gridSpan w:val="2"/>
          </w:tcPr>
          <w:p>
            <w:pPr>
              <w:spacing w:after="0"/>
              <w:rPr>
                <w:sz w:val="11"/>
                <w:szCs w:val="11"/>
                <w:color w:val="auto"/>
              </w:rPr>
            </w:pPr>
          </w:p>
        </w:tc>
        <w:tc>
          <w:tcPr>
            <w:tcW w:w="1100" w:type="dxa"/>
            <w:vAlign w:val="bottom"/>
            <w:tcBorders>
              <w:bottom w:val="single" w:sz="8" w:color="2C2C2C"/>
            </w:tcBorders>
            <w:gridSpan w:val="4"/>
          </w:tcPr>
          <w:p>
            <w:pPr>
              <w:spacing w:after="0"/>
              <w:rPr>
                <w:sz w:val="11"/>
                <w:szCs w:val="11"/>
                <w:color w:val="auto"/>
              </w:rPr>
            </w:pPr>
          </w:p>
        </w:tc>
        <w:tc>
          <w:tcPr>
            <w:tcW w:w="156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3"/>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7020" w:type="dxa"/>
            <w:vAlign w:val="bottom"/>
            <w:tcBorders>
              <w:top w:val="single" w:sz="8" w:color="2C2C2C"/>
            </w:tcBorders>
            <w:gridSpan w:val="21"/>
          </w:tcPr>
          <w:p>
            <w:pPr>
              <w:ind w:left="1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6"/>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2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2140" w:type="dxa"/>
            <w:vAlign w:val="bottom"/>
            <w:gridSpan w:val="9"/>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20" w:type="dxa"/>
            <w:vAlign w:val="bottom"/>
            <w:gridSpan w:val="3"/>
          </w:tcPr>
          <w:p>
            <w:pPr>
              <w:ind w:left="42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9"/>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4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4"/>
                <w:szCs w:val="14"/>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ind w:left="40"/>
              <w:spacing w:after="0" w:line="84"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3"/>
              </w:rPr>
              <w:t>Code</w:t>
            </w:r>
          </w:p>
        </w:tc>
        <w:tc>
          <w:tcPr>
            <w:tcW w:w="4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V</w:t>
            </w: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gridSpan w:val="2"/>
            <w:vMerge w:val="continue"/>
          </w:tcPr>
          <w:p>
            <w:pPr>
              <w:spacing w:after="0"/>
              <w:rPr>
                <w:sz w:val="10"/>
                <w:szCs w:val="10"/>
                <w:color w:val="auto"/>
              </w:rPr>
            </w:pPr>
          </w:p>
        </w:tc>
        <w:tc>
          <w:tcPr>
            <w:tcW w:w="86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2"/>
          </w:tcPr>
          <w:p>
            <w:pPr>
              <w:ind w:left="40"/>
              <w:spacing w:after="0" w:line="12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3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6"/>
                <w:szCs w:val="6"/>
                <w:color w:val="auto"/>
              </w:rPr>
            </w:pPr>
          </w:p>
        </w:tc>
        <w:tc>
          <w:tcPr>
            <w:tcW w:w="860" w:type="dxa"/>
            <w:vAlign w:val="bottom"/>
            <w:gridSpan w:val="5"/>
            <w:vMerge w:val="continue"/>
          </w:tcPr>
          <w:p>
            <w:pPr>
              <w:spacing w:after="0"/>
              <w:rPr>
                <w:sz w:val="6"/>
                <w:szCs w:val="6"/>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vMerge w:val="restart"/>
          </w:tcPr>
          <w:p>
            <w:pPr>
              <w:ind w:left="520"/>
              <w:spacing w:after="0"/>
              <w:rPr>
                <w:sz w:val="20"/>
                <w:szCs w:val="20"/>
                <w:color w:val="auto"/>
              </w:rPr>
            </w:pPr>
            <w:r>
              <w:rPr>
                <w:rFonts w:ascii="Arial" w:cs="Arial" w:eastAsia="Arial" w:hAnsi="Arial"/>
                <w:sz w:val="17"/>
                <w:szCs w:val="17"/>
                <w:color w:val="0000FF"/>
                <w:w w:val="93"/>
              </w:rPr>
              <w:t>01/17/2023</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vMerge w:val="restart"/>
          </w:tcPr>
          <w:p>
            <w:pPr>
              <w:ind w:left="160"/>
              <w:spacing w:after="0"/>
              <w:rPr>
                <w:sz w:val="20"/>
                <w:szCs w:val="20"/>
                <w:color w:val="auto"/>
              </w:rPr>
            </w:pPr>
            <w:r>
              <w:rPr>
                <w:rFonts w:ascii="Arial" w:cs="Arial" w:eastAsia="Arial" w:hAnsi="Arial"/>
                <w:sz w:val="13"/>
                <w:szCs w:val="13"/>
                <w:color w:val="0000FF"/>
              </w:rPr>
              <w:t>P</w:t>
            </w:r>
          </w:p>
        </w:tc>
        <w:tc>
          <w:tcPr>
            <w:tcW w:w="420" w:type="dxa"/>
            <w:vAlign w:val="bottom"/>
          </w:tcPr>
          <w:p>
            <w:pPr>
              <w:spacing w:after="0"/>
              <w:rPr>
                <w:sz w:val="22"/>
                <w:szCs w:val="2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0000FF"/>
              </w:rPr>
              <w:t>49,463</w:t>
            </w:r>
          </w:p>
        </w:tc>
        <w:tc>
          <w:tcPr>
            <w:tcW w:w="300" w:type="dxa"/>
            <w:vAlign w:val="bottom"/>
            <w:vMerge w:val="restart"/>
          </w:tcPr>
          <w:p>
            <w:pPr>
              <w:jc w:val="center"/>
              <w:ind w:left="47"/>
              <w:spacing w:after="0"/>
              <w:rPr>
                <w:sz w:val="20"/>
                <w:szCs w:val="20"/>
                <w:color w:val="auto"/>
              </w:rPr>
            </w:pPr>
            <w:r>
              <w:rPr>
                <w:rFonts w:ascii="Arial" w:cs="Arial" w:eastAsia="Arial" w:hAnsi="Arial"/>
                <w:sz w:val="17"/>
                <w:szCs w:val="17"/>
                <w:color w:val="0000FF"/>
              </w:rPr>
              <w:t>A</w:t>
            </w:r>
          </w:p>
        </w:tc>
        <w:tc>
          <w:tcPr>
            <w:tcW w:w="140" w:type="dxa"/>
            <w:vAlign w:val="bottom"/>
          </w:tcPr>
          <w:p>
            <w:pPr>
              <w:spacing w:after="0"/>
              <w:rPr>
                <w:sz w:val="22"/>
                <w:szCs w:val="22"/>
                <w:color w:val="auto"/>
              </w:rPr>
            </w:pPr>
          </w:p>
        </w:tc>
        <w:tc>
          <w:tcPr>
            <w:tcW w:w="780" w:type="dxa"/>
            <w:vAlign w:val="bottom"/>
            <w:gridSpan w:val="3"/>
            <w:vMerge w:val="restart"/>
          </w:tcPr>
          <w:p>
            <w:pPr>
              <w:ind w:left="8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2.4947</w:t>
            </w:r>
            <w:r>
              <w:rPr>
                <w:rFonts w:ascii="Arial" w:cs="Arial" w:eastAsia="Arial" w:hAnsi="Arial"/>
                <w:sz w:val="22"/>
                <w:szCs w:val="22"/>
                <w:color w:val="008000"/>
                <w:w w:val="85"/>
                <w:vertAlign w:val="superscript"/>
              </w:rPr>
              <w:t>(1)</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7"/>
                <w:szCs w:val="17"/>
                <w:color w:val="0000FF"/>
              </w:rPr>
              <w:t>9,664,847</w:t>
            </w:r>
          </w:p>
        </w:tc>
        <w:tc>
          <w:tcPr>
            <w:tcW w:w="360" w:type="dxa"/>
            <w:vAlign w:val="bottom"/>
          </w:tcPr>
          <w:p>
            <w:pPr>
              <w:spacing w:after="0"/>
              <w:rPr>
                <w:sz w:val="22"/>
                <w:szCs w:val="22"/>
                <w:color w:val="auto"/>
              </w:rPr>
            </w:pPr>
          </w:p>
        </w:tc>
        <w:tc>
          <w:tcPr>
            <w:tcW w:w="54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Pr>
          <w:p>
            <w:pPr>
              <w:ind w:left="40"/>
              <w:spacing w:after="0"/>
              <w:rPr>
                <w:sz w:val="20"/>
                <w:szCs w:val="20"/>
                <w:color w:val="auto"/>
              </w:rPr>
            </w:pPr>
            <w:r>
              <w:rPr>
                <w:rFonts w:ascii="Arial" w:cs="Arial" w:eastAsia="Arial" w:hAnsi="Arial"/>
                <w:sz w:val="17"/>
                <w:szCs w:val="17"/>
                <w:color w:val="0000FF"/>
                <w:w w:val="92"/>
              </w:rPr>
              <w:t>See</w:t>
            </w: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100" w:type="dxa"/>
            <w:vAlign w:val="bottom"/>
            <w:gridSpan w:val="4"/>
            <w:vMerge w:val="restart"/>
          </w:tcPr>
          <w:p>
            <w:pPr>
              <w:ind w:left="40"/>
              <w:spacing w:after="0"/>
              <w:rPr>
                <w:sz w:val="20"/>
                <w:szCs w:val="20"/>
                <w:color w:val="auto"/>
              </w:rPr>
            </w:pPr>
            <w:r>
              <w:rPr>
                <w:rFonts w:ascii="Arial" w:cs="Arial" w:eastAsia="Arial" w:hAnsi="Arial"/>
                <w:sz w:val="17"/>
                <w:szCs w:val="17"/>
                <w:color w:val="0000FF"/>
                <w:w w:val="99"/>
              </w:rPr>
              <w:t>Footnote</w:t>
            </w:r>
            <w:r>
              <w:rPr>
                <w:rFonts w:ascii="Arial" w:cs="Arial" w:eastAsia="Arial" w:hAnsi="Arial"/>
                <w:sz w:val="22"/>
                <w:szCs w:val="22"/>
                <w:color w:val="008000"/>
                <w:w w:val="99"/>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vMerge w:val="restart"/>
          </w:tcPr>
          <w:p>
            <w:pPr>
              <w:ind w:left="520"/>
              <w:spacing w:after="0"/>
              <w:rPr>
                <w:sz w:val="20"/>
                <w:szCs w:val="20"/>
                <w:color w:val="auto"/>
              </w:rPr>
            </w:pPr>
            <w:r>
              <w:rPr>
                <w:rFonts w:ascii="Arial" w:cs="Arial" w:eastAsia="Arial" w:hAnsi="Arial"/>
                <w:sz w:val="17"/>
                <w:szCs w:val="17"/>
                <w:color w:val="0000FF"/>
                <w:w w:val="93"/>
              </w:rPr>
              <w:t>01/18/2023</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3"/>
                <w:szCs w:val="13"/>
                <w:color w:val="0000FF"/>
              </w:rPr>
              <w:t>P</w:t>
            </w:r>
          </w:p>
        </w:tc>
        <w:tc>
          <w:tcPr>
            <w:tcW w:w="4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gridSpan w:val="2"/>
            <w:vMerge w:val="restart"/>
          </w:tcPr>
          <w:p>
            <w:pPr>
              <w:jc w:val="right"/>
              <w:ind w:right="80"/>
              <w:spacing w:after="0"/>
              <w:rPr>
                <w:sz w:val="20"/>
                <w:szCs w:val="20"/>
                <w:color w:val="auto"/>
              </w:rPr>
            </w:pPr>
            <w:r>
              <w:rPr>
                <w:rFonts w:ascii="Arial" w:cs="Arial" w:eastAsia="Arial" w:hAnsi="Arial"/>
                <w:sz w:val="17"/>
                <w:szCs w:val="17"/>
                <w:color w:val="0000FF"/>
              </w:rPr>
              <w:t>135,688</w:t>
            </w:r>
          </w:p>
        </w:tc>
        <w:tc>
          <w:tcPr>
            <w:tcW w:w="300" w:type="dxa"/>
            <w:vAlign w:val="bottom"/>
            <w:tcBorders>
              <w:top w:val="single" w:sz="8" w:color="2C2C2C"/>
            </w:tcBorders>
            <w:vMerge w:val="restart"/>
          </w:tcPr>
          <w:p>
            <w:pPr>
              <w:jc w:val="center"/>
              <w:ind w:left="47"/>
              <w:spacing w:after="0"/>
              <w:rPr>
                <w:sz w:val="20"/>
                <w:szCs w:val="20"/>
                <w:color w:val="auto"/>
              </w:rPr>
            </w:pPr>
            <w:r>
              <w:rPr>
                <w:rFonts w:ascii="Arial" w:cs="Arial" w:eastAsia="Arial" w:hAnsi="Arial"/>
                <w:sz w:val="17"/>
                <w:szCs w:val="17"/>
                <w:color w:val="0000FF"/>
              </w:rPr>
              <w:t>A</w:t>
            </w:r>
          </w:p>
        </w:tc>
        <w:tc>
          <w:tcPr>
            <w:tcW w:w="1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2.5163</w:t>
            </w:r>
            <w:r>
              <w:rPr>
                <w:rFonts w:ascii="Arial" w:cs="Arial" w:eastAsia="Arial" w:hAnsi="Arial"/>
                <w:sz w:val="22"/>
                <w:szCs w:val="22"/>
                <w:color w:val="008000"/>
                <w:w w:val="85"/>
                <w:vertAlign w:val="superscript"/>
              </w:rPr>
              <w:t>(4)</w:t>
            </w:r>
          </w:p>
        </w:tc>
        <w:tc>
          <w:tcPr>
            <w:tcW w:w="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ind w:left="200"/>
              <w:spacing w:after="0"/>
              <w:rPr>
                <w:sz w:val="20"/>
                <w:szCs w:val="20"/>
                <w:color w:val="auto"/>
              </w:rPr>
            </w:pPr>
            <w:r>
              <w:rPr>
                <w:rFonts w:ascii="Arial" w:cs="Arial" w:eastAsia="Arial" w:hAnsi="Arial"/>
                <w:sz w:val="17"/>
                <w:szCs w:val="17"/>
                <w:color w:val="0000FF"/>
              </w:rPr>
              <w:t>9,800,535</w:t>
            </w:r>
          </w:p>
        </w:tc>
        <w:tc>
          <w:tcPr>
            <w:tcW w:w="3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w w:val="92"/>
              </w:rPr>
              <w:t>See</w:t>
            </w:r>
          </w:p>
        </w:tc>
        <w:tc>
          <w:tcPr>
            <w:tcW w:w="6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100" w:type="dxa"/>
            <w:vAlign w:val="bottom"/>
            <w:gridSpan w:val="4"/>
            <w:vMerge w:val="restart"/>
          </w:tcPr>
          <w:p>
            <w:pPr>
              <w:ind w:left="40"/>
              <w:spacing w:after="0"/>
              <w:rPr>
                <w:sz w:val="20"/>
                <w:szCs w:val="20"/>
                <w:color w:val="auto"/>
              </w:rPr>
            </w:pPr>
            <w:r>
              <w:rPr>
                <w:rFonts w:ascii="Arial" w:cs="Arial" w:eastAsia="Arial" w:hAnsi="Arial"/>
                <w:sz w:val="17"/>
                <w:szCs w:val="17"/>
                <w:color w:val="0000FF"/>
                <w:w w:val="99"/>
              </w:rPr>
              <w:t>Footnote</w:t>
            </w:r>
            <w:r>
              <w:rPr>
                <w:rFonts w:ascii="Arial" w:cs="Arial" w:eastAsia="Arial" w:hAnsi="Arial"/>
                <w:sz w:val="22"/>
                <w:szCs w:val="22"/>
                <w:color w:val="008000"/>
                <w:w w:val="99"/>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ind w:left="200"/>
              <w:spacing w:after="0"/>
              <w:rPr>
                <w:sz w:val="20"/>
                <w:szCs w:val="20"/>
                <w:color w:val="auto"/>
              </w:rPr>
            </w:pPr>
            <w:r>
              <w:rPr>
                <w:rFonts w:ascii="Arial" w:cs="Arial" w:eastAsia="Arial" w:hAnsi="Arial"/>
                <w:sz w:val="17"/>
                <w:szCs w:val="17"/>
                <w:color w:val="0000FF"/>
              </w:rPr>
              <w:t>4,414,720</w:t>
            </w:r>
          </w:p>
        </w:tc>
        <w:tc>
          <w:tcPr>
            <w:tcW w:w="3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w w:val="92"/>
              </w:rPr>
              <w:t>See</w:t>
            </w:r>
          </w:p>
        </w:tc>
        <w:tc>
          <w:tcPr>
            <w:tcW w:w="6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100" w:type="dxa"/>
            <w:vAlign w:val="bottom"/>
            <w:gridSpan w:val="4"/>
            <w:vMerge w:val="restart"/>
          </w:tcPr>
          <w:p>
            <w:pPr>
              <w:ind w:left="4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ind w:left="200"/>
              <w:spacing w:after="0"/>
              <w:rPr>
                <w:sz w:val="20"/>
                <w:szCs w:val="20"/>
                <w:color w:val="auto"/>
              </w:rPr>
            </w:pPr>
            <w:r>
              <w:rPr>
                <w:rFonts w:ascii="Arial" w:cs="Arial" w:eastAsia="Arial" w:hAnsi="Arial"/>
                <w:sz w:val="17"/>
                <w:szCs w:val="17"/>
                <w:color w:val="0000FF"/>
              </w:rPr>
              <w:t>4,985,570</w:t>
            </w:r>
          </w:p>
        </w:tc>
        <w:tc>
          <w:tcPr>
            <w:tcW w:w="3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w w:val="92"/>
              </w:rPr>
              <w:t>See</w:t>
            </w:r>
          </w:p>
        </w:tc>
        <w:tc>
          <w:tcPr>
            <w:tcW w:w="6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100" w:type="dxa"/>
            <w:vAlign w:val="bottom"/>
            <w:gridSpan w:val="4"/>
            <w:vMerge w:val="restart"/>
          </w:tcPr>
          <w:p>
            <w:pPr>
              <w:ind w:left="4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60" w:type="dxa"/>
            <w:vAlign w:val="bottom"/>
            <w:gridSpan w:val="20"/>
          </w:tcPr>
          <w:p>
            <w:pPr>
              <w:jc w:val="center"/>
              <w:ind w:right="3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520" w:type="dxa"/>
            <w:vAlign w:val="bottom"/>
            <w:gridSpan w:val="18"/>
          </w:tcPr>
          <w:p>
            <w:pPr>
              <w:jc w:val="center"/>
              <w:ind w:left="66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6"/>
          </w:tcPr>
          <w:p>
            <w:pPr>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00" w:type="dxa"/>
            <w:vAlign w:val="bottom"/>
          </w:tcPr>
          <w:p>
            <w:pPr>
              <w:spacing w:after="0"/>
              <w:rPr>
                <w:sz w:val="11"/>
                <w:szCs w:val="11"/>
                <w:color w:val="auto"/>
              </w:rPr>
            </w:pPr>
          </w:p>
        </w:tc>
        <w:tc>
          <w:tcPr>
            <w:tcW w:w="100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rPr>
                <w:sz w:val="11"/>
                <w:szCs w:val="11"/>
                <w:color w:val="auto"/>
              </w:rPr>
            </w:pPr>
          </w:p>
        </w:tc>
        <w:tc>
          <w:tcPr>
            <w:tcW w:w="100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80"/>
              <w:spacing w:after="0" w:line="133" w:lineRule="exact"/>
              <w:rPr>
                <w:sz w:val="20"/>
                <w:szCs w:val="20"/>
                <w:color w:val="auto"/>
              </w:rPr>
            </w:pPr>
            <w:r>
              <w:rPr>
                <w:rFonts w:ascii="Arial" w:cs="Arial" w:eastAsia="Arial" w:hAnsi="Arial"/>
                <w:sz w:val="12"/>
                <w:szCs w:val="12"/>
                <w:b w:val="1"/>
                <w:bCs w:val="1"/>
                <w:color w:val="auto"/>
                <w:w w:val="99"/>
              </w:rPr>
              <w:t>Form:</w:t>
            </w:r>
          </w:p>
        </w:tc>
        <w:tc>
          <w:tcPr>
            <w:tcW w:w="34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Owned</w:t>
            </w:r>
          </w:p>
        </w:tc>
        <w:tc>
          <w:tcPr>
            <w:tcW w:w="360" w:type="dxa"/>
            <w:vAlign w:val="bottom"/>
          </w:tcPr>
          <w:p>
            <w:pPr>
              <w:spacing w:after="0"/>
              <w:rPr>
                <w:sz w:val="11"/>
                <w:szCs w:val="11"/>
                <w:color w:val="auto"/>
              </w:rPr>
            </w:pP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gridSpan w:val="2"/>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  Date</w:t>
            </w:r>
          </w:p>
        </w:tc>
        <w:tc>
          <w:tcPr>
            <w:tcW w:w="30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acquired in multiple transactions at prices ranging from $2.32 to $2.60, inclusive. The Reporting Persons undertake to provide to the Issuer or the staff of the Securities and Exchange Commission, upon request, full information regarding the number of shares acquired at each separate price within the ranges set forth in this footnote 1 to this Form 4.</w:t>
      </w:r>
    </w:p>
    <w:p>
      <w:pPr>
        <w:spacing w:after="0" w:line="25" w:lineRule="exact"/>
        <w:rPr>
          <w:rFonts w:ascii="Arial" w:cs="Arial" w:eastAsia="Arial" w:hAnsi="Arial"/>
          <w:sz w:val="13"/>
          <w:szCs w:val="13"/>
          <w:color w:val="008000"/>
        </w:rPr>
      </w:pPr>
    </w:p>
    <w:p>
      <w:pPr>
        <w:ind w:left="40" w:right="24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Opportunity III, LP ("TCG Opportunity III LP"). The Column Group Opportunity III GP, LP ("TCG Opportunity III GP LP") is the general partner of TCG Opportunity III LP and may be deemed to have voting, investment and dispositive power with respect to these securities. TCG Opportunity III GP, LLC ("TCG Opportunity III GP LLC") is the general partner of TCG Opportunity III GP LP and the ultimate general partner of TCG Opportunity III LP and may be deemed to have voting, investment and dispositive power with respect to these securities. The managing members of TCG Opportunity III GP LLC are David Goeddel, a member of the issuer's board of directors, Peter Svennilson and Tim Kutzkey (collectively, the "Managing Partners").</w:t>
      </w:r>
    </w:p>
    <w:p>
      <w:pPr>
        <w:spacing w:after="0" w:line="29" w:lineRule="exact"/>
        <w:rPr>
          <w:rFonts w:ascii="Arial" w:cs="Arial" w:eastAsia="Arial" w:hAnsi="Arial"/>
          <w:sz w:val="13"/>
          <w:szCs w:val="13"/>
          <w:color w:val="008000"/>
        </w:rPr>
      </w:pPr>
    </w:p>
    <w:p>
      <w:pPr>
        <w:ind w:left="40" w:right="32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(Continued from Footnote 2) The Managing Partners may be deemed to share voting, investment and dispositive power with respect to such securities. TCG Opportunity III GP LP, TCG Opportunity III GP LLC and each of the Managing Partners disclaim beneficial ownership of these securities, except to the extent of their respective pecuniary interest in such securities.</w:t>
      </w:r>
    </w:p>
    <w:p>
      <w:pPr>
        <w:jc w:val="both"/>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acquired in multiple transactions at prices ranging from $2.37 to $2.60, inclusive. The Reporting Persons undertake to provide to the Issuer or the staff of the Securities and Exchange Commission, upon request, full information regarding the number of shares acquired at each separate price within the ranges set forth in this footnote 4 to this Form 4.</w:t>
      </w:r>
    </w:p>
    <w:p>
      <w:pPr>
        <w:spacing w:after="0" w:line="25" w:lineRule="exact"/>
        <w:rPr>
          <w:rFonts w:ascii="Arial" w:cs="Arial" w:eastAsia="Arial" w:hAnsi="Arial"/>
          <w:sz w:val="13"/>
          <w:szCs w:val="13"/>
          <w:color w:val="008000"/>
        </w:rPr>
      </w:pPr>
    </w:p>
    <w:p>
      <w:pPr>
        <w:ind w:left="40" w:right="14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 LP ("TCG III LP"). The Column Group III GP, LP ("TCG III GP") is the general partner of TCG III LP and may be deemed to have voting, investment and dispositive power with respect to these securities. The managing partners of TCG III GP are the Managing Partners. The Managing Partners may be deemed to share voting, investment and dispositive power with respect to such shares. TCG III GP and each of the Managing Partners disclaim beneficial ownership of these shares, except to the extent of their respective pecuniary interest in such shares.</w:t>
      </w:r>
    </w:p>
    <w:p>
      <w:pPr>
        <w:spacing w:after="0" w:line="29" w:lineRule="exact"/>
        <w:rPr>
          <w:rFonts w:ascii="Arial" w:cs="Arial" w:eastAsia="Arial" w:hAnsi="Arial"/>
          <w:sz w:val="13"/>
          <w:szCs w:val="13"/>
          <w:color w:val="008000"/>
        </w:rPr>
      </w:pPr>
    </w:p>
    <w:p>
      <w:pPr>
        <w:jc w:val="both"/>
        <w:ind w:left="40" w:right="320" w:firstLine="7"/>
        <w:spacing w:after="0" w:line="280"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securities are directly held by The Column Group III-A, LP ("TCG III-A LP"). TCG III GP is the general partner of TCG III-A LP and may be deemed to have voting, investment and dispositive power with respect to these securities. The managing partners of TCG III GP are the Managing Partners. The Managing Partners may be deemed to share voting, investment and dispositive power with respect to such shares. TCG III GP and each of the Managing Partners disclaim beneficial ownership of these shares, except to the extent of their respective pecuniary interest in such shares.</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James Evangelista,</w:t>
            </w:r>
          </w:p>
        </w:tc>
        <w:tc>
          <w:tcPr>
            <w:tcW w:w="5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01/19/2023</w:t>
            </w:r>
          </w:p>
        </w:tc>
        <w:tc>
          <w:tcPr>
            <w:tcW w:w="0" w:type="dxa"/>
            <w:vAlign w:val="bottom"/>
          </w:tcPr>
          <w:p>
            <w:pPr>
              <w:spacing w:after="0"/>
              <w:rPr>
                <w:sz w:val="1"/>
                <w:szCs w:val="1"/>
                <w:color w:val="auto"/>
              </w:rPr>
            </w:pPr>
          </w:p>
        </w:tc>
      </w:tr>
      <w:tr>
        <w:trPr>
          <w:trHeight w:val="87"/>
        </w:trPr>
        <w:tc>
          <w:tcPr>
            <w:tcW w:w="6540" w:type="dxa"/>
            <w:vAlign w:val="bottom"/>
          </w:tcPr>
          <w:p>
            <w:pPr>
              <w:spacing w:after="0"/>
              <w:rPr>
                <w:sz w:val="7"/>
                <w:szCs w:val="7"/>
                <w:color w:val="auto"/>
              </w:rPr>
            </w:pPr>
          </w:p>
        </w:tc>
        <w:tc>
          <w:tcPr>
            <w:tcW w:w="1140" w:type="dxa"/>
            <w:vAlign w:val="bottom"/>
            <w:vMerge w:val="restart"/>
          </w:tcPr>
          <w:p>
            <w:pPr>
              <w:spacing w:after="0" w:line="194" w:lineRule="exact"/>
              <w:rPr>
                <w:sz w:val="20"/>
                <w:szCs w:val="20"/>
                <w:color w:val="auto"/>
              </w:rPr>
            </w:pPr>
            <w:r>
              <w:rPr>
                <w:rFonts w:ascii="Arial" w:cs="Arial" w:eastAsia="Arial" w:hAnsi="Arial"/>
                <w:sz w:val="17"/>
                <w:szCs w:val="17"/>
                <w:color w:val="0000FF"/>
                <w:w w:val="97"/>
              </w:rPr>
              <w:t>Attorney-in-fact</w:t>
            </w:r>
          </w:p>
        </w:tc>
        <w:tc>
          <w:tcPr>
            <w:tcW w:w="9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6540" w:type="dxa"/>
            <w:vAlign w:val="bottom"/>
          </w:tcPr>
          <w:p>
            <w:pPr>
              <w:spacing w:after="0"/>
              <w:rPr>
                <w:sz w:val="7"/>
                <w:szCs w:val="7"/>
                <w:color w:val="auto"/>
              </w:rPr>
            </w:pPr>
          </w:p>
        </w:tc>
        <w:tc>
          <w:tcPr>
            <w:tcW w:w="11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6540" w:type="dxa"/>
            <w:vAlign w:val="bottom"/>
          </w:tcPr>
          <w:p>
            <w:pPr>
              <w:spacing w:after="0"/>
              <w:rPr>
                <w:sz w:val="20"/>
                <w:szCs w:val="20"/>
                <w:color w:val="auto"/>
              </w:rPr>
            </w:pPr>
          </w:p>
        </w:tc>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930" w:orient="portrait"/>
          <w:cols w:equalWidth="0" w:num="1">
            <w:col w:w="11080"/>
          </w:cols>
          <w:pgMar w:left="460" w:top="22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78"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2464" TargetMode="External"/><Relationship Id="rId13"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2023-01-19T15:18:50Z</dcterms:created>
  <dcterms:modified xsi:type="dcterms:W3CDTF">2023-01-19T15:18:50Z</dcterms:modified>
</cp:coreProperties>
</file>