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nya-20260630.htm"/>
      <w:bookmarkStart w:id="1" w:name="kstnya2026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quarterly period ended June 30, 2026</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transition period from ________ to _________</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Commission File Number: 001-40656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TENAYA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3886"/>
        <w:gridCol w:w="1306"/>
      </w:tblGrid>
      <w:tr>
        <w:trPr/>
        <w:tc>
          <w:tcPr>
            <w:tcW w:w="38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81-3789973</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8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171 Oyster Point Boulevard, Suite 500</w:t>
            </w:r>
          </w:p>
          <w:p>
            <w:pPr>
              <w:pStyle w:val="TableContents"/>
              <w:bidi w:val="0"/>
              <w:spacing w:before="0" w:after="15"/>
              <w:jc w:val="center"/>
              <w:rPr>
                <w:rFonts w:ascii="Times New Roman" w:hAnsi="Times New Roman"/>
                <w:sz w:val="22"/>
              </w:rPr>
            </w:pPr>
            <w:r>
              <w:rPr>
                <w:rFonts w:ascii="Times New Roman" w:hAnsi="Times New Roman"/>
                <w:b/>
                <w:color w:val="000000"/>
                <w:sz w:val="22"/>
              </w:rPr>
              <w:t>South</w:t>
            </w:r>
            <w:r>
              <w:rPr>
                <w:rFonts w:ascii="Times New Roman" w:hAnsi="Times New Roman"/>
                <w:color w:val="000000"/>
                <w:sz w:val="22"/>
              </w:rPr>
              <w:t xml:space="preserve"> </w:t>
            </w:r>
            <w:r>
              <w:rPr>
                <w:rFonts w:ascii="Times New Roman" w:hAnsi="Times New Roman"/>
                <w:b/>
                <w:color w:val="000000"/>
                <w:sz w:val="22"/>
              </w:rPr>
              <w:t>San Francisco, CA</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94080</w:t>
            </w:r>
          </w:p>
        </w:tc>
      </w:tr>
      <w:tr>
        <w:trPr/>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(650) 825-6990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TNYA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July 30, 2026, the registrant had 224,230,012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636"/>
        <w:gridCol w:w="8273"/>
        <w:gridCol w:w="572"/>
      </w:tblGrid>
      <w:tr>
        <w:trPr/>
        <w:tc>
          <w:tcPr>
            <w:tcW w:w="7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7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balance_sheets">
              <w:r>
                <w:rPr>
                  <w:rStyle w:val="InternetLink"/>
                  <w:rFonts w:ascii="Times New Roman" w:hAnsi="Times New Roman"/>
                  <w:color w:val="0000FF"/>
                  <w:sz w:val="20"/>
                  <w:u w:val="single"/>
                </w:rPr>
                <w:t>Condensed Balance Sheets as of June 30, 2026 and December 31, 2025</w:t>
              </w:r>
            </w:hyperlink>
            <w:r>
              <w:rPr>
                <w:rFonts w:ascii="Times New Roman" w:hAnsi="Times New Roman"/>
                <w:color w:val="000000"/>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and six months ended June 30, 2026 and 2025</w:t>
              </w:r>
            </w:hyperlink>
            <w:hyperlink w:anchor="condensed_statements_operations_comprehe">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convertible_preferr">
              <w:r>
                <w:rPr>
                  <w:rStyle w:val="InternetLink"/>
                  <w:rFonts w:ascii="Times New Roman" w:hAnsi="Times New Roman"/>
                  <w:color w:val="000080"/>
                  <w:sz w:val="20"/>
                  <w:u w:val="single"/>
                </w:rPr>
                <w:t>Condensed Statements of Stockholders’ Equity</w:t>
              </w:r>
            </w:hyperlink>
            <w:r>
              <w:rPr>
                <w:rFonts w:ascii="Times New Roman" w:hAnsi="Times New Roman"/>
                <w:color w:val="0000FF"/>
                <w:sz w:val="20"/>
                <w:u w:val="single"/>
              </w:rPr>
              <w:t> for the three and six months ended June 30, 2026 and 2025</w:t>
            </w:r>
            <w:r>
              <w:rPr>
                <w:rFonts w:ascii="Times New Roman" w:hAnsi="Times New Roman"/>
                <w:color w:val="0000FF"/>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cash_flows">
              <w:r>
                <w:rPr>
                  <w:rStyle w:val="InternetLink"/>
                  <w:rFonts w:ascii="Times New Roman" w:hAnsi="Times New Roman"/>
                  <w:color w:val="0000FF"/>
                  <w:sz w:val="20"/>
                  <w:u w:val="single"/>
                </w:rPr>
                <w:t>Condensed Statements of Cash Flows for the six months ended June 30, 2026 and 2025</w:t>
              </w:r>
            </w:hyperlink>
            <w:hyperlink w:anchor="condensed_statements_cash_flows">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73"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unaudited_condensed_financial_s">
              <w:r>
                <w:rPr>
                  <w:rStyle w:val="InternetLink"/>
                  <w:rFonts w:ascii="Times New Roman" w:hAnsi="Times New Roman"/>
                  <w:color w:val="0000FF"/>
                  <w:sz w:val="20"/>
                  <w:u w:val="single"/>
                </w:rPr>
                <w:t>Notes to Unaudited Condensed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This Quarterly Report on Form 10-Q (Quarterly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vision to change the treatment paradigm for heart disease;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of our ongoing preclinical studies and ongoing or planned clinical trials to demonstrate safety and efficacy of our product candidates, and other positive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scope and likelihood of regulatory filings, approvals, and alignment, including timing of investigational new drugs (INDs), clinical trial applications (CTAs), U.S. Food and Drug Administration (FDA) approvals, engagement with regulators, and final regulatory approval of our current product candidates and any other future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develop and advance our current product candidates and programs into, and successfully complete,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manufacturing, commercialization, and marketing capabilities and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competitive position, potential advantages of our products compared to our competitors, and the success of competing therapies that are or may become available;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plans relating to the further development of our product candidates, including additional indications and targets we may pursue, and our belief in the potential applications of our current product candidates to additional indications and targets;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collaboration with Alnylam, including potential targets, research and development strategy, the timing and duration of the collaboration, expected payments, and the achievement of milestones;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existing laws and regulations and regulatory developments in the United States (U.S.), Europe and other jurisdictions;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tariffs, trade restrictions, and other trade policy changes on our costs and supply chain;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regain or maintain compliance with Nasdaq's continued listing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rate and degree of market acceptance and clinical utility of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financial performance;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critical accounting policies on investors’ ability to understand our financial performance; and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our expectations regarding the period during which we will remain an emerging growth company under the </w:t>
      </w:r>
      <w:r>
        <w:rPr>
          <w:rFonts w:ascii="Times New Roman" w:hAnsi="Times New Roman"/>
          <w:color w:val="000000"/>
          <w:sz w:val="20"/>
        </w:rPr>
        <w:t>Jumpstart Our Business Startups Act of 2012 (</w:t>
      </w:r>
      <w:r>
        <w:rPr>
          <w:rFonts w:ascii="Times New Roman" w:hAnsi="Times New Roman"/>
          <w:color w:val="231F20"/>
          <w:sz w:val="20"/>
        </w:rPr>
        <w:t>JOBS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aps/>
          <w:color w:val="000000"/>
          <w:sz w:val="20"/>
        </w:rPr>
      </w:pPr>
      <w:bookmarkStart w:id="2" w:name="part_i_financial_information"/>
      <w:bookmarkEnd w:id="2"/>
      <w:r>
        <w:rPr>
          <w:rFonts w:ascii="Times New Roman" w:hAnsi="Times New Roman"/>
          <w:b/>
          <w:caps/>
          <w:color w:val="000000"/>
          <w:sz w:val="20"/>
        </w:rPr>
        <w:t>PART I – FINANCIAL INFORMATION</w:t>
      </w:r>
    </w:p>
    <w:p>
      <w:pPr>
        <w:pStyle w:val="TextBody"/>
        <w:bidi w:val="0"/>
        <w:spacing w:before="240" w:after="283"/>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8"/>
        <w:gridCol w:w="146"/>
        <w:gridCol w:w="211"/>
        <w:gridCol w:w="841"/>
        <w:gridCol w:w="166"/>
        <w:gridCol w:w="146"/>
        <w:gridCol w:w="213"/>
        <w:gridCol w:w="852"/>
        <w:gridCol w:w="392"/>
      </w:tblGrid>
      <w:tr>
        <w:trPr/>
        <w:tc>
          <w:tcPr>
            <w:tcW w:w="7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146,921</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200,000,000 shares authorized as of June 30, 2026 and December 31, 2025;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1,000,000,000 shares authorized as of June 30, 2026 and December 31, 2025; 224,230,012 and 216,760,283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728,252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(605,008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146,921</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196"/>
        <w:gridCol w:w="1006"/>
        <w:gridCol w:w="166"/>
        <w:gridCol w:w="146"/>
        <w:gridCol w:w="196"/>
        <w:gridCol w:w="1006"/>
        <w:gridCol w:w="166"/>
        <w:gridCol w:w="146"/>
        <w:gridCol w:w="196"/>
        <w:gridCol w:w="1006"/>
        <w:gridCol w:w="166"/>
        <w:gridCol w:w="146"/>
        <w:gridCol w:w="196"/>
        <w:gridCol w:w="1006"/>
        <w:gridCol w:w="39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lease termination,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(50,147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(50,176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217,574,637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162,791,579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217,230,811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136,476,623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1"/>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TENAYA THERAPEUTICS, INC.</w:t>
      </w:r>
    </w:p>
    <w:p>
      <w:pPr>
        <w:pStyle w:val="TextBody"/>
        <w:bidi w:val="0"/>
        <w:spacing w:before="240" w:after="283"/>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97"/>
        <w:gridCol w:w="146"/>
        <w:gridCol w:w="146"/>
        <w:gridCol w:w="146"/>
        <w:gridCol w:w="1006"/>
        <w:gridCol w:w="146"/>
        <w:gridCol w:w="146"/>
        <w:gridCol w:w="249"/>
        <w:gridCol w:w="442"/>
        <w:gridCol w:w="146"/>
        <w:gridCol w:w="146"/>
        <w:gridCol w:w="196"/>
        <w:gridCol w:w="691"/>
        <w:gridCol w:w="146"/>
        <w:gridCol w:w="146"/>
        <w:gridCol w:w="496"/>
        <w:gridCol w:w="878"/>
        <w:gridCol w:w="146"/>
        <w:gridCol w:w="146"/>
        <w:gridCol w:w="217"/>
        <w:gridCol w:w="834"/>
        <w:gridCol w:w="166"/>
        <w:gridCol w:w="146"/>
        <w:gridCol w:w="239"/>
        <w:gridCol w:w="849"/>
        <w:gridCol w:w="393"/>
      </w:tblGrid>
      <w:tr>
        <w:trPr/>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216,760,283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216,998,876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106,189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224,230,012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69,409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9"/>
        <w:gridCol w:w="146"/>
        <w:gridCol w:w="146"/>
        <w:gridCol w:w="146"/>
        <w:gridCol w:w="1006"/>
        <w:gridCol w:w="146"/>
        <w:gridCol w:w="146"/>
        <w:gridCol w:w="249"/>
        <w:gridCol w:w="442"/>
        <w:gridCol w:w="146"/>
        <w:gridCol w:w="146"/>
        <w:gridCol w:w="196"/>
        <w:gridCol w:w="691"/>
        <w:gridCol w:w="146"/>
        <w:gridCol w:w="146"/>
        <w:gridCol w:w="479"/>
        <w:gridCol w:w="848"/>
        <w:gridCol w:w="166"/>
        <w:gridCol w:w="146"/>
        <w:gridCol w:w="217"/>
        <w:gridCol w:w="834"/>
        <w:gridCol w:w="166"/>
        <w:gridCol w:w="146"/>
        <w:gridCol w:w="236"/>
        <w:gridCol w:w="837"/>
        <w:gridCol w:w="413"/>
      </w:tblGrid>
      <w:tr>
        <w:trPr/>
        <w:tc>
          <w:tcPr>
            <w:tcW w:w="1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86,542,340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warrants in follow-on offering, net of issuance costs of $3,699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at-the market sales, net of issuance costs of $280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162,660,097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119,396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162,976,102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99,828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1"/>
        <w:gridCol w:w="146"/>
        <w:gridCol w:w="196"/>
        <w:gridCol w:w="695"/>
        <w:gridCol w:w="166"/>
        <w:gridCol w:w="146"/>
        <w:gridCol w:w="196"/>
        <w:gridCol w:w="664"/>
        <w:gridCol w:w="715"/>
      </w:tblGrid>
      <w:tr>
        <w:trPr/>
        <w:tc>
          <w:tcPr>
            <w:tcW w:w="7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(50,147</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7,367</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(38,725</w:t>
            </w:r>
          </w:p>
        </w:tc>
        <w:tc>
          <w:tcPr>
            <w:tcW w:w="7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36,857</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(used)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47,290</w:t>
            </w:r>
          </w:p>
        </w:tc>
        <w:tc>
          <w:tcPr>
            <w:tcW w:w="7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pre-funded warrants, and warrants in follow-on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48,801</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at-the-market sales,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accrued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49,783</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58,348</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4,742</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63,090</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Components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62,671</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included in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63,090</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included in accounts payable and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exercise proceeds received by the Company's warrant agent but not yet remitted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Heading1"/>
        <w:bidi w:val="0"/>
        <w:spacing w:before="240" w:after="283"/>
        <w:jc w:val="center"/>
        <w:rPr>
          <w:rFonts w:ascii="Times New Roman" w:hAnsi="Times New Roman"/>
          <w:color w:val="000000"/>
          <w:sz w:val="20"/>
        </w:rPr>
      </w:pPr>
      <w:bookmarkStart w:id="8" w:name="notes_to_unaudited_condensed_financial_s"/>
      <w:bookmarkEnd w:id="8"/>
      <w:r>
        <w:rPr>
          <w:rFonts w:ascii="Times New Roman" w:hAnsi="Times New Roman"/>
          <w:color w:val="000000"/>
          <w:sz w:val="20"/>
        </w:rPr>
        <w:t xml:space="preserve">Notes to Unaudited Condensed Financial Statements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Description of the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with potential clinical utility in cardiac, metabolic and muscular conditions, including heart failure with preserved ejection fraction and Duchenne’s muscular dystrophy.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net losses since inception and expects such losses to continue in the future as it conducts research and development activities. As of June 30, 2026, the Company had an accumulated deficit of $667.7 million. The Company incurred a net loss of $62.7 million and $50.1 million during the six months ended June 30, 2026 and 2025, respectively. The Company had $78.1 million of cash and cash equivalents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and cash equivalents as of June 30, 2026, will be sufficient to fund the Company’s operations for at least the next twelve months following the date these financial statements are filed with the Securities and Exchange Commission (SEC).</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condensed balance sheet as of June 30, 2026, the interim condensed statements of operations and comprehensive loss, stockholders’ equity and cash flows for the six months ended June 30, 2026 and 2025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six months ended June 30, 2026, are not necessarily indicative of the results to be expected for the full year or for any other future annual or interim period. The condensed balance sheet as of December 31, 2025, included herein was derived from the audited financial statements as of that date. These condensed financial statements should be read in conjunction with the Company’s audited financial statements and the related notes thereto for the year ended December 31, 2025, included in the Company’s Annual Report on Form 10-K, filed with the SEC on March 11,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and revenue recognition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 to collaboration agreements. The Company bases its estimates on historical experience, the current economic environment, and on various other assumptions that are believed to be reasonable under the circumstances. Actual results may differ from those estimates or assumptions.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revisions to the Company’s significant accounting policies described in Note 2, </w:t>
      </w:r>
      <w:r>
        <w:rPr>
          <w:rFonts w:ascii="Times New Roman" w:hAnsi="Times New Roman"/>
          <w:i/>
          <w:color w:val="000000"/>
          <w:sz w:val="20"/>
        </w:rPr>
        <w:t>Summary of Significant Accounting Policies</w:t>
      </w:r>
      <w:r>
        <w:rPr>
          <w:rFonts w:ascii="Times New Roman" w:hAnsi="Times New Roman"/>
          <w:color w:val="000000"/>
          <w:sz w:val="20"/>
        </w:rPr>
        <w:t>, to the financial statements included in the Company’s Annual Report on Form 10-K for the year ended December 31, 2025, except for the accounts receivable, revenue recognition and contract liability policies related to the collaboration agreements entered into during the six months ended June 30, 2026, as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accounts receivable relates to licensing and collaboration arrangements. These accounts receivable are short-term in nature. The Company estimates expected credit losses over the life of the financial assets as of the reporting date based on relevant information about past events, current conditions, and reasonable and supportable forecasts. For the six months ended June 30, 2026 and 2025, the Company had no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in accordance with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w:t>
      </w:r>
      <w:r>
        <w:rPr>
          <w:rFonts w:ascii="Times New Roman" w:hAnsi="Times New Roman"/>
          <w:i/>
          <w:color w:val="000000"/>
          <w:sz w:val="20"/>
        </w:rPr>
        <w:t>.</w:t>
      </w:r>
      <w:r>
        <w:rPr>
          <w:rFonts w:ascii="Times New Roman" w:hAnsi="Times New Roman"/>
          <w:color w:val="000000"/>
          <w:sz w:val="20"/>
        </w:rPr>
        <w:t xml:space="preserve"> Revenue is recognized when promised goods or services are transferred to a customer in an amount that reflects the consideration to which the Company expects to be entitled. To determine the appropriate amount of revenue to be recognized for arrangements determined to be within the scope of ASC 606, the Company performs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the Company satisfies the performance obligations. At contract inception, once the contract is determined to be within the scope of ASC 606, the Company assesses the goods or services promised within each contract and determines those that are performance obligations, and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Collaborative Frameworks and Assessment Under ASC 808 and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arrangements that may include elements of collaboration with counterparties, such as joint steering committees or shared development activities. The Company evaluates each arrangement to determine whether the counterparty is acting in the capacity of a customer.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the extent that the Company transfers goods or services to a counterparty in its capacity as a customer, the Company accounts for such transactions under ASC 606 and presents the related amounts as revenue. Amounts that do not represent transactions with a customer are accounted for under ASC Topic 808, </w:t>
      </w:r>
      <w:r>
        <w:rPr>
          <w:rFonts w:ascii="Times New Roman" w:hAnsi="Times New Roman"/>
          <w:i/>
          <w:color w:val="000000"/>
          <w:sz w:val="20"/>
        </w:rPr>
        <w:t xml:space="preserve">Collaborative Arrangements </w:t>
      </w:r>
      <w:r>
        <w:rPr>
          <w:rFonts w:ascii="Times New Roman" w:hAnsi="Times New Roman"/>
          <w:color w:val="000000"/>
          <w:sz w:val="20"/>
        </w:rPr>
        <w:t>(ASC 808), and presented within the appropriate operating expense line item.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Licensing and Collaboration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licensing and collaboration arrangements that may include licenses to intellectual property, as well as research, development, or technical support services necessary to enable the licensee to utilize the underlying technology.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Identification of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the nature of its promises in these arrangements to determine whether they are distinct or should be combined. A license of intellectual property is combined with other promised services when the license is not distinct within the context of the contract, such as when the Company’s ongoing research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activities significantly affect the utility of the licensed intellectual property. When a license and related services are not distinct, they are accounted for as a single combined performance obligation.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Recognition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either at a point in time or over time, depending on the nature of the underlying performance obligations. Revenue is recognized at a point in time when control of a promised good or service transfers to the customer and the performance obligation is satisfied. Revenue is recognized over time when the Company satisfies a performance obligation over time, including when the Company’s performance does not create an asset with an alternative use and the Company has an enforceable right to payment for performance completed to date, or when the customer simultaneously receives and consumes the benefits of the Company’s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performance obligations satisfied over time, the Company measures progress using an appropriate method that faithfully depicts the transfer of control of the underlying services. Depending on the nature of the arrangement, the Company may use an input method, such as costs incurred relative to total estimated costs (cost-to-cost method), when such method best reflects the Company’s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arrangements that provide access to intellectual property or other rights over a defined period without additional performance obligations, revenue is recognized ratably over the contractual term.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Upfront 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license to the Company’s intellectual property is determined to be distinct from the other performance obligations identified in the arrangement, the Company will recognize revenue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regulatory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Sales-Based Royalties and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arrangements that include sales-based royalties, including milestone payments based on the volume of sales, the Company will determine whether the license is deemed to be the predominant item to which the royalties or sales-based milestones relate and if such is the case, the Company will recognize revenue at the later of (i) when the related sales occur, or (ii) when the performance obligation to which some or all of the royalty has been allocated has been satisfied (or partially satisfied).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consist primarily of upfront non-refundable payments received under collaboration agreements for which the related performance obligations have not yet been fully satisfied. The Company classifies amounts expected to be recognized as revenue within the next twelve months as contract liabilities, current, with the remainder classified as contract liabilities, noncurrent based on the estimated timing of revenue recognition.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No. 2025-05 (ASU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(ASU 2025-05),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The Company adopted this ASU on a prospective basis during the first quarter of 2026. The adoption did not have a material impact on the Company's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which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is effective for interim periods within annual reporting periods beginning after December 15, 2027, with early adoption permitted. ASU 2025-11 may be applied either prospectively or retrospectively for all prior periods presented. The Company is evaluating the impact of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 xml:space="preserve">Government Grants (Topic 832): Accounting for Government Grants Received by Business Entities </w:t>
      </w:r>
      <w:r>
        <w:rPr>
          <w:rFonts w:ascii="Times New Roman" w:hAnsi="Times New Roman"/>
          <w:color w:val="000000"/>
          <w:sz w:val="20"/>
        </w:rPr>
        <w:t>(ASU 2025-10), which adds guidance to Accounting Standards Codification (ASC) 832 on the recognition, measurement, and presentation of government grants. The guidance establishes a framework for accounting for government grants, including grants related to assets and grants related to income. ASU 2025-10 is effective for the Company for annual periods beginning after December 15, 2028, and interim periods within those annual periods. Early adoption is permitted. The Company is evaluating the impact of this standard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(Topic 220): Reporting Comprehensive Income - Expense Disaggregation Disclosures, Disaggregation of Income Statement Expenses </w:t>
      </w:r>
      <w:r>
        <w:rPr>
          <w:rFonts w:ascii="Times New Roman" w:hAnsi="Times New Roman"/>
          <w:color w:val="000000"/>
          <w:sz w:val="20"/>
        </w:rPr>
        <w:t>(ASU 2024-03), which requires public companies to disclose, in interim and 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Collaboration Revenue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Alnylam Collaboration Agreement</w:t>
      </w:r>
    </w:p>
    <w:p>
      <w:pPr>
        <w:pStyle w:val="TextBody"/>
        <w:bidi w:val="0"/>
        <w:jc w:val="left"/>
        <w:rPr>
          <w:rFonts w:ascii="Times New Roman" w:hAnsi="Times New Roman"/>
          <w:color w:val="000000"/>
          <w:sz w:val="20"/>
        </w:rPr>
      </w:pPr>
      <w:r>
        <w:rPr>
          <w:rFonts w:ascii="Times New Roman" w:hAnsi="Times New Roman"/>
          <w:color w:val="000000"/>
          <w:sz w:val="20"/>
        </w:rPr>
        <w:t>In March 2026, the Company entered into a collaboration agreement with Alnylam Pharmaceuticals, Inc. (Alnylam), pursuant to which both parties agreed to a research collaboration to discover and validate novel gene targets for the potential treatment of cardiovascular disease.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Under the agreement, both parties nominated and aligned on a set of collaboration targets to move forward into the collaboration. Following such alignment, the parties will conduct in vitro and in vivo validation activities under a mutually agreed research plan and budget for a period of twenty-four (24) months (which may be extended for completion of the work). The Company expects to take primary responsibility for the performance of all in vitro and in vivo validation activities throughout the validation term; Alnylam will reimburse the Company for full-time employees and out-of-pocket costs and expenses incurred by the Company in accordance with the agreed-upon research budget. After completion of the validation activities, Alnylam will be solely responsible, at its own expense, for all development, manufacture, regulatory and commercialization activities for any products directed to a collaboration target. The Company was also entitled to a non-refundable upfront platform access fee of up to $10.0 million. The upfront platform access fee was initially subject to variability based on the number of collaboration targets selected and became fixed at $10.0 million upon finalization of the collaboration target list. Reimbursement of research costs represents variable consideration and is excluded from the transaction price at contract inception as such amounts are fully constrained. These amounts are recognized as revenue as the related costs are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license and research activities represent a single performance obligation that is satisfied over time. Revenue is recognized using a cost-to-cost input method, which measures progress based on costs incurred relative to total estimated costs under the research plan. For the three and six months ended June 30, 2026, the Company recognized collaboration revenue of $0.8 million and $0.9 million, respectively, related to the upfront platform access fee and reimbursable research costs incurred during the respective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also receive future milestone payments of up to an aggregate of $1.1 billion under the agreement. Development and regulatory milestones will be recognized when the underlying milestone event is achieved and it becomes probable that a significant reversal of cumulative revenue recognized will not occur. Sales-based milestones will be recognized when the related sales occur. As of June 30, 2026, the Company is unable to predict or reasonably estimate the amount or timing of such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aggregate amount of the transaction price allocated to the remaining performance obligation under the collaboration agreement was approximately $9.5 million, which the Company expects to recognize over the remaining validation term of approximately 21 months. The transaction price allocated to the remaining performance obligation does not include variable consideration related to reimbursable research costs as they are contingent on actual qualifying costs incurred. Milestone payments were considered variable consideration and were also not included in the transaction price as they are fully constrained. The Company will reassess the transaction price at each reporting period as uncertainties are resolved.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activity in the Company’s total contract liabilities for the three and six months ended June 30, 2026. Additions to contract liabilities include $0.6 million of upfront payments from an additional immaterial collaboration arrangement. </w:t>
      </w:r>
    </w:p>
    <w:tbl>
      <w:tblPr>
        <w:tblW w:w="5998" w:type="dxa"/>
        <w:jc w:val="left"/>
        <w:tblInd w:w="0" w:type="dxa"/>
        <w:tblLayout w:type="fixed"/>
        <w:tblCellMar>
          <w:top w:w="28" w:type="dxa"/>
          <w:left w:w="28" w:type="dxa"/>
          <w:bottom w:w="28" w:type="dxa"/>
          <w:right w:w="28" w:type="dxa"/>
        </w:tblCellMar>
      </w:tblPr>
      <w:tblGrid>
        <w:gridCol w:w="4126"/>
        <w:gridCol w:w="146"/>
        <w:gridCol w:w="360"/>
        <w:gridCol w:w="1155"/>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revenue recognized from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revenue recognized from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consists of the following:</w:t>
      </w:r>
    </w:p>
    <w:tbl>
      <w:tblPr>
        <w:tblW w:w="6922"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44"/>
        <w:gridCol w:w="851"/>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months ended June 30, 2026 and 2025 was $1.7 million and $2.1 million, respectively. Depreciation and amortization expense for the six months ended June 30, 2026 and 2025 was $3.5 million and $4.7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early termination of the Union City lease for the Company's Genetic Medicine Manufacturing Center (the GMMC Facility) (see Note 5, </w:t>
      </w:r>
      <w:r>
        <w:rPr>
          <w:rFonts w:ascii="Times New Roman" w:hAnsi="Times New Roman"/>
          <w:i/>
          <w:color w:val="000000"/>
          <w:sz w:val="20"/>
        </w:rPr>
        <w:t>Commitments and Contingencies</w:t>
      </w:r>
      <w:r>
        <w:rPr>
          <w:rFonts w:ascii="Times New Roman" w:hAnsi="Times New Roman"/>
          <w:color w:val="000000"/>
          <w:sz w:val="20"/>
        </w:rPr>
        <w:t>), the Company recorded an impairment loss of $21.8 million during the three and six months ended June 30, 2026. The impairment loss primarily reflects the write-down to zero of leasehold improvements and certain manufacturing and laboratory equipment that, pursuant to the lease termination agreement, are required to remain at the GMMC Facility and be surrendered to the landlord without consideration. Certain other equipment will be removed from the GMMC Facility and retained for continued use or repurposing and will continue to be depreciated over its remaining useful life. The impairment charge is presented as impairment loss in the accompanying condensed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and other current liabilities consist of the following:</w:t>
      </w:r>
    </w:p>
    <w:tbl>
      <w:tblPr>
        <w:tblW w:w="6342"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94"/>
        <w:gridCol w:w="801"/>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6937" w:type="dxa"/>
        <w:jc w:val="left"/>
        <w:tblInd w:w="0" w:type="dxa"/>
        <w:tblLayout w:type="fixed"/>
        <w:tblCellMar>
          <w:top w:w="28" w:type="dxa"/>
          <w:left w:w="28" w:type="dxa"/>
          <w:bottom w:w="28" w:type="dxa"/>
          <w:right w:w="28" w:type="dxa"/>
        </w:tblCellMar>
      </w:tblPr>
      <w:tblGrid>
        <w:gridCol w:w="4031"/>
        <w:gridCol w:w="246"/>
        <w:gridCol w:w="211"/>
        <w:gridCol w:w="571"/>
        <w:gridCol w:w="246"/>
        <w:gridCol w:w="246"/>
        <w:gridCol w:w="294"/>
        <w:gridCol w:w="801"/>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for office and manufacturing space in Union City, California. The lease commenced in May 2021 and has a ten-year term with one five-year renewal option. On June 29, 2026, the Company entered into a lease termination agreement with the landlord. Pursuant to the agreement, the lease will terminate on August 31, 2026, instead of its original expiration in July 2031. The Company is not required to remove tenant improvements or restore the premises and may surrender the facility in its existing condition. As consideration for the lease termination, the Company agreed to forfeit its $1.8 million security deposit and pay a one-time lease termination fee of $0.3 million. The Company accounted for the termination agreement as a lease modification under ASC 842 and remeasured the related operating lease liability and right-of-use asset as of June 30, 2026. As a result of the lease modification, the Company recognized a net loss on lease termination of $1.4 million during the three and six months ended June 30, 2026, consisting of the security deposit forfeiture and a brokerage commission incurred in connection with the lease termination, partially offset by the gains recognized upon remeasurement of the operating lease liability and right-of-use asset and the derecognition of the asset retirement obligation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operating lease activity during the three and six months ended June 30, 2026 was as follows (in thousands):</w:t>
      </w:r>
    </w:p>
    <w:tbl>
      <w:tblPr>
        <w:tblW w:w="10205" w:type="dxa"/>
        <w:jc w:val="left"/>
        <w:tblInd w:w="0" w:type="dxa"/>
        <w:tblLayout w:type="fixed"/>
        <w:tblCellMar>
          <w:top w:w="28" w:type="dxa"/>
          <w:left w:w="28" w:type="dxa"/>
          <w:bottom w:w="28" w:type="dxa"/>
          <w:right w:w="28" w:type="dxa"/>
        </w:tblCellMar>
      </w:tblPr>
      <w:tblGrid>
        <w:gridCol w:w="5134"/>
        <w:gridCol w:w="146"/>
        <w:gridCol w:w="250"/>
        <w:gridCol w:w="678"/>
        <w:gridCol w:w="173"/>
        <w:gridCol w:w="173"/>
        <w:gridCol w:w="250"/>
        <w:gridCol w:w="678"/>
        <w:gridCol w:w="146"/>
        <w:gridCol w:w="146"/>
        <w:gridCol w:w="231"/>
        <w:gridCol w:w="627"/>
        <w:gridCol w:w="159"/>
        <w:gridCol w:w="159"/>
        <w:gridCol w:w="231"/>
        <w:gridCol w:w="627"/>
        <w:gridCol w:w="397"/>
      </w:tblGrid>
      <w:tr>
        <w:trPr/>
        <w:tc>
          <w:tcPr>
            <w:tcW w:w="5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397"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As of June 30, 2026, the Company’s operating leases had a weighted average remaining lease term of 1.3 years and a weighted average discount rate of 8.1%. As of December 31, 2025, the Company’s operating leases had a weighted average remaining lease term of 4.1 years and a weighted average discount rate of 9.1%. Future minimum lease payments under the Company’s operating leases as of June 30, 2026 were as follows: </w:t>
      </w:r>
    </w:p>
    <w:tbl>
      <w:tblPr>
        <w:tblW w:w="6113" w:type="dxa"/>
        <w:jc w:val="left"/>
        <w:tblInd w:w="0" w:type="dxa"/>
        <w:tblLayout w:type="fixed"/>
        <w:tblCellMar>
          <w:top w:w="28" w:type="dxa"/>
          <w:left w:w="28" w:type="dxa"/>
          <w:bottom w:w="28" w:type="dxa"/>
          <w:right w:w="28" w:type="dxa"/>
        </w:tblCellMar>
      </w:tblPr>
      <w:tblGrid>
        <w:gridCol w:w="4436"/>
        <w:gridCol w:w="146"/>
        <w:gridCol w:w="306"/>
        <w:gridCol w:w="834"/>
        <w:gridCol w:w="3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(six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up to the time of termination.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officers. As of June 30, 2026, the Company did not have any material indemnification claims that were probable or reasonably possible and, consequently, has not recorded any related liabilities.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Inducement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 On January 26, 2026, the Board approved an increase of 2,161,000 shares to the number of shares reserved under the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shares reserved and available for grant under the Inducement Plan as of June 30, 2026, was 2,686,000.</w:t>
      </w:r>
    </w:p>
    <w:p>
      <w:pPr>
        <w:pStyle w:val="TextBody"/>
        <w:bidi w:val="0"/>
        <w:spacing w:before="240" w:after="283"/>
        <w:jc w:val="left"/>
        <w:rPr>
          <w:rFonts w:ascii="Times New Roman" w:hAnsi="Times New Roman"/>
          <w:sz w:val="20"/>
        </w:rPr>
      </w:pPr>
      <w:r>
        <w:rPr>
          <w:rFonts w:ascii="Times New Roman" w:hAnsi="Times New Roman"/>
          <w:b/>
          <w:i/>
          <w:color w:val="000000"/>
          <w:sz w:val="20"/>
        </w:rPr>
        <w:t>Repricing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22, 2025, the Compensation Committee of the Company's Board approved a repricing of certain outstanding vested and unvested stock option awards under the Amended and Restated 2016 Equity Incentive Plan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repricing resulted in a total incremental stock-based compensation expense of $1.3 million, which was calculated using the Black-Scholes option pricing model, of which $1.0 million is associated with vested repriced options as of the Retention Date and were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six months ended June 30, 2026 and 2025, the Company recognized an immaterial amount and $0.9 million, respectively, of incremental stock-based compensation expense.</w:t>
      </w:r>
    </w:p>
    <w:p>
      <w:pPr>
        <w:pStyle w:val="TextBody"/>
        <w:bidi w:val="0"/>
        <w:spacing w:before="24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Equity Incentive Plan (the 2021 Plan), 4,000,000 shares of the Company’s common stock were initially reserved for issuance of equity awards to employees, directors, and consultants, under terms and provisions established by the Board. Prior to May 27, 2026,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27, 2026, the Company’s stockholders approved the Amended and Restated 2021 Equity Incentive Plan (the Restated 2021 Plan). The Restated 2021 Plan increased the number of shares of the Company’s common stock reserved for issuance by 6,509,966 shares. In addition, beginning on January 1, 2027, the annual automatic increase provision was amended such that the number of shares available for issuance under the Restated 2021 Plan will increase on the first day of each fiscal year through 2031 in an amount equal to 4% of the outstanding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common stock as of the last day of the immediately preceding year, or such lesser amount as the Board or the Compensation Committee may determine, without the previous annual cap of 4,000,000 shares. The Restated 2021 Plan also provides that no more than 15,000,000 shares may be issued pursuant to incentive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reserved and available for grant under the Restated 2021 Plan as of June 30, 2026 was 7,548,238.</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6097"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281"/>
        <w:gridCol w:w="619"/>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Stock option awards granted to employees generally vest over a four-year period. The contractual term of stock option awards is generally 10 years from the grant date. </w:t>
      </w:r>
    </w:p>
    <w:p>
      <w:pPr>
        <w:pStyle w:val="TextBody"/>
        <w:bidi w:val="0"/>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fair value of the Company’s stock option awards is estimated on the date of grant using the Black-Scholes option pricing model using the following assumptions: </w:t>
      </w:r>
    </w:p>
    <w:tbl>
      <w:tblPr>
        <w:tblW w:w="6709" w:type="dxa"/>
        <w:jc w:val="left"/>
        <w:tblInd w:w="0" w:type="dxa"/>
        <w:tblLayout w:type="fixed"/>
        <w:tblCellMar>
          <w:top w:w="28" w:type="dxa"/>
          <w:left w:w="28" w:type="dxa"/>
          <w:bottom w:w="28" w:type="dxa"/>
          <w:right w:w="28" w:type="dxa"/>
        </w:tblCellMar>
      </w:tblPr>
      <w:tblGrid>
        <w:gridCol w:w="2131"/>
        <w:gridCol w:w="146"/>
        <w:gridCol w:w="526"/>
        <w:gridCol w:w="146"/>
        <w:gridCol w:w="1141"/>
        <w:gridCol w:w="146"/>
        <w:gridCol w:w="1141"/>
        <w:gridCol w:w="146"/>
        <w:gridCol w:w="118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 – 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 – 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 – 91%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 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tbl>
      <w:tblPr>
        <w:tblW w:w="5597"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294"/>
        <w:gridCol w:w="65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Grant Date</w:t>
              <w:br/>
              <w:t xml:space="preserve">Fair Value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Employee Stock Purchase Plan (the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June 30, 2026, 2,999,814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six months. The ESPP permits eligible employees to purchase common stock through payroll deductions for up to 15% of qualified compensation, up to an annual limit of $25,000 per the Internal Revenue Service. For the six months ended June 30, 2026 and 2025, the stock-based compensation expense for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stock-based compensation recognized in the Company’s condensed statements of operations and comprehensive loss:</w:t>
      </w:r>
    </w:p>
    <w:tbl>
      <w:tblPr>
        <w:tblW w:w="7207"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571"/>
        <w:gridCol w:w="146"/>
        <w:gridCol w:w="146"/>
        <w:gridCol w:w="211"/>
        <w:gridCol w:w="5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 xml:space="preserve">Term Loan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Loan Agreement</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On August 6, 2024, the Company entered into the Loan Agreement with Silicon Valley Bank (SVB), which was subsequently amended on July 14, 2026. </w:t>
      </w:r>
      <w:r>
        <w:rPr>
          <w:rFonts w:ascii="Times New Roman" w:hAnsi="Times New Roman"/>
          <w:color w:val="000000"/>
          <w:sz w:val="20"/>
        </w:rPr>
        <w:t>As of December 31, 2025, all of the term loan commitments expired under the Loan Agreement and no term loans were outstanding. The Loan Agreement provides that an additional loan of $20.0 million may be available at SVB’s discretion, subject to specified conditions.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Lender Warrant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Loan Agreement, the Company issued to SVB a warrant to purchase up to 171,848 shares of common stock (the Lender Warrant). </w:t>
      </w:r>
      <w:r>
        <w:rPr>
          <w:rFonts w:ascii="Times New Roman" w:hAnsi="Times New Roman"/>
          <w:color w:val="212529"/>
          <w:sz w:val="20"/>
        </w:rPr>
        <w:t>The Lender Warrant became exercisable for 73,649 shares upon closing (the Initial Lender Warrant)</w:t>
      </w:r>
      <w:r>
        <w:rPr>
          <w:rFonts w:ascii="Times New Roman" w:hAnsi="Times New Roman"/>
          <w:color w:val="000000"/>
          <w:sz w:val="20"/>
        </w:rPr>
        <w:t xml:space="preserve"> at an exercise price of $2.55 per share. The Initial Lender Warrant was classified as equity and its fair value was recorded in the stockholders’ equity section of the balance sheet. The Lender Warrant expires on August 6, 2034.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Lender Warrant was eligible to become exercisable for up to an additional 98,199 shares pro-rated based on amounts actually advanced for the various tranches under the Loan Agreement (the Remaining Lender Warrant). Following the expiration of the tranches under the Loan Agreement described in Note 7, </w:t>
      </w:r>
      <w:r>
        <w:rPr>
          <w:rFonts w:ascii="Times New Roman" w:hAnsi="Times New Roman"/>
          <w:i/>
          <w:color w:val="000000"/>
          <w:sz w:val="20"/>
        </w:rPr>
        <w:t>Term Loan</w:t>
      </w:r>
      <w:r>
        <w:rPr>
          <w:rFonts w:ascii="Times New Roman" w:hAnsi="Times New Roman"/>
          <w:color w:val="000000"/>
          <w:sz w:val="20"/>
        </w:rPr>
        <w:t xml:space="preserve">, the Remaining Lender Warrant expired as of December 31, 2025. </w:t>
      </w:r>
    </w:p>
    <w:p>
      <w:pPr>
        <w:pStyle w:val="TextBody"/>
        <w:bidi w:val="0"/>
        <w:spacing w:before="240" w:after="283"/>
        <w:jc w:val="left"/>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common stock under the ATM offering for net proceeds of $0.9 million, after deducting commissions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offering costs of $0.3 million. As of June 30, 2026, the Company may issue and sell up to approximately $69.8 million of common stock under the ATM offering.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2025, the Company completed an underwritten public offering of 50,000,000 units, priced at a public offering price of $1.20 per unit, with each unit consisting of one share of its common stock and a warrant to purchase one share of its common stock at an exercise price of $1.50 per share, which were immediately exercisable and expire five years from the date of issuance (December 2025 Warrants), under its registration statement on Form S-3 (File No. 333-286005). The Company received net proceeds of $55.8 million, after deducting underwriting discounts and commissions of $3.6 million and other offering expenses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were immediately exercisable and expire five years from the date of issuance (a Series A Warrant) and a warrant to purchase one-half of a share of its common stock at an exercise price of $0.70 per share, which were immediately exercisable and expired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 During the three and six months ended June 30, 2026, certain holders exercised Series B Warrants to purchase 6,955,000 shares of common stock for an aggregate exercise price of $4.9 million prior to the warrants’ expiration. As of June 30, 2026, Series B Warrants to purchase 10,211,250 shares of our common stock have been exercised, and the remaining Series B Warrants to purchase 27,288,750 shares of our common stock expired on June 30,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analyzed the December 2025, Series A, and Series B Warrants under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815-40, </w:t>
      </w:r>
      <w:r>
        <w:rPr>
          <w:rFonts w:ascii="Times New Roman" w:hAnsi="Times New Roman"/>
          <w:i/>
          <w:color w:val="000000"/>
          <w:sz w:val="20"/>
        </w:rPr>
        <w:t>Derivatives and Hedging - Contracts in Entity's Own Equity</w:t>
      </w:r>
      <w:r>
        <w:rPr>
          <w:rFonts w:ascii="Times New Roman" w:hAnsi="Times New Roman"/>
          <w:color w:val="000000"/>
          <w:sz w:val="20"/>
        </w:rPr>
        <w:t xml:space="preserve">, and concluded that they were not liabilities, were indexed to its own stock and met all other conditions for equity classification. Accordingly, the Company has classified them as permanent equity.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total shares of common stock reserved for issuance, on an as-if converted basis, are as follows:</w:t>
      </w:r>
    </w:p>
    <w:tbl>
      <w:tblPr>
        <w:tblW w:w="8850" w:type="dxa"/>
        <w:jc w:val="left"/>
        <w:tblInd w:w="0" w:type="dxa"/>
        <w:tblLayout w:type="fixed"/>
        <w:tblCellMar>
          <w:top w:w="28" w:type="dxa"/>
          <w:left w:w="28" w:type="dxa"/>
          <w:bottom w:w="28" w:type="dxa"/>
          <w:right w:w="28" w:type="dxa"/>
        </w:tblCellMar>
      </w:tblPr>
      <w:tblGrid>
        <w:gridCol w:w="7126"/>
        <w:gridCol w:w="146"/>
        <w:gridCol w:w="146"/>
        <w:gridCol w:w="1141"/>
        <w:gridCol w:w="291"/>
      </w:tblGrid>
      <w:tr>
        <w:trP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18,109,876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Lender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Series 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74,987,500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2024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7,548,238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156,405,077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w:t>
      </w:r>
    </w:p>
    <w:tbl>
      <w:tblPr>
        <w:tblW w:w="7762" w:type="dxa"/>
        <w:jc w:val="left"/>
        <w:tblInd w:w="0" w:type="dxa"/>
        <w:tblLayout w:type="fixed"/>
        <w:tblCellMar>
          <w:top w:w="28" w:type="dxa"/>
          <w:left w:w="28" w:type="dxa"/>
          <w:bottom w:w="28" w:type="dxa"/>
          <w:right w:w="28" w:type="dxa"/>
        </w:tblCellMar>
      </w:tblPr>
      <w:tblGrid>
        <w:gridCol w:w="1901"/>
        <w:gridCol w:w="146"/>
        <w:gridCol w:w="856"/>
        <w:gridCol w:w="146"/>
        <w:gridCol w:w="211"/>
        <w:gridCol w:w="676"/>
        <w:gridCol w:w="146"/>
        <w:gridCol w:w="146"/>
        <w:gridCol w:w="335"/>
        <w:gridCol w:w="551"/>
        <w:gridCol w:w="146"/>
        <w:gridCol w:w="146"/>
        <w:gridCol w:w="335"/>
        <w:gridCol w:w="551"/>
        <w:gridCol w:w="146"/>
        <w:gridCol w:w="146"/>
        <w:gridCol w:w="211"/>
        <w:gridCol w:w="67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62" w:type="dxa"/>
        <w:jc w:val="left"/>
        <w:tblInd w:w="0" w:type="dxa"/>
        <w:tblLayout w:type="fixed"/>
        <w:tblCellMar>
          <w:top w:w="28" w:type="dxa"/>
          <w:left w:w="28" w:type="dxa"/>
          <w:bottom w:w="28" w:type="dxa"/>
          <w:right w:w="28" w:type="dxa"/>
        </w:tblCellMar>
      </w:tblPr>
      <w:tblGrid>
        <w:gridCol w:w="1901"/>
        <w:gridCol w:w="146"/>
        <w:gridCol w:w="856"/>
        <w:gridCol w:w="146"/>
        <w:gridCol w:w="211"/>
        <w:gridCol w:w="676"/>
        <w:gridCol w:w="146"/>
        <w:gridCol w:w="146"/>
        <w:gridCol w:w="335"/>
        <w:gridCol w:w="551"/>
        <w:gridCol w:w="146"/>
        <w:gridCol w:w="146"/>
        <w:gridCol w:w="335"/>
        <w:gridCol w:w="551"/>
        <w:gridCol w:w="146"/>
        <w:gridCol w:w="146"/>
        <w:gridCol w:w="211"/>
        <w:gridCol w:w="67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Money market funds are classified as Level 1 because they are valued using quoted market prices in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the Company’s remaining financial assets and liabilities, which include cash, receivables and payables, approximate their fair values due to their short-term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The Company maintains a significant majority of its cash balances with a single financial institution, with the remainder held at other financial institutions. The Company’s cash balances exceed federally insured limits. The Company has not experienced any losses on its cash balances and management monitors the creditworthiness of these institutions and believes the Company is not exposed to significant credit risk related to these balances.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Company did not record any income tax expense or benefit. The Company has recorded a full valuation allowance against its U.S. federal and state deferred tax assets as the Company believes it is more likely than not that the benefit will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tbl>
      <w:tblPr>
        <w:tblW w:w="7539" w:type="dxa"/>
        <w:jc w:val="left"/>
        <w:tblInd w:w="0" w:type="dxa"/>
        <w:tblLayout w:type="fixed"/>
        <w:tblCellMar>
          <w:top w:w="28" w:type="dxa"/>
          <w:left w:w="28" w:type="dxa"/>
          <w:bottom w:w="28" w:type="dxa"/>
          <w:right w:w="28" w:type="dxa"/>
        </w:tblCellMar>
      </w:tblPr>
      <w:tblGrid>
        <w:gridCol w:w="4336"/>
        <w:gridCol w:w="146"/>
        <w:gridCol w:w="146"/>
        <w:gridCol w:w="1141"/>
        <w:gridCol w:w="146"/>
        <w:gridCol w:w="146"/>
        <w:gridCol w:w="146"/>
        <w:gridCol w:w="114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18,109,876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Lender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Series A and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143,171,025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126,874,591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Workforce Reduction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During the three and six months ended June 30, 2026, the Company recognized $0.3 million and $0.5 million, respectively, of charges related to the workforce reduction implemented in March 2025, primarily consisting of employee cash severance and continuing health insurance benefits. As of June 30, 2026, the Company had incurred substantially all charges associated with the workforce reduction and does not expect to incur material additional charges.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is a clinical-stage biotechnology company focused on discovering, developing and delivering curative therapies that address the underlying drivers of heart disease and has one operating and reportable segment. The Company’s chief operating decision maker (CODM) is the chief executive officer.</w:t>
      </w:r>
    </w:p>
    <w:p>
      <w:pPr>
        <w:pStyle w:val="TextBody"/>
        <w:bidi w:val="0"/>
        <w:jc w:val="left"/>
        <w:rPr>
          <w:rFonts w:ascii="Times New Roman" w:hAnsi="Times New Roman"/>
          <w:color w:val="000000"/>
          <w:sz w:val="20"/>
        </w:rPr>
      </w:pPr>
      <w:r>
        <w:rPr>
          <w:rFonts w:ascii="Times New Roman" w:hAnsi="Times New Roman"/>
          <w:color w:val="000000"/>
          <w:sz w:val="20"/>
        </w:rPr>
        <w:t xml:space="preserve">The statement of operations includes research and development expenses, general and administrative costs, interest income, and income taxes; the Company has not generated any product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the Company’s operating expenses by function and includes a reconciliation to net loss.</w:t>
      </w:r>
    </w:p>
    <w:tbl>
      <w:tblPr>
        <w:tblW w:w="8434" w:type="dxa"/>
        <w:jc w:val="left"/>
        <w:tblInd w:w="0" w:type="dxa"/>
        <w:tblLayout w:type="fixed"/>
        <w:tblCellMar>
          <w:top w:w="28" w:type="dxa"/>
          <w:left w:w="28" w:type="dxa"/>
          <w:bottom w:w="28" w:type="dxa"/>
          <w:right w:w="28" w:type="dxa"/>
        </w:tblCellMar>
      </w:tblPr>
      <w:tblGrid>
        <w:gridCol w:w="3016"/>
        <w:gridCol w:w="146"/>
        <w:gridCol w:w="216"/>
        <w:gridCol w:w="756"/>
        <w:gridCol w:w="170"/>
        <w:gridCol w:w="149"/>
        <w:gridCol w:w="216"/>
        <w:gridCol w:w="756"/>
        <w:gridCol w:w="166"/>
        <w:gridCol w:w="146"/>
        <w:gridCol w:w="211"/>
        <w:gridCol w:w="736"/>
        <w:gridCol w:w="166"/>
        <w:gridCol w:w="146"/>
        <w:gridCol w:w="211"/>
        <w:gridCol w:w="736"/>
        <w:gridCol w:w="4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lease termination,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2025, included in our Annual Report on Form 10-K filed with the Securities and Exchange Commission on March 11,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discovering, developing and delivering potentially curative therapies that address the underlying drivers of heart disease. Heart disease remains the leading cause of death in the world. We believe the emerging insights into the genetic causes of cardiovascular conditions and increased recognition for precision medicine approaches has created an opportunity to change the treatment paradigm for heart disease, and in doing so improve and extend the lives of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founded with a long-term goal of building a fully integrated biopharmaceutical company focused on discovering, developing and ultimately commercializing first-/best-in-class precision medicines for heart disease. Early on in our company history, we invested in differentiated capabilities to enable modality-agnostic target identification and validation, anchored in human genetics and the use of human disease models. These highly productive platform drug discovery capabilities directly contributed to the development of our three clinical-stage programs, as well as to several earlier-stage pipeline programs.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Today, we are focused on advancing our clinical-stage gene therapy candidates, TN-201 for </w:t>
      </w:r>
      <w:r>
        <w:rPr>
          <w:rFonts w:ascii="Times New Roman" w:hAnsi="Times New Roman"/>
          <w:i/>
          <w:color w:val="000000"/>
          <w:sz w:val="20"/>
        </w:rPr>
        <w:t>MYBPC3</w:t>
      </w:r>
      <w:r>
        <w:rPr>
          <w:rFonts w:ascii="Times New Roman" w:hAnsi="Times New Roman"/>
          <w:color w:val="000000"/>
          <w:sz w:val="20"/>
        </w:rPr>
        <w:t xml:space="preserve">-associated hypertrophic cardiomyopathy (HCM), and TN-401 for </w:t>
      </w:r>
      <w:r>
        <w:rPr>
          <w:rFonts w:ascii="Times New Roman" w:hAnsi="Times New Roman"/>
          <w:i/>
          <w:color w:val="000000"/>
          <w:sz w:val="20"/>
        </w:rPr>
        <w:t>PKP2</w:t>
      </w:r>
      <w:r>
        <w:rPr>
          <w:rFonts w:ascii="Times New Roman" w:hAnsi="Times New Roman"/>
          <w:color w:val="000000"/>
          <w:sz w:val="20"/>
        </w:rPr>
        <w:t>-associated arrhythmogenic right ventricular cardiomyopathy (ARVC). Each candidate is currently in Phase 1b/2 trials to establish the safety profile of two different doses in adults with disease due to pathogenic/likely pathogenic mutations. We have presented promising interim results for both product candidates and are engaging with regulators to discuss pivotal trial plans. We plan to share additional follow-up data in the fourth quarter of 2026 and to provide an update on our interactions with regulators. We are also advancing a third internally discovered clinical-stage candidate, TN-301, a highly specific small molecule inhibitor of histone deacetylase 6 (HDAC6) with potentially broad utility in heart failure with preserved ejection fraction (HFpEF) and other cardiac, metabolic, muscular and pulmonary diseases, including but not limited to Duchenne muscular dystrophy (DMD), genetic dilated cardiomyopathy (DCM) and pulmonary arterial hypertension (PAH).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programs arising out of our modality agnostic drug discovery platform that address relatively rare conditions our strategy is to develop, manufacture and commercialize at least some of these programs on our own, although we may selectively consider partnerships to access technology, accelerate our progress, or improve our global reach to patients. For example, in March 2026, we entered into a multi-target research collaboration with Alnylam Pharmaceuticals, Inc. (Alnylam), to identify and validate novel gene targets for the potential treatment of cardiovascular disease. Importantly, this agreement takes advantage of our modality agnostic discovery know-how and provides reimbursement for research efforts. Where our discovery efforts lead to product candidates intended for relatively prevalent indications, our strategy is to out-license or partner such programs.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TN-201 is our investigational gene therapy for individuals with HCM due to </w:t>
      </w:r>
      <w:r>
        <w:rPr>
          <w:rFonts w:ascii="Times New Roman" w:hAnsi="Times New Roman"/>
          <w:i/>
          <w:color w:val="000000"/>
          <w:sz w:val="20"/>
        </w:rPr>
        <w:t>MYBPC3</w:t>
      </w:r>
      <w:r>
        <w:rPr>
          <w:rFonts w:ascii="Times New Roman" w:hAnsi="Times New Roman"/>
          <w:color w:val="000000"/>
          <w:sz w:val="20"/>
        </w:rPr>
        <w:t xml:space="preserve"> gene mutations. These mutations result in a deficiency of myosin-binding protein C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AAV9 capsid and is designed to deliver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working </w:t>
      </w:r>
      <w:r>
        <w:rPr>
          <w:rFonts w:ascii="Times New Roman" w:hAnsi="Times New Roman"/>
          <w:i/>
          <w:color w:val="000000"/>
          <w:sz w:val="20"/>
        </w:rPr>
        <w:t xml:space="preserve">MYBPC3 </w:t>
      </w:r>
      <w:r>
        <w:rPr>
          <w:rFonts w:ascii="Times New Roman" w:hAnsi="Times New Roman"/>
          <w:color w:val="000000"/>
          <w:sz w:val="20"/>
        </w:rPr>
        <w:t xml:space="preserve">gene to specific cells of the heart in order to produce MyBP-C and thereby potentially slow or even reverse the course of </w:t>
      </w:r>
      <w:r>
        <w:rPr>
          <w:rFonts w:ascii="Times New Roman" w:hAnsi="Times New Roman"/>
          <w:i/>
          <w:color w:val="000000"/>
          <w:sz w:val="20"/>
        </w:rPr>
        <w:t>MYBPC3</w:t>
      </w:r>
      <w:r>
        <w:rPr>
          <w:rFonts w:ascii="Times New Roman" w:hAnsi="Times New Roman"/>
          <w:color w:val="000000"/>
          <w:sz w:val="20"/>
        </w:rPr>
        <w:t>-associated HCM following a single infusion.</w:t>
      </w:r>
    </w:p>
    <w:p>
      <w:pPr>
        <w:pStyle w:val="TextBody"/>
        <w:bidi w:val="0"/>
        <w:spacing w:before="120" w:after="283"/>
        <w:jc w:val="left"/>
        <w:rPr>
          <w:rFonts w:ascii="Times New Roman" w:hAnsi="Times New Roman"/>
          <w:sz w:val="20"/>
        </w:rPr>
      </w:pPr>
      <w:r>
        <w:rPr>
          <w:rFonts w:ascii="Times New Roman" w:hAnsi="Times New Roman"/>
          <w:color w:val="000000"/>
          <w:sz w:val="20"/>
        </w:rPr>
        <w:t>MyPEAK</w:t>
      </w:r>
      <w:r>
        <w:rPr>
          <w:rFonts w:ascii="Times New Roman" w:hAnsi="Times New Roman"/>
          <w:color w:val="000000"/>
          <w:sz w:val="13"/>
        </w:rPr>
        <w:t>TM</w:t>
      </w:r>
      <w:r>
        <w:rPr>
          <w:rFonts w:ascii="Times New Roman" w:hAnsi="Times New Roman"/>
          <w:color w:val="000000"/>
          <w:sz w:val="20"/>
        </w:rPr>
        <w:t>-1 is our Phase 1b/2 multi-center, open-label clinical trial, designed to assess the safety, tolerability and efficacy of a one-time intravenous infusion of TN-201. We have completed enrollment in MyPEAK-1 necessary to characterize dose response and inform dose selection for late-stage clinical trials, including three patients at the 3E13 vg/kg dose (Cohort 1), three at the 6E13 vg/kg dose (Cohort 2) and additional patients in the 6E13 vg/kg dose expansion cohort. Other than Patient 5, all patients have completed every scheduled visit and remain in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presented new interim safety and efficacy data from MyPEAK-1 as of a May 2026 data cut off. Data shared included 78-104 weeks of follow-up for the three Cohort 1 patients and 26-52 weeks of follow-up for four patients dosed with TN-201 at 6E13 vg/kg. Among the latest findings reported, six patients evaluable for efficacy endpoints demonstrated improvements in multiple clinical parameters of disease including echocardiographic (ECG) measures of hypertrophy, and one or more measures of symptom burden. Cardiac troponin, a known risk factor for cardiac-related morbidities or mortality, improved or remained stable in five of six patients and NT-pro BNP, a measure of heart muscle strain, improved in three patients. ECG measures of left ventricular structure showed decreases in multiple measures of left ventricular hypertrophy, a defining characteristic of HCM. All six evaluable patients achieved reductions in left ventricular mass index (LVMI) and five of six demonstrated reductions in one or more measures of wall thickness. Decreases in LVMI were durable through two years for the first two Cohort 1 patients and decreases among Cohort 2 patients were observed at an earlier timepoint post-dose compared to Cohort 1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all six patients, treatment with TN-201 resulted in a lessening of symptom burden as assessed by either New York Heart Association (NYHA) classification, a physician assessment of the impact of heart failure symptoms on activities of daily living, and/or the Kansas City Cardiomyopathy Questionnaire (KCCQ), a validated tool for measuring health status, symptom burden and quality of life among HCM patients. All patients were symptomatic at baseline (NYHA class II-III) and five of six improved by at least one class following treatment with TN-201. All five were assessed as Class I and no longer have heart failure symptoms that interfere with activities of daily living, while the sixth patient remained stable. Four of six patients demonstrated meaningful benefit in symptoms and quality of life, with KCCQ Clinical Summary Scores (KCCQ-CSS) improving by between 12 to 56 points from baseline, while the three evaluable Cohort 2 patients who received TN-201 at a dose of 6E13 vg/kg had improved KCCQ-CSS with a mean increase of 36 points. An improvement of 5 points or greater is considered clinically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Functional capacity was also assessed by six-minute walk test (6MWT) and cardiopulmonary exercise testing (CPET) and improved by at least one of the two measures in three patients, with Cohort 2 patients showing greater benefit. Two patients from Cohort 2 and one Cohort 1 patient achieved meaningful improvements in 6MWT with changes from baseline ranging from 50- to 255-meters. An increase of 30 meters is considered clinically meaningful. Patient 4 from Cohort 2 also demonstrated clinically meaningful improvement in peak oxygen consumption (pVO2). CPET were not available as of the data cut off for the remaining Cohort 2 patients. Two patients from Cohort 1 experienced a decline in 6MWT, and no Cohort 1 patients saw improvements in CPET. Cohort 1 performance may be confounded by preexisting functional limitations and/or relatively longer duration and higher dose of immunosuppression.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TN-201 continued to be generally well tolerated across both MyPEAK-1 dose cohorts for the seven patients for whom safety data was reported. No dose-limiting toxicities were observed and all patients have tapered off immunosuppressive medicines. Adjustments to monitoring and immunosuppression during Cohort 1 resulted in faster tapers and lower cumulative corticosteroid doses in Cohort 2, despite the higher TN-201 dose. Results from serial cardiac biopsies taken at baseline or Week 8 and again post-dose or Week 52 showed that TN-201 DNA transduction and mRNA expression were robust, and MyBP-C levels increased by an average of 4% over time. Protein level changes were measured using liquid chromatography mass spectrometry (LCMS) normalized to myosin heavy chain (MYHC). As of the most recent assessment, MyBP-C levels were shown to increase in four of six patients, while variation in expression between individual biopsies is believed to have contributed to smaller differences in the remaining two patients. While additional follow-up is needed, the totality of results suggest that the higher dose of 6E13 vg/kg may result in equivalent or greater clinical benefit at an earlier timepoint post-dose.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present one-year Cohort 2 data and two-year Cohort 1 data from MyPEAK-1 in the fourth quarter of 2026. We are also engaging with regulatory authorities to obtain feedback on pivotal trial plans for TN-201 and plan to provide an update on progress in the fourth quarter of 2026.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Despite advances in the treatment of the obstructive HCM in recent years with the approval of cardiac myosin inhibitors, there are no approved treatments for those with the non-obstructive form of disease or those diagnosed before the age of 18. Recognizing the urgent medical need among pediatric patients, we initiated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MyClimb completed enrollment of more than 200 individuals and is believed to be the largest study of pediatric individuals with </w:t>
      </w:r>
      <w:r>
        <w:rPr>
          <w:rFonts w:ascii="Times New Roman" w:hAnsi="Times New Roman"/>
          <w:i/>
          <w:color w:val="000000"/>
          <w:sz w:val="20"/>
        </w:rPr>
        <w:t>MYBPC3</w:t>
      </w:r>
      <w:r>
        <w:rPr>
          <w:rFonts w:ascii="Times New Roman" w:hAnsi="Times New Roman"/>
          <w:color w:val="000000"/>
          <w:sz w:val="20"/>
        </w:rPr>
        <w:t>-associated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has granted TN-201 Fast Track, Orphan Drug and Rare Pediatric Drug Designations. TN-201 has also been accepted into the agency’s Rare Disease Evidence Principles (RDEP) process for biallelic children with </w:t>
      </w:r>
      <w:r>
        <w:rPr>
          <w:rFonts w:ascii="Times New Roman" w:hAnsi="Times New Roman"/>
          <w:i/>
          <w:color w:val="000000"/>
          <w:sz w:val="20"/>
        </w:rPr>
        <w:t>MYBPC3</w:t>
      </w:r>
      <w:r>
        <w:rPr>
          <w:rFonts w:ascii="Times New Roman" w:hAnsi="Times New Roman"/>
          <w:color w:val="000000"/>
          <w:sz w:val="20"/>
        </w:rPr>
        <w:t>-associated HCM. TN-201 received orphan medicinal product designation from the European Commission (EC) and was granted PRIority MEdicine (PRIME) designation by the European Medicines Agency (EMA).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TN-401 is our AAV9-based gene therapy for the treatment of ARVC due to disease-causing variants in the </w:t>
      </w:r>
      <w:r>
        <w:rPr>
          <w:rFonts w:ascii="Times New Roman" w:hAnsi="Times New Roman"/>
          <w:i/>
          <w:color w:val="000000"/>
          <w:sz w:val="20"/>
        </w:rPr>
        <w:t xml:space="preserve">PKP2 </w:t>
      </w:r>
      <w:r>
        <w:rPr>
          <w:rFonts w:ascii="Times New Roman" w:hAnsi="Times New Roman"/>
          <w:color w:val="000000"/>
          <w:sz w:val="20"/>
        </w:rPr>
        <w:t xml:space="preserve">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hAnsi="Times New Roman"/>
          <w:i/>
          <w:color w:val="000000"/>
          <w:sz w:val="20"/>
        </w:rPr>
        <w:t>PKP2</w:t>
      </w:r>
      <w:r>
        <w:rPr>
          <w:rFonts w:ascii="Times New Roman" w:hAnsi="Times New Roman"/>
          <w:color w:val="000000"/>
          <w:sz w:val="20"/>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hAnsi="Times New Roman"/>
          <w:i/>
          <w:color w:val="000000"/>
          <w:sz w:val="20"/>
        </w:rPr>
        <w:t xml:space="preserve">PKP2 </w:t>
      </w:r>
      <w:r>
        <w:rPr>
          <w:rFonts w:ascii="Times New Roman" w:hAnsi="Times New Roman"/>
          <w:color w:val="000000"/>
          <w:sz w:val="20"/>
        </w:rPr>
        <w:t xml:space="preserve">gene to heart muscle cells in order to produce plakophilin protein and potentially slow or even reverse the course of </w:t>
      </w:r>
      <w:r>
        <w:rPr>
          <w:rFonts w:ascii="Times New Roman" w:hAnsi="Times New Roman"/>
          <w:i/>
          <w:color w:val="000000"/>
          <w:sz w:val="20"/>
        </w:rPr>
        <w:t>PKP2</w:t>
      </w:r>
      <w:r>
        <w:rPr>
          <w:rFonts w:ascii="Times New Roman" w:hAnsi="Times New Roman"/>
          <w:color w:val="000000"/>
          <w:sz w:val="20"/>
        </w:rPr>
        <w:t>-associated ARVC following a single infusion.</w:t>
      </w:r>
    </w:p>
    <w:p>
      <w:pPr>
        <w:pStyle w:val="TextBody"/>
        <w:bidi w:val="0"/>
        <w:spacing w:before="120" w:after="283"/>
        <w:jc w:val="left"/>
        <w:rPr>
          <w:rFonts w:ascii="Times New Roman" w:hAnsi="Times New Roman"/>
          <w:sz w:val="20"/>
        </w:rPr>
      </w:pPr>
      <w:r>
        <w:rPr>
          <w:rFonts w:ascii="Times New Roman" w:hAnsi="Times New Roman"/>
          <w:color w:val="000000"/>
          <w:sz w:val="20"/>
        </w:rPr>
        <w:t>RIDGE</w:t>
      </w:r>
      <w:r>
        <w:rPr>
          <w:rFonts w:ascii="Times New Roman" w:hAnsi="Times New Roman"/>
          <w:color w:val="000000"/>
          <w:sz w:val="13"/>
        </w:rPr>
        <w:t>TM</w:t>
      </w:r>
      <w:r>
        <w:rPr>
          <w:rFonts w:ascii="Times New Roman" w:hAnsi="Times New Roman"/>
          <w:color w:val="000000"/>
          <w:sz w:val="20"/>
        </w:rPr>
        <w:t>-1 is our Phase 1b/2 multi-center, open-label clinical trial, designed to assess the safety, tolerability and efficacy of a one-time intravenous infusion of TN-401. We have completed enrollment in RIDGE-1 necessary to characterize dose response and inform dose selection for late-stage clinical trials, including three patients at the 3E13 vg/kg dose (Cohort 1), three at the 6E13 vg/kg dose (Cohort 2) and additional patients in the 6E13 vg/kg dose expansion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we presented interim data from the first six patients dosed in RIDGE-1 at the American Society of Gene and Cell Therapies 2026 Annual Meeting. Data reported included electrophysiology, biopsy and safety results 20-52 weeks post-dose following a single infusion of TN-401. As of the April 2026 data cut off, all patients have completed all assessments and remain on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with TN-401 resulted in dramatic improvements in electrical stability, as measured by premature ventricular contractions (PVCs) and non-sustained ventricular tachycardias (NSVTs). PVCs and NSVTs are each important prognosticators of more serious, potentially life-ending ventricular arrythmias and their frequency is utilized as an important component in calculating patient risk and the need for an implantable cardiac defibrillator (ICD). All six patients had PVC counts of greater than 500 per day at baseline and demonstrated meaningful reductions in arrhythmia burden with a mean reduction in average daily PVC count of 60% for Cohort 1 and 67% for Cohort 2. Two patients with a high rate of NSVTs at baseline experienced substantial decreases, apparent as early as Week 20. Patient 2 had an NSVT burden of 78 counts per 24-hours, which dropped to zero and remained stable at Week 52. At baseline, Patient 5 had an NSVT count of 43 per 24 hours, which dropped to 4 per 24 hours at Week 20. Four patients had low NSVT burden at baseline and remained low. Other measures of clinical response including ECG changes (QRS duration and T wave inversions), heart structure and function and NYHA class were in the normal range at baseline and/or remained stable during the post-dose follow-up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Post-dose biopsies provided evidence of robust transduction and TN-401-specific expression for the first five patients for whom data was available at the time of data cut off. Biopsy samples were collected from the right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ventricular septum at Week 8 for the first four patients and at Week 22 for Patient 5, with results from a second post-dose biopsy at Week 52 available for Cohort 1 patients. Robust evidence of dose-dependent TN-401 DNA transduction and mRNA expression were apparent, while changes in PKP2 protein levels in heart muscle cells from baseline to the most recent timepoints ranged from -4% to +15% as measured by LCMS normalized to MYHC. Measurements of PKP2 protein levels were impacted by the varied composition of cardiac tissue in an ARVC heart.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TN-401 was well tolerated across both RIDGE-1 dose cohorts and no dose-limiting toxicities had occurred as of the April 2026 data cut off. The prophylactic immune suppression regimen of sirolimus and prednisone successfully managed immune responses and all patients discontinued immunosuppressive medicines. Adverse events associated with TN-401 treatment were asymptomatic and self-resolved or responded to treatment. There was no clinical thrombotic microangiopathy, no ventricular arrhythmias related to TN-401 and no other cardiotoxicities associated with TN-401.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present interim Cohort 2 results in the fourth quarter of the year. We are also engaging with regulators on late-stage pivotal trial planning for TN-401 and plan to provide an update on the status of our discussions in the fourth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were awarded a Clinical Grant (Clin2) of $8.0 million from California Institute for Regenerative Medicine (CIRM), a state of California Agency that funds regenerative medicine, stem cell, and gene therapy research. Proceeds from the grant help fund clinical trial costs for our ongoing Phase 1b/2 RIDGE-1 clinical trial of TN-401 gene therapy. RIDGE-1 is being conducted at multiple clinical trial sites with ARVC expertise at leading cardiology centers in the U.S. and United Kingdom.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support our development efforts for TN-401, we have initiated RIDGE, a global noninterventional natural history and seroprevalence study of nearly 200 patients with ARVC due to </w:t>
      </w:r>
      <w:r>
        <w:rPr>
          <w:rFonts w:ascii="Times New Roman" w:hAnsi="Times New Roman"/>
          <w:i/>
          <w:color w:val="000000"/>
          <w:sz w:val="20"/>
        </w:rPr>
        <w:t xml:space="preserve">PKP2 </w:t>
      </w:r>
      <w:r>
        <w:rPr>
          <w:rFonts w:ascii="Times New Roman" w:hAnsi="Times New Roman"/>
          <w:color w:val="000000"/>
          <w:sz w:val="20"/>
        </w:rPr>
        <w:t xml:space="preserve">gene mutations. RIDGE is believed to be the largest natural history study of adults with </w:t>
      </w:r>
      <w:r>
        <w:rPr>
          <w:rFonts w:ascii="Times New Roman" w:hAnsi="Times New Roman"/>
          <w:i/>
          <w:color w:val="000000"/>
          <w:sz w:val="20"/>
        </w:rPr>
        <w:t>PKP2</w:t>
      </w:r>
      <w:r>
        <w:rPr>
          <w:rFonts w:ascii="Times New Roman" w:hAnsi="Times New Roman"/>
          <w:color w:val="000000"/>
          <w:sz w:val="20"/>
        </w:rPr>
        <w:t xml:space="preserve">-associated ARVC. Interim data from RIDGE was presented at Heart Rhythm Society’s annual meeting in April 2025 and showed that patients with </w:t>
      </w:r>
      <w:r>
        <w:rPr>
          <w:rFonts w:ascii="Times New Roman" w:hAnsi="Times New Roman"/>
          <w:i/>
          <w:color w:val="000000"/>
          <w:sz w:val="20"/>
        </w:rPr>
        <w:t>PKP2</w:t>
      </w:r>
      <w:r>
        <w:rPr>
          <w:rFonts w:ascii="Times New Roman" w:hAnsi="Times New Roman"/>
          <w:color w:val="000000"/>
          <w:sz w:val="20"/>
        </w:rPr>
        <w:t xml:space="preserve">-associated ARVC experience a high burden of arrhythmias despite treatments with approved anti-arrhythmic medications including flecainide, beta blockers and surgical interventions such as ablation and ICD placement. Further, current treatments appeared to do little to halt or prevent progressive structural changes to the heart that occur as a result of </w:t>
      </w:r>
      <w:r>
        <w:rPr>
          <w:rFonts w:ascii="Times New Roman" w:hAnsi="Times New Roman"/>
          <w:i/>
          <w:color w:val="000000"/>
          <w:sz w:val="20"/>
        </w:rPr>
        <w:t>PKP2</w:t>
      </w:r>
      <w:r>
        <w:rPr>
          <w:rFonts w:ascii="Times New Roman" w:hAnsi="Times New Roman"/>
          <w:color w:val="000000"/>
          <w:sz w:val="20"/>
        </w:rPr>
        <w:t xml:space="preserve"> mutations. A large majority of adults with </w:t>
      </w:r>
      <w:r>
        <w:rPr>
          <w:rFonts w:ascii="Times New Roman" w:hAnsi="Times New Roman"/>
          <w:i/>
          <w:color w:val="000000"/>
          <w:sz w:val="20"/>
        </w:rPr>
        <w:t>PKP2</w:t>
      </w:r>
      <w:r>
        <w:rPr>
          <w:rFonts w:ascii="Times New Roman" w:hAnsi="Times New Roman"/>
          <w:color w:val="000000"/>
          <w:sz w:val="20"/>
        </w:rPr>
        <w:t>-associated ARVC would be eligible to participate in RIDGE-1 based on low levels of pre-existing antibodies to AAV9.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TN-401 has received Orphan Drug and Fast Track designation from the FDA. TN-401 has also received orphan medicinal product designation from the EC and was granted PRIME designation by the EMA.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Sufficient clinical drug supply for both TN-201 and TN-401 to support our ongoing clinical trials was produced in our Genetic Medicines Manufacturing Center (GMMC). In June 2026, we terminated the lease for the GMMC Facility, which we decommissioned in 2025 to reduce costs. Notwithstanding the closure of the GMMC Facility, we have retained our internal process and assay development know-how and plan to transfer our AAV manufacturing process to a contract development manufacturing organization with global capabilities in anticipation of future late-stage development and/or commercial launch of TN-201 and/or TN-401.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also advancing TN-301, a highly specific HDAC6 inhibitor that has potential utility in HFpEF and other cardiac, metabolic, muscular and pulmonary diseases. TN-301 was initially discovered and validated as having cardioprotective qualities in preclinical studies of a rapidly worsening mouse model of </w:t>
      </w:r>
      <w:r>
        <w:rPr>
          <w:rFonts w:ascii="Times New Roman" w:hAnsi="Times New Roman"/>
          <w:i/>
          <w:color w:val="000000"/>
          <w:sz w:val="20"/>
        </w:rPr>
        <w:t xml:space="preserve">BAG3 </w:t>
      </w:r>
      <w:r>
        <w:rPr>
          <w:rFonts w:ascii="Times New Roman" w:hAnsi="Times New Roman"/>
          <w:color w:val="000000"/>
          <w:sz w:val="20"/>
        </w:rPr>
        <w:t xml:space="preserve">mutant DCM. HDAC6 is a cytoplasmic enzyme known to regulate diverse cellular processes. Based on TN-301’s multi-modal mechanism of action, that includes reductions in inflammation, oxidative stress, fibrosis, and metabolic dysregulation, as well as improvements in autophagy, protein quality control, mitochondrial metabolism, and lipid metabolism, TN-301 may be well suited to the treatment of HFpEF, as well as other cardiac, metabolic, muscular and pulmonary disorders where there is strong alignment between TN-301’s mechanism and the pathophysiology of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Extensive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 xml:space="preserve">in vivo </w:t>
      </w:r>
      <w:r>
        <w:rPr>
          <w:rFonts w:ascii="Times New Roman" w:hAnsi="Times New Roman"/>
          <w:color w:val="000000"/>
          <w:sz w:val="20"/>
        </w:rPr>
        <w:t>studies in HFpEF disease models have also shown that TN-301 addresses diverse pathological processes with direct and systemic benefits in models of HFpEF. In comparative studies, selective HDAC6 inhibition as a single agent has been shown to have similar efficacy to empagliflozin, an SGLT2 inhibitor which is approved for the treatment of HFpEF and co-administration of our HDAC6 inhibition with a SGLT2 inhibitor demonstrated additive benefit. Taken together, these data support continued development of TN-301 as a potential treatment for patients with HFpEF and other severe diseases including those outside of cardiology in which inflammation, fibrosis and metabolic dysregulation may be implicated.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Based on our observations of TN-301’s mechanism and evidence of efficacy for an approved pan-HDAC agent, we are also exploring the development of TN-301 for DMD, a condition caused by genetic mutations in the </w:t>
      </w:r>
      <w:r>
        <w:rPr>
          <w:rFonts w:ascii="Times New Roman" w:hAnsi="Times New Roman"/>
          <w:i/>
          <w:color w:val="000000"/>
          <w:sz w:val="20"/>
        </w:rPr>
        <w:t>dystrophin</w:t>
      </w:r>
      <w:r>
        <w:rPr>
          <w:rFonts w:ascii="Times New Roman" w:hAnsi="Times New Roman"/>
          <w:color w:val="000000"/>
          <w:sz w:val="20"/>
        </w:rPr>
        <w:t xml:space="preserve"> gene, leading to absence of functional dystrophin protein in the heart and skeletal muscle. The muscle pathologies that underlie muscle wasting in the absence of dystrophin include inflammation, fibrosis, altered regeneration, mitochondrial dysfunction and disrupted autophagic flux – all processes that can be improved by HDAC6 inhibition.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At the Muscular Dystrophy Association Clinical &amp; Scientific Congress 2026, we presented results from preclinical studies comparing TN-301 with the FDA-approved pan HDAC inhibitor, givinostat, in a well-established mouse model of DMD, and in human induced Pluripotent Stem Cell (iPSC)-derived cardiomyocytes from DMD patients. After five weeks of once-daily oral dosing, TN-301 showed a statistically significant increase in forelimb grip strength in </w:t>
      </w:r>
      <w:r>
        <w:rPr>
          <w:rFonts w:ascii="Times New Roman" w:hAnsi="Times New Roman"/>
          <w:i/>
          <w:color w:val="000000"/>
          <w:sz w:val="20"/>
        </w:rPr>
        <w:t>mdx</w:t>
      </w:r>
      <w:r>
        <w:rPr>
          <w:rFonts w:ascii="Times New Roman" w:hAnsi="Times New Roman"/>
          <w:color w:val="000000"/>
          <w:sz w:val="20"/>
        </w:rPr>
        <w:t xml:space="preserve"> mice at both 3 mg/kg and 30 mg/kg compared to vehicle with both doses of TN-301 achieving wildtype levels of grip strength after five 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 Taken together, these data support the potential advancement of TN-301 in DMD therapy, suggesting that HDAC6 inhibition may have benefits for both skeletal and cardiac muscle and reduced liabilities compared to pan-HDAC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advance TN-301 toward clinical trials in patients in order to generate proof-of-activity data, with HFpEF and DMD being among the most promising potential indications identified to date. We also intend to share additional details regarding TN-301 development plans in the fourth quarter of 2026, and to initiate at least one company-sponsored proof-of-activity Phase 2 clinical trial in the second half of 2027. Consistent with our strategy, we believe that TN-301’s late-stage development and commercialization in large indications would best be led by a strategic pharmaceutical partner with global resources to explore the full potential of the molecule.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both Orphan Drug and Rare Pediatric Drug Designations to TN-301 as a treatment for DMD.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clinical-stage candidates, we have multiple early-stage programs using various therapeutic approaches, including gene addition, gene editing, gene silencing, and cellular regeneration to address other forms of rare and/or prevalent forms of heart disease. We do not have any products approved for sale and have not generated any product revenue to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7405" w:type="dxa"/>
        <w:jc w:val="left"/>
        <w:tblInd w:w="0" w:type="dxa"/>
        <w:tblLayout w:type="fixed"/>
        <w:tblCellMar>
          <w:top w:w="28" w:type="dxa"/>
          <w:left w:w="28" w:type="dxa"/>
          <w:bottom w:w="28" w:type="dxa"/>
          <w:right w:w="28" w:type="dxa"/>
        </w:tblCellMar>
      </w:tblPr>
      <w:tblGrid>
        <w:gridCol w:w="2636"/>
        <w:gridCol w:w="146"/>
        <w:gridCol w:w="211"/>
        <w:gridCol w:w="736"/>
        <w:gridCol w:w="166"/>
        <w:gridCol w:w="146"/>
        <w:gridCol w:w="211"/>
        <w:gridCol w:w="736"/>
        <w:gridCol w:w="166"/>
        <w:gridCol w:w="146"/>
        <w:gridCol w:w="211"/>
        <w:gridCol w:w="736"/>
        <w:gridCol w:w="166"/>
        <w:gridCol w:w="146"/>
        <w:gridCol w:w="846"/>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(19%)</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lease termination,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88%</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(88%)</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NM - Not Meaningful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for the three months ended June 30, 2026 was $1.1 million, compared to none in the prior year period. The increase consisted of $0.7 million from the recognition of revenue associated with upfront fees and $0.4 million from reimbursements for research and development activities under collaboration arrangements entered into during the first quarter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In connection with the closure of the GMMC Facility, our external research and development expenses may include fees paid to third-party contract development manufacturing organizations for future process development and manufacturing activities.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of certain research and development activities are recognized based on estimates derived from a number of factors, including an evaluation of the progress of the activities, as well as input from external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made following data generated from our MyPEAK-1 and RIDGE-1 clinical trials and our ability to achieve regulatory alignment on our pivotal trial plans for our TN-201 and TN-401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791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481"/>
        <w:gridCol w:w="166"/>
        <w:gridCol w:w="146"/>
        <w:gridCol w:w="70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$16.6 million and $17.4 million for the three months ended June 30, 2026 and 2025, respectively. The decrease of $0.8 million, or 4%,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$0.4 million decrease in research expenses, reflecting lower employee-related and lab service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$0.2 million decrease in manufacturing costs reflecting lower facility maintenance fees and depreciation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 and our ability to achieve regulatory alignment on our pivotal trial plans for our TN-201 and TN-401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$5.4 million and $6.7 million for the three months ended June 30, 2026 and 2025, respectively. The decrease of $1.3 million, or 19%, was primarily due to a $0.9 million decrease in stock-based compensation expense and lower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we recognized an impairment loss of $21.8 million, primarily related to leasehold improvements and manufacturing equipment at our Union City manufacturing facility, following the decision to exit the facility. No impairment loss was recognized in the prior-year period.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Lease Termination,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we recognized a net loss on lease termination of $1.4 million in connection with the termination of the lease for our Union City manufacturing facility. The loss primarily reflected the forfeiture of the facility’s security deposit and a brokerage commission incurred in connection with the lease termination, partially offset by gains associated with the remeasurement of the operating lease right-of-use asset and lease liability and the derecognition of the related asset retirement obligation liability. No comparable loss was recognized in the prior-year periods.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and cash equivalents balances. In the prior-year period, interest income also included amounts earned on marketable securities. Interest income was $0.7 million and $0.8 million for the three months ended June 30, 2026 and 2025, respectively. The decrease of $0.1 million was primarily due to the absence of discount accretion on marketable securities in the current-year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three months ended June 30, 2026, was $43.4 million, compared to a net loss of $23.3 million for the three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7305" w:type="dxa"/>
        <w:jc w:val="left"/>
        <w:tblInd w:w="0" w:type="dxa"/>
        <w:tblLayout w:type="fixed"/>
        <w:tblCellMar>
          <w:top w:w="28" w:type="dxa"/>
          <w:left w:w="28" w:type="dxa"/>
          <w:bottom w:w="28" w:type="dxa"/>
          <w:right w:w="28" w:type="dxa"/>
        </w:tblCellMar>
      </w:tblPr>
      <w:tblGrid>
        <w:gridCol w:w="2636"/>
        <w:gridCol w:w="146"/>
        <w:gridCol w:w="211"/>
        <w:gridCol w:w="736"/>
        <w:gridCol w:w="166"/>
        <w:gridCol w:w="146"/>
        <w:gridCol w:w="211"/>
        <w:gridCol w:w="736"/>
        <w:gridCol w:w="166"/>
        <w:gridCol w:w="146"/>
        <w:gridCol w:w="211"/>
        <w:gridCol w:w="736"/>
        <w:gridCol w:w="166"/>
        <w:gridCol w:w="146"/>
        <w:gridCol w:w="746"/>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(18%)</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(18%)</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lease termination,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rPr/>
        <w:tc>
          <w:tcPr>
            <w:tcW w:w="2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NM - Not Meaningful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8095"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74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(pre-commercial)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(9%)</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$31.4 million and $38.4 million for the six months ended June 30, 2026 and 2025, respectively. The decrease of $7.0 million, or 18%,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$3.3 million decrease in research expenses, reflecting lower employee-related costs driven by the workforce reduction implemented in March 2025 (the 2025 Workforce Reduction) and reduced lab supply and service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$2.2 million in manufacturing costs reflecting lower employee-related costs driven by the 2025 Workforce Reduction and lower facility maintenance fees and depreciation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$10.9 million and $13.2 million for the six months ended June 30, 2026 and 2025, respectively. The decrease of $2.3 million, or 18%, was primarily due to a $1.6 million decrease in stock-based compensation expense, as well as lower professional fees and depreciation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we recognized an impairment loss of $21.8 million, primarily related to leasehold improvements and manufacturing equipment at our Union City manufacturing facility, following the decision to exit the facility. No impairment loss was recognized in the prior-year period.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Lease Termination,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we recognized a net loss on lease termination of $1.4 million in connection with the termination of the lease for our Union City manufacturing facility. The loss primarily reflected the forfeiture of the facility’s security deposit and a brokerage commission incurred in connection with the lease termination, partially offset by gains associated with the remeasurement of the operating lease right-of-use asset and lease liability and the derecognition of the related asset retirement obligation liability. No comparable loss was recognized in the prior-year periods.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and cash equivalents balances. In the prior-year period, interest income also included amounts earned on marketable securities. Interest income was $1.5 million and $1.4 million for the six months ended June 30, 2026 and 2025, respectively, and remained relatively consistent between periods.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six months ended June 30, 2026, was $62.7 million, compared to a net loss of $50.1 million for the six months ended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generated limited collaboration revenue and no product revenue, and we have incurred significant net losses and negative cash flows from operations. From our inception through June 30, 2026, we have funded our operations primarily from the sale and issuance of our equity securities. As of June 30, 2026, we had cash and cash equivalents of $78.1 million and an accumulated deficit of $667.7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CIRM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announced we were awarded an $8.0 million grant from the CIRM to support RIDGE-1. The award is payable to us upon achievement of certain clinical milestones. We expect this grant to provide funding for a portion of our research and development activities, subject to the achievement of applicable milestones and compliance with the grant terms.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Agreement</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On August 6, 2024, we entered into a </w:t>
      </w:r>
      <w:r>
        <w:rPr>
          <w:rFonts w:ascii="Times New Roman" w:hAnsi="Times New Roman"/>
          <w:color w:val="000000"/>
          <w:sz w:val="20"/>
        </w:rPr>
        <w:t>Loan Agreement with Silicon Valley Bank (SVB), which was subsequently amended on July 14, 2026</w:t>
      </w:r>
      <w:r>
        <w:rPr>
          <w:rFonts w:ascii="Times New Roman" w:hAnsi="Times New Roman"/>
          <w:color w:val="212529"/>
          <w:sz w:val="20"/>
        </w:rPr>
        <w:t xml:space="preserve">. </w:t>
      </w:r>
      <w:r>
        <w:rPr>
          <w:rFonts w:ascii="Times New Roman" w:hAnsi="Times New Roman"/>
          <w:color w:val="000000"/>
          <w:sz w:val="20"/>
        </w:rPr>
        <w:t xml:space="preserve">As of December 31, 2025, all of the term loan commitments expired under the Loan Agreement and no term loans were outstanding. </w:t>
      </w:r>
      <w:r>
        <w:rPr>
          <w:rFonts w:ascii="Times New Roman" w:hAnsi="Times New Roman"/>
          <w:color w:val="212529"/>
          <w:sz w:val="20"/>
        </w:rPr>
        <w:t>The Loan Agreement provides that an additional loan of $20.0 million may be available at SVB’s discretion, subject to specified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continue to incur operating losses over the foreseeable future. Our operating expenses may increase in the future,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advance our lead product candidates, TN-201, TN-401 and TN-301;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the scope of our existing clinical trials and transition into late-stage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of any of our product candidates that successfully complete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relationships with contract development manufacturing organizations (CDMOs) to support commercial-scale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information systems and personnel to support our future product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studies and clinical trials for any additional product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future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develop, expand, enforce, defend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cash and cash equivalents will be sufficient to meet our working capital and capital expenditure needs through at least the next twelve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tbl>
      <w:tblPr>
        <w:tblW w:w="7579" w:type="dxa"/>
        <w:jc w:val="left"/>
        <w:tblInd w:w="0" w:type="dxa"/>
        <w:tblLayout w:type="fixed"/>
        <w:tblCellMar>
          <w:top w:w="28" w:type="dxa"/>
          <w:left w:w="28" w:type="dxa"/>
          <w:bottom w:w="28" w:type="dxa"/>
          <w:right w:w="28" w:type="dxa"/>
        </w:tblCellMar>
      </w:tblPr>
      <w:tblGrid>
        <w:gridCol w:w="4836"/>
        <w:gridCol w:w="146"/>
        <w:gridCol w:w="211"/>
        <w:gridCol w:w="736"/>
        <w:gridCol w:w="166"/>
        <w:gridCol w:w="146"/>
        <w:gridCol w:w="211"/>
        <w:gridCol w:w="736"/>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$22.8 million, which consisted primarily of a net loss of $62.7 million, partially offset by $31.7 million in non-cash charges and a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operating assets and liabilities of $8.2 million. The change in net operating assets and liabilities was primarily due to an increase of contract liabilities of $9.7 million, partially offset by a decrease of in accounts payable and accrued expenses and other current liabilities of $1.5 million. Cash flows from operations are generally impacted by the timing of payments to vendors and vendor payment terms. The non-cash charges primarily consisted of loss on impairment of $21.8 million, stock-based compensation of $3.9 million and depreciation and amortization of $3.5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$38.7 million, which consisted primarily of a net loss of $50.1 million and a net change in operating assets and liabilities of $2.4 million, partially offset by $13.3 million in non-cash charges. The change in net operating assets and liabilities was primarily due to a decrease in accounts payable and accrued expenses and other current liabilities of $3.0 million. Cash flows from operations are generally impacted by the timing of payments to vendors and vendor payment terms. The non-cash charges primarily consisted of stock-based compensation of $7.4 million and depreciation and amortization of $4.7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$0.2 million, which consisted of purchases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2025 was $47.3 million, which consisted primarily of proceeds from maturities of marketable securities of $36.9 million and sales of marketable securities of $11.0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in financing activities for the six months ended June 30, 2026 was approximately $0.5 million, which consisted primarily of proceeds from exercise of warrants, partially offset by payments of accrued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$49.8 million, which primarily consisted of net proceeds of $48.8 million from our March 2025 follow-on offering.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contractual obligations and commitments previously disclosed in our Annual Report on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not engaged in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critical accounting policies and estimates is presented in Part II, Item 7 of our Annual Report on Form 10-K for the year ended December 31, 2025. There were no material changes to our critical accounting policies and estimates during the three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to our unaudited interim condensed financial statements for more information about recent accounting pronouncements, the timing of their adoption, and our assessment, to the extent we have made one yet, of their potential impact on our financial condition or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We will remain an emerging growth company until the earliest to occur of: (i) the last day of the fiscal year in which we have more than $1.235 billion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 smaller reporting company, as defined by Rule 12b-2 under the Securities Exchange Act of 1934 and in Item 10(f)(1) of Regulation S-K, and are not required to provide the information under this item.</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has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June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 Factors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not generated any product revenue to date, have incurred significant net losses since our inception, and expect to continue to incur significant net losses for the foreseeable future.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experience delays in completing, or ultimately be unable to complete, the development and commercialization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Financial Position, Need for Additional Capital and Limited Operating History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may be more difficult for investors to accurately predict our likelihood of success and viability than it would be if we had a longer operating history.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TextBody"/>
        <w:bidi w:val="0"/>
        <w:spacing w:before="240" w:after="283"/>
        <w:jc w:val="left"/>
        <w:rPr>
          <w:rFonts w:ascii="Times New Roman" w:hAnsi="Times New Roman"/>
          <w:sz w:val="20"/>
        </w:rPr>
      </w:pPr>
      <w:r>
        <w:rPr>
          <w:rFonts w:ascii="Times New Roman" w:hAnsi="Times New Roman"/>
          <w:b/>
          <w:i/>
          <w:color w:val="231F20"/>
          <w:sz w:val="20"/>
        </w:rPr>
        <w:t>We have not generated any product revenue to date, have incurred significant net losses since our inception, and expect to continue to incur significant net losses for the foreseeable future.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incurred significant net losses since our inception, have not generated any product revenue to date and have financed our operations principally through issuances of our stock. As of June 30, 2026, we had an accumulated deficit of $667.7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relationships with contract research organizations (CROs) and clinical sites for the clinical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initiation and successful patient enrollment and completion of clinical trials on a timely basis;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acceptable frequency and severity of adverse events in the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efficacy and safety profiles that are satisfactory to the FDA or any comparable foreign regulatory authority for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timely receipt of marketing approvals from applicable regulatory authorities for any product candidates for which we successfully complete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complying with any required post-marketing approval commitments to applicable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achievement of development, regulatory and sales-based milestones under our collaboration agreement with Alnylam;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outputs from our capsid engineering and promoter and regulatory elements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continued acceptable safety profile following any marketing approval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actual market-size, ability to identify patients and the demographics of patients eligible for our product candidates, which may be different than expected;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distribute our products to certain segments of the patient population only accessible through restricted or closed distribution channels;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satisfying any required post-marketing approval commitments to applicable regulatory authorities;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maintaining consistent quality, purity, and potency across clinical supplies and commercial supplies for any approved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identifying, assessing and developing new product candidates, and our ability to expand into multiple indications;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maintaining, and expanding patent and other intellectual property protection, trade secret protection and regulatory exclusivity, both in the U.S. and internationally;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protecting and enforcing our rights in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defending against third-party infringement, misappropriation, or other claims,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entering into, on favorable terms, any collaboration, licensing or other arrangements that may be necessary or desirable to develop, manufacture or commercialize our product candidates and to meet our obligations set forth under such arrangements;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coverage and adequate reimbursement by third-party payors for our products and patients’ willingness to pay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additional funding to develop, manufacture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addressing any competing therapies and technological and market developments;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managing costs, including any unforeseen costs, that we may incur as a result of nonclinical study or clinical trial delays;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attracting, hiring and retaining qualified and key personnel including clinical, scientific, management and administrative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value and could impair our ability to maintain or further our research and development efforts, raise additional necessary capital, grow our business and continue our operations.</w:t>
      </w:r>
    </w:p>
    <w:p>
      <w:pPr>
        <w:pStyle w:val="TextBody"/>
        <w:bidi w:val="0"/>
        <w:spacing w:before="240" w:after="283"/>
        <w:jc w:val="left"/>
        <w:rPr>
          <w:rFonts w:ascii="Times New Roman" w:hAnsi="Times New Roman"/>
          <w:sz w:val="20"/>
        </w:rPr>
      </w:pPr>
      <w:r>
        <w:rPr>
          <w:rFonts w:ascii="Times New Roman" w:hAnsi="Times New Roman"/>
          <w:b/>
          <w:i/>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over the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June 30, 2026, we had $78.1 million in cash and cash equivalents.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For example, under our collaboration agreement with Alnylam, we are not permitted to </w:t>
      </w:r>
      <w:r>
        <w:rPr>
          <w:rFonts w:ascii="Times New Roman" w:hAnsi="Times New Roman"/>
          <w:color w:val="000000"/>
          <w:sz w:val="20"/>
        </w:rPr>
        <w:t xml:space="preserve">conduct any research or development activities with respect to certain collaboration targets or any therapeutic products designed to be directed to such targets, for as long as the target remains a collaboration target. </w:t>
      </w:r>
      <w:r>
        <w:rPr>
          <w:rFonts w:ascii="Times New Roman" w:hAnsi="Times New Roman"/>
          <w:color w:val="231F20"/>
          <w:sz w:val="20"/>
        </w:rPr>
        <w:t>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Our Loan Agreement requires us to comply with specified operating covenants and places restrictions on our operating and financial flexibility.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filing date of this periodic report, our Loan Agreement provides that a loan of $20.0 million may be available at SVB’s discretion, subject to specified conditions. We cannot assure you that any loans will be made available to us under our Loan Agreement. As security for our obligations under the Loan Agreement, we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enacted a temporary suspension on the use of state NOLs in taxable years beginning in 2024, 2025 and 2026, which would adversely affect our company if we earn taxable income in 2026. Consequently, our ability to use our NOLs and certain other tax attributes may be limited.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Discovery, Development, Manufacturing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Before we are able to generate any revenue from product sales, each of our programs and product candidates will require additional preclinical and/or clinical development, expansion of manufacturing capabilities and expertise or successfully outsourcing manufacturing,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do not successfully initiate and complete our clinical trials in a timely manner, including the successful manufacturing of the relevant product candidate,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283"/>
        <w:jc w:val="left"/>
        <w:rPr>
          <w:rFonts w:ascii="Times New Roman" w:hAnsi="Times New Roman"/>
          <w:sz w:val="20"/>
        </w:rPr>
      </w:pPr>
      <w:r>
        <w:rPr>
          <w:rFonts w:ascii="Times New Roman" w:hAnsi="Times New Roman"/>
          <w:color w:val="231F20"/>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hAnsi="Times New Roman"/>
          <w:i/>
          <w:color w:val="231F20"/>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as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will need to meet safety and efficacy standards applicable to any new biologic under the regulatory framework administered by the FDA. In addition to FDA oversight and oversight by investigational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and </w:t>
      </w:r>
      <w:r>
        <w:rPr>
          <w:rFonts w:ascii="Times New Roman" w:hAnsi="Times New Roman"/>
          <w:color w:val="231F20"/>
          <w:sz w:val="20"/>
        </w:rPr>
        <w:t xml:space="preserve">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w:t>
      </w:r>
      <w:r>
        <w:rPr>
          <w:rFonts w:ascii="Times New Roman" w:hAnsi="Times New Roman"/>
          <w:color w:val="000000"/>
          <w:sz w:val="20"/>
        </w:rPr>
        <w:t xml:space="preserve">Failure can occur at any stage of testing. </w:t>
      </w:r>
      <w:r>
        <w:rPr>
          <w:rFonts w:ascii="Times New Roman" w:hAnsi="Times New Roman"/>
          <w:color w:val="231F20"/>
          <w:sz w:val="20"/>
        </w:rPr>
        <w:t xml:space="preserve">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clinical trial application, initiation of a clinical trial, receipt of marketing approval or our ability to commercialize our product candidates, or require us to suspended or terminate further development of our product candidates. Moreover,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color w:val="000000"/>
          <w:sz w:val="20"/>
        </w:rPr>
        <w:t xml:space="preserve"> </w:t>
      </w:r>
      <w:r>
        <w:rPr>
          <w:rFonts w:ascii="Times New Roman" w:hAnsi="Times New Roman"/>
          <w:color w:val="231F20"/>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 Compliance with the CTR and/or MHRA requirements by us, our collaborators and third-party service providers, such as CROs,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inability to generate sufficient preclinical, toxicology, or other </w:t>
      </w:r>
      <w:r>
        <w:rPr>
          <w:rFonts w:ascii="Times New Roman" w:hAnsi="Times New Roman"/>
          <w:i/>
          <w:color w:val="231F20"/>
          <w:sz w:val="20"/>
        </w:rPr>
        <w:t xml:space="preserve">in vivo </w:t>
      </w:r>
      <w:r>
        <w:rPr>
          <w:rFonts w:ascii="Times New Roman" w:hAnsi="Times New Roman"/>
          <w:color w:val="231F20"/>
          <w:sz w:val="20"/>
        </w:rPr>
        <w:t xml:space="preserve">or </w:t>
      </w:r>
      <w:r>
        <w:rPr>
          <w:rFonts w:ascii="Times New Roman" w:hAnsi="Times New Roman"/>
          <w:i/>
          <w:color w:val="231F20"/>
          <w:sz w:val="20"/>
        </w:rPr>
        <w:t xml:space="preserve">in vitro </w:t>
      </w:r>
      <w:r>
        <w:rPr>
          <w:rFonts w:ascii="Times New Roman" w:hAnsi="Times New Roman"/>
          <w:color w:val="231F20"/>
          <w:sz w:val="20"/>
        </w:rPr>
        <w:t>data to support the initiation of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sufficiently developing, characterizing or controlling a manufacturing process suitable for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receipt of feedback from regulatory authorities that requires us to modify the design of our preclinical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preclinical study or clinical trial observations or results that require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extended IRB, IBC and/or EC review process, or inability to obtain approval from one or more of these committees;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failure or delay in reaching an agreement with CROs and clinical trial sites;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suspension or termination of our clinical trials, as a result of </w:t>
      </w:r>
      <w:r>
        <w:rPr>
          <w:rFonts w:ascii="Times New Roman" w:hAnsi="Times New Roman"/>
          <w:color w:val="000000"/>
          <w:sz w:val="20"/>
        </w:rPr>
        <w:t>a clinical hold by regulatory authorities or a voluntary pause,</w:t>
      </w:r>
      <w:r>
        <w:rPr>
          <w:color w:val="231F20"/>
        </w:rPr>
        <w:t xml:space="preserve"> </w:t>
      </w:r>
      <w:r>
        <w:rPr>
          <w:rFonts w:ascii="Times New Roman" w:hAnsi="Times New Roman"/>
          <w:color w:val="231F20"/>
          <w:sz w:val="20"/>
        </w:rPr>
        <w:t>for various reasons, such as we experienced with MyPEAK-1;</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to clinical trial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sites deviating from trial protocol or dropping out of a trial;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and/or duration of preclinical studies or clinical trials being greater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supply or quality of our product candidates or other materials necessary to conduct clinical trials of our product candidates being insufficient or inadequate or slower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subjects experiencing serious, severe, unexpected or otherwise important drug-related or study-related adverse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selection of clinical end points that require prolonged periods of clinical observation or analysis of the resulting data;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inaccurate or untimely clinical data collection, entry, analysis or reporting by clinical sites, third-party contractors and/or CROs;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variability of efficacy assessments;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changes to our manufacturing process that may be necessary or desired;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regulators revising the requirements for approving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unsuccessful post-marketing study or failure to complete such a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absence in some countries of established groups with sufficient regulatory expertise for review of AAV gene therapy protocols;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hAnsi="Times New Roman"/>
          <w:color w:val="000000"/>
          <w:sz w:val="20"/>
        </w:rPr>
        <w:t>mitting an IND, initiating clinical trials or seek</w:t>
      </w:r>
      <w:r>
        <w:rPr>
          <w:rFonts w:ascii="Times New Roman" w:hAnsi="Times New Roman"/>
          <w:color w:val="231F20"/>
          <w:sz w:val="20"/>
        </w:rPr>
        <w:t xml:space="preserve">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novel therapies for the treatment of heart disease. As a result, there is uncertainty as to the safety profile of product candidates we may develop. Patients who received our product candidates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and other programs may result in deaths or other adverse medical events, either during the course of or after receiving our product candidates.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hAnsi="Times New Roman"/>
          <w:color w:val="231F2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the extent we supply any of our product candidates to independent third parties, such as investigator-initiated clinical studies or physicians who initiate and sponsor treatment protocols under expanded access, or compassionate use, outside of well-controlled studies, where we are not the sponsor and thus do not control the conduct of such treatment protocols or clinical studies, unexpected or serious adverse events, even if not directly related to our product candidate, or non-compliance by such third parties could have a material adverse effect on our clinical development plans, result in negative press, or raise questions regarding the safety profile or effectiveness of our product candidates. By supplying our product candidates for such limited uses outside of well-controlled studies sponsored or conducted by us could expose us to additional regulatory obligations and risks, including reporting obligations to the FDA and other regulatory authorities under expanded access regulations and exposure to potential product liability.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Serious adverse events or other side effects observed in any of our clinical trials, through our expanded access program, or in similar trials by other sponsors, may result in difficulty recruiting patients to the clinical trials, cause patients to drop out of our trials, or require that we abandon the trials or our development efforts of that product candidate altogether.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For example, in November 2025, we announced that the FDA placed MyPEAK-1 on clinical hold to request a protocol amendment, primarily to standardize activities related to patient monitoring and management of the immunosuppressive regimen across trial sites. While the hold was lifted after swift and collaborative engagement with the FDA, there is no assurance that it or any future hold on our clinical trials would not have a material adverse effect on our business or our data milestones or development timelines for TN-201 or other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Enrollment may also be impacted by an IRB or ethics committee decision to pause or stop enrollment at a trial site, a DSMB recommendation to pause or stop trial enrollment, or a decision by a regulatory authority to pause or stop trial enrollment in a particular country. Additionally, the FDA, EMA or other comparable foreign regulatory authorities may require long-term follow-up assessments for a certain number of patients, which could delay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expect patient enrollment to be affected because our competitors have ongoing clinical trials for programs that are under development or are approved for the same indications as our product candidates, and patients who would otherwise be eligible for our clinical trials could instead enroll in clinical trials of our competitors’ programs or choose to take an approved medication. Patient enrollment for our clinical trials has been and may continue to be affected by other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size and nature of the patient population;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risks and benefits of novel, unproven approaches;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severity of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availability and efficacy of approved drugs for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ongoing clinical trials evaluating other product candidates in the same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eligibility criteria for the trial in question as defined in the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risks and benefits of the product candidate under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ongoing IRB and/or ethics committee decisions and DSMB recommendations;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public perception about the use of genetic medicines in human therapeutics or precision medicine;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referral practices of physicians;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associated with recruiting eligible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to monitor patients adequately during and after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limited staff and resources at clinical trial sites, including support for clinical trial enrollment and the availability of hospital beds;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activities of key opinion leaders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proximity and availability of clinical trial sites for prospective patients and the ability of patients to travel to these sites;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practical and financial burden of the trial protocol on patients, including conflicts with their work, family and personal activities, as well as travel costs, lodging, lost wages and insufficient reimbursement or support;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site activation, contracting and budget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protocol amendments, reviews and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risk that patients enrolled in clinical trials will drop out of the trials before completion or, because they may have an advanced disease, will not survive the full terms of the clinical trials;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limitations on the rate of patient enrollment required by the clinical trial protocol, including those that may be requested by health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sz w:val="20"/>
        </w:rPr>
      </w:pPr>
      <w:r>
        <w:rPr>
          <w:rFonts w:ascii="Times New Roman" w:hAnsi="Times New Roman"/>
          <w:color w:val="231F20"/>
          <w:sz w:val="20"/>
        </w:rPr>
        <w:t>Due to the significant resources required for the development of product candidates, in particular our product candidates in clinical trials, we must decide which programs, product candidates and indications to pursue and advance the amount of resources to allocate to each.</w:t>
      </w:r>
      <w:r>
        <w:rPr>
          <w:rFonts w:ascii="Times New Roman" w:hAnsi="Times New Roman"/>
          <w:color w:val="000000"/>
          <w:sz w:val="20"/>
        </w:rPr>
        <w:t xml:space="preserve"> </w:t>
      </w:r>
      <w:r>
        <w:rPr>
          <w:rFonts w:ascii="Times New Roman" w:hAnsi="Times New Roman"/>
          <w:color w:val="231F20"/>
          <w:sz w:val="20"/>
        </w:rPr>
        <w:t>Our decisions concerning the allocation of research, development, 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Initial, interim and topline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trials, or different conclusions or considerations may qualify such results, once additional data have been received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ensure that the process works and the product candidate is made strictly and consistently in compliance with the process. Problems with the manufacturing process, even minor deviations from the normal process, including during the manufacture of drug substance, drug product, filling, labeling, packaging, storage, shipping, QC and testing and/or in connection with release assays, including potency assays, could result in product defects, lot failures, product recalls, product liability claims or insufficient inventory, and may ultimately disrupt or delay the supply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some of our employees have experience in the manufacturing of biopharmaceutical products from prior employment at other companies, we as a company have limited experience in manufacturing and oversight of CDMOs conducting manufacturing activities on our behalf. We may also encounter problems hiring and retaining the experienced personnel needed to manage our complex manufacturing operations, including those outsourced to CDMOs. If we experience unanticipated employee shortage or turnover in any of these areas, we may not be able to maintain oversight of our QC, conduct further process improvements or meet our product development timelines; we may also experience difficulties in maintaining compliance with applicable regulatory requirements, which would impair our product development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product candidates have been manufactured in quantities adequate for preclinical studies and our Phase 1b/2 clinical trials for our lead product candidates. We will need to manufacture product candidates in larger quantities for commercialization of the resulting product, if that product candidate is approved for sale, and we may need to manufacture more product to conduct later-stage clinical trials.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costs, delay approval of our product candidates and jeopardize our ability to commercialize our product candidates, if approved, and generate revenue. Moreover, as a result of the closure of our GMMC Facility, we may be required to conduct additional studies to ensure comparability of TN-201 and TN-401, notify and submit additional filings to regulatory authorities, and obtain regulatory approval for any new facilities used to produce these gene therapy clinical product candidates, which approval may be delayed or never received. While the manufacturing process alone is complex, quality issues may also arise during drug product filling, labeling, packaging, storage, shipping and ongoing QC and testing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manufacture of our product candidates will be subject to significant government regulations and approvals, which are often costly and could result in adverse consequences to our business if we or our CDMO’s fail to comply with the regulations or maintain the approvals.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to comply with the FDA’s and applicable foreign regulatory authorities’ cGMP requirements for the production of product candidates for clinical trials and, if approved, commercial supply. We and our CDMOs will be subject to inspections by the FDA and comparable agencies in other jurisdictions to confirm compliance with applicable regulatory requirements. These requirements include the qualification and validation of manufacturing equipment and processes. Any failure to follow cGMP or other regulatory requirements or delay, interruption or other issues that arise in the manufacture of our product candidates as a result of a failure of our facilities or the facilities or operations of our CDMOs or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 as demonstrated in clinical trials compared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safety and efficacy profile and ease of use for pediatric patient population if approved for a pediatric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of market introduction of the product candidate as well as competitive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clinical indications for which a product candidate is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physicians, hospitals, treatment centers and patients considering our product candidates a safe, pure and effective treatment;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and perceived advantages of our product candidates over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of treatment in relation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relative convenience and ease of administration;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willingness of the target patient population or their caregivers to try new therapies and of physicians to prescribe these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coverage and adequate reimbursement by third-party payors, including government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patients’ willingness to pay for these therapies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effectiveness of sales and marketing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support from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public perception about the use of genetic medicines, whether related to our technology or our competitor’s technology;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unfavorable publicity relating to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of other new therapies for the same indications;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acceptance and use of genetic testing required to diagnose the disease and identify patients who qualify for treatment with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significant uncertainty related to third-party payor coverage and reimbursement of newly approved products. In the U.S., for example, principal decisions about reimbursement for new products are typically made by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sued if any of our product candidates or any medications, procedures or activities associated with our clinical trial protocols or our expanded access program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Regardless of the merits or eventual outcome, liability claims may result 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EMA or other regulatory authority investigation of the safety and effectiveness of our products, our manufacturing processes and the facilities used to manufacture our products or our marketing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decreased or interrupted demand for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injury to our reputation;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withdrawal of clinical trial participants and inability to continue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costs to defend the related litigation;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diversion of management’s time and our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substantial monetary awards to trial participants or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recalls, withdrawals or labeling, marketing, or promotional restrictions;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loss of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inability to raise capital or enter into strategic agreements for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exhaustion of any available insurance and our capital resources;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inability to commercialize any products.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120" w:after="283"/>
        <w:jc w:val="left"/>
        <w:rPr>
          <w:rFonts w:ascii="Times New Roman" w:hAnsi="Times New Roman"/>
          <w:sz w:val="20"/>
        </w:rPr>
      </w:pPr>
      <w:r>
        <w:rPr>
          <w:rFonts w:ascii="Times New Roman" w:hAnsi="Times New Roman"/>
          <w:b/>
          <w:i/>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the design, implementation or results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FDA, EMA or other comparable foreign regulatory authorities may require that we conduct additional preclinical studies or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the manufacturing processes, test procedures and specifications or facilities of CDMOs and/or third-party manufacturers with which we contract for clinical and commercial supplies;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companion diagnostic tests required for commercialization of our product candidates;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 under the current leadership at the HHS, layoffs due to the reduction in force initiative and other measures implemented by the Department of Government Efficiency, agency staff departures, and lapse of government appropriations can impact the normal operations of the FDA as well as other federal agencies. The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materially harm our business, financial condition, results of operations and prospects, and may significantly limit the size of the market for the drug and affect reimbursement by third-party payors.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the FDA, EMA or other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 facilities where the products are manufactured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or the rejection of product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our ability to conduct clinical trials, including full or partial clinical holds on ongoing or planned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products, manufacturers or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warning or untitled letters;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civil and criminal penalties;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injunctions;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suspension or withdrawal of regulatory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seizures, detentions or import bans;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voluntary or mandatory product recalls and publicity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or partial suspension of production;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imposition of restrictions on operations, including costly new manufacturing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fees or fee waivers and without incentives, it is unlikely that sales of the drug in Europe would be sufficient to justify the necessary investment in developing the drug.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hAnsi="Times New Roman"/>
          <w:i/>
          <w:color w:val="231F20"/>
          <w:sz w:val="20"/>
        </w:rPr>
        <w:t>Catalyst Pharms., Inc. v. Becerra</w:t>
      </w:r>
      <w:r>
        <w:rPr>
          <w:rFonts w:ascii="Times New Roman" w:hAnsi="Times New Roman"/>
          <w:color w:val="231F20"/>
          <w:sz w:val="20"/>
        </w:rPr>
        <w:t>, 14 F.4</w:t>
      </w:r>
      <w:r>
        <w:rPr>
          <w:rFonts w:ascii="Times New Roman" w:hAnsi="Times New Roman"/>
          <w:color w:val="231F20"/>
          <w:sz w:val="13"/>
        </w:rPr>
        <w:t>th</w:t>
      </w:r>
      <w:r>
        <w:rPr>
          <w:rFonts w:ascii="Times New Roman" w:hAnsi="Times New Roman"/>
          <w:color w:val="231F20"/>
          <w:sz w:val="20"/>
        </w:rPr>
        <w:t xml:space="preserve"> 1299 (11</w:t>
      </w:r>
      <w:r>
        <w:rPr>
          <w:rFonts w:ascii="Times New Roman" w:hAnsi="Times New Roman"/>
          <w:color w:val="231F20"/>
          <w:sz w:val="13"/>
        </w:rPr>
        <w:t xml:space="preserve">th </w:t>
      </w:r>
      <w:r>
        <w:rPr>
          <w:rFonts w:ascii="Times New Roman" w:hAnsi="Times New Roman"/>
          <w:color w:val="231F20"/>
          <w:sz w:val="20"/>
        </w:rPr>
        <w:t xml:space="preserve">Cir. 2021) case, in a January 2023 notice, the FDA clarified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 xml:space="preserve">Catalyst </w:t>
      </w:r>
      <w:r>
        <w:rPr>
          <w:rFonts w:ascii="Times New Roman" w:hAnsi="Times New Roman"/>
          <w:color w:val="231F20"/>
          <w:sz w:val="20"/>
        </w:rPr>
        <w:t>order. The Consolidated Appropriations Act of 2026, signed into law in February 2026, codified this longstanding FDA interpretation of the Orphan Drug Act, allowing the FDA to approve multiple versions of the same orphan drug for different subindications and subpopulations.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has been extended by Congress through September 2029 under the Consolidated Appropriations Act, 2026, which means the FDA may not award any priority review vouchers under this program after September 30, 2029. There is no guarantee that any of our product candidates will be approved by that date, or at all. We may not obtain a priority review voucher prior to expiration of the program, unless Congress further reauthorizes the program.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of our clinical product candidates have been granted orphan drug designation by the FDA and/or the EC, and we may seek orphan drug designation for other product candidates in the U.S., Europe and other jurisdictions. Both TN-201 and TN-301 have also received rare pediatric disease designation from the FDA for MYBPC3-associated HCM and DMD, respectively.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hAnsi="Times New Roman"/>
          <w:color w:val="231F20"/>
          <w:sz w:val="20"/>
        </w:rPr>
        <w:t>there can be no assurances that we will be able to obtain orphan drug designation for our other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face difficulties from changes to current FDA and healthcare regulations and future legislation.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the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 under the current U.S. presidential administration, agency reorganization, mass layoffs due to the reduction in force initiative and other measures implemented by the Department of Government Efficiency may impact the normal operations of the FDA as well as other federal agencies. The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maximum fair pricing for the Medicare Drug Price Negotiation Program for 2028.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the first agreements with two major pharmaceutical companies to bring American drug prices in line with the lowest paid by other developed nations, requiring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companies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transfer, security and other processing of personal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Outside of the U.S., we are subject to extensive legal requirements relating to privacy, data protection, security and the collection, distribution, use, disclosure, storage, transfer and other processing of personal data. For example, the collection and use of health data and other personal data, including personal data collected in clinical trials,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governed in the EU by the GDPR, which imposes substantial obligations upon companies and provides rights for individuals, and by certain EU member state-level legislation. </w:t>
      </w:r>
      <w:r>
        <w:rPr>
          <w:rFonts w:ascii="Times New Roman" w:hAnsi="Times New Roman"/>
          <w:color w:val="000000"/>
          <w:sz w:val="20"/>
        </w:rPr>
        <w:t xml:space="preserve">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hAnsi="Times New Roman"/>
          <w:color w:val="231F20"/>
          <w:sz w:val="20"/>
        </w:rPr>
        <w:t xml:space="preserve">Failure to comply with the GDPR or UK GDPR may result in fines up to €20,000,000 </w:t>
      </w:r>
      <w:r>
        <w:rPr>
          <w:rFonts w:ascii="Times New Roman" w:hAnsi="Times New Roman"/>
          <w:color w:val="000000"/>
          <w:sz w:val="20"/>
        </w:rPr>
        <w:t xml:space="preserve">(£17.5 million in the UK) </w:t>
      </w:r>
      <w:r>
        <w:rPr>
          <w:rFonts w:ascii="Times New Roman" w:hAnsi="Times New Roman"/>
          <w:color w:val="231F20"/>
          <w:sz w:val="20"/>
        </w:rPr>
        <w:t xml:space="preserve">or 4% of the total worldwide annual turnover of the preceding financial year, whichever is higher, and other administrative penalties. The GDPR or UK GDPR impose significant responsibility and expose us to potential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hAnsi="Times New Roman"/>
          <w:color w:val="000000"/>
          <w:sz w:val="20"/>
        </w:rPr>
        <w:t>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the U.S., a variety of laws, rules, regulations and standards relating to privacy, data protection, security, and the distribution, use, disclosure, storage, transfer and other processing of data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states have enacted laws relating to privacy and data security that either are in operation or slated to go into operation over the next several years. In many cases, these laws are comprehensive privacy laws similar to the CCPA, with potentially greater penalties and more rigorous compliance requirements.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States also are enacting laws addressing specific subject matter, such as Washington’s My Health, My Data Act, which includes a private right of action. Laws in all 50 states may require businesses to provide notice to individuals whose personal data has been disclosed as a result of a data breach. The U.S. government also has instituted rules, effective April 8, 2025, that prohibit or restrict transactions involving certain types and amounts of sensitive data between U.S. persons and foreign persons associated with specific countries of concern. Among other things, these new rules require U.S. businesses to seek assurances from certain foreign parties with which they share sensitive data (under certain types of agreements) that those parties will not further share that data with parties in countries of concern.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 the GDPR, PIPEDA, CCPA, and other laws, regulations and other obligations relating to privacy, data protection and security imposing new and relatively burdensome obligations, and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an effort to do so.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federal consumer protection and unfair competition laws, which broadly regulate marketplace activities and activities that potentially harm consumers;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reporting obligations, contractual damages, reputational harm, diminished profits and future earnings and the curtailment or restructuring of our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Other new regulations could affect the transfer of certain types of data abroad, including to China, and may add expenses or unforeseen burdens to the process of contracting with service providers. These regulations,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Increased tariffs on imports, trade sanctions, other trade restrictions, or a global trade war could increase our costs and materially and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negatively affected by tariffs, trade restrictions, and other governmental actions, any of which can be imposed suddenly and unpredictably. For example, there is currently significant uncertainty about the future relationship between the U.S. and various other countries with respect to trade policies, treaties, trade regulations, and tariffs. Beginning in 2025, the U.S. government imposed or announced various new tariffs on certain imports, including commodity-specific, reciprocal, and country-specific tariffs, and additional tariffs may be forthcoming. For example, in April 2025, the U.S. Department of Commerce initiated an investigation into potential tariffs on pharmaceuticals, pharmaceutical ingredients, and derivative products; when these investigations are complete, the U.S. government may decide to levy additional tariffs on these products. These or additional tariffs (and the uncertainty around their implementation) could affect inputs to our products, as well 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U.S. or other countries, our business, financial condition, and results of operations may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The ultimate impact of any tariffs or trade restrictions will depend on various factors, including the timing of implementation and the duration, amount, scope, and nature of the tariffs and trade restrictions and reactions from other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trade restrictions or any resulting trade war could negatively affect the global market, including for pharmaceuticals, and could have a significant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tax law could increase the tax burden on our orphan drug programs and adversely affect our business and financial condition.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While we have </w:t>
      </w:r>
      <w:r>
        <w:rPr>
          <w:rFonts w:ascii="Times New Roman" w:hAnsi="Times New Roman"/>
          <w:color w:val="000000"/>
          <w:sz w:val="20"/>
        </w:rPr>
        <w:t>reflected the effects of the enactment of OBBB Act for the fiscal year ended December 31, 2025, w</w:t>
      </w:r>
      <w:r>
        <w:rPr>
          <w:rFonts w:ascii="Times New Roman" w:hAnsi="Times New Roman"/>
          <w:color w:val="231F20"/>
          <w:sz w:val="20"/>
        </w:rPr>
        <w:t>e will continue to evaluate the full impact of the legislation on us. These changes could affect our total U.S. federal tax liability when and if we become profitable.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sz w:val="20"/>
        </w:rPr>
      </w:pPr>
      <w:r>
        <w:rPr>
          <w:rFonts w:ascii="Times New Roman" w:hAnsi="Times New Roman"/>
          <w:color w:val="231F20"/>
          <w:sz w:val="20"/>
        </w:rPr>
        <w:t>We are highly dependent on the principal members of our management, our scientific and clinical advisors and consultants, and our scientific and medical staff.</w:t>
      </w:r>
      <w:r>
        <w:rPr>
          <w:rFonts w:ascii="Times New Roman" w:hAnsi="Times New Roman"/>
          <w:color w:val="000000"/>
          <w:sz w:val="20"/>
        </w:rPr>
        <w:t xml:space="preserve"> </w:t>
      </w:r>
      <w:r>
        <w:rPr>
          <w:rFonts w:ascii="Times New Roman" w:hAnsi="Times New Roman"/>
          <w:color w:val="231F20"/>
          <w:sz w:val="20"/>
        </w:rPr>
        <w:t>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advisors and consultants or if they provide services to our competitors, our development and commercialization efforts will be impaired and our business will be significantly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 order to successfully implement our long-term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order to successfully implement our development and commercialization plans and strategies, we expect to need additional managerial, operational, sales, marketing, financial and other personnel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sz w:val="20"/>
        </w:rPr>
      </w:pPr>
      <w:r>
        <w:rPr>
          <w:rFonts w:ascii="Times New Roman" w:hAnsi="Times New Roman"/>
          <w:color w:val="000000"/>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w:t>
      </w:r>
      <w:r>
        <w:rPr>
          <w:rFonts w:ascii="Times New Roman" w:hAnsi="Times New Roman"/>
          <w:color w:val="231F20"/>
          <w:sz w:val="20"/>
        </w:rPr>
        <w:t xml:space="preserve">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and cyber-attacks and other hacking attempts by malicious third parties, which may disrupt or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hAnsi="Times New Roman"/>
          <w:color w:val="000000"/>
          <w:sz w:val="20"/>
        </w:rPr>
        <w:t>to date, we and our third-party service providers have frequently been the target of threats of this nature and we expect these threats and attacks to continue.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delay of the development and commercialization of our product candidates.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While we maintain cybersecurity insurance that we believe to be reasonable for our business, our current cybersecurity insurance may not fully cover the damages arising from the assertion of one or more large claims against us in connection with a breach or other cybersecurity-related matter, which could adversely affect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differing regulatory requirements and reimbursement regimes;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unexpected changes in tariffs, trade barriers, price and exchange controls and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economic weakness, including inflation, or political instability in particular foreign economies and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compliance with tax, employment, immigration and labor laws for employees living or traveling abroad;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taxes, including withholding of payroll taxes;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difficulties staffing and managing foreign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workforce uncertainty in countries where labor unrest is more common than in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 liability under the FCPA or comparable foreign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production shortages resulting from any events affecting raw material supply or manufacturing capabilities abroad;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business interruptions resulting from geo-political actions, including war and terrorism.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hAnsi="Times New Roman"/>
          <w:color w:val="000000"/>
          <w:sz w:val="20"/>
        </w:rPr>
        <w:t xml:space="preserve">Additionally, recent reforms and changes at government agencies of the U.S. and those of non-U.S. jurisdictions could increase the uncertainties, timing and costs surrounding the prosecution or maintenance of our patent applications, and the maintenance, enforcement, or defense of our issued patents. </w:t>
      </w:r>
      <w:r>
        <w:rPr>
          <w:rFonts w:ascii="Times New Roman" w:hAnsi="Times New Roman"/>
          <w:color w:val="231F20"/>
          <w:sz w:val="20"/>
        </w:rPr>
        <w:t>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 applications may not result in any patents being issued;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may be challenged, invalidated, modified, revoked, circumvented, found to be unenforceable, narrowed in scope or otherwise may not provide any competitive advantage;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While we believe our intellectual property allows us to pursue our current development programs, we may not be aware of all third-party intellectual property rights potentially relating to our technology and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120" w:after="283"/>
        <w:jc w:val="left"/>
        <w:rPr>
          <w:rFonts w:ascii="Times New Roman" w:hAnsi="Times New Roman"/>
          <w:sz w:val="20"/>
        </w:rPr>
      </w:pPr>
      <w:r>
        <w:rPr>
          <w:rFonts w:ascii="Times New Roman" w:hAnsi="Times New Roman"/>
          <w:color w:val="231F20"/>
          <w:sz w:val="20"/>
        </w:rPr>
        <w:t>The issuance of a patent is not conclusive as to its inventorship, scope, validity or enforceability, and the inventorship, scope, validity or enforceability of our patents, potential future patents or the patents of our licensors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w:t>
      </w:r>
      <w:r>
        <w:rPr>
          <w:rFonts w:ascii="Times New Roman" w:hAnsi="Times New Roman"/>
          <w:color w:val="000000"/>
          <w:sz w:val="20"/>
        </w:rPr>
        <w:t xml:space="preserve"> </w:t>
      </w:r>
      <w:r>
        <w:rPr>
          <w:rFonts w:ascii="Times New Roman" w:hAnsi="Times New Roman"/>
          <w:color w:val="231F20"/>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the biotechnology industry expands and more patents are issued, the risk increases that our product candidates may be subject to claims of infringement, misappropriation or other violation of the patent or other intellectual property rights of third parties.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Although no third party has asserted a claim of patent infringement against us as of the date of this periodic report, there can be no assurance that we will not be subject to claims of patent or other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hAnsi="Times New Roman"/>
          <w:color w:val="000000"/>
          <w:sz w:val="20"/>
        </w:rPr>
        <w:t xml:space="preserve">For example, the U.S. Supreme Court 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hAnsi="Times New Roman"/>
          <w:color w:val="231F20"/>
          <w:sz w:val="20"/>
        </w:rPr>
        <w:t xml:space="preserve">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w:t>
      </w:r>
      <w:r>
        <w:rPr>
          <w:rFonts w:ascii="Times New Roman" w:hAnsi="Times New Roman"/>
          <w:color w:val="000000"/>
          <w:sz w:val="20"/>
        </w:rPr>
        <w:t>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w:t>
      </w:r>
      <w:r>
        <w:rPr>
          <w:rFonts w:ascii="Times New Roman" w:hAnsi="Times New Roman"/>
          <w:color w:val="231F20"/>
          <w:sz w:val="20"/>
        </w:rPr>
        <w:t xml:space="preserve"> The laws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governing patents could change in unpredictable ways that would weaken our ability to obtain new patents or to enforce our existing patent and the patents we might obtain or license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challenging the inventorship or ownership of our owned patents, patent applications or in-licensed patent rights and other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although we are not aware of any inventorship disputes as of the date of this periodic report,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rights in the relevant jurisdiction. If such an event were to occur, it could have a material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third parties may still derive similar information independently, and we would have no right to prevent them from using that information to compete with us. We expect know-how and information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that we or our employees, consultants, advisors or contractors have wrongfully used or disclosed alleged confidential information or trade secrets.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Dependence on Third Parties</w:t>
      </w:r>
    </w:p>
    <w:p>
      <w:pPr>
        <w:pStyle w:val="TextBody"/>
        <w:bidi w:val="0"/>
        <w:spacing w:before="120" w:after="283"/>
        <w:jc w:val="left"/>
        <w:rPr>
          <w:rFonts w:ascii="Times New Roman" w:hAnsi="Times New Roman"/>
          <w:sz w:val="20"/>
        </w:rPr>
      </w:pPr>
      <w:r>
        <w:rPr>
          <w:rFonts w:ascii="Times New Roman" w:hAnsi="Times New Roman"/>
          <w:b/>
          <w:i/>
          <w:color w:val="231F20"/>
          <w:sz w:val="20"/>
        </w:rPr>
        <w:t>We rely on third parties to conduct our preclinical studies and our clinical trials, and plan to rely on third parties to conduct such future drug development activities. These third parties may not perform satisfactorily, including</w:t>
      </w:r>
      <w:r>
        <w:rPr>
          <w:rFonts w:ascii="Times New Roman" w:hAnsi="Times New Roman"/>
          <w:color w:val="231F2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failing to meet completion deadlines, or to comply with applicable regulatory requirements, which may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In particular, we </w:t>
      </w:r>
      <w:r>
        <w:rPr>
          <w:rFonts w:ascii="Times New Roman" w:hAnsi="Times New Roman"/>
          <w:color w:val="000000"/>
          <w:sz w:val="20"/>
        </w:rPr>
        <w:t xml:space="preserve">decommissioned the GMMC Facility in 2025 to reduce costs. Although we have retained our internal process and assay development know-how and plan to transfer our AAV manufacturing process to a contract development manufacturing organization with global capabilities in anticipation of future late-stage development and/or commercial launch of TN-201 and/or TN-401, any delay, cGMP or quality issues, or difficulties in negotiating favorable terms with the contract manufacturing organization could result in a material adverse effect on our business operations and our clinical development plans. </w:t>
      </w:r>
      <w:r>
        <w:rPr>
          <w:rFonts w:ascii="Times New Roman" w:hAnsi="Times New Roman"/>
          <w:color w:val="231F20"/>
          <w:sz w:val="20"/>
        </w:rPr>
        <w:t>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termination or nonrenewal of arrangements or agreements by our third-party contractors at a time that is costly or inconvenient for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breach by the third-party contractors of our agreements with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third-party contractors to manufacture our product candidates according to our specifications or comply with applicable regulatory requirements, including cGMP;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infringement, misappropriation or other violation of our intellectual property or proprietary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increased operating expenses and cash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assumption of additional indebtedness or contingent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assimilation of operations, intellectual property and products of an acquired company, including difficulties associated with integrating new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diversion of our management’s attention from our existing programs and initiatives in pursuing such a strategic partnership or acquisition;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unauthorized use or disclosure of our confidential information accessed in connection with partnership activities;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loss of key personnel and uncertainties in our ability to maintain key business relationships;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realize anticipated efficiencies and strategic benefits from such acquisitions or strategic partnerships.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costly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reach a definitive agreement, we may have to curtail the development of a product candidate, reduce or delay its development program or one or more of our other development programs or technical capabilities,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reduce our planned capital expenditures across other areas of our business or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enter into any collaboration arrangements with any third parties, we will likely have limited control over the amount and timing of resources that our collaborators dedicate to the development or commercialization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product candidates. For example, under our collaboration agreement with Alnylam, following the completion of the validation activities, Alnylam will have complete control of</w:t>
      </w:r>
      <w:r>
        <w:rPr>
          <w:rFonts w:ascii="Times New Roman" w:hAnsi="Times New Roman"/>
          <w:color w:val="000000"/>
          <w:sz w:val="20"/>
        </w:rPr>
        <w:t xml:space="preserve"> all development, manufacture, regulatory and commercialization activities for any products directed to a collaboration target. </w:t>
      </w:r>
      <w:r>
        <w:rPr>
          <w:rFonts w:ascii="Times New Roman" w:hAnsi="Times New Roman"/>
          <w:color w:val="231F20"/>
          <w:sz w:val="20"/>
        </w:rPr>
        <w:t>Our ability to generate revenues from these arrangements will depend on our collaborators’ abilities and efforts to successfully perform the functions assigned to them in these arrangements. Collaborations involving our product candidates or technical capabilities would pose numerous risks to us,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grant exclusive rights to our collaborators that would prevent us from collaborating with others;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 agreements may not lead to development or commercialization of product candidates in the most efficient manner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collaborator’s sales and marketing activities or other operations may not be in compliance with applicable laws resulting in civil or criminal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Securities Market and Ownership of Our Common Stock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price of our stock is volatile, and you could lose all or part of your investment.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timing of achievement of our research, clinical, regulatory and other milestones for our product candidates;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results of preclinical studies and clinical trials of our product candidates, those conducted by third parties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success of competitive products or announcements by potential competitors of their product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with respect to our product candidates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our growth rate relative to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or legal developments in the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application of new standards and practices applied by the FDA for review of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litigation, including developments or disputes concerning patent applications, issued patents or other intellectual property or proprietary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recruitment or departure of key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announcements by us or our competitors of significant acquisitions, strategic collaborations, joint ventures, licensing arrangements or capital commitments;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decision to terminate or dispose of any preclinical or clinical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level of research and development expenses incurred for our product candidates and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estimates as to financial results, development timelines or coverage and/or recommendations by securities analysts;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fluctuations in the valuation of companies perceived by investors to be comparable to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conditions in the pharmaceutical and biotechnology sector;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the structure of healthcare payment systems;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 price and volume fluctuations attributable to inconsistent trading volume levels of our shares;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 or expectation of additional financing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our common stock by us, our insiders or our other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expiration of market stand-off or lock-up agreements;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natural disasters or public health emergencies;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fluctuations in interest rates and inflation rates;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 economic, political, industry and market conditions.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listing standards of the Nasdaq Global Select Market require, among other things, that the minimum price of a listed company’s stock be at or above $1.00. On January 28, 2026, we received a letter from the Staff of Nasdaq indicating that, based upon the closing bid price of shares of our common stock for the 30 consecutive business day period between December 12, 2025, through January 27, 2026, the Company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While we did not regain compliance by the end of the Compliance Period, we were eligible for additional time to regain compliance (the Second Compliance Period) pursuant to Nasdaq Listing Rule 5810(c)(3)(A)(i) by transferring to the Nasdaq Capital Market. To qualify for the Second Compliance Period, we submitted a transfer application and paid an application fee. Our common stock was transferred to the Nasdaq Capital Market effective as of the opening of business on July 31, 2026 and continues to trade under the symbol “TNYA”. In addition, we are required to meet the continued listing requirement for the market value of its publicly held shares and all other initial listing standards for Nasdaq, with the exception of the bid price requirement, and provided written notice of its intention to cure the deficiency during the Second Compliance Period, by effecting a reverse stock split, if necessary. There can be no assurance that we will be able to regain or maintain compliance with the minimum bid price requirement or any other Nasdaq listing standards, if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regain compliance with or continue to satisfy the Nasdaq continued listing requirements, our common stock will be subject to delisting. Delisting from Nasdaq could adversely affect our ability to raise additional financing through the public or private sale of equity securities, would significantly affect the ability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June 30, 2026, our executive officers, directors, holders of 5% or more of our capital stock and their respective affiliates beneficially owned approximately 22%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Sales of a substantial number of shares of our common stock in the public market could occur at any time. For example, we filed (i) on March 4, 2025, a prospectus supplement to our shelf registration statement on Form S-3 that became effective on August 10, 2022 that covered the offering, issuance and sale of 75,000,000 shares of our common stock, Series A Warrants to purchase 75,000,000 shares of our common stock, and Series B warrants to purchase 37,500,000 shares of our common stock, (ii) </w:t>
      </w:r>
      <w:r>
        <w:rPr>
          <w:rFonts w:ascii="Times New Roman" w:hAnsi="Times New Roman"/>
          <w:color w:val="000000"/>
          <w:sz w:val="20"/>
        </w:rPr>
        <w:t>a new shelf registration statement on Form S-3 that became effective on March 31, 2025</w:t>
      </w:r>
      <w:r>
        <w:rPr>
          <w:rFonts w:ascii="Times New Roman" w:hAnsi="Times New Roman"/>
          <w:color w:val="231F20"/>
          <w:sz w:val="20"/>
        </w:rPr>
        <w:t>, which will allow us to undertake various equity and debt offerings up to $300.0 million (the 2025 Shelf Registration), and (iii) on December 12, 2025, a prospectus supplement to our 2025 Shelf Registration that covered the offering, issuance and sale of 50,000,000 shares of our common stock and warrants to purchase 50,000,000 shares of our common stock</w:t>
      </w:r>
      <w:r>
        <w:rPr>
          <w:rFonts w:ascii="Times New Roman" w:hAnsi="Times New Roman"/>
          <w:color w:val="000000"/>
          <w:sz w:val="20"/>
        </w:rPr>
        <w:t>. As of June 30, 2026, Series B Warrants to purchase 10,211,250 shares of our common stock have been exercised, and the remaining Series B Warrants to purchase 27,288,750 shares of our common stock expired on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unexpired Series A Warrants and December 2025 Warrants are exercised and shares are sold, or if it is perceived that they will be sold, in the public market, the trading price of our common stock could decline.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our management and other personnel need to devote a substantial amount of time to these compliance initiatives.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 classified board of directors so that not all members of our board are elected at one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permit only the board of directors to establish the number of directors and fill vacancies on the board;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provide that directors may only be removed “for cause”;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the issuance of “blank check” preferred stock that our board could use to implement a stockholder rights plan (also known as a poison pill);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eliminate the ability of our stockholders to call special meetings of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stockholder action by written consent, which requires all stockholder actions to be taken at a meeting of our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cumulative voting;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our board of directors to amend the bylaws;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 a super-majority vote of stockholders to amend or repeal specified provisions of our certificate of incorporation and bylaws.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derivative action or proceeding brought on our behalf;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of breach of fiduciary duty;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arising under the DGCL, our certificate of incorporation or our bylaws;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that is governed by the internal-affairs doctrine.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exclusive-forum provisions may limit a stockholder’s ability to bring a claim in a judicial forum that it finds favorable for disputes with us or our directors, officers or other employees. In addition, these exclusive-forum provisions may impose additional litigation costs for stockholders who determine to pursue any such lawsuits against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person or entity purchasing or otherwise acquiring any interest in any of our securities shall be deemed to have notice of and consented to these provisions. There is uncertainty as to whether a court would enforce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pStyle w:val="TextBody"/>
        <w:bidi w:val="0"/>
        <w:spacing w:before="24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no sales of unregistered equity securities during the period covered by this report that were not previously reported in a Quarterly Report on Form 10-Q or a Current Report on Form 8-K.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0"/>
        <w:gridCol w:w="146"/>
        <w:gridCol w:w="6347"/>
        <w:gridCol w:w="586"/>
        <w:gridCol w:w="754"/>
        <w:gridCol w:w="736"/>
        <w:gridCol w:w="776"/>
      </w:tblGrid>
      <w:tr>
        <w:trPr/>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Filing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Composite Amended and Restated Certificate of Incorporation of Tenaya Therapeutics, Inc., as amended</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8-9-2023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Tenaya Therapeutics,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3-21-2023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2021 Equity Incentive Plan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5-29-2026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Employment Letter between the Registrant and Eric Hyllengren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6-29-2026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10_3.htm">
              <w:r>
                <w:rPr>
                  <w:rStyle w:val="InternetLink"/>
                  <w:rFonts w:ascii="Times New Roman" w:hAnsi="Times New Roman"/>
                  <w:color w:val="0000FF"/>
                  <w:sz w:val="20"/>
                  <w:u w:val="single"/>
                </w:rPr>
                <w:t>Outside Director Compensation Policy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10_4.htm">
              <w:r>
                <w:rPr>
                  <w:rStyle w:val="InternetLink"/>
                  <w:rFonts w:ascii="Times New Roman" w:hAnsi="Times New Roman"/>
                  <w:color w:val="0000FF"/>
                  <w:sz w:val="20"/>
                  <w:u w:val="single"/>
                </w:rPr>
                <w:t>First Amendment to Loan and Security Agreement by and between Silicon Valley Bank, a division of First-Citizens Bank &amp; Trust Company and Tenaya Therapeutics,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compensatory plan or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846"/>
        <w:gridCol w:w="146"/>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Tenaya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Hyllengren,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Hyllengren,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tnya-ex10_3.htm"/>
      <w:bookmarkStart w:id="22" w:name="kstnyaex10_3"/>
      <w:bookmarkEnd w:id="21"/>
      <w:bookmarkEnd w:id="22"/>
      <w:r>
        <w:rPr>
          <w:rFonts w:ascii="Times New Roman" w:hAnsi="Times New Roman"/>
          <w:b/>
          <w:color w:val="000000"/>
          <w:sz w:val="24"/>
        </w:rPr>
        <w:t>Exhibit 10.3</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(as most recently amended May 27, 2026)</w:t>
      </w:r>
    </w:p>
    <w:p>
      <w:pPr>
        <w:pStyle w:val="TextBody"/>
        <w:bidi w:val="0"/>
        <w:spacing w:before="480" w:after="283"/>
        <w:jc w:val="both"/>
        <w:rPr>
          <w:rFonts w:ascii="Times New Roman" w:hAnsi="Times New Roman"/>
          <w:sz w:val="20"/>
        </w:rPr>
      </w:pPr>
      <w:r>
        <w:rPr>
          <w:rFonts w:ascii="Times New Roman" w:hAnsi="Times New Roman"/>
          <w:color w:val="000000"/>
          <w:sz w:val="24"/>
        </w:rPr>
        <w:t>Tenaya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Effective Date; Restatement Date</w:t>
      </w:r>
      <w:r>
        <w:rPr>
          <w:rFonts w:ascii="Times New Roman" w:hAnsi="Times New Roman"/>
          <w:color w:val="000000"/>
          <w:sz w:val="24"/>
        </w:rPr>
        <w:t>. This Policy originally became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Times New Roman" w:hAnsi="Times New Roman"/>
          <w:color w:val="000000"/>
          <w:sz w:val="24"/>
          <w:u w:val="single"/>
        </w:rPr>
        <w:t>Effective Date</w:t>
      </w:r>
      <w:r>
        <w:rPr>
          <w:color w:val="000000"/>
        </w:rPr>
        <w:t>”</w:t>
      </w:r>
      <w:r>
        <w:rPr>
          <w:rFonts w:ascii="Times New Roman" w:hAnsi="Times New Roman"/>
          <w:color w:val="000000"/>
          <w:sz w:val="24"/>
        </w:rPr>
        <w:t>), and has been amended and restated from time to time, and was most recently amended on May 27, 2026 (the “2026 Restatement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Cash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Board Member Annual Cash Retainer</w:t>
      </w:r>
      <w:r>
        <w:rPr>
          <w:rFonts w:ascii="Times New Roman" w:hAnsi="Times New Roman"/>
          <w:color w:val="000000"/>
          <w:sz w:val="24"/>
        </w:rPr>
        <w:t>. Effective January 1, 2026, each Outside Director will be paid an annual cash retainer of $40,000. There are no per</w:t>
        <w:noBreakHyphen/>
        <w:t xml:space="preserve">meeting attendance fees for attending Board meetings or meetings of any committee of the Board.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40"/>
        <w:jc w:val="both"/>
        <w:rPr/>
      </w:pPr>
      <w:r>
        <w:rPr>
          <w:rFonts w:ascii="Times New Roman" w:hAnsi="Times New Roman"/>
          <w:color w:val="000000"/>
          <w:sz w:val="24"/>
          <w:u w:val="single"/>
        </w:rPr>
        <w:t>Additional Annual Cash Retainers</w:t>
      </w:r>
      <w:r>
        <w:rPr>
          <w:rFonts w:ascii="Times New Roman" w:hAnsi="Times New Roman"/>
          <w:color w:val="000000"/>
          <w:sz w:val="24"/>
        </w:rPr>
        <w:t xml:space="preserve">. As of the Effective Date, each Outside Director who serves as the Chair of the Board, or the chair or a member of a committee of the Board, will be eligible to earn additional annual fees as follows: </w:t>
      </w:r>
    </w:p>
    <w:tbl>
      <w:tblPr>
        <w:tblW w:w="6602" w:type="dxa"/>
        <w:jc w:val="left"/>
        <w:tblInd w:w="0" w:type="dxa"/>
        <w:tblLayout w:type="fixed"/>
        <w:tblCellMar>
          <w:top w:w="28" w:type="dxa"/>
          <w:left w:w="28" w:type="dxa"/>
          <w:bottom w:w="28" w:type="dxa"/>
          <w:right w:w="28" w:type="dxa"/>
        </w:tblCellMar>
      </w:tblPr>
      <w:tblGrid>
        <w:gridCol w:w="5671"/>
        <w:gridCol w:w="931"/>
      </w:tblGrid>
      <w:tr>
        <w:trPr/>
        <w:tc>
          <w:tcPr>
            <w:tcW w:w="56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6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Non-Executive Chair of the Board:</w:t>
            </w:r>
          </w:p>
        </w:tc>
        <w:tc>
          <w:tcPr>
            <w:tcW w:w="9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$30,000</w:t>
            </w:r>
          </w:p>
        </w:tc>
      </w:tr>
      <w:tr>
        <w:trPr/>
        <w:tc>
          <w:tcPr>
            <w:tcW w:w="567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Lead Independent Director:</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$20,000</w:t>
            </w:r>
          </w:p>
        </w:tc>
      </w:tr>
      <w:tr>
        <w:trPr/>
        <w:tc>
          <w:tcPr>
            <w:tcW w:w="5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Audit Committee Chair:</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$15,000</w:t>
            </w:r>
          </w:p>
        </w:tc>
      </w:tr>
      <w:tr>
        <w:trPr/>
        <w:tc>
          <w:tcPr>
            <w:tcW w:w="567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Audit Committee Member: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$7,500</w:t>
            </w:r>
          </w:p>
        </w:tc>
      </w:tr>
      <w:tr>
        <w:trPr/>
        <w:tc>
          <w:tcPr>
            <w:tcW w:w="5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Chair: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$12,000</w:t>
            </w:r>
          </w:p>
        </w:tc>
      </w:tr>
      <w:tr>
        <w:trPr/>
        <w:tc>
          <w:tcPr>
            <w:tcW w:w="567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Member: </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$6,000</w:t>
            </w:r>
          </w:p>
        </w:tc>
      </w:tr>
      <w:tr>
        <w:trPr/>
        <w:tc>
          <w:tcPr>
            <w:tcW w:w="5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Chair: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6872" w:type="dxa"/>
        <w:jc w:val="left"/>
        <w:tblInd w:w="0" w:type="dxa"/>
        <w:tblLayout w:type="fixed"/>
        <w:tblCellMar>
          <w:top w:w="28" w:type="dxa"/>
          <w:left w:w="28" w:type="dxa"/>
          <w:bottom w:w="28" w:type="dxa"/>
          <w:right w:w="28" w:type="dxa"/>
        </w:tblCellMar>
      </w:tblPr>
      <w:tblGrid>
        <w:gridCol w:w="5941"/>
        <w:gridCol w:w="931"/>
      </w:tblGrid>
      <w:tr>
        <w:trPr/>
        <w:tc>
          <w:tcPr>
            <w:tcW w:w="59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94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Member: </w:t>
            </w:r>
          </w:p>
        </w:tc>
        <w:tc>
          <w:tcPr>
            <w:tcW w:w="93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r>
        <w:trPr/>
        <w:tc>
          <w:tcPr>
            <w:tcW w:w="59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Science and Technology Committee Chair:</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$12,000</w:t>
            </w:r>
          </w:p>
        </w:tc>
      </w:tr>
      <w:tr>
        <w:trPr/>
        <w:tc>
          <w:tcPr>
            <w:tcW w:w="5941"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Science and Technology Committee Member:</w:t>
            </w:r>
          </w:p>
        </w:tc>
        <w:tc>
          <w:tcPr>
            <w:tcW w:w="931"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$6,000</w:t>
            </w:r>
          </w:p>
        </w:tc>
      </w:tr>
    </w:tbl>
    <w:p>
      <w:pPr>
        <w:pStyle w:val="TextBody"/>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(a “</w:t>
      </w:r>
      <w:r>
        <w:rPr>
          <w:rFonts w:ascii="Times New Roman" w:hAnsi="Times New Roman"/>
          <w:color w:val="000000"/>
          <w:sz w:val="24"/>
          <w:u w:val="single"/>
        </w:rPr>
        <w:t>Annual Cash Retainer</w:t>
      </w:r>
      <w:r>
        <w:rPr>
          <w:color w:val="000000"/>
        </w:rPr>
        <w:t>”</w:t>
      </w:r>
      <w:r>
        <w:rPr>
          <w:rFonts w:ascii="Times New Roman" w:hAnsi="Times New Roman"/>
          <w:color w:val="000000"/>
          <w:sz w:val="24"/>
        </w:rPr>
        <w:t>)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hAnsi="Times New Roman"/>
          <w:color w:val="000000"/>
          <w:sz w:val="24"/>
          <w:u w:val="single"/>
        </w:rPr>
        <w:t>Initial Period</w:t>
      </w:r>
      <w:r>
        <w:rPr>
          <w:color w:val="000000"/>
        </w:rPr>
        <w:t>”</w:t>
      </w:r>
      <w:r>
        <w:rPr>
          <w:rFonts w:ascii="Times New Roman" w:hAnsi="Times New Roman"/>
          <w:color w:val="000000"/>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Annual Awards (as defined below) under this Policy or to determine the number of Shares to be covered by such Awards (except as provided in Sections 3.4.4 and 10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on or following the 2026 Restatement Date automatically will be granted an Option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Shares with a grant date fair value as determined in accordance with U.S. generally accepted accounting principles (the “</w:t>
      </w:r>
      <w:r>
        <w:rPr>
          <w:rFonts w:ascii="Times New Roman" w:hAnsi="Times New Roman"/>
          <w:color w:val="000000"/>
          <w:sz w:val="24"/>
          <w:u w:val="single"/>
        </w:rPr>
        <w:t>Grant Value</w:t>
      </w:r>
      <w:r>
        <w:rPr>
          <w:color w:val="000000"/>
        </w:rPr>
        <w:t>”</w:t>
      </w:r>
      <w:r>
        <w:rPr>
          <w:rFonts w:ascii="Times New Roman" w:hAnsi="Times New Roman"/>
          <w:color w:val="000000"/>
          <w:sz w:val="24"/>
        </w:rPr>
        <w:t>) equal to $320,000 (with any resulting fractional Share rounded down to the nearest whole Share), provided that, notwithstanding the foregoing, no more than 240,000 Shares may be subject to an Initial Award.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xml:space="preserve">), whether through election by the stockholders of the Company or appointment by the Board to fill a vacancy. If an individual was an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Employee-Director, becoming an Outside Director due to termination of the individual’s status as an Employee will not entitle the Outside Director to an Initial Award. Each Initial Award will be scheduled to vest as to one thirty</w:t>
        <w:noBreakHyphen/>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On the first Trading Day immediately following each Annual Meeting of the Company’s stockholders (an “</w:t>
      </w:r>
      <w:r>
        <w:rPr>
          <w:rFonts w:ascii="Times New Roman" w:hAnsi="Times New Roman"/>
          <w:color w:val="000000"/>
          <w:sz w:val="24"/>
          <w:u w:val="single"/>
        </w:rPr>
        <w:t>Annual Meeting</w:t>
      </w:r>
      <w:r>
        <w:rPr>
          <w:color w:val="000000"/>
        </w:rPr>
        <w:t xml:space="preserve">” </w:t>
      </w:r>
      <w:r>
        <w:rPr>
          <w:rFonts w:ascii="Times New Roman" w:hAnsi="Times New Roman"/>
          <w:color w:val="000000"/>
          <w:sz w:val="24"/>
        </w:rPr>
        <w:t>and such first Trading Day immediately following the Annual Meeting, the “</w:t>
      </w:r>
      <w:r>
        <w:rPr>
          <w:rFonts w:ascii="Times New Roman" w:hAnsi="Times New Roman"/>
          <w:color w:val="000000"/>
          <w:sz w:val="24"/>
          <w:u w:val="single"/>
        </w:rPr>
        <w:t>Annual Award Date</w:t>
      </w:r>
      <w:r>
        <w:rPr>
          <w:color w:val="000000"/>
        </w:rPr>
        <w:t>”</w:t>
      </w:r>
      <w:r>
        <w:rPr>
          <w:rFonts w:ascii="Times New Roman" w:hAnsi="Times New Roman"/>
          <w:color w:val="000000"/>
          <w:sz w:val="24"/>
        </w:rPr>
        <w:t>) that occurs on or after the 2026 Restatement Date, (i) each Outside Director who, as of the date of such Annual Meeting (the “</w:t>
      </w:r>
      <w:r>
        <w:rPr>
          <w:rFonts w:ascii="Times New Roman" w:hAnsi="Times New Roman"/>
          <w:color w:val="000000"/>
          <w:sz w:val="24"/>
          <w:u w:val="single"/>
        </w:rPr>
        <w:t>Current Meeting</w:t>
      </w:r>
      <w:r>
        <w:rPr>
          <w:color w:val="000000"/>
        </w:rPr>
        <w:t>”</w:t>
      </w:r>
      <w:r>
        <w:rPr>
          <w:rFonts w:ascii="Times New Roman" w:hAnsi="Times New Roman"/>
          <w:color w:val="000000"/>
          <w:sz w:val="24"/>
        </w:rPr>
        <w:t>) has been in continuous service as an Outside Director since the date of the most recently preceding Annual Meeting (the “</w:t>
      </w:r>
      <w:r>
        <w:rPr>
          <w:rFonts w:ascii="Times New Roman" w:hAnsi="Times New Roman"/>
          <w:color w:val="000000"/>
          <w:sz w:val="24"/>
          <w:u w:val="single"/>
        </w:rPr>
        <w:t>Prior Meeting</w:t>
      </w:r>
      <w:r>
        <w:rPr>
          <w:color w:val="000000"/>
        </w:rPr>
        <w:t>”</w:t>
      </w:r>
      <w:r>
        <w:rPr>
          <w:rFonts w:ascii="Times New Roman" w:hAnsi="Times New Roman"/>
          <w:color w:val="000000"/>
          <w:sz w:val="24"/>
        </w:rPr>
        <w:t>), automatically will be granted an Option (the “</w:t>
      </w:r>
      <w:r>
        <w:rPr>
          <w:rFonts w:ascii="Times New Roman" w:hAnsi="Times New Roman"/>
          <w:color w:val="000000"/>
          <w:sz w:val="24"/>
          <w:u w:val="single"/>
        </w:rPr>
        <w:t>Annual Award</w:t>
      </w:r>
      <w:r>
        <w:rPr>
          <w:color w:val="000000"/>
        </w:rPr>
        <w:t>”</w:t>
      </w:r>
      <w:r>
        <w:rPr>
          <w:rFonts w:ascii="Times New Roman" w:hAnsi="Times New Roman"/>
          <w:color w:val="000000"/>
          <w:sz w:val="24"/>
        </w:rPr>
        <w:t>) to purchase Shares with a Grant Value equal to $160,000 (with any resulting fractional Share rounded down to the nearest whole Share), and (ii) each Outside Director who, as of the date of the Current Meeting, has not been in continuous service as an Outside Director since the Prior Meeting, automatically will be granted a prorated Annual Award having a Grant Value equal to the product of (A) $160,000 multiplied by (B) a fraction, (x) the numerator of which is the number of full months (not to exceed 12) during which the individual served as an Outside Director between such individual’s Initial Start Date and the date of the Current Meeting, and (y) the denominator of which is 12 (with any resulting fractional Share rounded down to the nearest whole Share). Notwithstanding the foregoing, no more than 120,000 Shares may be subject to an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For the avoidance of doubt, for purposes of this Policy, a “full month” will have elapsed on each one-month anniversary of the Initial Start Date (e.g., if the Initial Start Date is September 15 of a given year, a full month will elapse on October 15 of such year and the next full month will elapse on November 15 of such year) or, if there is no monthly anniversary of the applicable date, on the last date of the applicable month (e.g., if the Initial Start Date is October 31 of a given year, a full month will elapse on November 30 of such year and the next full month will elapse on December 31 of such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Additional Terms of Initial Awards and Annual Awards</w:t>
      </w:r>
      <w:r>
        <w:rPr>
          <w:rFonts w:ascii="Times New Roman" w:hAnsi="Times New Roman"/>
          <w:color w:val="000000"/>
          <w:sz w:val="24"/>
        </w:rPr>
        <w:t>. The terms and conditions of each Initial Award and Annual Award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term of each Initial Award and Annual Award will be ten (10) years, subject to earlier termination as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per Share exercise price of each Initial Award and Annual Award will be equal to one hundred percent (100%) of the Fair Market Value per Share on such Award’s grant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Initial Award and Annual Award will be granted under and subject to the terms and conditions of the Plan and the applicable form of Award Agreement previously approved by the Board or its Committee, as applicable, for use thereunder.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Board or its Committee, as applicable and in its discretion, may change and otherwise revise the terms of Initial Awards and Annual Awards granted pursuant to this Policy, including without limitation the number of Shares subject thereto and type of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initial adoption of this Policy was approved by the Company’s stockholders prior to the Effective Date. Unless otherwise required by applicable law, following such approval, this Policy will not be subject to approval by the Company’s stockholders,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including, for clarity, as a result of or in connection with any action taken with respect to this Policy as contemplated in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Revisions</w:t>
      </w:r>
      <w:r>
        <w:rPr>
          <w:rFonts w:ascii="Times New Roman" w:hAnsi="Times New Roman"/>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hAnsi="Times New Roman"/>
          <w:color w:val="000000"/>
          <w:sz w:val="24"/>
          <w:u w:val="single"/>
        </w:rPr>
        <w:t>Committee</w:t>
      </w:r>
      <w:r>
        <w:rPr>
          <w:color w:val="000000"/>
        </w:rPr>
        <w:t>”</w:t>
      </w:r>
      <w:r>
        <w:rPr>
          <w:rFonts w:ascii="Times New Roman" w:hAnsi="Times New Roman"/>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3" w:name="tnya-ex10_4.htm"/>
      <w:bookmarkStart w:id="24" w:name="kstnyaex10_4"/>
      <w:bookmarkEnd w:id="23"/>
      <w:bookmarkEnd w:id="24"/>
      <w:r>
        <w:rPr>
          <w:rFonts w:ascii="Times New Roman" w:hAnsi="Times New Roman"/>
          <w:color w:val="000000"/>
          <w:sz w:val="24"/>
        </w:rPr>
        <w:t>Exhibit 10.4</w:t>
      </w:r>
      <w:r>
        <w:br w:type="page"/>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FIRST AMENDMENT</w:t>
      </w:r>
      <w:r>
        <w:rPr>
          <w:rFonts w:ascii="Times New Roman" w:hAnsi="Times New Roman"/>
          <w:caps/>
          <w:color w:val="000000"/>
          <w:sz w:val="20"/>
        </w:rPr>
        <w:t xml:space="preserve"> </w:t>
      </w:r>
      <w:r>
        <w:rPr>
          <w:rFonts w:ascii="Times New Roman" w:hAnsi="Times New Roman"/>
          <w:b/>
          <w:caps/>
          <w:color w:val="000000"/>
          <w:sz w:val="20"/>
        </w:rPr>
        <w:t>TO</w:t>
      </w:r>
    </w:p>
    <w:p>
      <w:pPr>
        <w:pStyle w:val="TextBody"/>
        <w:bidi w:val="0"/>
        <w:jc w:val="center"/>
        <w:rPr>
          <w:rFonts w:ascii="Times New Roman" w:hAnsi="Times New Roman"/>
          <w:b/>
          <w:caps/>
          <w:color w:val="000000"/>
          <w:sz w:val="20"/>
        </w:rPr>
      </w:pPr>
      <w:r>
        <w:rPr>
          <w:rFonts w:ascii="Times New Roman" w:hAnsi="Times New Roman"/>
          <w:b/>
          <w:caps/>
          <w:color w:val="000000"/>
          <w:sz w:val="20"/>
        </w:rPr>
        <w:t>LOAN AND SECURITY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FIRST AMENDMENT TO LOAN AND SECURITY AGREEMENT</w:t>
      </w:r>
      <w:r>
        <w:rPr>
          <w:rFonts w:ascii="Times New Roman" w:hAnsi="Times New Roman"/>
          <w:color w:val="000000"/>
          <w:sz w:val="20"/>
        </w:rPr>
        <w:t xml:space="preserve"> (this “</w:t>
      </w:r>
      <w:r>
        <w:rPr>
          <w:rFonts w:ascii="Times New Roman" w:hAnsi="Times New Roman"/>
          <w:b/>
          <w:color w:val="000000"/>
          <w:sz w:val="20"/>
        </w:rPr>
        <w:t>Agreement</w:t>
      </w:r>
      <w:r>
        <w:rPr>
          <w:rFonts w:ascii="Times New Roman" w:hAnsi="Times New Roman"/>
          <w:color w:val="000000"/>
          <w:sz w:val="20"/>
        </w:rPr>
        <w:t>”) is entered into as of July 14, 2026, by and between Silicon Valley Bank, a division of First-Citizens Bank &amp; Trust Company (“</w:t>
      </w:r>
      <w:r>
        <w:rPr>
          <w:rFonts w:ascii="Times New Roman" w:hAnsi="Times New Roman"/>
          <w:b/>
          <w:color w:val="000000"/>
          <w:sz w:val="20"/>
        </w:rPr>
        <w:t>Bank</w:t>
      </w:r>
      <w:r>
        <w:rPr>
          <w:rFonts w:ascii="Times New Roman" w:hAnsi="Times New Roman"/>
          <w:color w:val="000000"/>
          <w:sz w:val="20"/>
        </w:rPr>
        <w:t>”) and Tenaya Therapeutics, Inc., a Delaware corporation (“</w:t>
      </w:r>
      <w:r>
        <w:rPr>
          <w:rFonts w:ascii="Times New Roman" w:hAnsi="Times New Roman"/>
          <w:b/>
          <w:color w:val="000000"/>
          <w:sz w:val="20"/>
        </w:rPr>
        <w:t>Borrower</w:t>
      </w:r>
      <w:r>
        <w:rPr>
          <w:rFonts w:ascii="Times New Roman" w:hAnsi="Times New Roman"/>
          <w:color w:val="000000"/>
          <w:sz w:val="20"/>
        </w:rPr>
        <w:t>”).</w:t>
      </w:r>
    </w:p>
    <w:p>
      <w:pPr>
        <w:pStyle w:val="TextBody"/>
        <w:bidi w:val="0"/>
        <w:jc w:val="both"/>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Recitals</w:t>
      </w:r>
    </w:p>
    <w:p>
      <w:pPr>
        <w:pStyle w:val="TextBody"/>
        <w:bidi w:val="0"/>
        <w:spacing w:before="0" w:after="240"/>
        <w:jc w:val="both"/>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Bank and Borrower have entered into that certain Loan and Security Agreement dated as of August 6, 2024 (as the same may from time to time be amended, modified, supplemented or restated, the “Loan Agreement”). </w:t>
      </w:r>
    </w:p>
    <w:p>
      <w:pPr>
        <w:pStyle w:val="TextBody"/>
        <w:bidi w:val="0"/>
        <w:spacing w:before="0" w:after="240"/>
        <w:jc w:val="both"/>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Bank has extended credit to Borrower for the purposes permitted in the Loan Agreement.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Borrower has requested that Bank (a) consent to the sale or abandonment by Borrower of certain Equipment listed on Exhibit C hereto in connection with Borrower’s termination of its real property lease at 33498 Central Avenue, Union City, California (the “</w:t>
      </w:r>
      <w:r>
        <w:rPr>
          <w:rFonts w:ascii="Times New Roman" w:hAnsi="Times New Roman"/>
          <w:b/>
          <w:color w:val="000000"/>
          <w:sz w:val="20"/>
        </w:rPr>
        <w:t>Purchased</w:t>
      </w:r>
      <w:r>
        <w:rPr>
          <w:rFonts w:ascii="Times New Roman" w:hAnsi="Times New Roman"/>
          <w:color w:val="000000"/>
          <w:sz w:val="20"/>
        </w:rPr>
        <w:t xml:space="preserve"> </w:t>
      </w:r>
      <w:r>
        <w:rPr>
          <w:rFonts w:ascii="Times New Roman" w:hAnsi="Times New Roman"/>
          <w:b/>
          <w:color w:val="000000"/>
          <w:sz w:val="20"/>
        </w:rPr>
        <w:t>Equipment</w:t>
      </w:r>
      <w:r>
        <w:rPr>
          <w:rFonts w:ascii="Times New Roman" w:hAnsi="Times New Roman"/>
          <w:color w:val="000000"/>
          <w:sz w:val="20"/>
        </w:rPr>
        <w:t xml:space="preserve">”) and (b) amend the Loan Agreement to modify the Collateral description to release its Lien on the Purchased Equipment.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Bank has agreed to so amend certain provisions of the Loan Agreement, but only to the extent, in accordance with the terms, subject to the conditions and in reliance upon the representations and warranties set forth below.</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Agreement</w:t>
      </w:r>
    </w:p>
    <w:p>
      <w:pPr>
        <w:pStyle w:val="TextBody"/>
        <w:bidi w:val="0"/>
        <w:spacing w:before="0" w:after="240"/>
        <w:jc w:val="both"/>
        <w:rPr>
          <w:rFonts w:ascii="Times New Roman" w:hAnsi="Times New Roman"/>
          <w:sz w:val="20"/>
        </w:rPr>
      </w:pPr>
      <w:r>
        <w:rPr>
          <w:rFonts w:ascii="Times New Roman" w:hAnsi="Times New Roman"/>
          <w:b/>
          <w:smallCaps/>
          <w:color w:val="000000"/>
          <w:sz w:val="20"/>
        </w:rPr>
        <w:t>Now, Therefore,</w:t>
      </w:r>
      <w:r>
        <w:rPr>
          <w:rFonts w:ascii="Times New Roman" w:hAnsi="Times New Roman"/>
          <w:color w:val="000000"/>
          <w:sz w:val="20"/>
        </w:rPr>
        <w:t xml:space="preserve"> in consideration of the foregoing recitals and other good and valuable consideration, the receipt and adequacy of which is hereby acknowledged, and intending to be legally bound, the parties hereto agree as follows:</w:t>
      </w:r>
    </w:p>
    <w:p>
      <w:pPr>
        <w:pStyle w:val="TextBody"/>
        <w:bidi w:val="0"/>
        <w:spacing w:before="0" w:after="240"/>
        <w:jc w:val="both"/>
        <w:rPr>
          <w:rFonts w:ascii="Times New Roman" w:hAnsi="Times New Roman"/>
          <w:sz w:val="20"/>
        </w:rPr>
      </w:pPr>
      <w:r>
        <w:rPr>
          <w:rFonts w:ascii="Times New Roman" w:hAnsi="Times New Roman"/>
          <w:b/>
          <w:color w:val="000000"/>
          <w:sz w:val="20"/>
        </w:rPr>
        <w:t>1. Definitions.</w:t>
      </w:r>
      <w:r>
        <w:rPr>
          <w:rFonts w:ascii="Times New Roman" w:hAnsi="Times New Roman"/>
          <w:color w:val="000000"/>
          <w:sz w:val="20"/>
        </w:rPr>
        <w:t xml:space="preserve"> Capitalized terms used but not defined in this Agreement shall have the meanings given to them in the Loan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 Amendments to Loan Agreement.</w:t>
      </w:r>
    </w:p>
    <w:p>
      <w:pPr>
        <w:pStyle w:val="TextBody"/>
        <w:bidi w:val="0"/>
        <w:spacing w:before="0" w:after="240"/>
        <w:jc w:val="both"/>
        <w:rPr>
          <w:rFonts w:ascii="Times New Roman" w:hAnsi="Times New Roman"/>
          <w:sz w:val="20"/>
        </w:rPr>
      </w:pPr>
      <w:r>
        <w:rPr>
          <w:rFonts w:ascii="Times New Roman" w:hAnsi="Times New Roman"/>
          <w:b/>
          <w:color w:val="000000"/>
          <w:sz w:val="20"/>
        </w:rPr>
        <w:t>2.1 Section 12.2 (Definitions)</w:t>
      </w:r>
      <w:r>
        <w:rPr>
          <w:rFonts w:ascii="Times New Roman" w:hAnsi="Times New Roman"/>
          <w:color w:val="000000"/>
          <w:sz w:val="20"/>
        </w:rPr>
        <w:t>. The following terms and their respective definitions hereby are restated in their entirety in Section 12.2 of the Loan Agreement, as appropriate, to read as follows:</w:t>
      </w:r>
    </w:p>
    <w:p>
      <w:pPr>
        <w:pStyle w:val="TextBody"/>
        <w:bidi w:val="0"/>
        <w:jc w:val="both"/>
        <w:rPr/>
      </w:pPr>
      <w:r>
        <w:rPr>
          <w:color w:val="000000"/>
        </w:rPr>
        <w:t>“</w:t>
      </w:r>
      <w:r>
        <w:rPr>
          <w:rFonts w:ascii="Times New Roman" w:hAnsi="Times New Roman"/>
          <w:b/>
          <w:color w:val="000000"/>
          <w:sz w:val="20"/>
        </w:rPr>
        <w:t xml:space="preserve">Collateral” </w:t>
      </w:r>
      <w:r>
        <w:rPr>
          <w:rFonts w:ascii="Times New Roman" w:hAnsi="Times New Roman"/>
          <w:color w:val="000000"/>
          <w:sz w:val="20"/>
        </w:rPr>
        <w:t>consists of all of Borrower’s right, title and interest in and to the following personal property: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(i) all goods, Accounts (including health-care receivables), Equipment, Inventory, contract</w:t>
      </w:r>
    </w:p>
    <w:p>
      <w:pPr>
        <w:pStyle w:val="TextBody"/>
        <w:bidi w:val="0"/>
        <w:jc w:val="both"/>
        <w:rPr>
          <w:rFonts w:ascii="Times New Roman" w:hAnsi="Times New Roman"/>
          <w:color w:val="000000"/>
          <w:sz w:val="20"/>
        </w:rPr>
      </w:pPr>
      <w:r>
        <w:rPr>
          <w:rFonts w:ascii="Times New Roman" w:hAnsi="Times New Roman"/>
          <w:color w:val="000000"/>
          <w:sz w:val="20"/>
        </w:rPr>
        <w:t>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 Notwithstanding the foregoing, the Collateral does not include (i) any interest of Borrower as a lessee or sublessee under a real property lease; (ii) rights held under a license that are not assignable by their terms without the consent of the licensor thereof (but only to the extent such restriction on assignment is enforceable under applicable law); provided that upon the termination, lapsing or expiration of any such </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1634349385.2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prohibition, such license shall automatically be subject to the security interest granted in favor of Bank hereunder and become part of the “Collateral”, (iii) any Excluded Account, (iv)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(v) the Equipment listed on Exhibit C hereto, and (vi) any Intellectual Property;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 Pursuant to the terms of a certain negative pledge arrangement with Bank as set forth in this Agreement, Borrower has agreed not to encumber any of its Intellectual Property without Bank’s prior written consent.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2.2 Exhibits</w:t>
      </w:r>
      <w:r>
        <w:rPr>
          <w:rFonts w:ascii="Times New Roman" w:hAnsi="Times New Roman"/>
          <w:color w:val="000000"/>
          <w:sz w:val="20"/>
        </w:rPr>
        <w:t xml:space="preserve">. The Loan Agreement is amended to add a new Exhibit C thereto in the form attached as Exhibit C to this Agreement. </w:t>
        <w:br/>
      </w:r>
      <w:r>
        <w:rPr>
          <w:rFonts w:ascii="Times New Roman" w:hAnsi="Times New Roman"/>
          <w:color w:val="F79646"/>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Limited Consent to Sale of Equipment. </w:t>
      </w:r>
      <w:r>
        <w:rPr>
          <w:rFonts w:ascii="Times New Roman" w:hAnsi="Times New Roman"/>
          <w:color w:val="000000"/>
          <w:sz w:val="20"/>
        </w:rPr>
        <w:t>Notwithstanding any provision of the Loan Agreement to the contrary, Bank hereby consents to (a) Borrowers’ sale of the Purchased Equipment on commercially fair reasonable terms (as determined by Borrower) in exchange for cash received by Borrower or abandonment of the Purchased Equipment, and (b) Borrower’s use and application of the proceeds received in connection with the sale by Borrower of the Purchase Equipment in any matter that is not inconsistent with the terms of the Loan Agreement (as amended hereby).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 Limitation of Agreement.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4.1 </w:t>
      </w:r>
      <w:r>
        <w:rPr>
          <w:rFonts w:ascii="Times New Roman" w:hAnsi="Times New Roman"/>
          <w:color w:val="000000"/>
          <w:sz w:val="20"/>
        </w:rPr>
        <w:t>This Agreement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4.2 </w:t>
      </w:r>
      <w:r>
        <w:rPr>
          <w:rFonts w:ascii="Times New Roman" w:hAnsi="Times New Roman"/>
          <w:color w:val="000000"/>
          <w:sz w:val="20"/>
        </w:rPr>
        <w:t>This Agreement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pStyle w:val="TextBody"/>
        <w:bidi w:val="0"/>
        <w:spacing w:before="0" w:after="240"/>
        <w:jc w:val="both"/>
        <w:rPr>
          <w:rFonts w:ascii="Times New Roman" w:hAnsi="Times New Roman"/>
          <w:sz w:val="20"/>
        </w:rPr>
      </w:pPr>
      <w:r>
        <w:rPr>
          <w:rFonts w:ascii="Times New Roman" w:hAnsi="Times New Roman"/>
          <w:b/>
          <w:color w:val="000000"/>
          <w:sz w:val="20"/>
        </w:rPr>
        <w:t>5. Representations and Warranties.</w:t>
      </w:r>
      <w:r>
        <w:rPr>
          <w:rFonts w:ascii="Times New Roman" w:hAnsi="Times New Roman"/>
          <w:color w:val="000000"/>
          <w:sz w:val="20"/>
        </w:rPr>
        <w:t xml:space="preserve"> To induce Bank to enter into this Agreement, Borrower hereby represents and warrants to Bank as follows: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5.1 </w:t>
      </w:r>
      <w:r>
        <w:rPr>
          <w:rFonts w:ascii="Times New Roman" w:hAnsi="Times New Roman"/>
          <w:color w:val="000000"/>
          <w:sz w:val="20"/>
        </w:rPr>
        <w:t>Immediately after giving effect to this Agreement (a) the representations and warranties contained in the Loan Documents are true and correct in all material respects as of the date hereof (except to the extent such representations and warranties relate to an earlier date, in which case they are true and correct as of such date), and (b) no Default or Event of has occurred and is continuing. Borrower understands and agrees that in modifying the existing Obligations, Bank is relying upon Borrower’s representations, warranties, and agreements, as set forth in the Loan Documents;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5.2 </w:t>
      </w:r>
      <w:r>
        <w:rPr>
          <w:rFonts w:ascii="Times New Roman" w:hAnsi="Times New Roman"/>
          <w:color w:val="000000"/>
          <w:sz w:val="20"/>
        </w:rPr>
        <w:t>Borrower has the power and authority to execute and deliver this Agreement and to perform its obligations under the Loan Agreement, as amended by this Agreement;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5.3 </w:t>
      </w:r>
      <w:r>
        <w:rPr>
          <w:rFonts w:ascii="Times New Roman" w:hAnsi="Times New Roman"/>
          <w:color w:val="000000"/>
          <w:sz w:val="20"/>
        </w:rPr>
        <w:t>The organizational documents of Borrower delivered to Bank on the Effective Date remain true, accurate and complete and have not been amended, supplemented or restated and are and continue to be in full force and effect;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5.4 </w:t>
      </w:r>
      <w:r>
        <w:rPr>
          <w:rFonts w:ascii="Times New Roman" w:hAnsi="Times New Roman"/>
          <w:color w:val="000000"/>
          <w:sz w:val="20"/>
        </w:rPr>
        <w:t xml:space="preserve">The execution and delivery by Borrower of this Agreement and the performance by Borrower of its obligations under the Loan Agreement, as amended by this Agreement, have been duly authorized by all necessary action on the part of Borrower;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5.5 </w:t>
      </w:r>
      <w:r>
        <w:rPr>
          <w:rFonts w:ascii="Times New Roman" w:hAnsi="Times New Roman"/>
          <w:color w:val="000000"/>
          <w:sz w:val="20"/>
        </w:rPr>
        <w:t>The execution and delivery by Borrower of this Agreement and the performance by Borrower of its obligations under the Loan Agreement, as amended by this Agreement, do not and will not contravene (a) any law or regulation binding on or affecting Borrower, (b) any material contractual restriction with a Person binding on Borrower, (c) any order, judgment or decree of any court or other governmental or public body or authority, or subdivision thereof, binding on Borrower, or (d) the organizational documents of Borrower;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5.6 </w:t>
      </w:r>
      <w:r>
        <w:rPr>
          <w:rFonts w:ascii="Times New Roman" w:hAnsi="Times New Roman"/>
          <w:color w:val="000000"/>
          <w:sz w:val="20"/>
        </w:rPr>
        <w:t>The execution and delivery by Borrower of this Agreement and the performance by Borrower of its obligations under the Loan Agreement, as amended by this Agreement,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before="0" w:after="240"/>
        <w:jc w:val="both"/>
        <w:rPr>
          <w:rFonts w:ascii="Times New Roman" w:hAnsi="Times New Roman"/>
          <w:sz w:val="20"/>
        </w:rPr>
      </w:pPr>
      <w:r>
        <w:rPr>
          <w:rFonts w:ascii="Times New Roman" w:hAnsi="Times New Roman"/>
          <w:b/>
          <w:color w:val="000000"/>
          <w:sz w:val="20"/>
        </w:rPr>
        <w:t>5.7</w:t>
      </w:r>
      <w:r>
        <w:rPr>
          <w:rFonts w:ascii="Times New Roman" w:hAnsi="Times New Roman"/>
          <w:color w:val="000000"/>
          <w:sz w:val="20"/>
        </w:rPr>
        <w:t xml:space="preserve"> 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0" w:after="240"/>
        <w:jc w:val="both"/>
        <w:rPr>
          <w:rFonts w:ascii="Times New Roman" w:hAnsi="Times New Roman"/>
          <w:sz w:val="20"/>
        </w:rPr>
      </w:pPr>
      <w:r>
        <w:rPr>
          <w:rFonts w:ascii="Times New Roman" w:hAnsi="Times New Roman"/>
          <w:b/>
          <w:color w:val="000000"/>
          <w:sz w:val="20"/>
        </w:rPr>
        <w:t>6. Prior Agreement</w:t>
      </w:r>
      <w:r>
        <w:rPr>
          <w:rFonts w:ascii="Times New Roman" w:hAnsi="Times New Roman"/>
          <w:color w:val="000000"/>
          <w:sz w:val="20"/>
        </w:rPr>
        <w:t xml:space="preserve">. The Loan Documents are hereby ratified and reaffirmed and shall remain in full force and effect. Borrower hereby ratifies, confirms, and reaffirms all terms and conditions of all security or other collateral granted to the Bank, and confirms that the indebtedness secured thereby includes, without limitation, the Obligations.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 </w:t>
      </w:r>
    </w:p>
    <w:p>
      <w:pPr>
        <w:pStyle w:val="TextBody"/>
        <w:bidi w:val="0"/>
        <w:spacing w:before="0" w:after="240"/>
        <w:jc w:val="both"/>
        <w:rPr>
          <w:rFonts w:ascii="Times New Roman" w:hAnsi="Times New Roman"/>
          <w:sz w:val="20"/>
        </w:rPr>
      </w:pPr>
      <w:r>
        <w:rPr>
          <w:rFonts w:ascii="Times New Roman" w:hAnsi="Times New Roman"/>
          <w:b/>
          <w:color w:val="000000"/>
          <w:sz w:val="20"/>
        </w:rPr>
        <w:t>7. Integration</w:t>
      </w:r>
      <w:r>
        <w:rPr>
          <w:rFonts w:ascii="Times New Roman" w:hAnsi="Times New Roman"/>
          <w:color w:val="000000"/>
          <w:sz w:val="20"/>
        </w:rPr>
        <w:t>. Except as expressly modified pursuant to this Agreement, the terms of the Loan Documents remain unchanged and in full force and effect.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pStyle w:val="TextBody"/>
        <w:bidi w:val="0"/>
        <w:spacing w:before="0" w:after="240"/>
        <w:jc w:val="both"/>
        <w:rPr>
          <w:rFonts w:ascii="Times New Roman" w:hAnsi="Times New Roman"/>
          <w:sz w:val="20"/>
        </w:rPr>
      </w:pPr>
      <w:r>
        <w:rPr>
          <w:rFonts w:ascii="Times New Roman" w:hAnsi="Times New Roman"/>
          <w:b/>
          <w:color w:val="000000"/>
          <w:sz w:val="20"/>
        </w:rPr>
        <w:t>8. Fees and Expenses</w:t>
      </w:r>
      <w:r>
        <w:rPr>
          <w:rFonts w:ascii="Times New Roman" w:hAnsi="Times New Roman"/>
          <w:color w:val="000000"/>
          <w:sz w:val="20"/>
        </w:rPr>
        <w:t>. Borrower shall pay to Bank on the date first listed above (a) all Bank Expenses due and owing as of the date hereof. The fees and expenses listed in the previous sentence may be debited from any of Borrower’s accounts at Bank.</w:t>
      </w:r>
    </w:p>
    <w:p>
      <w:pPr>
        <w:pStyle w:val="TextBody"/>
        <w:bidi w:val="0"/>
        <w:spacing w:before="0" w:after="240"/>
        <w:jc w:val="both"/>
        <w:rPr>
          <w:rFonts w:ascii="Times New Roman" w:hAnsi="Times New Roman"/>
          <w:sz w:val="20"/>
        </w:rPr>
      </w:pPr>
      <w:r>
        <w:rPr>
          <w:rFonts w:ascii="Times New Roman" w:hAnsi="Times New Roman"/>
          <w:b/>
          <w:color w:val="000000"/>
          <w:sz w:val="20"/>
        </w:rPr>
        <w:t>9. Conditions to Effectiveness</w:t>
      </w:r>
      <w:r>
        <w:rPr>
          <w:rFonts w:ascii="Times New Roman" w:hAnsi="Times New Roman"/>
          <w:color w:val="000000"/>
          <w:sz w:val="20"/>
        </w:rPr>
        <w:t xml:space="preserve">. The parties agree that the obligations of Bank herein shall be effective upon the satisfaction of each of the following conditions precedent, each in form and substance satisfactory to Bank in its sole discretion, on or prior to the date first listed above: (a) the due execution and delivery to Bank of this Agreement by each party hereto; and (b) the payment of all fees and expenses owing by Borrower to Bank under Section 9 above to the extent requested in writing by Bank.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 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constitute a Loan Document under the Loan Agreement; the failure to comply with the 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10.1 </w:t>
      </w:r>
      <w:r>
        <w:rPr>
          <w:rFonts w:ascii="Times New Roman" w:hAnsi="Times New Roman"/>
          <w:color w:val="000000"/>
          <w:sz w:val="20"/>
        </w:rPr>
        <w:t>Each provision of this Agreement is severable from every other provision in determining the enforceability of any provision.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10.2 </w:t>
      </w:r>
      <w:r>
        <w:rPr>
          <w:rFonts w:ascii="Times New Roman" w:hAnsi="Times New Roman"/>
          <w:color w:val="000000"/>
          <w:sz w:val="20"/>
        </w:rPr>
        <w:t>This Agreement may be executed in any number of counterparts and all of such counterparts taken together shall be deemed to constitute one and the same instrument.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10.3 </w:t>
      </w:r>
      <w:r>
        <w:rPr>
          <w:rFonts w:ascii="Times New Roman" w:hAnsi="Times New Roman"/>
          <w:color w:val="000000"/>
          <w:sz w:val="20"/>
        </w:rPr>
        <w:t>The Loan Documents are hereby amended wherever necessary to reflect the changes described above.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10.4 </w:t>
      </w:r>
      <w:r>
        <w:rPr>
          <w:rFonts w:ascii="Times New Roman" w:hAnsi="Times New Roman"/>
          <w:color w:val="000000"/>
          <w:sz w:val="20"/>
        </w:rPr>
        <w:t>Section 11.9 of the Loan Agreement applies to this Agreement.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10.5 </w:t>
      </w:r>
      <w:r>
        <w:rPr>
          <w:rFonts w:ascii="Times New Roman" w:hAnsi="Times New Roman"/>
          <w:color w:val="000000"/>
          <w:sz w:val="20"/>
        </w:rPr>
        <w:t>This Agreement and the rights and obligations of the parties hereto shall be governed by and construed in accordance with the laws of the State of California.</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left"/>
        <w:rPr>
          <w:rFonts w:ascii="Times New Roman" w:hAnsi="Times New Roman"/>
          <w:sz w:val="20"/>
        </w:rPr>
      </w:pPr>
      <w:r>
        <w:rPr>
          <w:rFonts w:ascii="Times New Roman" w:hAnsi="Times New Roman"/>
          <w:b/>
          <w:smallCaps/>
          <w:color w:val="000000"/>
          <w:sz w:val="20"/>
        </w:rPr>
        <w:t>In Witness Whereof,</w:t>
      </w:r>
      <w:r>
        <w:rPr>
          <w:rFonts w:ascii="Times New Roman" w:hAnsi="Times New Roman"/>
          <w:smallCaps/>
          <w:color w:val="000000"/>
          <w:sz w:val="20"/>
        </w:rPr>
        <w:t xml:space="preserve"> </w:t>
      </w:r>
      <w:r>
        <w:rPr>
          <w:rFonts w:ascii="Times New Roman" w:hAnsi="Times New Roman"/>
          <w:color w:val="000000"/>
          <w:sz w:val="20"/>
        </w:rPr>
        <w:t>the parties hereto have caused this Agreement to be duly executed and delivered as of the date first written above.</w:t>
      </w:r>
    </w:p>
    <w:p>
      <w:pPr>
        <w:pStyle w:val="TextBody"/>
        <w:bidi w:val="0"/>
        <w:jc w:val="left"/>
        <w:rPr/>
      </w:pPr>
      <w:r>
        <w:rPr/>
        <w:t> </w:t>
      </w:r>
    </w:p>
    <w:p>
      <w:pPr>
        <w:pStyle w:val="TextBody"/>
        <w:bidi w:val="0"/>
        <w:jc w:val="left"/>
        <w:rPr/>
      </w:pPr>
      <w:r>
        <w:rPr/>
        <w:t> </w:t>
      </w:r>
    </w:p>
    <w:tbl>
      <w:tblPr>
        <w:tblW w:w="7142" w:type="dxa"/>
        <w:jc w:val="left"/>
        <w:tblInd w:w="0" w:type="dxa"/>
        <w:tblLayout w:type="fixed"/>
        <w:tblCellMar>
          <w:top w:w="28" w:type="dxa"/>
          <w:left w:w="28" w:type="dxa"/>
          <w:bottom w:w="28" w:type="dxa"/>
          <w:right w:w="28" w:type="dxa"/>
        </w:tblCellMar>
      </w:tblPr>
      <w:tblGrid>
        <w:gridCol w:w="4006"/>
        <w:gridCol w:w="3136"/>
      </w:tblGrid>
      <w:tr>
        <w:trPr/>
        <w:tc>
          <w:tcPr>
            <w:tcW w:w="40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BANK</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BORROWER</w:t>
            </w:r>
          </w:p>
        </w:tc>
      </w:tr>
      <w:tr>
        <w:trPr/>
        <w:tc>
          <w:tcPr>
            <w:tcW w:w="40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FIRST-CITIZENS BANK &amp; TRUST COMPANY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/s/Tom Seminara</w:t>
            </w:r>
          </w:p>
          <w:p>
            <w:pPr>
              <w:pStyle w:val="TableContents"/>
              <w:bidi w:val="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Tom Seminara</w:t>
            </w:r>
          </w:p>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Vice President</w:t>
            </w:r>
          </w:p>
        </w:tc>
        <w:tc>
          <w:tcPr>
            <w:tcW w:w="313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TENAYA THERAPEUTICS,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/s/Jennifer Drimmer Rokovich</w:t>
            </w:r>
          </w:p>
          <w:p>
            <w:pPr>
              <w:pStyle w:val="TableContents"/>
              <w:bidi w:val="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Jennifer Drimmer Rokovich</w:t>
            </w:r>
          </w:p>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General Counsel and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i/>
          <w:color w:val="000000"/>
          <w:sz w:val="18"/>
        </w:rPr>
        <w:t>Signature Page to First Amendment to Loan and Security Agreement</w:t>
      </w:r>
      <w:r>
        <w:rPr>
          <w:rFonts w:ascii="Times New Roman" w:hAnsi="Times New Roman"/>
          <w:color w:val="000000"/>
          <w:sz w:val="18"/>
        </w:rPr>
        <w:t>]</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1634349385.3</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jc w:val="center"/>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160"/>
        <w:jc w:val="center"/>
        <w:rPr>
          <w:color w:val="000000"/>
        </w:rPr>
      </w:pPr>
      <w:r>
        <w:rPr>
          <w:color w:val="000000"/>
        </w:rPr>
        <w:t>“</w:t>
      </w:r>
      <w:r>
        <w:rPr>
          <w:rFonts w:ascii="Times New Roman" w:hAnsi="Times New Roman"/>
          <w:color w:val="000000"/>
          <w:sz w:val="24"/>
        </w:rPr>
        <w:t>Purchased Equipment”</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See attached</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1634349385.3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nya-ex31_1.htm"/>
      <w:bookmarkStart w:id="26" w:name="kstnyaex31_1"/>
      <w:bookmarkEnd w:id="25"/>
      <w:bookmarkEnd w:id="26"/>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Faraz Ali, M.B.A., certify that: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5, 2026</w:t>
      </w:r>
    </w:p>
    <w:tbl>
      <w:tblPr>
        <w:tblW w:w="3913" w:type="dxa"/>
        <w:jc w:val="left"/>
        <w:tblInd w:w="0" w:type="dxa"/>
        <w:tblLayout w:type="fixed"/>
        <w:tblCellMar>
          <w:top w:w="28" w:type="dxa"/>
          <w:left w:w="28" w:type="dxa"/>
          <w:bottom w:w="28" w:type="dxa"/>
          <w:right w:w="28" w:type="dxa"/>
        </w:tblCellMar>
      </w:tblPr>
      <w:tblGrid>
        <w:gridCol w:w="161"/>
        <w:gridCol w:w="631"/>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12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tnya-ex31_2.htm"/>
      <w:bookmarkStart w:id="28" w:name="kstnyaex31_2"/>
      <w:bookmarkEnd w:id="27"/>
      <w:bookmarkEnd w:id="28"/>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Eric Hyllengren, M.B.A., certify that: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5, 2026</w:t>
      </w:r>
    </w:p>
    <w:tbl>
      <w:tblPr>
        <w:tblW w:w="4663" w:type="dxa"/>
        <w:jc w:val="left"/>
        <w:tblInd w:w="0" w:type="dxa"/>
        <w:tblLayout w:type="fixed"/>
        <w:tblCellMar>
          <w:top w:w="28" w:type="dxa"/>
          <w:left w:w="28" w:type="dxa"/>
          <w:bottom w:w="28" w:type="dxa"/>
          <w:right w:w="28" w:type="dxa"/>
        </w:tblCellMar>
      </w:tblPr>
      <w:tblGrid>
        <w:gridCol w:w="161"/>
        <w:gridCol w:w="631"/>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Eric Hyllengren,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Eric Hyllengren,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tnya-ex32_1.htm"/>
      <w:bookmarkStart w:id="30" w:name="kstnya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Faraz Ali, M.B.A., certify, pursuant to 18 U.S.C. Section 1350 as adopted pursuant to Section 906 of the Sarbanes-Oxley Act of 2002, that, (1) the Quarterly Report on Form 10-Q of Tenaya Therapeutics, Inc. (the “Company”) for the quarterly period ended June 30, 2026,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left"/>
        <w:rPr/>
      </w:pPr>
      <w:r>
        <w:rPr/>
        <w:t> </w:t>
      </w:r>
    </w:p>
    <w:tbl>
      <w:tblPr>
        <w:tblW w:w="5113" w:type="dxa"/>
        <w:jc w:val="left"/>
        <w:tblInd w:w="0" w:type="dxa"/>
        <w:tblLayout w:type="fixed"/>
        <w:tblCellMar>
          <w:top w:w="28" w:type="dxa"/>
          <w:left w:w="28" w:type="dxa"/>
          <w:bottom w:w="28" w:type="dxa"/>
          <w:right w:w="28" w:type="dxa"/>
        </w:tblCellMar>
      </w:tblPr>
      <w:tblGrid>
        <w:gridCol w:w="1846"/>
        <w:gridCol w:w="14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Eric Hyllengren, M.B.A., certify, pursuant to 18 U.S.C. Section 1350 as adopted pursuant to Section 906 of the Sarbanes-Oxley Act of 2002, that, (1) the Quarterly Report on Form 10-Q of Tenaya Therapeutics, Inc. (the “Company”) for the quarterly period ended June 30, 2026,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both"/>
        <w:rPr/>
      </w:pPr>
      <w:r>
        <w:rPr/>
        <w:t> </w:t>
      </w:r>
    </w:p>
    <w:tbl>
      <w:tblPr>
        <w:tblW w:w="5863" w:type="dxa"/>
        <w:jc w:val="left"/>
        <w:tblInd w:w="0" w:type="dxa"/>
        <w:tblLayout w:type="fixed"/>
        <w:tblCellMar>
          <w:top w:w="28" w:type="dxa"/>
          <w:left w:w="28" w:type="dxa"/>
          <w:bottom w:w="28" w:type="dxa"/>
          <w:right w:w="28" w:type="dxa"/>
        </w:tblCellMar>
      </w:tblPr>
      <w:tblGrid>
        <w:gridCol w:w="1846"/>
        <w:gridCol w:w="14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Hyllengren,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Hyllengren,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095017023040651/tnya-ex3_1.htm" TargetMode="External"/><Relationship Id="rId3" Type="http://schemas.openxmlformats.org/officeDocument/2006/relationships/hyperlink" Target="https://www.sec.gov/Archives/edgar/data/1858848/000095017023008934/tnya-ex3_1.htm" TargetMode="External"/><Relationship Id="rId4" Type="http://schemas.openxmlformats.org/officeDocument/2006/relationships/hyperlink" Target="https://www.sec.gov/Archives/edgar/data/1858848/000119312526248680/tnya-ex10_1.htm" TargetMode="External"/><Relationship Id="rId5" Type="http://schemas.openxmlformats.org/officeDocument/2006/relationships/hyperlink" Target="https://www.sec.gov/Archives/edgar/data/1858848/000119312526286957/tnya-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64415</Words>
  <Characters>361200</Characters>
  <CharactersWithSpaces>425767</CharactersWithSpaces>
  <Paragraphs>5913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