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5"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 w:lineRule="exact"/>
        <w:rPr>
          <w:sz w:val="24"/>
          <w:szCs w:val="24"/>
          <w:color w:val="auto"/>
        </w:rPr>
      </w:pPr>
    </w:p>
    <w:p>
      <w:pPr>
        <w:jc w:val="center"/>
        <w:ind w:left="3720" w:right="700" w:hanging="3699"/>
        <w:spacing w:after="0" w:line="309" w:lineRule="auto"/>
        <w:tabs>
          <w:tab w:leader="none" w:pos="489"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 For the quarterly period ended June 30,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OR</w:t>
      </w:r>
    </w:p>
    <w:p>
      <w:pPr>
        <w:spacing w:after="0" w:line="67" w:lineRule="exact"/>
        <w:rPr>
          <w:sz w:val="24"/>
          <w:szCs w:val="24"/>
          <w:color w:val="auto"/>
        </w:rPr>
      </w:pPr>
    </w:p>
    <w:p>
      <w:pPr>
        <w:jc w:val="center"/>
        <w:ind w:left="3340" w:right="680" w:hanging="3319"/>
        <w:spacing w:after="0" w:line="316" w:lineRule="auto"/>
        <w:tabs>
          <w:tab w:leader="none" w:pos="472"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 For the transition period from ________ to _________</w:t>
      </w:r>
    </w:p>
    <w:p>
      <w:pPr>
        <w:spacing w:after="0" w:line="1" w:lineRule="exact"/>
        <w:rPr>
          <w:rFonts w:ascii="MS PGothic" w:cs="MS PGothic" w:eastAsia="MS PGothic" w:hAnsi="MS PGothic"/>
          <w:sz w:val="20"/>
          <w:szCs w:val="20"/>
          <w:color w:val="auto"/>
          <w:highlight w:val="black"/>
        </w:rPr>
      </w:pPr>
    </w:p>
    <w:p>
      <w:pPr>
        <w:ind w:left="4060"/>
        <w:spacing w:after="0"/>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Commission File Number: 001-40656</w:t>
      </w:r>
    </w:p>
    <w:p>
      <w:pPr>
        <w:spacing w:after="0" w:line="218"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TENAYA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-269875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p>
      <w:pPr>
        <w:spacing w:after="0" w:line="3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2000"/>
        <w:spacing w:after="0"/>
        <w:rPr>
          <w:sz w:val="20"/>
          <w:szCs w:val="20"/>
          <w:color w:val="auto"/>
        </w:rPr>
      </w:pPr>
      <w:r>
        <w:rPr>
          <w:rFonts w:ascii="Arial" w:cs="Arial" w:eastAsia="Arial" w:hAnsi="Arial"/>
          <w:sz w:val="20"/>
          <w:szCs w:val="20"/>
          <w:b w:val="1"/>
          <w:bCs w:val="1"/>
          <w:color w:val="auto"/>
        </w:rPr>
        <w:t>Delaware</w:t>
      </w:r>
    </w:p>
    <w:p>
      <w:pPr>
        <w:ind w:left="2020"/>
        <w:spacing w:after="0" w:line="224"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 w:lineRule="exact"/>
        <w:rPr>
          <w:sz w:val="24"/>
          <w:szCs w:val="24"/>
          <w:color w:val="auto"/>
        </w:rPr>
      </w:pPr>
    </w:p>
    <w:p>
      <w:pPr>
        <w:jc w:val="center"/>
        <w:ind w:right="2000"/>
        <w:spacing w:after="0"/>
        <w:rPr>
          <w:sz w:val="20"/>
          <w:szCs w:val="20"/>
          <w:color w:val="auto"/>
        </w:rPr>
      </w:pPr>
      <w:r>
        <w:rPr>
          <w:rFonts w:ascii="Arial" w:cs="Arial" w:eastAsia="Arial" w:hAnsi="Arial"/>
          <w:sz w:val="17"/>
          <w:szCs w:val="17"/>
          <w:b w:val="1"/>
          <w:bCs w:val="1"/>
          <w:color w:val="auto"/>
        </w:rPr>
        <w:t>171 Oyster Point Boulevard, 5</w:t>
      </w:r>
      <w:r>
        <w:rPr>
          <w:rFonts w:ascii="Arial" w:cs="Arial" w:eastAsia="Arial" w:hAnsi="Arial"/>
          <w:sz w:val="22"/>
          <w:szCs w:val="22"/>
          <w:b w:val="1"/>
          <w:bCs w:val="1"/>
          <w:color w:val="auto"/>
          <w:vertAlign w:val="superscript"/>
        </w:rPr>
        <w:t>th</w:t>
      </w:r>
      <w:r>
        <w:rPr>
          <w:rFonts w:ascii="Arial" w:cs="Arial" w:eastAsia="Arial" w:hAnsi="Arial"/>
          <w:sz w:val="17"/>
          <w:szCs w:val="17"/>
          <w:b w:val="1"/>
          <w:bCs w:val="1"/>
          <w:color w:val="auto"/>
        </w:rPr>
        <w:t xml:space="preserve"> Floor</w:t>
      </w:r>
    </w:p>
    <w:p>
      <w:pPr>
        <w:spacing w:after="0" w:line="5" w:lineRule="exact"/>
        <w:rPr>
          <w:sz w:val="24"/>
          <w:szCs w:val="24"/>
          <w:color w:val="auto"/>
        </w:rPr>
      </w:pPr>
    </w:p>
    <w:p>
      <w:pPr>
        <w:jc w:val="center"/>
        <w:ind w:right="2000"/>
        <w:spacing w:after="0"/>
        <w:rPr>
          <w:sz w:val="20"/>
          <w:szCs w:val="20"/>
          <w:color w:val="auto"/>
        </w:rPr>
      </w:pPr>
      <w:r>
        <w:rPr>
          <w:rFonts w:ascii="Arial" w:cs="Arial" w:eastAsia="Arial" w:hAnsi="Arial"/>
          <w:sz w:val="20"/>
          <w:szCs w:val="20"/>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81-3789973</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85" w:lineRule="exact"/>
        <w:rPr>
          <w:sz w:val="24"/>
          <w:szCs w:val="24"/>
          <w:color w:val="auto"/>
        </w:rPr>
      </w:pPr>
    </w:p>
    <w:p>
      <w:pPr>
        <w:ind w:left="240"/>
        <w:spacing w:after="0"/>
        <w:rPr>
          <w:sz w:val="20"/>
          <w:szCs w:val="20"/>
          <w:color w:val="auto"/>
        </w:rPr>
      </w:pPr>
      <w:r>
        <w:rPr>
          <w:rFonts w:ascii="Arial" w:cs="Arial" w:eastAsia="Arial" w:hAnsi="Arial"/>
          <w:sz w:val="20"/>
          <w:szCs w:val="20"/>
          <w:b w:val="1"/>
          <w:bCs w:val="1"/>
          <w:color w:val="auto"/>
        </w:rPr>
        <w:t>94080</w:t>
      </w:r>
    </w:p>
    <w:p>
      <w:pPr>
        <w:spacing w:after="0" w:line="18" w:lineRule="exact"/>
        <w:rPr>
          <w:sz w:val="24"/>
          <w:szCs w:val="24"/>
          <w:color w:val="auto"/>
        </w:rPr>
      </w:pPr>
    </w:p>
    <w:p>
      <w:pPr>
        <w:sectPr>
          <w:pgSz w:w="11900" w:h="16838" w:orient="portrait"/>
          <w:cols w:equalWidth="0" w:num="2">
            <w:col w:w="7620" w:space="320"/>
            <w:col w:w="3300"/>
          </w:cols>
          <w:pgMar w:left="320" w:top="679"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(650) 825-6990</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9"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500" w:type="dxa"/>
            <w:vAlign w:val="bottom"/>
          </w:tcPr>
          <w:p>
            <w:pPr>
              <w:jc w:val="center"/>
              <w:spacing w:after="0"/>
              <w:rPr>
                <w:sz w:val="20"/>
                <w:szCs w:val="20"/>
                <w:color w:val="auto"/>
              </w:rPr>
            </w:pPr>
            <w:r>
              <w:rPr>
                <w:rFonts w:ascii="Arial" w:cs="Arial" w:eastAsia="Arial" w:hAnsi="Arial"/>
                <w:sz w:val="16"/>
                <w:szCs w:val="16"/>
                <w:color w:val="auto"/>
                <w:w w:val="90"/>
              </w:rPr>
              <w:t>Common Stock, par value $0.0001 per share</w:t>
            </w:r>
          </w:p>
        </w:tc>
        <w:tc>
          <w:tcPr>
            <w:tcW w:w="12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rPr>
              <w:t>TNYA</w:t>
            </w:r>
          </w:p>
        </w:tc>
        <w:tc>
          <w:tcPr>
            <w:tcW w:w="12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2"/>
              </w:rPr>
              <w:t>Nasdaq Global Select Market</w:t>
            </w:r>
          </w:p>
        </w:tc>
        <w:tc>
          <w:tcPr>
            <w:tcW w:w="0" w:type="dxa"/>
            <w:vAlign w:val="bottom"/>
          </w:tcPr>
          <w:p>
            <w:pPr>
              <w:spacing w:after="0"/>
              <w:rPr>
                <w:sz w:val="1"/>
                <w:szCs w:val="1"/>
                <w:color w:val="auto"/>
              </w:rPr>
            </w:pPr>
          </w:p>
        </w:tc>
      </w:tr>
    </w:tbl>
    <w:p>
      <w:pPr>
        <w:spacing w:after="0" w:line="189" w:lineRule="exact"/>
        <w:rPr>
          <w:sz w:val="24"/>
          <w:szCs w:val="24"/>
          <w:color w:val="auto"/>
        </w:rPr>
      </w:pPr>
    </w:p>
    <w:p>
      <w:pPr>
        <w:ind w:firstLine="509"/>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2" w:lineRule="exact"/>
        <w:rPr>
          <w:sz w:val="24"/>
          <w:szCs w:val="24"/>
          <w:color w:val="auto"/>
        </w:rPr>
      </w:pPr>
    </w:p>
    <w:p>
      <w:pPr>
        <w:ind w:right="180" w:firstLine="509"/>
        <w:spacing w:after="0" w:line="20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300" w:firstLine="509"/>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3"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8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0"/>
                <w:szCs w:val="20"/>
                <w:color w:val="auto"/>
              </w:rPr>
            </w:pPr>
            <w:r>
              <w:rPr>
                <w:rFonts w:ascii="Arial" w:cs="Arial" w:eastAsia="Arial" w:hAnsi="Arial"/>
                <w:sz w:val="16"/>
                <w:szCs w:val="16"/>
                <w:color w:val="auto"/>
              </w:rPr>
              <w:t>Non-accelerated filer</w:t>
            </w:r>
          </w:p>
        </w:tc>
        <w:tc>
          <w:tcPr>
            <w:tcW w:w="36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2"/>
        </w:trPr>
        <w:tc>
          <w:tcPr>
            <w:tcW w:w="18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18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jc w:val="both"/>
        <w:ind w:right="80" w:firstLine="509"/>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520" w:right="2100"/>
        <w:spacing w:after="0" w:line="246"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3, 2022, the registrant had 41,364,653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360" w:type="dxa"/>
            <w:vAlign w:val="bottom"/>
            <w:gridSpan w:val="9"/>
          </w:tcPr>
          <w:p>
            <w:pPr>
              <w:ind w:left="7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vMerge w:val="restart"/>
          </w:tcPr>
          <w:p>
            <w:pPr>
              <w:spacing w:after="0"/>
              <w:rPr>
                <w:sz w:val="24"/>
                <w:szCs w:val="24"/>
                <w:color w:val="auto"/>
              </w:rPr>
            </w:pPr>
          </w:p>
        </w:tc>
        <w:tc>
          <w:tcPr>
            <w:tcW w:w="6360" w:type="dxa"/>
            <w:vAlign w:val="bottom"/>
            <w:gridSpan w:val="9"/>
            <w:vMerge w:val="restart"/>
          </w:tcPr>
          <w:p>
            <w:pPr>
              <w:spacing w:after="0"/>
              <w:rPr>
                <w:sz w:val="20"/>
                <w:szCs w:val="20"/>
                <w:color w:val="auto"/>
              </w:rPr>
            </w:pPr>
            <w:r>
              <w:rPr>
                <w:rFonts w:ascii="Arial" w:cs="Arial" w:eastAsia="Arial" w:hAnsi="Arial"/>
                <w:sz w:val="18"/>
                <w:szCs w:val="18"/>
                <w:b w:val="1"/>
                <w:bCs w:val="1"/>
                <w:color w:val="0000FF"/>
              </w:rPr>
              <w:t>PART I—FINANCIAL INFORMATION</w:t>
            </w:r>
          </w:p>
        </w:tc>
        <w:tc>
          <w:tcPr>
            <w:tcW w:w="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360" w:type="dxa"/>
            <w:vAlign w:val="bottom"/>
            <w:gridSpan w:val="9"/>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3180" w:type="dxa"/>
            <w:vAlign w:val="bottom"/>
            <w:gridSpan w:val="6"/>
          </w:tcPr>
          <w:p>
            <w:pPr>
              <w:spacing w:after="0"/>
              <w:rPr>
                <w:sz w:val="20"/>
                <w:szCs w:val="20"/>
                <w:color w:val="auto"/>
              </w:rPr>
            </w:pPr>
            <w:r>
              <w:rPr>
                <w:rFonts w:ascii="Arial" w:cs="Arial" w:eastAsia="Arial" w:hAnsi="Arial"/>
                <w:sz w:val="18"/>
                <w:szCs w:val="18"/>
                <w:color w:val="0000FF"/>
              </w:rPr>
              <w:t>Financial Statements (Unaudited)</w:t>
            </w:r>
          </w:p>
        </w:tc>
        <w:tc>
          <w:tcPr>
            <w:tcW w:w="3160" w:type="dxa"/>
            <w:vAlign w:val="bottom"/>
            <w:tcBorders>
              <w:top w:val="single" w:sz="8" w:color="0000FF"/>
            </w:tcBorders>
            <w:gridSpan w:val="4"/>
          </w:tcPr>
          <w:p>
            <w:pPr>
              <w:spacing w:after="0"/>
              <w:rPr>
                <w:sz w:val="24"/>
                <w:szCs w:val="24"/>
                <w:color w:val="auto"/>
              </w:rPr>
            </w:pPr>
          </w:p>
        </w:tc>
        <w:tc>
          <w:tcPr>
            <w:tcW w:w="3200" w:type="dxa"/>
            <w:vAlign w:val="bottom"/>
            <w:gridSpan w:val="5"/>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2200" w:type="dxa"/>
            <w:vAlign w:val="bottom"/>
            <w:tcBorders>
              <w:top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8"/>
              </w:rPr>
              <w:t>Condensed Balance Sheets as</w:t>
            </w:r>
          </w:p>
        </w:tc>
        <w:tc>
          <w:tcPr>
            <w:tcW w:w="20" w:type="dxa"/>
            <w:vAlign w:val="bottom"/>
            <w:tcBorders>
              <w:top w:val="single" w:sz="8" w:color="0000EE"/>
            </w:tcBorders>
          </w:tcPr>
          <w:p>
            <w:pPr>
              <w:spacing w:after="0"/>
              <w:rPr>
                <w:sz w:val="15"/>
                <w:szCs w:val="15"/>
                <w:color w:val="auto"/>
              </w:rPr>
            </w:pPr>
          </w:p>
        </w:tc>
        <w:tc>
          <w:tcPr>
            <w:tcW w:w="7100" w:type="dxa"/>
            <w:vAlign w:val="bottom"/>
            <w:gridSpan w:val="10"/>
          </w:tcPr>
          <w:p>
            <w:pPr>
              <w:spacing w:after="0" w:line="182" w:lineRule="exact"/>
              <w:rPr>
                <w:sz w:val="20"/>
                <w:szCs w:val="20"/>
                <w:color w:val="auto"/>
              </w:rPr>
            </w:pPr>
            <w:r>
              <w:rPr>
                <w:rFonts w:ascii="Arial" w:cs="Arial" w:eastAsia="Arial" w:hAnsi="Arial"/>
                <w:sz w:val="18"/>
                <w:szCs w:val="18"/>
                <w:color w:val="0000FF"/>
              </w:rPr>
              <w:t>of June 30, 2022 and December 31, 2021</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1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0"/>
              </w:rPr>
              <w:t>Condensed Statements of Operations and Comprehensive Loss for the</w:t>
            </w:r>
          </w:p>
        </w:tc>
        <w:tc>
          <w:tcPr>
            <w:tcW w:w="4180" w:type="dxa"/>
            <w:vAlign w:val="bottom"/>
            <w:gridSpan w:val="6"/>
          </w:tcPr>
          <w:p>
            <w:pPr>
              <w:spacing w:after="0" w:line="182" w:lineRule="exact"/>
              <w:rPr>
                <w:sz w:val="20"/>
                <w:szCs w:val="20"/>
                <w:color w:val="auto"/>
              </w:rPr>
            </w:pPr>
            <w:r>
              <w:rPr>
                <w:rFonts w:ascii="Arial" w:cs="Arial" w:eastAsia="Arial" w:hAnsi="Arial"/>
                <w:sz w:val="18"/>
                <w:szCs w:val="18"/>
                <w:color w:val="0000FF"/>
                <w:w w:val="98"/>
              </w:rPr>
              <w:t>three and six months ended June 30, 2022 and 2021</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920" w:type="dxa"/>
            <w:vAlign w:val="bottom"/>
            <w:tcBorders>
              <w:top w:val="single" w:sz="8" w:color="0000EE"/>
              <w:bottom w:val="single" w:sz="8" w:color="0000FF"/>
            </w:tcBorders>
            <w:gridSpan w:val="12"/>
          </w:tcPr>
          <w:p>
            <w:pPr>
              <w:spacing w:after="0" w:line="182" w:lineRule="exact"/>
              <w:rPr>
                <w:sz w:val="20"/>
                <w:szCs w:val="20"/>
                <w:color w:val="auto"/>
              </w:rPr>
            </w:pPr>
            <w:r>
              <w:rPr>
                <w:rFonts w:ascii="Arial" w:cs="Arial" w:eastAsia="Arial" w:hAnsi="Arial"/>
                <w:sz w:val="18"/>
                <w:szCs w:val="18"/>
                <w:color w:val="0000FF"/>
                <w:w w:val="90"/>
              </w:rPr>
              <w:t>Condensed Statements of Convertible Preferred Stock and Stockholders’ Equity (Deficit) for the three and six months ended</w:t>
            </w:r>
          </w:p>
        </w:tc>
        <w:tc>
          <w:tcPr>
            <w:tcW w:w="100" w:type="dxa"/>
            <w:vAlign w:val="bottom"/>
            <w:tcBorders>
              <w:bottom w:val="single" w:sz="8" w:color="0000FF"/>
            </w:tcBorders>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920" w:type="dxa"/>
            <w:vAlign w:val="bottom"/>
            <w:gridSpan w:val="12"/>
          </w:tcPr>
          <w:p>
            <w:pPr>
              <w:spacing w:after="0" w:line="169" w:lineRule="exact"/>
              <w:rPr>
                <w:sz w:val="20"/>
                <w:szCs w:val="20"/>
                <w:color w:val="auto"/>
              </w:rPr>
            </w:pPr>
            <w:r>
              <w:rPr>
                <w:rFonts w:ascii="Arial" w:cs="Arial" w:eastAsia="Arial" w:hAnsi="Arial"/>
                <w:sz w:val="18"/>
                <w:szCs w:val="18"/>
                <w:color w:val="0000FF"/>
              </w:rPr>
              <w:t>June 30, 2022 and 2021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0"/>
              </w:rPr>
              <w:t>Condensed Statements</w:t>
            </w:r>
          </w:p>
        </w:tc>
        <w:tc>
          <w:tcPr>
            <w:tcW w:w="7600" w:type="dxa"/>
            <w:vAlign w:val="bottom"/>
            <w:gridSpan w:val="12"/>
          </w:tcPr>
          <w:p>
            <w:pPr>
              <w:spacing w:after="0" w:line="182" w:lineRule="exact"/>
              <w:rPr>
                <w:sz w:val="20"/>
                <w:szCs w:val="20"/>
                <w:color w:val="auto"/>
              </w:rPr>
            </w:pPr>
            <w:r>
              <w:rPr>
                <w:rFonts w:ascii="Arial" w:cs="Arial" w:eastAsia="Arial" w:hAnsi="Arial"/>
                <w:sz w:val="18"/>
                <w:szCs w:val="18"/>
                <w:color w:val="0000FF"/>
              </w:rPr>
              <w:t>of Cash Flows for the six months ended June 30, 2022 and 2021</w:t>
            </w: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36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FF"/>
              </w:rPr>
              <w:t>Notes to Unaudited Condensed Financial Statements</w:t>
            </w:r>
          </w:p>
        </w:tc>
        <w:tc>
          <w:tcPr>
            <w:tcW w:w="2960" w:type="dxa"/>
            <w:vAlign w:val="bottom"/>
            <w:gridSpan w:val="3"/>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2.</w:t>
            </w:r>
          </w:p>
        </w:tc>
        <w:tc>
          <w:tcPr>
            <w:tcW w:w="220" w:type="dxa"/>
            <w:vAlign w:val="bottom"/>
            <w:vMerge w:val="restart"/>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260" w:type="dxa"/>
            <w:vAlign w:val="bottom"/>
            <w:tcBorders>
              <w:right w:val="single" w:sz="8" w:color="0000EE"/>
            </w:tcBorders>
            <w:gridSpan w:val="5"/>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080" w:type="dxa"/>
            <w:vAlign w:val="bottom"/>
            <w:gridSpan w:val="4"/>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320" w:type="dxa"/>
            <w:vAlign w:val="bottom"/>
            <w:gridSpan w:val="14"/>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3.</w:t>
            </w:r>
          </w:p>
        </w:tc>
        <w:tc>
          <w:tcPr>
            <w:tcW w:w="1780" w:type="dxa"/>
            <w:vAlign w:val="bottom"/>
            <w:tcBorders>
              <w:left w:val="single" w:sz="8" w:color="0000EE"/>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3080" w:type="dxa"/>
            <w:vAlign w:val="bottom"/>
            <w:gridSpan w:val="4"/>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6460" w:type="dxa"/>
            <w:vAlign w:val="bottom"/>
            <w:gridSpan w:val="11"/>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3080" w:type="dxa"/>
            <w:vAlign w:val="bottom"/>
            <w:gridSpan w:val="4"/>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2" w:lineRule="exact"/>
              <w:rPr>
                <w:sz w:val="20"/>
                <w:szCs w:val="20"/>
                <w:color w:val="auto"/>
              </w:rPr>
            </w:pPr>
            <w:r>
              <w:rPr>
                <w:rFonts w:ascii="Arial" w:cs="Arial" w:eastAsia="Arial" w:hAnsi="Arial"/>
                <w:sz w:val="18"/>
                <w:szCs w:val="18"/>
                <w:color w:val="auto"/>
              </w:rPr>
              <w:t>Item 4.</w:t>
            </w:r>
          </w:p>
        </w:tc>
        <w:tc>
          <w:tcPr>
            <w:tcW w:w="1780" w:type="dxa"/>
            <w:vAlign w:val="bottom"/>
            <w:tcBorders>
              <w:left w:val="single" w:sz="8" w:color="0000EE"/>
            </w:tcBorders>
            <w:gridSpan w:val="2"/>
            <w:shd w:val="clear" w:color="auto" w:fill="0000FF"/>
          </w:tcPr>
          <w:p>
            <w:pPr>
              <w:spacing w:after="0" w:line="20" w:lineRule="exact"/>
              <w:rPr>
                <w:sz w:val="1"/>
                <w:szCs w:val="1"/>
                <w:color w:val="auto"/>
              </w:rPr>
            </w:pPr>
          </w:p>
        </w:tc>
        <w:tc>
          <w:tcPr>
            <w:tcW w:w="2580" w:type="dxa"/>
            <w:vAlign w:val="bottom"/>
            <w:gridSpan w:val="6"/>
            <w:shd w:val="clear" w:color="auto" w:fill="0000FF"/>
          </w:tcPr>
          <w:p>
            <w:pPr>
              <w:spacing w:after="0" w:line="20" w:lineRule="exact"/>
              <w:rPr>
                <w:sz w:val="1"/>
                <w:szCs w:val="1"/>
                <w:color w:val="auto"/>
              </w:rPr>
            </w:pPr>
          </w:p>
        </w:tc>
        <w:tc>
          <w:tcPr>
            <w:tcW w:w="5180" w:type="dxa"/>
            <w:vAlign w:val="bottom"/>
            <w:gridSpan w:val="7"/>
            <w:vMerge w:val="restart"/>
          </w:tcPr>
          <w:p>
            <w:pPr>
              <w:spacing w:after="0" w:line="20" w:lineRule="exact"/>
              <w:rPr>
                <w:sz w:val="1"/>
                <w:szCs w:val="1"/>
                <w:color w:val="auto"/>
              </w:rPr>
            </w:pPr>
          </w:p>
        </w:tc>
        <w:tc>
          <w:tcPr>
            <w:tcW w:w="6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line="20" w:lineRule="exact"/>
              <w:rPr>
                <w:sz w:val="1"/>
                <w:szCs w:val="1"/>
                <w:color w:val="auto"/>
              </w:rPr>
            </w:pPr>
          </w:p>
        </w:tc>
      </w:tr>
      <w:tr>
        <w:trPr>
          <w:trHeight w:val="183"/>
        </w:trPr>
        <w:tc>
          <w:tcPr>
            <w:tcW w:w="1020" w:type="dxa"/>
            <w:vAlign w:val="bottom"/>
            <w:vMerge w:val="continue"/>
          </w:tcPr>
          <w:p>
            <w:pPr>
              <w:spacing w:after="0"/>
              <w:rPr>
                <w:sz w:val="15"/>
                <w:szCs w:val="15"/>
                <w:color w:val="auto"/>
              </w:rPr>
            </w:pPr>
          </w:p>
        </w:tc>
        <w:tc>
          <w:tcPr>
            <w:tcW w:w="4360" w:type="dxa"/>
            <w:vAlign w:val="bottom"/>
            <w:gridSpan w:val="8"/>
          </w:tcPr>
          <w:p>
            <w:pPr>
              <w:spacing w:after="0" w:line="182" w:lineRule="exact"/>
              <w:rPr>
                <w:sz w:val="20"/>
                <w:szCs w:val="20"/>
                <w:color w:val="auto"/>
              </w:rPr>
            </w:pPr>
            <w:r>
              <w:rPr>
                <w:rFonts w:ascii="Arial" w:cs="Arial" w:eastAsia="Arial" w:hAnsi="Arial"/>
                <w:sz w:val="18"/>
                <w:szCs w:val="18"/>
                <w:color w:val="0000FF"/>
              </w:rPr>
              <w:t>Controls and Procedures</w:t>
            </w:r>
          </w:p>
        </w:tc>
        <w:tc>
          <w:tcPr>
            <w:tcW w:w="5180" w:type="dxa"/>
            <w:vAlign w:val="bottom"/>
            <w:gridSpan w:val="7"/>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Borders>
              <w:left w:val="single" w:sz="8" w:color="0000EE"/>
            </w:tcBorders>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760" w:type="dxa"/>
            <w:vAlign w:val="bottom"/>
            <w:gridSpan w:val="4"/>
          </w:tcPr>
          <w:p>
            <w:pPr>
              <w:ind w:left="1000"/>
              <w:spacing w:after="0"/>
              <w:rPr>
                <w:sz w:val="20"/>
                <w:szCs w:val="20"/>
                <w:color w:val="auto"/>
              </w:rPr>
            </w:pPr>
            <w:r>
              <w:rPr>
                <w:rFonts w:ascii="Arial" w:cs="Arial" w:eastAsia="Arial" w:hAnsi="Arial"/>
                <w:sz w:val="18"/>
                <w:szCs w:val="18"/>
                <w:b w:val="1"/>
                <w:bCs w:val="1"/>
                <w:color w:val="0000FF"/>
              </w:rPr>
              <w:t>PART II—OTHER INFORMATION</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w:t>
            </w:r>
          </w:p>
        </w:tc>
        <w:tc>
          <w:tcPr>
            <w:tcW w:w="3340" w:type="dxa"/>
            <w:vAlign w:val="bottom"/>
            <w:gridSpan w:val="9"/>
          </w:tcPr>
          <w:p>
            <w:pPr>
              <w:spacing w:after="0" w:line="182" w:lineRule="exact"/>
              <w:rPr>
                <w:sz w:val="20"/>
                <w:szCs w:val="20"/>
                <w:color w:val="auto"/>
              </w:rPr>
            </w:pPr>
            <w:r>
              <w:rPr>
                <w:rFonts w:ascii="Arial" w:cs="Arial" w:eastAsia="Arial" w:hAnsi="Arial"/>
                <w:sz w:val="18"/>
                <w:szCs w:val="18"/>
                <w:color w:val="0000FF"/>
              </w:rPr>
              <w:t>Legal Proceedings</w:t>
            </w:r>
          </w:p>
        </w:tc>
        <w:tc>
          <w:tcPr>
            <w:tcW w:w="1020" w:type="dxa"/>
            <w:vAlign w:val="bottom"/>
            <w:tcBorders>
              <w:top w:val="single" w:sz="8" w:color="0000FF"/>
            </w:tcBorders>
          </w:tcPr>
          <w:p>
            <w:pPr>
              <w:spacing w:after="0"/>
              <w:rPr>
                <w:sz w:val="15"/>
                <w:szCs w:val="15"/>
                <w:color w:val="auto"/>
              </w:rPr>
            </w:pPr>
          </w:p>
        </w:tc>
        <w:tc>
          <w:tcPr>
            <w:tcW w:w="1840" w:type="dxa"/>
            <w:vAlign w:val="bottom"/>
            <w:tcBorders>
              <w:top w:val="single" w:sz="8" w:color="0000FF"/>
            </w:tcBorders>
          </w:tcPr>
          <w:p>
            <w:pPr>
              <w:spacing w:after="0"/>
              <w:rPr>
                <w:sz w:val="15"/>
                <w:szCs w:val="15"/>
                <w:color w:val="auto"/>
              </w:rPr>
            </w:pPr>
          </w:p>
        </w:tc>
        <w:tc>
          <w:tcPr>
            <w:tcW w:w="1900" w:type="dxa"/>
            <w:vAlign w:val="bottom"/>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FF"/>
              <w:bottom w:val="single" w:sz="8" w:color="0000FF"/>
            </w:tcBorders>
            <w:gridSpan w:val="3"/>
          </w:tcPr>
          <w:p>
            <w:pPr>
              <w:spacing w:after="0" w:line="182" w:lineRule="exact"/>
              <w:rPr>
                <w:sz w:val="20"/>
                <w:szCs w:val="20"/>
                <w:color w:val="auto"/>
              </w:rPr>
            </w:pPr>
            <w:r>
              <w:rPr>
                <w:rFonts w:ascii="Arial" w:cs="Arial" w:eastAsia="Arial" w:hAnsi="Arial"/>
                <w:sz w:val="18"/>
                <w:szCs w:val="18"/>
                <w:color w:val="0000FF"/>
                <w:w w:val="8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20" w:type="dxa"/>
            <w:vAlign w:val="bottom"/>
            <w:gridSpan w:val="2"/>
          </w:tcPr>
          <w:p>
            <w:pPr>
              <w:spacing w:after="0"/>
              <w:rPr>
                <w:sz w:val="15"/>
                <w:szCs w:val="15"/>
                <w:color w:val="auto"/>
              </w:rPr>
            </w:pPr>
          </w:p>
        </w:tc>
        <w:tc>
          <w:tcPr>
            <w:tcW w:w="3740" w:type="dxa"/>
            <w:vAlign w:val="bottom"/>
            <w:gridSpan w:val="2"/>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Item 2.</w:t>
            </w:r>
          </w:p>
        </w:tc>
        <w:tc>
          <w:tcPr>
            <w:tcW w:w="940" w:type="dxa"/>
            <w:vAlign w:val="bottom"/>
            <w:gridSpan w:val="4"/>
          </w:tcPr>
          <w:p>
            <w:pPr>
              <w:spacing w:after="0" w:line="182" w:lineRule="exact"/>
              <w:rPr>
                <w:sz w:val="20"/>
                <w:szCs w:val="20"/>
                <w:color w:val="auto"/>
              </w:rPr>
            </w:pPr>
            <w:r>
              <w:rPr>
                <w:rFonts w:ascii="Arial" w:cs="Arial" w:eastAsia="Arial" w:hAnsi="Arial"/>
                <w:sz w:val="18"/>
                <w:szCs w:val="18"/>
                <w:color w:val="0000FF"/>
                <w:w w:val="89"/>
              </w:rPr>
              <w:t>Unregistered</w:t>
            </w:r>
          </w:p>
        </w:tc>
        <w:tc>
          <w:tcPr>
            <w:tcW w:w="7160" w:type="dxa"/>
            <w:vAlign w:val="bottom"/>
            <w:gridSpan w:val="8"/>
          </w:tcPr>
          <w:p>
            <w:pPr>
              <w:ind w:left="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3.</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740" w:type="dxa"/>
            <w:vAlign w:val="bottom"/>
            <w:gridSpan w:val="2"/>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4360" w:type="dxa"/>
            <w:vAlign w:val="bottom"/>
            <w:gridSpan w:val="10"/>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3740" w:type="dxa"/>
            <w:vAlign w:val="bottom"/>
            <w:gridSpan w:val="2"/>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4.</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760" w:type="dxa"/>
            <w:vAlign w:val="bottom"/>
            <w:gridSpan w:val="4"/>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2340" w:type="dxa"/>
            <w:vAlign w:val="bottom"/>
            <w:gridSpan w:val="8"/>
          </w:tcPr>
          <w:p>
            <w:pPr>
              <w:spacing w:after="0" w:line="182" w:lineRule="exact"/>
              <w:rPr>
                <w:sz w:val="20"/>
                <w:szCs w:val="20"/>
                <w:color w:val="auto"/>
              </w:rPr>
            </w:pPr>
            <w:r>
              <w:rPr>
                <w:rFonts w:ascii="Arial" w:cs="Arial" w:eastAsia="Arial" w:hAnsi="Arial"/>
                <w:sz w:val="18"/>
                <w:szCs w:val="18"/>
                <w:color w:val="0000FF"/>
              </w:rPr>
              <w:t>Mine Safety Disclosures</w:t>
            </w:r>
          </w:p>
        </w:tc>
        <w:tc>
          <w:tcPr>
            <w:tcW w:w="5760" w:type="dxa"/>
            <w:vAlign w:val="bottom"/>
            <w:gridSpan w:val="4"/>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5.</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320" w:type="dxa"/>
            <w:vAlign w:val="bottom"/>
            <w:gridSpan w:val="5"/>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780" w:type="dxa"/>
            <w:vAlign w:val="bottom"/>
            <w:gridSpan w:val="7"/>
          </w:tcPr>
          <w:p>
            <w:pPr>
              <w:spacing w:after="0" w:line="182" w:lineRule="exact"/>
              <w:rPr>
                <w:sz w:val="20"/>
                <w:szCs w:val="20"/>
                <w:color w:val="auto"/>
              </w:rPr>
            </w:pPr>
            <w:r>
              <w:rPr>
                <w:rFonts w:ascii="Arial" w:cs="Arial" w:eastAsia="Arial" w:hAnsi="Arial"/>
                <w:sz w:val="18"/>
                <w:szCs w:val="18"/>
                <w:color w:val="0000FF"/>
              </w:rPr>
              <w:t>Other Information</w:t>
            </w:r>
          </w:p>
        </w:tc>
        <w:tc>
          <w:tcPr>
            <w:tcW w:w="6320" w:type="dxa"/>
            <w:vAlign w:val="bottom"/>
            <w:gridSpan w:val="5"/>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ind w:left="20"/>
              <w:spacing w:after="0" w:line="202" w:lineRule="exact"/>
              <w:rPr>
                <w:sz w:val="20"/>
                <w:szCs w:val="20"/>
                <w:color w:val="auto"/>
              </w:rPr>
            </w:pPr>
            <w:r>
              <w:rPr>
                <w:rFonts w:ascii="Arial" w:cs="Arial" w:eastAsia="Arial" w:hAnsi="Arial"/>
                <w:sz w:val="18"/>
                <w:szCs w:val="18"/>
                <w:color w:val="auto"/>
              </w:rPr>
              <w:t>Item 6.</w:t>
            </w:r>
          </w:p>
        </w:tc>
        <w:tc>
          <w:tcPr>
            <w:tcW w:w="80" w:type="dxa"/>
            <w:vAlign w:val="bottom"/>
            <w:tcBorders>
              <w:left w:val="single" w:sz="8" w:color="0000EE"/>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6780" w:type="dxa"/>
            <w:vAlign w:val="bottom"/>
            <w:gridSpan w:val="7"/>
            <w:vMerge w:val="restart"/>
          </w:tcPr>
          <w:p>
            <w:pPr>
              <w:spacing w:after="0" w:line="20" w:lineRule="exact"/>
              <w:rPr>
                <w:sz w:val="1"/>
                <w:szCs w:val="1"/>
                <w:color w:val="auto"/>
              </w:rPr>
            </w:pPr>
          </w:p>
        </w:tc>
        <w:tc>
          <w:tcPr>
            <w:tcW w:w="210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84</w:t>
            </w:r>
          </w:p>
        </w:tc>
        <w:tc>
          <w:tcPr>
            <w:tcW w:w="0" w:type="dxa"/>
            <w:vAlign w:val="bottom"/>
          </w:tcPr>
          <w:p>
            <w:pPr>
              <w:spacing w:after="0" w:line="20" w:lineRule="exact"/>
              <w:rPr>
                <w:sz w:val="1"/>
                <w:szCs w:val="1"/>
                <w:color w:val="auto"/>
              </w:rPr>
            </w:pPr>
          </w:p>
        </w:tc>
      </w:tr>
      <w:tr>
        <w:trPr>
          <w:trHeight w:val="183"/>
        </w:trPr>
        <w:tc>
          <w:tcPr>
            <w:tcW w:w="1040" w:type="dxa"/>
            <w:vAlign w:val="bottom"/>
            <w:gridSpan w:val="2"/>
            <w:vMerge w:val="continue"/>
          </w:tcPr>
          <w:p>
            <w:pPr>
              <w:spacing w:after="0"/>
              <w:rPr>
                <w:sz w:val="15"/>
                <w:szCs w:val="15"/>
                <w:color w:val="auto"/>
              </w:rPr>
            </w:pPr>
          </w:p>
        </w:tc>
        <w:tc>
          <w:tcPr>
            <w:tcW w:w="1320" w:type="dxa"/>
            <w:vAlign w:val="bottom"/>
            <w:gridSpan w:val="5"/>
          </w:tcPr>
          <w:p>
            <w:pPr>
              <w:spacing w:after="0" w:line="182" w:lineRule="exact"/>
              <w:rPr>
                <w:sz w:val="20"/>
                <w:szCs w:val="20"/>
                <w:color w:val="auto"/>
              </w:rPr>
            </w:pPr>
            <w:r>
              <w:rPr>
                <w:rFonts w:ascii="Arial" w:cs="Arial" w:eastAsia="Arial" w:hAnsi="Arial"/>
                <w:sz w:val="18"/>
                <w:szCs w:val="18"/>
                <w:color w:val="0000FF"/>
              </w:rPr>
              <w:t>Exhibits</w:t>
            </w:r>
          </w:p>
        </w:tc>
        <w:tc>
          <w:tcPr>
            <w:tcW w:w="6780" w:type="dxa"/>
            <w:vAlign w:val="bottom"/>
            <w:gridSpan w:val="7"/>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gridSpan w:val="2"/>
          </w:tcPr>
          <w:p>
            <w:pPr>
              <w:ind w:left="20"/>
              <w:spacing w:after="0" w:line="182" w:lineRule="exact"/>
              <w:rPr>
                <w:sz w:val="20"/>
                <w:szCs w:val="20"/>
                <w:color w:val="auto"/>
              </w:rPr>
            </w:pPr>
            <w:r>
              <w:rPr>
                <w:rFonts w:ascii="Arial" w:cs="Arial" w:eastAsia="Arial" w:hAnsi="Arial"/>
                <w:sz w:val="18"/>
                <w:szCs w:val="18"/>
                <w:color w:val="0000FF"/>
                <w:w w:val="83"/>
              </w:rPr>
              <w:t>SIGNATURES</w:t>
            </w:r>
          </w:p>
        </w:tc>
        <w:tc>
          <w:tcPr>
            <w:tcW w:w="80" w:type="dxa"/>
            <w:vAlign w:val="bottom"/>
            <w:tcBorders>
              <w:top w:val="single" w:sz="8" w:color="0000FF"/>
            </w:tcBorders>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7500" w:type="dxa"/>
            <w:vAlign w:val="bottom"/>
            <w:gridSpan w:val="10"/>
          </w:tcPr>
          <w:p>
            <w:pPr>
              <w:spacing w:after="0"/>
              <w:rPr>
                <w:sz w:val="15"/>
                <w:szCs w:val="15"/>
                <w:color w:val="auto"/>
              </w:rPr>
            </w:pPr>
          </w:p>
        </w:tc>
        <w:tc>
          <w:tcPr>
            <w:tcW w:w="210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972"/>
        </w:trPr>
        <w:tc>
          <w:tcPr>
            <w:tcW w:w="20" w:type="dxa"/>
            <w:vAlign w:val="bottom"/>
            <w:tcBorders>
              <w:bottom w:val="single" w:sz="8" w:color="9A9A9A"/>
            </w:tcBorders>
          </w:tcPr>
          <w:p>
            <w:pPr>
              <w:spacing w:after="0"/>
              <w:rPr>
                <w:sz w:val="24"/>
                <w:szCs w:val="24"/>
                <w:color w:val="auto"/>
              </w:rPr>
            </w:pPr>
          </w:p>
        </w:tc>
        <w:tc>
          <w:tcPr>
            <w:tcW w:w="10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jc w:val="center"/>
        <w:ind w:left="500"/>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216"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This Quarterly Report on Form 10-Q, or Quarterly Report, contains forward-looking statements within the meaning of Section 27A of the Securities Act of 1933 and Section 21E of the Securities Act of 1934. All statements other than statements of historical facts contained in this Quarterly Report, including statements regarding our future results of operations and financial position, business strategy, development plans, planned preclinical studies and clinical trials, future results of clinical trials, expected research and development costs, regulatory strategy, timing and likelihood of success, as well as plans and objectives of management for future operations, are forward-looking statements. In some cases, investors can identify forward-looking statements by terms such as “may,” “will,” “should,” “would,” “expect,” “plan,” “anticipate,” “could,” “intend,” “target,” “project,” “contemplate,” “believe,” “estimate,” “predict,” “potential” or “continue” or the negative of these terms or other similar expressions. These forward-looking statements include, but are not limited to, statements about:</w:t>
      </w:r>
    </w:p>
    <w:p>
      <w:pPr>
        <w:spacing w:after="0" w:line="78" w:lineRule="exact"/>
        <w:rPr>
          <w:sz w:val="20"/>
          <w:szCs w:val="20"/>
          <w:color w:val="auto"/>
        </w:rPr>
      </w:pPr>
    </w:p>
    <w:p>
      <w:pPr>
        <w:ind w:left="900" w:right="8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ability of our preclinical studies and planned clinical trials to demonstrate safety and efficacy of our product candidates, and other positive results;</w:t>
      </w:r>
    </w:p>
    <w:p>
      <w:pPr>
        <w:spacing w:after="0" w:line="62" w:lineRule="exact"/>
        <w:rPr>
          <w:rFonts w:ascii="Arial" w:cs="Arial" w:eastAsia="Arial" w:hAnsi="Arial"/>
          <w:sz w:val="18"/>
          <w:szCs w:val="18"/>
          <w:color w:val="231F20"/>
        </w:rPr>
      </w:pPr>
    </w:p>
    <w:p>
      <w:pPr>
        <w:ind w:left="900" w:hanging="383"/>
        <w:spacing w:after="0" w:line="277"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progress and results of preclinical studies and planned clinical trials for our current product candidates and other product candidates we may develop;</w:t>
      </w:r>
    </w:p>
    <w:p>
      <w:pPr>
        <w:spacing w:after="0" w:line="48" w:lineRule="exact"/>
        <w:rPr>
          <w:rFonts w:ascii="Arial" w:cs="Arial" w:eastAsia="Arial" w:hAnsi="Arial"/>
          <w:sz w:val="18"/>
          <w:szCs w:val="18"/>
          <w:color w:val="231F20"/>
        </w:rPr>
      </w:pPr>
    </w:p>
    <w:p>
      <w:pPr>
        <w:ind w:left="900" w:right="40" w:hanging="383"/>
        <w:spacing w:after="0" w:line="256"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timing, scope and likelihood of regulatory filings and approvals, including timing of investigational new drugs (INDs), clinical trial applications (CTAs), Food and Drug Administration (FDA) approvals, and final regulatory approval of our current product candidates and any other future product candidates;</w:t>
      </w:r>
    </w:p>
    <w:p>
      <w:pPr>
        <w:spacing w:after="0" w:line="66"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develop and advance our current product candidates and programs into, and successfully complete, clinical studies;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manufacturing, commercialization, and marketing capabilities and strategy;</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plans relating to commercializing our product candidates, if approved;</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need to hire additional personnel and our ability to attract and retain such personnel;</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competitive position and the success of competing therapies that are or may become available;</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7"/>
          <w:szCs w:val="17"/>
          <w:color w:val="231F20"/>
        </w:rPr>
      </w:pPr>
      <w:r>
        <w:rPr>
          <w:rFonts w:ascii="Arial" w:cs="Arial" w:eastAsia="Arial" w:hAnsi="Arial"/>
          <w:sz w:val="17"/>
          <w:szCs w:val="17"/>
          <w:color w:val="231F20"/>
        </w:rPr>
        <w:t>our plans relating to the further development of our product candidates, including additional indications and targets we may pursue;</w:t>
      </w:r>
    </w:p>
    <w:p>
      <w:pPr>
        <w:spacing w:after="0" w:line="115" w:lineRule="exact"/>
        <w:rPr>
          <w:rFonts w:ascii="Arial" w:cs="Arial" w:eastAsia="Arial" w:hAnsi="Arial"/>
          <w:sz w:val="17"/>
          <w:szCs w:val="17"/>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impact of existing laws and regulations and regulatory developments in the United States, Europe and other jurisdictions;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our expectations regarding the effects of the ongoing COVID-19 pandemic on our business, including our preclinical studies and clinical trials;</w:t>
      </w:r>
    </w:p>
    <w:p>
      <w:pPr>
        <w:spacing w:after="0" w:line="140" w:lineRule="exact"/>
        <w:rPr>
          <w:rFonts w:ascii="Arial" w:cs="Arial" w:eastAsia="Arial" w:hAnsi="Arial"/>
          <w:sz w:val="16"/>
          <w:szCs w:val="16"/>
          <w:color w:val="231F20"/>
        </w:rPr>
      </w:pPr>
    </w:p>
    <w:p>
      <w:pPr>
        <w:ind w:left="900" w:right="40" w:hanging="383"/>
        <w:spacing w:after="0" w:line="243"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intellectual property position, including the scope of protection we are able to establish and maintain for intellectual property rights covering our current product candidates and other product candidates we may develop, including the extensions of existing patent terms where available, the validity of intellectual property rights held by third parties, and our ability not to infringe, misappropriate or otherwise violate any third-party intellectual property rights;</w:t>
      </w:r>
    </w:p>
    <w:p>
      <w:pPr>
        <w:spacing w:after="0" w:line="93" w:lineRule="exact"/>
        <w:rPr>
          <w:rFonts w:ascii="Arial" w:cs="Arial" w:eastAsia="Arial" w:hAnsi="Arial"/>
          <w:sz w:val="18"/>
          <w:szCs w:val="18"/>
          <w:color w:val="231F20"/>
        </w:rPr>
      </w:pPr>
    </w:p>
    <w:p>
      <w:pPr>
        <w:ind w:left="90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continued reliance on third parties to conduct additional preclinical studies and planned clinical trials of our product candidates, and for the development and manufacture of our product candidates for preclinical studies and clinical trials;</w:t>
      </w:r>
    </w:p>
    <w:p>
      <w:pPr>
        <w:spacing w:after="0" w:line="62" w:lineRule="exact"/>
        <w:rPr>
          <w:rFonts w:ascii="Arial" w:cs="Arial" w:eastAsia="Arial" w:hAnsi="Arial"/>
          <w:sz w:val="18"/>
          <w:szCs w:val="18"/>
          <w:color w:val="231F20"/>
        </w:rPr>
      </w:pPr>
    </w:p>
    <w:p>
      <w:pPr>
        <w:ind w:left="900" w:right="40" w:hanging="383"/>
        <w:spacing w:after="0" w:line="277"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ability to obtain, and negotiate favorable terms of, any collaboration, partnership, licensing or other arrangements that may be necessary or desirable to develop, manufacture or commercialize our product candidates;</w:t>
      </w:r>
    </w:p>
    <w:p>
      <w:pPr>
        <w:spacing w:after="0" w:line="48" w:lineRule="exact"/>
        <w:rPr>
          <w:rFonts w:ascii="Arial" w:cs="Arial" w:eastAsia="Arial" w:hAnsi="Arial"/>
          <w:sz w:val="18"/>
          <w:szCs w:val="18"/>
          <w:color w:val="231F20"/>
        </w:rPr>
      </w:pPr>
    </w:p>
    <w:p>
      <w:pPr>
        <w:ind w:left="900" w:right="34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pricing and reimbursement of our current product candidates and other product candidates we may develop, if approved, including any increase in demand as a result of the availability of reimbursement from the government and third-party payors;</w:t>
      </w:r>
    </w:p>
    <w:p>
      <w:pPr>
        <w:spacing w:after="0" w:line="76"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6"/>
          <w:szCs w:val="16"/>
          <w:color w:val="231F20"/>
        </w:rPr>
      </w:pPr>
      <w:r>
        <w:rPr>
          <w:rFonts w:ascii="Arial" w:cs="Arial" w:eastAsia="Arial" w:hAnsi="Arial"/>
          <w:sz w:val="16"/>
          <w:szCs w:val="16"/>
          <w:color w:val="231F20"/>
        </w:rPr>
        <w:t>the rate and degree of market acceptance and clinical utility of our current product candidates and other product candidates we may develop;</w:t>
      </w:r>
    </w:p>
    <w:p>
      <w:pPr>
        <w:spacing w:after="0" w:line="126" w:lineRule="exact"/>
        <w:rPr>
          <w:rFonts w:ascii="Arial" w:cs="Arial" w:eastAsia="Arial" w:hAnsi="Arial"/>
          <w:sz w:val="16"/>
          <w:szCs w:val="16"/>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estimates regarding expenses, operating losses, future revenue, capital requirements and needs for additional financing;</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financial performance;</w:t>
      </w:r>
    </w:p>
    <w:p>
      <w:pPr>
        <w:spacing w:after="0" w:line="117" w:lineRule="exact"/>
        <w:rPr>
          <w:rFonts w:ascii="Arial" w:cs="Arial" w:eastAsia="Arial" w:hAnsi="Arial"/>
          <w:sz w:val="18"/>
          <w:szCs w:val="18"/>
          <w:color w:val="231F20"/>
        </w:rPr>
      </w:pPr>
    </w:p>
    <w:p>
      <w:pPr>
        <w:ind w:left="900" w:right="220" w:hanging="383"/>
        <w:spacing w:after="0" w:line="261" w:lineRule="auto"/>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the period over which we estimate our existing cash, cash equivalents and investments in marketable securities will be sufficient to fund our future operating expenses and capital expenditure requirements; and</w:t>
      </w:r>
    </w:p>
    <w:p>
      <w:pPr>
        <w:spacing w:after="0" w:line="62" w:lineRule="exact"/>
        <w:rPr>
          <w:rFonts w:ascii="Arial" w:cs="Arial" w:eastAsia="Arial" w:hAnsi="Arial"/>
          <w:sz w:val="18"/>
          <w:szCs w:val="18"/>
          <w:color w:val="231F20"/>
        </w:rPr>
      </w:pPr>
    </w:p>
    <w:p>
      <w:pPr>
        <w:ind w:left="900" w:hanging="383"/>
        <w:spacing w:after="0"/>
        <w:tabs>
          <w:tab w:leader="none" w:pos="900" w:val="left"/>
        </w:tabs>
        <w:numPr>
          <w:ilvl w:val="0"/>
          <w:numId w:val="3"/>
        </w:numPr>
        <w:rPr>
          <w:rFonts w:ascii="Arial" w:cs="Arial" w:eastAsia="Arial" w:hAnsi="Arial"/>
          <w:sz w:val="18"/>
          <w:szCs w:val="18"/>
          <w:color w:val="231F20"/>
        </w:rPr>
      </w:pPr>
      <w:r>
        <w:rPr>
          <w:rFonts w:ascii="Arial" w:cs="Arial" w:eastAsia="Arial" w:hAnsi="Arial"/>
          <w:sz w:val="18"/>
          <w:szCs w:val="18"/>
          <w:color w:val="231F20"/>
        </w:rPr>
        <w:t>our expectations regarding the period during which we will remain an emerging growth company under the JOBS Act.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right="100"/>
        <w:spacing w:after="0" w:line="244" w:lineRule="auto"/>
        <w:rPr>
          <w:sz w:val="20"/>
          <w:szCs w:val="20"/>
          <w:color w:val="auto"/>
        </w:rPr>
      </w:pPr>
      <w:r>
        <w:rPr>
          <w:rFonts w:ascii="Arial" w:cs="Arial" w:eastAsia="Arial" w:hAnsi="Arial"/>
          <w:sz w:val="18"/>
          <w:szCs w:val="18"/>
          <w:color w:val="231F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and are subject to a number of risks, uncertainties and assumptions described in the section titled “Risk Factors” and elsewhere in this Quarterly Report. Because forward-looking statements are inherently subject to risks and uncertainties, some of which cannot be predicted or quantified, investors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77" w:lineRule="exact"/>
        <w:rPr>
          <w:sz w:val="20"/>
          <w:szCs w:val="20"/>
          <w:color w:val="auto"/>
        </w:rPr>
      </w:pPr>
    </w:p>
    <w:p>
      <w:pPr>
        <w:spacing w:after="0" w:line="245" w:lineRule="auto"/>
        <w:rPr>
          <w:sz w:val="20"/>
          <w:szCs w:val="20"/>
          <w:color w:val="auto"/>
        </w:rPr>
      </w:pPr>
      <w:r>
        <w:rPr>
          <w:rFonts w:ascii="Arial" w:cs="Arial" w:eastAsia="Arial" w:hAnsi="Arial"/>
          <w:sz w:val="18"/>
          <w:szCs w:val="18"/>
          <w:color w:val="231F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June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center"/>
              <w:ind w:right="151"/>
              <w:spacing w:after="0"/>
              <w:rPr>
                <w:sz w:val="20"/>
                <w:szCs w:val="20"/>
                <w:color w:val="auto"/>
              </w:rPr>
            </w:pPr>
            <w:r>
              <w:rPr>
                <w:rFonts w:ascii="Arial" w:cs="Arial" w:eastAsia="Arial" w:hAnsi="Arial"/>
                <w:sz w:val="18"/>
                <w:szCs w:val="18"/>
                <w:color w:val="auto"/>
                <w:w w:val="91"/>
              </w:rPr>
              <w:t>(Unaudited)</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31,010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Investments in marketable securities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149,906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213,171</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185,693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255,358</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11,685</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noncurrent</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3,579</w:t>
            </w:r>
          </w:p>
        </w:tc>
        <w:tc>
          <w:tcPr>
            <w:tcW w:w="100" w:type="dxa"/>
            <w:vAlign w:val="bottom"/>
          </w:tcPr>
          <w:p>
            <w:pPr>
              <w:spacing w:after="0"/>
              <w:rPr>
                <w:sz w:val="18"/>
                <w:szCs w:val="18"/>
                <w:color w:val="auto"/>
              </w:rPr>
            </w:pPr>
          </w:p>
        </w:tc>
      </w:tr>
      <w:tr>
        <w:trPr>
          <w:trHeight w:val="250"/>
        </w:trPr>
        <w:tc>
          <w:tcPr>
            <w:tcW w:w="7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255,929</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6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5,347</w:t>
            </w:r>
          </w:p>
        </w:tc>
        <w:tc>
          <w:tcPr>
            <w:tcW w:w="2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10,721</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and other 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9,059</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w:t>
            </w:r>
          </w:p>
        </w:tc>
        <w:tc>
          <w:tcPr>
            <w:tcW w:w="100" w:type="dxa"/>
            <w:vAlign w:val="bottom"/>
          </w:tcPr>
          <w:p>
            <w:pPr>
              <w:spacing w:after="0"/>
              <w:rPr>
                <w:sz w:val="18"/>
                <w:szCs w:val="18"/>
                <w:color w:val="auto"/>
              </w:rPr>
            </w:pPr>
          </w:p>
        </w:tc>
      </w:tr>
      <w:tr>
        <w:trPr>
          <w:trHeight w:val="209"/>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21,774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13,104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18"/>
                <w:szCs w:val="18"/>
                <w:color w:val="auto"/>
              </w:rPr>
            </w:pPr>
          </w:p>
        </w:tc>
      </w:tr>
      <w:tr>
        <w:trPr>
          <w:trHeight w:val="216"/>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6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32,062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35,663</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439,588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434,196</w:t>
            </w:r>
          </w:p>
        </w:tc>
        <w:tc>
          <w:tcPr>
            <w:tcW w:w="100" w:type="dxa"/>
            <w:vAlign w:val="bottom"/>
          </w:tcPr>
          <w:p>
            <w:pPr>
              <w:spacing w:after="0"/>
              <w:rPr>
                <w:sz w:val="18"/>
                <w:szCs w:val="18"/>
                <w:color w:val="auto"/>
              </w:rPr>
            </w:pPr>
          </w:p>
        </w:tc>
      </w:tr>
      <w:tr>
        <w:trPr>
          <w:trHeight w:val="216"/>
        </w:trPr>
        <w:tc>
          <w:tcPr>
            <w:tcW w:w="76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(739 )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(141 )</w:t>
            </w:r>
          </w:p>
        </w:tc>
      </w:tr>
      <w:tr>
        <w:trPr>
          <w:trHeight w:val="216"/>
        </w:trPr>
        <w:tc>
          <w:tcPr>
            <w:tcW w:w="766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(214,986 )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(155,533 )</w:t>
            </w: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223,867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278,526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255,929</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314,189</w:t>
            </w:r>
          </w:p>
        </w:tc>
        <w:tc>
          <w:tcPr>
            <w:tcW w:w="10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-3256915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-3256915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-2416810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-2399665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-2416810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-1285240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5" w:name="page6"/>
    <w:bookmarkEnd w:id="5"/>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5"/>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40" w:type="dxa"/>
            <w:vAlign w:val="bottom"/>
            <w:gridSpan w:val="5"/>
          </w:tcPr>
          <w:p>
            <w:pPr>
              <w:jc w:val="right"/>
              <w:ind w:right="72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20,876</w:t>
            </w:r>
          </w:p>
        </w:tc>
        <w:tc>
          <w:tcPr>
            <w:tcW w:w="24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45,031</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20,496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7,743</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59,773</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(59,773</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(28,342</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18"/>
                <w:szCs w:val="18"/>
                <w:color w:val="auto"/>
              </w:rPr>
            </w:pPr>
          </w:p>
        </w:tc>
        <w:tc>
          <w:tcPr>
            <w:tcW w:w="11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(1 )</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Net loss before income tax expense</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(28,397 )</w:t>
            </w:r>
          </w:p>
        </w:tc>
        <w:tc>
          <w:tcPr>
            <w:tcW w:w="30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(15,210 )</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(59,453 )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(28,308 )</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(28,397 )</w:t>
            </w:r>
          </w:p>
        </w:tc>
        <w:tc>
          <w:tcPr>
            <w:tcW w:w="30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Arial" w:cs="Arial" w:eastAsia="Arial" w:hAnsi="Arial"/>
                <w:sz w:val="18"/>
                <w:szCs w:val="18"/>
                <w:color w:val="auto"/>
              </w:rPr>
              <w:t>(15,210 )</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(59,453 )</w:t>
            </w:r>
          </w:p>
        </w:tc>
        <w:tc>
          <w:tcPr>
            <w:tcW w:w="2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(28,308 )</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220" w:type="dxa"/>
            <w:vAlign w:val="bottom"/>
          </w:tcPr>
          <w:p>
            <w:pPr>
              <w:spacing w:after="0"/>
              <w:rPr>
                <w:sz w:val="18"/>
                <w:szCs w:val="18"/>
                <w:color w:val="auto"/>
              </w:rPr>
            </w:pPr>
          </w:p>
        </w:tc>
        <w:tc>
          <w:tcPr>
            <w:tcW w:w="1180" w:type="dxa"/>
            <w:vAlign w:val="bottom"/>
            <w:gridSpan w:val="2"/>
          </w:tcPr>
          <w:p>
            <w:pPr>
              <w:jc w:val="right"/>
              <w:ind w:right="70"/>
              <w:spacing w:after="0"/>
              <w:rPr>
                <w:sz w:val="20"/>
                <w:szCs w:val="20"/>
                <w:color w:val="auto"/>
              </w:rPr>
            </w:pPr>
            <w:r>
              <w:rPr>
                <w:rFonts w:ascii="Arial" w:cs="Arial" w:eastAsia="Arial" w:hAnsi="Arial"/>
                <w:sz w:val="18"/>
                <w:szCs w:val="18"/>
                <w:color w:val="auto"/>
              </w:rPr>
              <w:t>(108 )</w:t>
            </w:r>
          </w:p>
        </w:tc>
        <w:tc>
          <w:tcPr>
            <w:tcW w:w="3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90"/>
              <w:spacing w:after="0"/>
              <w:rPr>
                <w:sz w:val="20"/>
                <w:szCs w:val="20"/>
                <w:color w:val="auto"/>
              </w:rPr>
            </w:pPr>
            <w:r>
              <w:rPr>
                <w:rFonts w:ascii="Arial" w:cs="Arial" w:eastAsia="Arial" w:hAnsi="Arial"/>
                <w:sz w:val="18"/>
                <w:szCs w:val="18"/>
                <w:color w:val="auto"/>
              </w:rPr>
              <w:t>(598 )</w:t>
            </w:r>
          </w:p>
        </w:tc>
        <w:tc>
          <w:tcPr>
            <w:tcW w:w="28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(15,210</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780" w:type="dxa"/>
            <w:vAlign w:val="bottom"/>
          </w:tcPr>
          <w:p>
            <w:pPr>
              <w:ind w:left="20"/>
              <w:spacing w:after="0" w:line="196" w:lineRule="exact"/>
              <w:rPr>
                <w:sz w:val="20"/>
                <w:szCs w:val="20"/>
                <w:color w:val="auto"/>
              </w:rPr>
            </w:pPr>
            <w:r>
              <w:rPr>
                <w:rFonts w:ascii="Arial" w:cs="Arial" w:eastAsia="Arial" w:hAnsi="Arial"/>
                <w:sz w:val="18"/>
                <w:szCs w:val="18"/>
                <w:color w:val="auto"/>
              </w:rPr>
              <w:t>Net loss per share, basic and diluted</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(0.69 )</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01"/>
              <w:spacing w:after="0" w:line="196" w:lineRule="exact"/>
              <w:rPr>
                <w:sz w:val="20"/>
                <w:szCs w:val="20"/>
                <w:color w:val="auto"/>
              </w:rPr>
            </w:pPr>
            <w:r>
              <w:rPr>
                <w:rFonts w:ascii="Arial" w:cs="Arial" w:eastAsia="Arial" w:hAnsi="Arial"/>
                <w:sz w:val="18"/>
                <w:szCs w:val="18"/>
                <w:color w:val="auto"/>
              </w:rPr>
              <w:t>(13.26 )</w:t>
            </w: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(1.44 )</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(25.21 )</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780" w:type="dxa"/>
            <w:vAlign w:val="bottom"/>
            <w:shd w:val="clear" w:color="auto" w:fill="CFF0FC"/>
          </w:tcPr>
          <w:p>
            <w:pPr>
              <w:ind w:left="20"/>
              <w:spacing w:after="0" w:line="155" w:lineRule="exact"/>
              <w:rPr>
                <w:sz w:val="20"/>
                <w:szCs w:val="20"/>
                <w:color w:val="auto"/>
              </w:rPr>
            </w:pPr>
            <w:r>
              <w:rPr>
                <w:rFonts w:ascii="Arial" w:cs="Arial" w:eastAsia="Arial" w:hAnsi="Arial"/>
                <w:sz w:val="17"/>
                <w:szCs w:val="17"/>
                <w:color w:val="auto"/>
              </w:rPr>
              <w:t>Weighted-average shares used in computing net loss per share, basic and</w:t>
            </w:r>
          </w:p>
        </w:tc>
        <w:tc>
          <w:tcPr>
            <w:tcW w:w="220" w:type="dxa"/>
            <w:vAlign w:val="bottom"/>
            <w:shd w:val="clear" w:color="auto" w:fill="CFF0FC"/>
          </w:tcPr>
          <w:p>
            <w:pPr>
              <w:spacing w:after="0"/>
              <w:rPr>
                <w:sz w:val="13"/>
                <w:szCs w:val="13"/>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41,302,157</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1,147,471</w:t>
            </w: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41,285,168</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1,122,775</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CFF0FC"/>
            </w:tcBorders>
            <w:shd w:val="clear" w:color="auto" w:fill="CFF0FC"/>
          </w:tcPr>
          <w:p>
            <w:pPr>
              <w:ind w:left="20"/>
              <w:spacing w:after="0" w:line="190"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-2150745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-2150745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-2150745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-2150745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-1302385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-1302385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-1302385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-1019810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-1019810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-1019810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-1019810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-445135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-427990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-445135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-427990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-445135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-427990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Convertible Preferred Stock and Stockholders’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1400" w:type="dxa"/>
            <w:vAlign w:val="bottom"/>
            <w:gridSpan w:val="4"/>
            <w:vMerge w:val="restart"/>
          </w:tcPr>
          <w:p>
            <w:pPr>
              <w:jc w:val="center"/>
              <w:ind w:right="177"/>
              <w:spacing w:after="0"/>
              <w:rPr>
                <w:sz w:val="20"/>
                <w:szCs w:val="20"/>
                <w:color w:val="auto"/>
              </w:rPr>
            </w:pPr>
            <w:r>
              <w:rPr>
                <w:rFonts w:ascii="Arial" w:cs="Arial" w:eastAsia="Arial" w:hAnsi="Arial"/>
                <w:sz w:val="13"/>
                <w:szCs w:val="13"/>
                <w:b w:val="1"/>
                <w:bCs w:val="1"/>
                <w:color w:val="auto"/>
                <w:w w:val="90"/>
              </w:rPr>
              <w:t>Accumulated Other</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358"/>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6"/>
        </w:trPr>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00" w:type="dxa"/>
            <w:vAlign w:val="bottom"/>
            <w:gridSpan w:val="6"/>
            <w:vMerge w:val="restart"/>
          </w:tcPr>
          <w:p>
            <w:pPr>
              <w:jc w:val="right"/>
              <w:ind w:right="597"/>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6"/>
            <w:vMerge w:val="restart"/>
          </w:tcPr>
          <w:p>
            <w:pPr>
              <w:jc w:val="center"/>
              <w:ind w:right="257"/>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0"/>
                <w:szCs w:val="10"/>
                <w:color w:val="auto"/>
              </w:rPr>
            </w:pPr>
          </w:p>
        </w:tc>
        <w:tc>
          <w:tcPr>
            <w:tcW w:w="1040" w:type="dxa"/>
            <w:vAlign w:val="bottom"/>
            <w:gridSpan w:val="4"/>
          </w:tcPr>
          <w:p>
            <w:pPr>
              <w:jc w:val="center"/>
              <w:ind w:right="218"/>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120"/>
              <w:spacing w:after="0"/>
              <w:rPr>
                <w:sz w:val="20"/>
                <w:szCs w:val="20"/>
                <w:color w:val="auto"/>
              </w:rPr>
            </w:pPr>
            <w:r>
              <w:rPr>
                <w:rFonts w:ascii="Arial" w:cs="Arial" w:eastAsia="Arial" w:hAnsi="Arial"/>
                <w:sz w:val="13"/>
                <w:szCs w:val="13"/>
                <w:b w:val="1"/>
                <w:bCs w:val="1"/>
                <w:color w:val="auto"/>
                <w:w w:val="87"/>
              </w:rPr>
              <w:t>Paid-In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4"/>
          </w:tcPr>
          <w:p>
            <w:pPr>
              <w:jc w:val="center"/>
              <w:ind w:right="137"/>
              <w:spacing w:after="0"/>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4"/>
                <w:szCs w:val="14"/>
                <w:color w:val="auto"/>
              </w:rPr>
            </w:pPr>
          </w:p>
        </w:tc>
        <w:tc>
          <w:tcPr>
            <w:tcW w:w="120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33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6"/>
        </w:trPr>
        <w:tc>
          <w:tcPr>
            <w:tcW w:w="28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4"/>
          </w:tcPr>
          <w:p>
            <w:pPr>
              <w:ind w:left="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19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ind w:left="140"/>
              <w:spacing w:after="0" w:line="144" w:lineRule="exact"/>
              <w:rPr>
                <w:sz w:val="20"/>
                <w:szCs w:val="20"/>
                <w:color w:val="auto"/>
              </w:rPr>
            </w:pPr>
            <w:r>
              <w:rPr>
                <w:rFonts w:ascii="Arial" w:cs="Arial" w:eastAsia="Arial" w:hAnsi="Arial"/>
                <w:sz w:val="13"/>
                <w:szCs w:val="13"/>
                <w:b w:val="1"/>
                <w:bCs w:val="1"/>
                <w:color w:val="auto"/>
                <w:w w:val="82"/>
              </w:rPr>
              <w:t>Capital</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3"/>
          </w:tcPr>
          <w:p>
            <w:pPr>
              <w:jc w:val="center"/>
              <w:ind w:right="617"/>
              <w:spacing w:after="0" w:line="144" w:lineRule="exact"/>
              <w:rPr>
                <w:sz w:val="20"/>
                <w:szCs w:val="20"/>
                <w:color w:val="auto"/>
              </w:rPr>
            </w:pPr>
            <w:r>
              <w:rPr>
                <w:rFonts w:ascii="Arial" w:cs="Arial" w:eastAsia="Arial" w:hAnsi="Arial"/>
                <w:sz w:val="13"/>
                <w:szCs w:val="13"/>
                <w:b w:val="1"/>
                <w:bCs w:val="1"/>
                <w:color w:val="auto"/>
                <w:w w:val="78"/>
              </w:rPr>
              <w:t>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4"/>
          </w:tcPr>
          <w:p>
            <w:pPr>
              <w:jc w:val="center"/>
              <w:ind w:right="497"/>
              <w:spacing w:after="0" w:line="144" w:lineRule="exact"/>
              <w:rPr>
                <w:sz w:val="20"/>
                <w:szCs w:val="20"/>
                <w:color w:val="auto"/>
              </w:rPr>
            </w:pPr>
            <w:r>
              <w:rPr>
                <w:rFonts w:ascii="Arial" w:cs="Arial" w:eastAsia="Arial" w:hAnsi="Arial"/>
                <w:sz w:val="13"/>
                <w:szCs w:val="13"/>
                <w:b w:val="1"/>
                <w:bCs w:val="1"/>
                <w:color w:val="auto"/>
                <w:w w:val="90"/>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338"/>
              <w:spacing w:after="0" w:line="144"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5"/>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January 1, 2022</w:t>
            </w:r>
          </w:p>
        </w:tc>
        <w:tc>
          <w:tcPr>
            <w:tcW w:w="7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9"/>
              </w:rPr>
              <w:t>41,291,374</w:t>
            </w:r>
          </w:p>
        </w:tc>
        <w:tc>
          <w:tcPr>
            <w:tcW w:w="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4</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434,196</w:t>
            </w:r>
          </w:p>
        </w:tc>
        <w:tc>
          <w:tcPr>
            <w:tcW w:w="200" w:type="dxa"/>
            <w:vAlign w:val="bottom"/>
            <w:shd w:val="clear" w:color="auto" w:fill="CFF0FC"/>
          </w:tcPr>
          <w:p>
            <w:pPr>
              <w:spacing w:after="0"/>
              <w:rPr>
                <w:sz w:val="13"/>
                <w:szCs w:val="13"/>
                <w:color w:val="auto"/>
              </w:rPr>
            </w:pPr>
          </w:p>
        </w:tc>
        <w:tc>
          <w:tcPr>
            <w:tcW w:w="480" w:type="dxa"/>
            <w:vAlign w:val="bottom"/>
            <w:tcBorders>
              <w:top w:val="single" w:sz="8" w:color="auto"/>
              <w:right w:val="single" w:sz="8" w:color="CFF0FC"/>
            </w:tcBorders>
            <w:shd w:val="clear" w:color="auto" w:fill="CFF0FC"/>
          </w:tcPr>
          <w:p>
            <w:pPr>
              <w:jc w:val="center"/>
              <w:ind w:right="31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(141</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5"/>
              </w:rPr>
              <w:t>(155,533</w:t>
            </w:r>
          </w:p>
        </w:tc>
        <w:tc>
          <w:tcPr>
            <w:tcW w:w="240" w:type="dxa"/>
            <w:vAlign w:val="bottom"/>
            <w:tcBorders>
              <w:right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278,526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 exercise</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300"/>
              <w:spacing w:after="0"/>
              <w:rPr>
                <w:sz w:val="20"/>
                <w:szCs w:val="20"/>
                <w:color w:val="auto"/>
              </w:rPr>
            </w:pPr>
            <w:r>
              <w:rPr>
                <w:rFonts w:ascii="Arial" w:cs="Arial" w:eastAsia="Arial" w:hAnsi="Arial"/>
                <w:sz w:val="13"/>
                <w:szCs w:val="13"/>
                <w:color w:val="auto"/>
              </w:rPr>
              <w:t>of stock options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7,652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340" w:type="dxa"/>
            <w:vAlign w:val="bottom"/>
            <w:gridSpan w:val="2"/>
            <w:shd w:val="clear" w:color="auto" w:fill="CFF0FC"/>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w w:val="85"/>
              </w:rPr>
              <w:t>2,094</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Other comprehensive loss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340" w:type="dxa"/>
            <w:vAlign w:val="bottom"/>
            <w:gridSpan w:val="2"/>
            <w:shd w:val="clear" w:color="auto" w:fill="CFF0FC"/>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spacing w:after="0"/>
              <w:rPr>
                <w:sz w:val="14"/>
                <w:szCs w:val="14"/>
                <w:color w:val="auto"/>
              </w:rPr>
            </w:pPr>
          </w:p>
        </w:tc>
        <w:tc>
          <w:tcPr>
            <w:tcW w:w="920" w:type="dxa"/>
            <w:vAlign w:val="bottom"/>
            <w:gridSpan w:val="3"/>
            <w:shd w:val="clear" w:color="auto" w:fill="CFF0FC"/>
          </w:tcPr>
          <w:p>
            <w:pPr>
              <w:jc w:val="right"/>
              <w:ind w:right="97"/>
              <w:spacing w:after="0"/>
              <w:rPr>
                <w:sz w:val="20"/>
                <w:szCs w:val="20"/>
                <w:color w:val="auto"/>
              </w:rPr>
            </w:pPr>
            <w:r>
              <w:rPr>
                <w:rFonts w:ascii="Arial" w:cs="Arial" w:eastAsia="Arial" w:hAnsi="Arial"/>
                <w:sz w:val="13"/>
                <w:szCs w:val="13"/>
                <w:color w:val="auto"/>
              </w:rPr>
              <w:t>(490 )</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(490 )</w:t>
            </w:r>
          </w:p>
        </w:tc>
        <w:tc>
          <w:tcPr>
            <w:tcW w:w="0" w:type="dxa"/>
            <w:vAlign w:val="bottom"/>
          </w:tcPr>
          <w:p>
            <w:pPr>
              <w:spacing w:after="0"/>
              <w:rPr>
                <w:sz w:val="1"/>
                <w:szCs w:val="1"/>
                <w:color w:val="auto"/>
              </w:rPr>
            </w:pPr>
          </w:p>
        </w:tc>
      </w:tr>
      <w:tr>
        <w:trPr>
          <w:trHeight w:val="160"/>
        </w:trPr>
        <w:tc>
          <w:tcPr>
            <w:tcW w:w="28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3"/>
                <w:szCs w:val="13"/>
                <w:color w:val="auto"/>
                <w:w w:val="99"/>
              </w:rPr>
              <w:t>(31,056 )</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3"/>
                <w:szCs w:val="13"/>
                <w:color w:val="auto"/>
              </w:rPr>
              <w:t>(31,056 )</w:t>
            </w:r>
          </w:p>
        </w:tc>
        <w:tc>
          <w:tcPr>
            <w:tcW w:w="0" w:type="dxa"/>
            <w:vAlign w:val="bottom"/>
          </w:tcPr>
          <w:p>
            <w:pPr>
              <w:spacing w:after="0"/>
              <w:rPr>
                <w:sz w:val="1"/>
                <w:szCs w:val="1"/>
                <w:color w:val="auto"/>
              </w:rPr>
            </w:pPr>
          </w:p>
        </w:tc>
      </w:tr>
      <w:tr>
        <w:trPr>
          <w:trHeight w:val="157"/>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March 31, 2022</w:t>
            </w:r>
          </w:p>
        </w:tc>
        <w:tc>
          <w:tcPr>
            <w:tcW w:w="760" w:type="dxa"/>
            <w:vAlign w:val="bottom"/>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9"/>
              </w:rPr>
              <w:t>41,299,026</w:t>
            </w:r>
          </w:p>
        </w:tc>
        <w:tc>
          <w:tcPr>
            <w:tcW w:w="80" w:type="dxa"/>
            <w:vAlign w:val="bottom"/>
            <w:shd w:val="clear" w:color="auto" w:fill="CFF0FC"/>
          </w:tcPr>
          <w:p>
            <w:pPr>
              <w:spacing w:after="0"/>
              <w:rPr>
                <w:sz w:val="13"/>
                <w:szCs w:val="13"/>
                <w:color w:val="auto"/>
              </w:rPr>
            </w:pPr>
          </w:p>
        </w:tc>
        <w:tc>
          <w:tcPr>
            <w:tcW w:w="16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right w:val="single" w:sz="8" w:color="CFF0FC"/>
            </w:tcBorders>
            <w:shd w:val="clear" w:color="auto" w:fill="CFF0FC"/>
          </w:tcPr>
          <w:p>
            <w:pPr>
              <w:spacing w:after="0"/>
              <w:rPr>
                <w:sz w:val="13"/>
                <w:szCs w:val="13"/>
                <w:color w:val="auto"/>
              </w:rPr>
            </w:pPr>
          </w:p>
        </w:tc>
        <w:tc>
          <w:tcPr>
            <w:tcW w:w="1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w w:val="82"/>
              </w:rPr>
              <w:t>4</w:t>
            </w:r>
          </w:p>
        </w:tc>
        <w:tc>
          <w:tcPr>
            <w:tcW w:w="22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3"/>
                <w:szCs w:val="13"/>
                <w:color w:val="auto"/>
              </w:rPr>
              <w:t>436,313</w:t>
            </w:r>
          </w:p>
        </w:tc>
        <w:tc>
          <w:tcPr>
            <w:tcW w:w="200" w:type="dxa"/>
            <w:vAlign w:val="bottom"/>
            <w:shd w:val="clear" w:color="auto" w:fill="CFF0FC"/>
          </w:tcPr>
          <w:p>
            <w:pPr>
              <w:spacing w:after="0"/>
              <w:rPr>
                <w:sz w:val="13"/>
                <w:szCs w:val="13"/>
                <w:color w:val="auto"/>
              </w:rPr>
            </w:pPr>
          </w:p>
        </w:tc>
        <w:tc>
          <w:tcPr>
            <w:tcW w:w="480" w:type="dxa"/>
            <w:vAlign w:val="bottom"/>
            <w:tcBorders>
              <w:top w:val="single" w:sz="8" w:color="auto"/>
              <w:right w:val="single" w:sz="8" w:color="CFF0FC"/>
            </w:tcBorders>
            <w:shd w:val="clear" w:color="auto" w:fill="CFF0FC"/>
          </w:tcPr>
          <w:p>
            <w:pPr>
              <w:jc w:val="center"/>
              <w:ind w:right="317"/>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(631</w:t>
            </w:r>
          </w:p>
        </w:tc>
        <w:tc>
          <w:tcPr>
            <w:tcW w:w="220" w:type="dxa"/>
            <w:vAlign w:val="bottom"/>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5"/>
              </w:rPr>
              <w:t>(186,589</w:t>
            </w:r>
          </w:p>
        </w:tc>
        <w:tc>
          <w:tcPr>
            <w:tcW w:w="240" w:type="dxa"/>
            <w:vAlign w:val="bottom"/>
            <w:tcBorders>
              <w:right w:val="single" w:sz="8" w:color="CFF0FC"/>
            </w:tcBorders>
            <w:shd w:val="clear" w:color="auto" w:fill="CFF0FC"/>
          </w:tcPr>
          <w:p>
            <w:pPr>
              <w:jc w:val="right"/>
              <w:ind w:right="117"/>
              <w:spacing w:after="0"/>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249,097</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860" w:type="dxa"/>
            <w:vAlign w:val="bottom"/>
          </w:tcPr>
          <w:p>
            <w:pPr>
              <w:ind w:left="200"/>
              <w:spacing w:after="0" w:line="121" w:lineRule="exact"/>
              <w:rPr>
                <w:sz w:val="20"/>
                <w:szCs w:val="20"/>
                <w:color w:val="auto"/>
              </w:rPr>
            </w:pPr>
            <w:r>
              <w:rPr>
                <w:rFonts w:ascii="Arial" w:cs="Arial" w:eastAsia="Arial" w:hAnsi="Arial"/>
                <w:sz w:val="13"/>
                <w:szCs w:val="13"/>
                <w:color w:val="auto"/>
              </w:rPr>
              <w:t>Issuance of common stock upon exercise</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300"/>
              <w:spacing w:after="0"/>
              <w:rPr>
                <w:sz w:val="20"/>
                <w:szCs w:val="20"/>
                <w:color w:val="auto"/>
              </w:rPr>
            </w:pPr>
            <w:r>
              <w:rPr>
                <w:rFonts w:ascii="Arial" w:cs="Arial" w:eastAsia="Arial" w:hAnsi="Arial"/>
                <w:sz w:val="13"/>
                <w:szCs w:val="13"/>
                <w:color w:val="auto"/>
              </w:rPr>
              <w:t>of stock options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13,186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Issuance of common stock pursuant to</w:t>
            </w:r>
          </w:p>
        </w:tc>
        <w:tc>
          <w:tcPr>
            <w:tcW w:w="7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tcBorders>
              <w:right w:val="single" w:sz="8" w:color="CFF0FC"/>
            </w:tcBorders>
            <w:shd w:val="clear" w:color="auto" w:fill="CFF0FC"/>
          </w:tcPr>
          <w:p>
            <w:pPr>
              <w:spacing w:after="0"/>
              <w:rPr>
                <w:sz w:val="11"/>
                <w:szCs w:val="11"/>
                <w:color w:val="auto"/>
              </w:rPr>
            </w:pPr>
          </w:p>
        </w:tc>
        <w:tc>
          <w:tcPr>
            <w:tcW w:w="80" w:type="dxa"/>
            <w:vAlign w:val="bottom"/>
            <w:tcBorders>
              <w:righ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tcBorders>
              <w:right w:val="single" w:sz="8" w:color="CFF0FC"/>
            </w:tcBorders>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80" w:type="dxa"/>
            <w:vAlign w:val="bottom"/>
            <w:tcBorders>
              <w:right w:val="single" w:sz="8" w:color="CFF0FC"/>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8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employee stock purchase plan</w:t>
            </w: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51,608</w:t>
            </w:r>
          </w:p>
        </w:tc>
        <w:tc>
          <w:tcPr>
            <w:tcW w:w="80" w:type="dxa"/>
            <w:vAlign w:val="bottom"/>
            <w:shd w:val="clear" w:color="auto" w:fill="CFF0FC"/>
          </w:tcPr>
          <w:p>
            <w:pPr>
              <w:spacing w:after="0"/>
              <w:rPr>
                <w:sz w:val="15"/>
                <w:szCs w:val="15"/>
                <w:color w:val="auto"/>
              </w:rPr>
            </w:pPr>
          </w:p>
        </w:tc>
        <w:tc>
          <w:tcPr>
            <w:tcW w:w="160" w:type="dxa"/>
            <w:vAlign w:val="bottom"/>
            <w:tcBorders>
              <w:right w:val="single" w:sz="8" w:color="CFF0FC"/>
            </w:tcBorders>
            <w:shd w:val="clear" w:color="auto" w:fill="CFF0FC"/>
          </w:tcPr>
          <w:p>
            <w:pPr>
              <w:spacing w:after="0"/>
              <w:rPr>
                <w:sz w:val="15"/>
                <w:szCs w:val="15"/>
                <w:color w:val="auto"/>
              </w:rPr>
            </w:pPr>
          </w:p>
        </w:tc>
        <w:tc>
          <w:tcPr>
            <w:tcW w:w="8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60" w:type="dxa"/>
            <w:vAlign w:val="bottom"/>
            <w:tcBorders>
              <w:right w:val="single" w:sz="8" w:color="CFF0FC"/>
            </w:tcBorders>
            <w:shd w:val="clear" w:color="auto" w:fill="CFF0FC"/>
          </w:tcPr>
          <w:p>
            <w:pPr>
              <w:spacing w:after="0"/>
              <w:rPr>
                <w:sz w:val="15"/>
                <w:szCs w:val="15"/>
                <w:color w:val="auto"/>
              </w:rPr>
            </w:pPr>
          </w:p>
        </w:tc>
        <w:tc>
          <w:tcPr>
            <w:tcW w:w="340" w:type="dxa"/>
            <w:vAlign w:val="bottom"/>
            <w:gridSpan w:val="2"/>
            <w:shd w:val="clear" w:color="auto" w:fill="CFF0FC"/>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shd w:val="clear" w:color="auto" w:fill="CFF0FC"/>
          </w:tcPr>
          <w:p>
            <w:pPr>
              <w:spacing w:after="0"/>
              <w:rPr>
                <w:sz w:val="15"/>
                <w:szCs w:val="15"/>
                <w:color w:val="auto"/>
              </w:rPr>
            </w:pPr>
          </w:p>
        </w:tc>
        <w:tc>
          <w:tcPr>
            <w:tcW w:w="540" w:type="dxa"/>
            <w:vAlign w:val="bottom"/>
            <w:tcBorders>
              <w:right w:val="single" w:sz="8" w:color="CFF0FC"/>
            </w:tcBorders>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200" w:type="dxa"/>
            <w:vAlign w:val="bottom"/>
            <w:shd w:val="clear" w:color="auto" w:fill="CFF0FC"/>
          </w:tcPr>
          <w:p>
            <w:pPr>
              <w:spacing w:after="0"/>
              <w:rPr>
                <w:sz w:val="15"/>
                <w:szCs w:val="15"/>
                <w:color w:val="auto"/>
              </w:rPr>
            </w:pPr>
          </w:p>
        </w:tc>
        <w:tc>
          <w:tcPr>
            <w:tcW w:w="480" w:type="dxa"/>
            <w:vAlign w:val="bottom"/>
            <w:tcBorders>
              <w:right w:val="single" w:sz="8" w:color="CFF0FC"/>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tcBorders>
              <w:right w:val="single" w:sz="8" w:color="CFF0FC"/>
            </w:tcBorders>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340" w:type="dxa"/>
            <w:vAlign w:val="bottom"/>
            <w:gridSpan w:val="2"/>
            <w:shd w:val="clear" w:color="auto" w:fill="CFF0FC"/>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w w:val="85"/>
              </w:rPr>
              <w:t>3,012</w:t>
            </w:r>
          </w:p>
        </w:tc>
        <w:tc>
          <w:tcPr>
            <w:tcW w:w="2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200"/>
              <w:spacing w:after="0"/>
              <w:rPr>
                <w:sz w:val="20"/>
                <w:szCs w:val="20"/>
                <w:color w:val="auto"/>
              </w:rPr>
            </w:pPr>
            <w:r>
              <w:rPr>
                <w:rFonts w:ascii="Arial" w:cs="Arial" w:eastAsia="Arial" w:hAnsi="Arial"/>
                <w:sz w:val="13"/>
                <w:szCs w:val="13"/>
                <w:color w:val="auto"/>
              </w:rPr>
              <w:t>Other comprehensive loss</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gridSpan w:val="2"/>
          </w:tcPr>
          <w:p>
            <w:pPr>
              <w:jc w:val="right"/>
              <w:ind w:right="197"/>
              <w:spacing w:after="0"/>
              <w:rPr>
                <w:sz w:val="20"/>
                <w:szCs w:val="20"/>
                <w:color w:val="auto"/>
              </w:rPr>
            </w:pPr>
            <w:r>
              <w:rPr>
                <w:rFonts w:ascii="Arial" w:cs="Arial" w:eastAsia="Arial" w:hAnsi="Arial"/>
                <w:sz w:val="8"/>
                <w:szCs w:val="8"/>
                <w:color w:val="auto"/>
                <w:w w:val="74"/>
              </w:rPr>
              <w:t>—</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3"/>
          </w:tcPr>
          <w:p>
            <w:pPr>
              <w:jc w:val="right"/>
              <w:ind w:right="97"/>
              <w:spacing w:after="0"/>
              <w:rPr>
                <w:sz w:val="20"/>
                <w:szCs w:val="20"/>
                <w:color w:val="auto"/>
              </w:rPr>
            </w:pPr>
            <w:r>
              <w:rPr>
                <w:rFonts w:ascii="Arial" w:cs="Arial" w:eastAsia="Arial" w:hAnsi="Arial"/>
                <w:sz w:val="13"/>
                <w:szCs w:val="13"/>
                <w:color w:val="auto"/>
              </w:rPr>
              <w:t>(108 )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9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3"/>
                <w:szCs w:val="13"/>
                <w:color w:val="auto"/>
              </w:rPr>
              <w:t>(108 )</w:t>
            </w: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tcBorders>
              <w:right w:val="single" w:sz="8" w:color="CFF0FC"/>
            </w:tcBorders>
            <w:gridSpan w:val="2"/>
            <w:shd w:val="clear" w:color="auto" w:fill="CFF0FC"/>
          </w:tcPr>
          <w:p>
            <w:pPr>
              <w:spacing w:after="0"/>
              <w:rPr>
                <w:sz w:val="14"/>
                <w:szCs w:val="14"/>
                <w:color w:val="auto"/>
              </w:rPr>
            </w:pPr>
          </w:p>
        </w:tc>
        <w:tc>
          <w:tcPr>
            <w:tcW w:w="8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4"/>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tcBorders>
              <w:right w:val="single" w:sz="8" w:color="CFF0FC"/>
            </w:tcBorders>
            <w:gridSpan w:val="2"/>
            <w:shd w:val="clear" w:color="auto" w:fill="CFF0FC"/>
          </w:tcPr>
          <w:p>
            <w:pPr>
              <w:jc w:val="right"/>
              <w:ind w:right="117"/>
              <w:spacing w:after="0"/>
              <w:rPr>
                <w:sz w:val="20"/>
                <w:szCs w:val="20"/>
                <w:color w:val="auto"/>
              </w:rPr>
            </w:pPr>
            <w:r>
              <w:rPr>
                <w:rFonts w:ascii="Arial" w:cs="Arial" w:eastAsia="Arial" w:hAnsi="Arial"/>
                <w:sz w:val="13"/>
                <w:szCs w:val="13"/>
                <w:color w:val="auto"/>
                <w:w w:val="99"/>
              </w:rPr>
              <w:t>(28,397 )</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(28,397 )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60" w:type="dxa"/>
            <w:vAlign w:val="bottom"/>
          </w:tcPr>
          <w:p>
            <w:pPr>
              <w:ind w:left="20"/>
              <w:spacing w:after="0"/>
              <w:rPr>
                <w:sz w:val="20"/>
                <w:szCs w:val="20"/>
                <w:color w:val="auto"/>
              </w:rPr>
            </w:pPr>
            <w:r>
              <w:rPr>
                <w:rFonts w:ascii="Arial" w:cs="Arial" w:eastAsia="Arial" w:hAnsi="Arial"/>
                <w:sz w:val="13"/>
                <w:szCs w:val="13"/>
                <w:color w:val="auto"/>
              </w:rPr>
              <w:t>Balance as of June 30, 2022</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w w:val="89"/>
              </w:rPr>
              <w:t>41,363,820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4</w:t>
            </w:r>
          </w:p>
        </w:tc>
        <w:tc>
          <w:tcPr>
            <w:tcW w:w="22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439,588</w:t>
            </w:r>
          </w:p>
        </w:tc>
        <w:tc>
          <w:tcPr>
            <w:tcW w:w="200" w:type="dxa"/>
            <w:vAlign w:val="bottom"/>
          </w:tcPr>
          <w:p>
            <w:pPr>
              <w:spacing w:after="0"/>
              <w:rPr>
                <w:sz w:val="13"/>
                <w:szCs w:val="13"/>
                <w:color w:val="auto"/>
              </w:rPr>
            </w:pPr>
          </w:p>
        </w:tc>
        <w:tc>
          <w:tcPr>
            <w:tcW w:w="480" w:type="dxa"/>
            <w:vAlign w:val="bottom"/>
          </w:tcPr>
          <w:p>
            <w:pPr>
              <w:jc w:val="center"/>
              <w:ind w:right="317"/>
              <w:spacing w:after="0"/>
              <w:rPr>
                <w:sz w:val="20"/>
                <w:szCs w:val="20"/>
                <w:color w:val="auto"/>
              </w:rPr>
            </w:pPr>
            <w:r>
              <w:rPr>
                <w:rFonts w:ascii="Arial" w:cs="Arial" w:eastAsia="Arial" w:hAnsi="Arial"/>
                <w:sz w:val="13"/>
                <w:szCs w:val="13"/>
                <w:color w:val="auto"/>
                <w:w w:val="82"/>
              </w:rPr>
              <w:t>$</w:t>
            </w:r>
          </w:p>
        </w:tc>
        <w:tc>
          <w:tcPr>
            <w:tcW w:w="920" w:type="dxa"/>
            <w:vAlign w:val="bottom"/>
            <w:gridSpan w:val="3"/>
          </w:tcPr>
          <w:p>
            <w:pPr>
              <w:jc w:val="right"/>
              <w:ind w:right="97"/>
              <w:spacing w:after="0"/>
              <w:rPr>
                <w:sz w:val="20"/>
                <w:szCs w:val="20"/>
                <w:color w:val="auto"/>
              </w:rPr>
            </w:pPr>
            <w:r>
              <w:rPr>
                <w:rFonts w:ascii="Arial" w:cs="Arial" w:eastAsia="Arial" w:hAnsi="Arial"/>
                <w:sz w:val="13"/>
                <w:szCs w:val="13"/>
                <w:color w:val="auto"/>
              </w:rPr>
              <w:t>(739 )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17"/>
              <w:spacing w:after="0"/>
              <w:rPr>
                <w:sz w:val="20"/>
                <w:szCs w:val="20"/>
                <w:color w:val="auto"/>
              </w:rPr>
            </w:pPr>
            <w:r>
              <w:rPr>
                <w:rFonts w:ascii="Arial" w:cs="Arial" w:eastAsia="Arial" w:hAnsi="Arial"/>
                <w:sz w:val="13"/>
                <w:szCs w:val="13"/>
                <w:color w:val="auto"/>
                <w:w w:val="87"/>
              </w:rPr>
              <w:t>(214,986 )</w:t>
            </w:r>
          </w:p>
        </w:tc>
        <w:tc>
          <w:tcPr>
            <w:tcW w:w="80" w:type="dxa"/>
            <w:vAlign w:val="bottom"/>
          </w:tcPr>
          <w:p>
            <w:pPr>
              <w:jc w:val="center"/>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223,867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200" w:type="dxa"/>
            <w:vAlign w:val="bottom"/>
          </w:tcPr>
          <w:p>
            <w:pPr>
              <w:spacing w:after="0"/>
              <w:rPr>
                <w:sz w:val="24"/>
                <w:szCs w:val="24"/>
                <w:color w:val="auto"/>
              </w:rPr>
            </w:pPr>
          </w:p>
        </w:tc>
        <w:tc>
          <w:tcPr>
            <w:tcW w:w="720" w:type="dxa"/>
            <w:vAlign w:val="bottom"/>
            <w:gridSpan w:val="2"/>
            <w:vMerge w:val="restart"/>
          </w:tcPr>
          <w:p>
            <w:pPr>
              <w:jc w:val="center"/>
              <w:ind w:left="197"/>
              <w:spacing w:after="0"/>
              <w:rPr>
                <w:sz w:val="20"/>
                <w:szCs w:val="20"/>
                <w:color w:val="auto"/>
              </w:rPr>
            </w:pPr>
            <w:r>
              <w:rPr>
                <w:rFonts w:ascii="Arial" w:cs="Arial" w:eastAsia="Arial" w:hAnsi="Arial"/>
                <w:sz w:val="13"/>
                <w:szCs w:val="13"/>
                <w:b w:val="1"/>
                <w:bCs w:val="1"/>
                <w:color w:val="auto"/>
                <w:w w:val="82"/>
              </w:rPr>
              <w:t>Notes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vMerge w:val="restart"/>
          </w:tcPr>
          <w:p>
            <w:pPr>
              <w:jc w:val="center"/>
              <w:ind w:right="138"/>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8"/>
        </w:trPr>
        <w:tc>
          <w:tcPr>
            <w:tcW w:w="28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3"/>
          </w:tcPr>
          <w:p>
            <w:pPr>
              <w:jc w:val="center"/>
              <w:ind w:left="117"/>
              <w:spacing w:after="0" w:line="122" w:lineRule="exact"/>
              <w:rPr>
                <w:sz w:val="20"/>
                <w:szCs w:val="20"/>
                <w:color w:val="auto"/>
              </w:rPr>
            </w:pPr>
            <w:r>
              <w:rPr>
                <w:rFonts w:ascii="Arial" w:cs="Arial" w:eastAsia="Arial" w:hAnsi="Arial"/>
                <w:sz w:val="13"/>
                <w:szCs w:val="13"/>
                <w:b w:val="1"/>
                <w:bCs w:val="1"/>
                <w:color w:val="auto"/>
                <w:w w:val="85"/>
              </w:rPr>
              <w:t>Receivable</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ind w:left="40"/>
              <w:spacing w:after="0" w:line="122"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2860" w:type="dxa"/>
            <w:vAlign w:val="bottom"/>
          </w:tcPr>
          <w:p>
            <w:pPr>
              <w:spacing w:after="0"/>
              <w:rPr>
                <w:sz w:val="15"/>
                <w:szCs w:val="15"/>
                <w:color w:val="auto"/>
              </w:rPr>
            </w:pPr>
          </w:p>
        </w:tc>
        <w:tc>
          <w:tcPr>
            <w:tcW w:w="1960" w:type="dxa"/>
            <w:vAlign w:val="bottom"/>
            <w:gridSpan w:val="6"/>
          </w:tcPr>
          <w:p>
            <w:pPr>
              <w:ind w:left="140"/>
              <w:spacing w:after="0"/>
              <w:rPr>
                <w:sz w:val="20"/>
                <w:szCs w:val="20"/>
                <w:color w:val="auto"/>
              </w:rPr>
            </w:pPr>
            <w:r>
              <w:rPr>
                <w:rFonts w:ascii="Arial" w:cs="Arial" w:eastAsia="Arial" w:hAnsi="Arial"/>
                <w:sz w:val="13"/>
                <w:szCs w:val="13"/>
                <w:b w:val="1"/>
                <w:bCs w:val="1"/>
                <w:color w:val="auto"/>
              </w:rPr>
              <w:t>Convertible Preferred Stock</w:t>
            </w: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4"/>
          </w:tcPr>
          <w:p>
            <w:pPr>
              <w:ind w:left="520"/>
              <w:spacing w:after="0"/>
              <w:rPr>
                <w:sz w:val="20"/>
                <w:szCs w:val="20"/>
                <w:color w:val="auto"/>
              </w:rPr>
            </w:pPr>
            <w:r>
              <w:rPr>
                <w:rFonts w:ascii="Arial" w:cs="Arial" w:eastAsia="Arial" w:hAnsi="Arial"/>
                <w:sz w:val="13"/>
                <w:szCs w:val="13"/>
                <w:b w:val="1"/>
                <w:bCs w:val="1"/>
                <w:color w:val="auto"/>
                <w:w w:val="88"/>
              </w:rPr>
              <w:t>Common Stock</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gridSpan w:val="2"/>
          </w:tcPr>
          <w:p>
            <w:pPr>
              <w:jc w:val="center"/>
              <w:ind w:right="117"/>
              <w:spacing w:after="0"/>
              <w:rPr>
                <w:sz w:val="20"/>
                <w:szCs w:val="20"/>
                <w:color w:val="auto"/>
              </w:rPr>
            </w:pPr>
            <w:r>
              <w:rPr>
                <w:rFonts w:ascii="Arial" w:cs="Arial" w:eastAsia="Arial" w:hAnsi="Arial"/>
                <w:sz w:val="13"/>
                <w:szCs w:val="13"/>
                <w:b w:val="1"/>
                <w:bCs w:val="1"/>
                <w:color w:val="auto"/>
                <w:w w:val="96"/>
              </w:rPr>
              <w:t>Paid-In</w:t>
            </w:r>
          </w:p>
        </w:tc>
        <w:tc>
          <w:tcPr>
            <w:tcW w:w="200" w:type="dxa"/>
            <w:vAlign w:val="bottom"/>
          </w:tcPr>
          <w:p>
            <w:pPr>
              <w:spacing w:after="0"/>
              <w:rPr>
                <w:sz w:val="15"/>
                <w:szCs w:val="15"/>
                <w:color w:val="auto"/>
              </w:rPr>
            </w:pPr>
          </w:p>
        </w:tc>
        <w:tc>
          <w:tcPr>
            <w:tcW w:w="720" w:type="dxa"/>
            <w:vAlign w:val="bottom"/>
            <w:gridSpan w:val="2"/>
          </w:tcPr>
          <w:p>
            <w:pPr>
              <w:jc w:val="center"/>
              <w:ind w:left="197"/>
              <w:spacing w:after="0"/>
              <w:rPr>
                <w:sz w:val="20"/>
                <w:szCs w:val="20"/>
                <w:color w:val="auto"/>
              </w:rPr>
            </w:pPr>
            <w:r>
              <w:rPr>
                <w:rFonts w:ascii="Arial" w:cs="Arial" w:eastAsia="Arial" w:hAnsi="Arial"/>
                <w:sz w:val="13"/>
                <w:szCs w:val="13"/>
                <w:b w:val="1"/>
                <w:bCs w:val="1"/>
                <w:color w:val="auto"/>
                <w:w w:val="89"/>
              </w:rPr>
              <w:t>from</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center"/>
              <w:ind w:right="138"/>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58"/>
        </w:trPr>
        <w:tc>
          <w:tcPr>
            <w:tcW w:w="2860" w:type="dxa"/>
            <w:vAlign w:val="bottom"/>
          </w:tcPr>
          <w:p>
            <w:pPr>
              <w:spacing w:after="0"/>
              <w:rPr>
                <w:sz w:val="13"/>
                <w:szCs w:val="13"/>
                <w:color w:val="auto"/>
              </w:rPr>
            </w:pPr>
          </w:p>
        </w:tc>
        <w:tc>
          <w:tcPr>
            <w:tcW w:w="760" w:type="dxa"/>
            <w:vAlign w:val="bottom"/>
            <w:tcBorders>
              <w:top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gridSpan w:val="2"/>
          </w:tcPr>
          <w:p>
            <w:pPr>
              <w:jc w:val="center"/>
              <w:ind w:right="137"/>
              <w:spacing w:after="0" w:line="144" w:lineRule="exact"/>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3"/>
                <w:szCs w:val="13"/>
                <w:color w:val="auto"/>
              </w:rPr>
            </w:pPr>
          </w:p>
        </w:tc>
        <w:tc>
          <w:tcPr>
            <w:tcW w:w="1040" w:type="dxa"/>
            <w:vAlign w:val="bottom"/>
            <w:gridSpan w:val="5"/>
          </w:tcPr>
          <w:p>
            <w:pPr>
              <w:jc w:val="center"/>
              <w:ind w:right="18"/>
              <w:spacing w:after="0" w:line="144" w:lineRule="exact"/>
              <w:rPr>
                <w:sz w:val="20"/>
                <w:szCs w:val="20"/>
                <w:color w:val="auto"/>
              </w:rPr>
            </w:pPr>
            <w:r>
              <w:rPr>
                <w:rFonts w:ascii="Arial" w:cs="Arial" w:eastAsia="Arial" w:hAnsi="Arial"/>
                <w:sz w:val="13"/>
                <w:szCs w:val="13"/>
                <w:b w:val="1"/>
                <w:bCs w:val="1"/>
                <w:color w:val="auto"/>
                <w:w w:val="84"/>
              </w:rPr>
              <w:t>Stockholders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77"/>
              <w:spacing w:after="0" w:line="144" w:lineRule="exact"/>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center"/>
              <w:ind w:right="138"/>
              <w:spacing w:after="0" w:line="144"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55"/>
        </w:trPr>
        <w:tc>
          <w:tcPr>
            <w:tcW w:w="28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as of January 1, 2021</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24,493,528</w:t>
            </w: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220,754</w:t>
            </w:r>
          </w:p>
        </w:tc>
        <w:tc>
          <w:tcPr>
            <w:tcW w:w="160" w:type="dxa"/>
            <w:vAlign w:val="bottom"/>
            <w:tcBorders>
              <w:right w:val="single" w:sz="8" w:color="CFF0FC"/>
            </w:tcBorders>
            <w:shd w:val="clear" w:color="auto" w:fill="CFF0FC"/>
          </w:tcPr>
          <w:p>
            <w:pPr>
              <w:spacing w:after="0"/>
              <w:rPr>
                <w:sz w:val="13"/>
                <w:szCs w:val="13"/>
                <w:color w:val="auto"/>
              </w:rPr>
            </w:pPr>
          </w:p>
        </w:tc>
        <w:tc>
          <w:tcPr>
            <w:tcW w:w="8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tcBorders>
              <w:top w:val="single" w:sz="8" w:color="auto"/>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1,210,306</w:t>
            </w:r>
          </w:p>
        </w:tc>
        <w:tc>
          <w:tcPr>
            <w:tcW w:w="120" w:type="dxa"/>
            <w:vAlign w:val="bottom"/>
            <w:tcBorders>
              <w:right w:val="single" w:sz="8" w:color="CFF0FC"/>
            </w:tcBorders>
            <w:shd w:val="clear" w:color="auto" w:fill="CFF0FC"/>
          </w:tcPr>
          <w:p>
            <w:pPr>
              <w:spacing w:after="0"/>
              <w:rPr>
                <w:sz w:val="13"/>
                <w:szCs w:val="13"/>
                <w:color w:val="auto"/>
              </w:rPr>
            </w:pPr>
          </w:p>
        </w:tc>
        <w:tc>
          <w:tcPr>
            <w:tcW w:w="22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tcBorders>
            <w:shd w:val="clear" w:color="auto" w:fill="CFF0FC"/>
          </w:tcPr>
          <w:p>
            <w:pPr>
              <w:spacing w:after="0"/>
              <w:rPr>
                <w:sz w:val="13"/>
                <w:szCs w:val="13"/>
                <w:color w:val="auto"/>
              </w:rPr>
            </w:pPr>
          </w:p>
        </w:tc>
        <w:tc>
          <w:tcPr>
            <w:tcW w:w="540" w:type="dxa"/>
            <w:vAlign w:val="bottom"/>
            <w:tcBorders>
              <w:top w:val="single" w:sz="8" w:color="auto"/>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1,584</w:t>
            </w:r>
          </w:p>
        </w:tc>
        <w:tc>
          <w:tcPr>
            <w:tcW w:w="200" w:type="dxa"/>
            <w:vAlign w:val="bottom"/>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ind w:right="35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4"/>
              </w:rPr>
              <w:t>(87</w:t>
            </w:r>
          </w:p>
        </w:tc>
        <w:tc>
          <w:tcPr>
            <w:tcW w:w="60" w:type="dxa"/>
            <w:vAlign w:val="bottom"/>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(82,812</w:t>
            </w:r>
          </w:p>
        </w:tc>
        <w:tc>
          <w:tcPr>
            <w:tcW w:w="8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(81,315</w:t>
            </w:r>
          </w:p>
        </w:tc>
        <w:tc>
          <w:tcPr>
            <w:tcW w:w="100" w:type="dxa"/>
            <w:vAlign w:val="bottom"/>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08"/>
        </w:trPr>
        <w:tc>
          <w:tcPr>
            <w:tcW w:w="2860" w:type="dxa"/>
            <w:vAlign w:val="bottom"/>
          </w:tcPr>
          <w:p>
            <w:pPr>
              <w:ind w:left="200"/>
              <w:spacing w:after="0" w:line="108" w:lineRule="exact"/>
              <w:rPr>
                <w:sz w:val="20"/>
                <w:szCs w:val="20"/>
                <w:color w:val="auto"/>
              </w:rPr>
            </w:pPr>
            <w:r>
              <w:rPr>
                <w:rFonts w:ascii="Arial" w:cs="Arial" w:eastAsia="Arial" w:hAnsi="Arial"/>
                <w:sz w:val="12"/>
                <w:szCs w:val="12"/>
                <w:color w:val="auto"/>
              </w:rPr>
              <w:t>Issuance of Series C convertible preferred</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300"/>
              <w:spacing w:after="0"/>
              <w:rPr>
                <w:sz w:val="20"/>
                <w:szCs w:val="20"/>
                <w:color w:val="auto"/>
              </w:rPr>
            </w:pPr>
            <w:r>
              <w:rPr>
                <w:rFonts w:ascii="Arial" w:cs="Arial" w:eastAsia="Arial" w:hAnsi="Arial"/>
                <w:sz w:val="13"/>
                <w:szCs w:val="13"/>
                <w:color w:val="auto"/>
              </w:rPr>
              <w:t>stock, net of issuance costs of $20</w:t>
            </w:r>
          </w:p>
        </w:tc>
        <w:tc>
          <w:tcPr>
            <w:tcW w:w="760" w:type="dxa"/>
            <w:vAlign w:val="bottom"/>
          </w:tcPr>
          <w:p>
            <w:pPr>
              <w:jc w:val="right"/>
              <w:spacing w:after="0"/>
              <w:rPr>
                <w:sz w:val="20"/>
                <w:szCs w:val="20"/>
                <w:color w:val="auto"/>
              </w:rPr>
            </w:pPr>
            <w:r>
              <w:rPr>
                <w:rFonts w:ascii="Arial" w:cs="Arial" w:eastAsia="Arial" w:hAnsi="Arial"/>
                <w:sz w:val="13"/>
                <w:szCs w:val="13"/>
                <w:color w:val="auto"/>
              </w:rPr>
              <w:t>1,608,750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19,981</w:t>
            </w:r>
          </w:p>
        </w:tc>
        <w:tc>
          <w:tcPr>
            <w:tcW w:w="1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6"/>
        </w:trPr>
        <w:tc>
          <w:tcPr>
            <w:tcW w:w="2860" w:type="dxa"/>
            <w:vAlign w:val="bottom"/>
            <w:shd w:val="clear" w:color="auto" w:fill="CFF0FC"/>
          </w:tcPr>
          <w:p>
            <w:pPr>
              <w:ind w:left="200"/>
              <w:spacing w:after="0" w:line="116" w:lineRule="exact"/>
              <w:rPr>
                <w:sz w:val="20"/>
                <w:szCs w:val="20"/>
                <w:color w:val="auto"/>
              </w:rPr>
            </w:pPr>
            <w:r>
              <w:rPr>
                <w:rFonts w:ascii="Arial" w:cs="Arial" w:eastAsia="Arial" w:hAnsi="Arial"/>
                <w:sz w:val="13"/>
                <w:szCs w:val="13"/>
                <w:color w:val="auto"/>
              </w:rPr>
              <w:t>Issuance of common stock upon exercise</w:t>
            </w: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8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Borders>
              <w:right w:val="single" w:sz="8" w:color="CFF0FC"/>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54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48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tcBorders>
              <w:right w:val="single" w:sz="8" w:color="CFF0FC"/>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12,508</w:t>
            </w:r>
          </w:p>
        </w:tc>
        <w:tc>
          <w:tcPr>
            <w:tcW w:w="1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0"/>
              <w:spacing w:after="0" w:line="108" w:lineRule="exact"/>
              <w:rPr>
                <w:sz w:val="20"/>
                <w:szCs w:val="20"/>
                <w:color w:val="auto"/>
              </w:rPr>
            </w:pPr>
            <w:r>
              <w:rPr>
                <w:rFonts w:ascii="Arial" w:cs="Arial" w:eastAsia="Arial" w:hAnsi="Arial"/>
                <w:sz w:val="12"/>
                <w:szCs w:val="12"/>
                <w:color w:val="auto"/>
              </w:rPr>
              <w:t>Repurchase of common stock related to</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300"/>
              <w:spacing w:after="0"/>
              <w:rPr>
                <w:sz w:val="20"/>
                <w:szCs w:val="20"/>
                <w:color w:val="auto"/>
              </w:rPr>
            </w:pPr>
            <w:r>
              <w:rPr>
                <w:rFonts w:ascii="Arial" w:cs="Arial" w:eastAsia="Arial" w:hAnsi="Arial"/>
                <w:sz w:val="13"/>
                <w:szCs w:val="13"/>
                <w:color w:val="auto"/>
              </w:rPr>
              <w:t>early exercise of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(365 )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432</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Net loss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FF0FC"/>
            </w:tcBorders>
            <w:shd w:val="clear" w:color="auto" w:fill="CFF0FC"/>
          </w:tcPr>
          <w:p>
            <w:pPr>
              <w:spacing w:after="0"/>
              <w:rPr>
                <w:sz w:val="14"/>
                <w:szCs w:val="14"/>
                <w:color w:val="auto"/>
              </w:rPr>
            </w:pPr>
          </w:p>
        </w:tc>
        <w:tc>
          <w:tcPr>
            <w:tcW w:w="8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(13,098 )</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18"/>
              <w:spacing w:after="0"/>
              <w:rPr>
                <w:sz w:val="20"/>
                <w:szCs w:val="20"/>
                <w:color w:val="auto"/>
              </w:rPr>
            </w:pPr>
            <w:r>
              <w:rPr>
                <w:rFonts w:ascii="Arial" w:cs="Arial" w:eastAsia="Arial" w:hAnsi="Arial"/>
                <w:sz w:val="13"/>
                <w:szCs w:val="13"/>
                <w:color w:val="auto"/>
              </w:rPr>
              <w:t>(13,098 )</w:t>
            </w:r>
          </w:p>
        </w:tc>
        <w:tc>
          <w:tcPr>
            <w:tcW w:w="0" w:type="dxa"/>
            <w:vAlign w:val="bottom"/>
          </w:tcPr>
          <w:p>
            <w:pPr>
              <w:spacing w:after="0"/>
              <w:rPr>
                <w:sz w:val="1"/>
                <w:szCs w:val="1"/>
                <w:color w:val="auto"/>
              </w:rPr>
            </w:pPr>
          </w:p>
        </w:tc>
      </w:tr>
      <w:tr>
        <w:trPr>
          <w:trHeight w:val="20"/>
        </w:trPr>
        <w:tc>
          <w:tcPr>
            <w:tcW w:w="28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60" w:type="dxa"/>
            <w:vAlign w:val="bottom"/>
          </w:tcPr>
          <w:p>
            <w:pPr>
              <w:ind w:left="20"/>
              <w:spacing w:after="0"/>
              <w:rPr>
                <w:sz w:val="20"/>
                <w:szCs w:val="20"/>
                <w:color w:val="auto"/>
              </w:rPr>
            </w:pPr>
            <w:r>
              <w:rPr>
                <w:rFonts w:ascii="Arial" w:cs="Arial" w:eastAsia="Arial" w:hAnsi="Arial"/>
                <w:sz w:val="13"/>
                <w:szCs w:val="13"/>
                <w:color w:val="auto"/>
              </w:rPr>
              <w:t>Balance as of March 31, 2021</w:t>
            </w:r>
          </w:p>
        </w:tc>
        <w:tc>
          <w:tcPr>
            <w:tcW w:w="760" w:type="dxa"/>
            <w:vAlign w:val="bottom"/>
          </w:tcPr>
          <w:p>
            <w:pPr>
              <w:jc w:val="right"/>
              <w:spacing w:after="0"/>
              <w:rPr>
                <w:sz w:val="20"/>
                <w:szCs w:val="20"/>
                <w:color w:val="auto"/>
              </w:rPr>
            </w:pPr>
            <w:r>
              <w:rPr>
                <w:rFonts w:ascii="Arial" w:cs="Arial" w:eastAsia="Arial" w:hAnsi="Arial"/>
                <w:sz w:val="13"/>
                <w:szCs w:val="13"/>
                <w:color w:val="auto"/>
              </w:rPr>
              <w:t>26,102,278</w:t>
            </w:r>
          </w:p>
        </w:tc>
        <w:tc>
          <w:tcPr>
            <w:tcW w:w="2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240,735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1,222,449</w:t>
            </w:r>
          </w:p>
        </w:tc>
        <w:tc>
          <w:tcPr>
            <w:tcW w:w="340" w:type="dxa"/>
            <w:vAlign w:val="bottom"/>
            <w:gridSpan w:val="2"/>
          </w:tcPr>
          <w:p>
            <w:pPr>
              <w:jc w:val="right"/>
              <w:ind w:right="7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spacing w:after="0"/>
              <w:rPr>
                <w:sz w:val="20"/>
                <w:szCs w:val="20"/>
                <w:color w:val="auto"/>
              </w:rPr>
            </w:pPr>
            <w:r>
              <w:rPr>
                <w:rFonts w:ascii="Arial" w:cs="Arial" w:eastAsia="Arial" w:hAnsi="Arial"/>
                <w:sz w:val="13"/>
                <w:szCs w:val="13"/>
                <w:color w:val="auto"/>
              </w:rPr>
              <w:t>2,054</w:t>
            </w:r>
          </w:p>
        </w:tc>
        <w:tc>
          <w:tcPr>
            <w:tcW w:w="200" w:type="dxa"/>
            <w:vAlign w:val="bottom"/>
          </w:tcPr>
          <w:p>
            <w:pPr>
              <w:spacing w:after="0"/>
              <w:rPr>
                <w:sz w:val="13"/>
                <w:szCs w:val="13"/>
                <w:color w:val="auto"/>
              </w:rPr>
            </w:pPr>
          </w:p>
        </w:tc>
        <w:tc>
          <w:tcPr>
            <w:tcW w:w="500" w:type="dxa"/>
            <w:vAlign w:val="bottom"/>
          </w:tcPr>
          <w:p>
            <w:pPr>
              <w:jc w:val="right"/>
              <w:ind w:right="357"/>
              <w:spacing w:after="0"/>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color w:val="auto"/>
                <w:w w:val="74"/>
              </w:rPr>
              <w:t>(87 )</w:t>
            </w:r>
          </w:p>
        </w:tc>
        <w:tc>
          <w:tcPr>
            <w:tcW w:w="240" w:type="dxa"/>
            <w:vAlign w:val="bottom"/>
            <w:gridSpan w:val="2"/>
          </w:tcPr>
          <w:p>
            <w:pPr>
              <w:jc w:val="center"/>
              <w:ind w:left="57"/>
              <w:spacing w:after="0"/>
              <w:rPr>
                <w:sz w:val="20"/>
                <w:szCs w:val="20"/>
                <w:color w:val="auto"/>
              </w:rPr>
            </w:pPr>
            <w:r>
              <w:rPr>
                <w:rFonts w:ascii="Arial" w:cs="Arial" w:eastAsia="Arial" w:hAnsi="Arial"/>
                <w:sz w:val="13"/>
                <w:szCs w:val="13"/>
                <w:color w:val="auto"/>
              </w:rPr>
              <w:t>$</w:t>
            </w: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(95,910 )</w:t>
            </w:r>
          </w:p>
        </w:tc>
        <w:tc>
          <w:tcPr>
            <w:tcW w:w="180" w:type="dxa"/>
            <w:vAlign w:val="bottom"/>
            <w:gridSpan w:val="2"/>
          </w:tcPr>
          <w:p>
            <w:pPr>
              <w:ind w:left="120"/>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8"/>
              <w:spacing w:after="0"/>
              <w:rPr>
                <w:sz w:val="20"/>
                <w:szCs w:val="20"/>
                <w:color w:val="auto"/>
              </w:rPr>
            </w:pPr>
            <w:r>
              <w:rPr>
                <w:rFonts w:ascii="Arial" w:cs="Arial" w:eastAsia="Arial" w:hAnsi="Arial"/>
                <w:sz w:val="13"/>
                <w:szCs w:val="13"/>
                <w:color w:val="auto"/>
              </w:rPr>
              <w:t>(93,943 )</w:t>
            </w:r>
          </w:p>
        </w:tc>
        <w:tc>
          <w:tcPr>
            <w:tcW w:w="0" w:type="dxa"/>
            <w:vAlign w:val="bottom"/>
          </w:tcPr>
          <w:p>
            <w:pPr>
              <w:spacing w:after="0"/>
              <w:rPr>
                <w:sz w:val="1"/>
                <w:szCs w:val="1"/>
                <w:color w:val="auto"/>
              </w:rPr>
            </w:pPr>
          </w:p>
        </w:tc>
      </w:tr>
      <w:tr>
        <w:trPr>
          <w:trHeight w:val="109"/>
        </w:trPr>
        <w:tc>
          <w:tcPr>
            <w:tcW w:w="286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Issuance of common stock upon exercise</w:t>
            </w:r>
          </w:p>
        </w:tc>
        <w:tc>
          <w:tcPr>
            <w:tcW w:w="7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tcBorders>
              <w:right w:val="single" w:sz="8" w:color="CFF0FC"/>
            </w:tcBorders>
            <w:shd w:val="clear" w:color="auto" w:fill="CFF0FC"/>
          </w:tcPr>
          <w:p>
            <w:pPr>
              <w:spacing w:after="0"/>
              <w:rPr>
                <w:sz w:val="9"/>
                <w:szCs w:val="9"/>
                <w:color w:val="auto"/>
              </w:rPr>
            </w:pPr>
          </w:p>
        </w:tc>
        <w:tc>
          <w:tcPr>
            <w:tcW w:w="80" w:type="dxa"/>
            <w:vAlign w:val="bottom"/>
            <w:tcBorders>
              <w:right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tcBorders>
              <w:right w:val="single" w:sz="8" w:color="CFF0FC"/>
            </w:tcBorders>
            <w:shd w:val="clear" w:color="auto" w:fill="CFF0FC"/>
          </w:tcPr>
          <w:p>
            <w:pPr>
              <w:spacing w:after="0"/>
              <w:rPr>
                <w:sz w:val="9"/>
                <w:szCs w:val="9"/>
                <w:color w:val="auto"/>
              </w:rPr>
            </w:pPr>
          </w:p>
        </w:tc>
        <w:tc>
          <w:tcPr>
            <w:tcW w:w="120" w:type="dxa"/>
            <w:vAlign w:val="bottom"/>
            <w:tcBorders>
              <w:right w:val="single" w:sz="8" w:color="CFF0FC"/>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540" w:type="dxa"/>
            <w:vAlign w:val="bottom"/>
            <w:tcBorders>
              <w:right w:val="single" w:sz="8" w:color="CFF0FC"/>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480" w:type="dxa"/>
            <w:vAlign w:val="bottom"/>
            <w:tcBorders>
              <w:right w:val="single" w:sz="8" w:color="CFF0FC"/>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240" w:type="dxa"/>
            <w:vAlign w:val="bottom"/>
            <w:tcBorders>
              <w:right w:val="single" w:sz="8" w:color="CFF0FC"/>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CFF0FC"/>
          </w:tcPr>
          <w:p>
            <w:pPr>
              <w:ind w:left="300"/>
              <w:spacing w:after="0"/>
              <w:rPr>
                <w:sz w:val="20"/>
                <w:szCs w:val="20"/>
                <w:color w:val="auto"/>
              </w:rPr>
            </w:pPr>
            <w:r>
              <w:rPr>
                <w:rFonts w:ascii="Arial" w:cs="Arial" w:eastAsia="Arial" w:hAnsi="Arial"/>
                <w:sz w:val="13"/>
                <w:szCs w:val="13"/>
                <w:color w:val="auto"/>
              </w:rPr>
              <w:t>of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12,173</w:t>
            </w:r>
          </w:p>
        </w:tc>
        <w:tc>
          <w:tcPr>
            <w:tcW w:w="120" w:type="dxa"/>
            <w:vAlign w:val="bottom"/>
            <w:tcBorders>
              <w:right w:val="single" w:sz="8" w:color="CFF0FC"/>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20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860" w:type="dxa"/>
            <w:vAlign w:val="bottom"/>
          </w:tcPr>
          <w:p>
            <w:pPr>
              <w:ind w:left="200"/>
              <w:spacing w:after="0" w:line="108" w:lineRule="exact"/>
              <w:rPr>
                <w:sz w:val="20"/>
                <w:szCs w:val="20"/>
                <w:color w:val="auto"/>
              </w:rPr>
            </w:pPr>
            <w:r>
              <w:rPr>
                <w:rFonts w:ascii="Arial" w:cs="Arial" w:eastAsia="Arial" w:hAnsi="Arial"/>
                <w:sz w:val="12"/>
                <w:szCs w:val="12"/>
                <w:color w:val="auto"/>
              </w:rPr>
              <w:t>Repurchase of common stock related to</w:t>
            </w: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60" w:type="dxa"/>
            <w:vAlign w:val="bottom"/>
          </w:tcPr>
          <w:p>
            <w:pPr>
              <w:ind w:left="300"/>
              <w:spacing w:after="0"/>
              <w:rPr>
                <w:sz w:val="20"/>
                <w:szCs w:val="20"/>
                <w:color w:val="auto"/>
              </w:rPr>
            </w:pPr>
            <w:r>
              <w:rPr>
                <w:rFonts w:ascii="Arial" w:cs="Arial" w:eastAsia="Arial" w:hAnsi="Arial"/>
                <w:sz w:val="13"/>
                <w:szCs w:val="13"/>
                <w:color w:val="auto"/>
              </w:rPr>
              <w:t>early exercise of options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(11,980 )</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60" w:type="dxa"/>
            <w:vAlign w:val="bottom"/>
          </w:tcPr>
          <w:p>
            <w:pPr>
              <w:ind w:left="200"/>
              <w:spacing w:after="0"/>
              <w:rPr>
                <w:sz w:val="20"/>
                <w:szCs w:val="20"/>
                <w:color w:val="auto"/>
              </w:rPr>
            </w:pPr>
            <w:r>
              <w:rPr>
                <w:rFonts w:ascii="Arial" w:cs="Arial" w:eastAsia="Arial" w:hAnsi="Arial"/>
                <w:sz w:val="13"/>
                <w:szCs w:val="13"/>
                <w:color w:val="auto"/>
              </w:rPr>
              <w:t>Notes receivable from stockholders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w w:val="96"/>
              </w:rPr>
              <w:t>75</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8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right w:val="single" w:sz="8" w:color="CFF0FC"/>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40" w:type="dxa"/>
            <w:vAlign w:val="bottom"/>
            <w:tcBorders>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2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gridSpan w:val="2"/>
            <w:shd w:val="clear" w:color="auto" w:fill="CFF0FC"/>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860" w:type="dxa"/>
            <w:vAlign w:val="bottom"/>
          </w:tcPr>
          <w:p>
            <w:pPr>
              <w:ind w:left="200"/>
              <w:spacing w:after="0"/>
              <w:rPr>
                <w:sz w:val="20"/>
                <w:szCs w:val="20"/>
                <w:color w:val="auto"/>
              </w:rPr>
            </w:pPr>
            <w:r>
              <w:rPr>
                <w:rFonts w:ascii="Arial" w:cs="Arial" w:eastAsia="Arial" w:hAnsi="Arial"/>
                <w:sz w:val="13"/>
                <w:szCs w:val="13"/>
                <w:color w:val="auto"/>
              </w:rPr>
              <w:t>Net loss</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ind w:lef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ind w:right="38"/>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spacing w:after="0"/>
              <w:rPr>
                <w:sz w:val="20"/>
                <w:szCs w:val="20"/>
                <w:color w:val="auto"/>
              </w:rPr>
            </w:pPr>
            <w:r>
              <w:rPr>
                <w:rFonts w:ascii="Arial" w:cs="Arial" w:eastAsia="Arial" w:hAnsi="Arial"/>
                <w:sz w:val="13"/>
                <w:szCs w:val="13"/>
                <w:color w:val="auto"/>
              </w:rPr>
              <w:t>(15,210 )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18"/>
              <w:spacing w:after="0"/>
              <w:rPr>
                <w:sz w:val="20"/>
                <w:szCs w:val="20"/>
                <w:color w:val="auto"/>
              </w:rPr>
            </w:pPr>
            <w:r>
              <w:rPr>
                <w:rFonts w:ascii="Arial" w:cs="Arial" w:eastAsia="Arial" w:hAnsi="Arial"/>
                <w:sz w:val="13"/>
                <w:szCs w:val="13"/>
                <w:color w:val="auto"/>
              </w:rPr>
              <w:t>(15,210 )</w:t>
            </w:r>
          </w:p>
        </w:tc>
        <w:tc>
          <w:tcPr>
            <w:tcW w:w="0" w:type="dxa"/>
            <w:vAlign w:val="bottom"/>
          </w:tcPr>
          <w:p>
            <w:pPr>
              <w:spacing w:after="0"/>
              <w:rPr>
                <w:sz w:val="1"/>
                <w:szCs w:val="1"/>
                <w:color w:val="auto"/>
              </w:rPr>
            </w:pPr>
          </w:p>
        </w:tc>
      </w:tr>
      <w:tr>
        <w:trPr>
          <w:trHeight w:val="196"/>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Balance as of June 30, 2021</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26,102,278</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3"/>
                <w:szCs w:val="13"/>
                <w:color w:val="auto"/>
              </w:rPr>
              <w:t>240,735</w:t>
            </w:r>
          </w:p>
        </w:tc>
        <w:tc>
          <w:tcPr>
            <w:tcW w:w="160" w:type="dxa"/>
            <w:vAlign w:val="bottom"/>
            <w:tcBorders>
              <w:bottom w:val="single" w:sz="8" w:color="CFF0FC"/>
              <w:right w:val="single" w:sz="8" w:color="CFF0FC"/>
            </w:tcBorders>
            <w:shd w:val="clear" w:color="auto" w:fill="CFF0FC"/>
          </w:tcPr>
          <w:p>
            <w:pPr>
              <w:spacing w:after="0"/>
              <w:rPr>
                <w:sz w:val="17"/>
                <w:szCs w:val="17"/>
                <w:color w:val="auto"/>
              </w:rPr>
            </w:pPr>
          </w:p>
        </w:tc>
        <w:tc>
          <w:tcPr>
            <w:tcW w:w="80" w:type="dxa"/>
            <w:vAlign w:val="bottom"/>
            <w:tcBorders>
              <w:bottom w:val="single" w:sz="8" w:color="CFF0FC"/>
              <w:right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1,222,642</w:t>
            </w:r>
          </w:p>
        </w:tc>
        <w:tc>
          <w:tcPr>
            <w:tcW w:w="120" w:type="dxa"/>
            <w:vAlign w:val="bottom"/>
            <w:tcBorders>
              <w:bottom w:val="single" w:sz="8" w:color="CFF0FC"/>
              <w:right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right w:val="single" w:sz="8" w:color="CFF0FC"/>
            </w:tcBorders>
            <w:shd w:val="clear" w:color="auto" w:fill="CFF0FC"/>
          </w:tcPr>
          <w:p>
            <w:pPr>
              <w:ind w:left="340"/>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2,596</w:t>
            </w:r>
          </w:p>
        </w:tc>
        <w:tc>
          <w:tcPr>
            <w:tcW w:w="20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ind w:right="35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4"/>
              </w:rPr>
              <w:t>(12</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(111,120</w:t>
            </w:r>
          </w:p>
        </w:tc>
        <w:tc>
          <w:tcPr>
            <w:tcW w:w="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3"/>
                <w:szCs w:val="13"/>
                <w:color w:val="auto"/>
                <w:w w:val="91"/>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(108,536</w:t>
            </w:r>
          </w:p>
        </w:tc>
        <w:tc>
          <w:tcPr>
            <w:tcW w:w="100" w:type="dxa"/>
            <w:vAlign w:val="bottom"/>
            <w:tcBorders>
              <w:bottom w:val="single" w:sz="8" w:color="CFF0FC"/>
            </w:tcBorders>
            <w:shd w:val="clear" w:color="auto" w:fill="CFF0FC"/>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-2794000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-2794000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-2794000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-2794000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-2794000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-1036320</wp:posOffset>
            </wp:positionV>
            <wp:extent cx="7683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-1036320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-1036320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-1036320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-1036320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-1036320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-1036320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-1036320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-24765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-24765</wp:posOffset>
            </wp:positionV>
            <wp:extent cx="7747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6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248"/>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766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(59,453 )</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(28,308 )</w:t>
            </w:r>
          </w:p>
        </w:tc>
      </w:tr>
      <w:tr>
        <w:trPr>
          <w:trHeight w:val="175"/>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Depreciation and amortization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2,263</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1,424</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premium on marketable securities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5,106</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934</w:t>
            </w: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on write-offs of property and equipment</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Non-cash operating lease expense</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795</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(438 )</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assets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(132 )</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(2,954 )</w:t>
            </w: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(2,120 )</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1,363</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and other current liabilities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711</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(33 )</w:t>
            </w:r>
          </w:p>
        </w:tc>
      </w:tr>
      <w:tr>
        <w:trPr>
          <w:trHeight w:val="176"/>
        </w:trPr>
        <w:tc>
          <w:tcPr>
            <w:tcW w:w="7660" w:type="dxa"/>
            <w:vAlign w:val="bottom"/>
          </w:tcPr>
          <w:p>
            <w:pPr>
              <w:ind w:left="380"/>
              <w:spacing w:after="0"/>
              <w:rPr>
                <w:sz w:val="20"/>
                <w:szCs w:val="20"/>
                <w:color w:val="auto"/>
              </w:rPr>
            </w:pPr>
            <w:r>
              <w:rPr>
                <w:rFonts w:ascii="Arial" w:cs="Arial" w:eastAsia="Arial" w:hAnsi="Arial"/>
                <w:sz w:val="14"/>
                <w:szCs w:val="14"/>
                <w:color w:val="auto"/>
              </w:rPr>
              <w:t>Operating lease liabilities</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(1,206 )</w:t>
            </w:r>
          </w:p>
        </w:tc>
        <w:tc>
          <w:tcPr>
            <w:tcW w:w="10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(745 )</w:t>
            </w:r>
          </w:p>
        </w:tc>
      </w:tr>
      <w:tr>
        <w:trPr>
          <w:trHeight w:val="175"/>
        </w:trPr>
        <w:tc>
          <w:tcPr>
            <w:tcW w:w="76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Other noncurrent liabilities</w:t>
            </w:r>
          </w:p>
        </w:tc>
        <w:tc>
          <w:tcPr>
            <w:tcW w:w="102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76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660" w:type="dxa"/>
            <w:vAlign w:val="bottom"/>
          </w:tcPr>
          <w:p>
            <w:pPr>
              <w:ind w:left="480"/>
              <w:spacing w:after="0"/>
              <w:rPr>
                <w:sz w:val="20"/>
                <w:szCs w:val="20"/>
                <w:color w:val="auto"/>
              </w:rPr>
            </w:pPr>
            <w:r>
              <w:rPr>
                <w:rFonts w:ascii="Arial" w:cs="Arial" w:eastAsia="Arial" w:hAnsi="Arial"/>
                <w:sz w:val="14"/>
                <w:szCs w:val="14"/>
                <w:color w:val="auto"/>
              </w:rPr>
              <w:t>Net cash used in operating activities</w:t>
            </w:r>
          </w:p>
        </w:tc>
        <w:tc>
          <w:tcPr>
            <w:tcW w:w="1020" w:type="dxa"/>
            <w:vAlign w:val="bottom"/>
          </w:tcPr>
          <w:p>
            <w:pPr>
              <w:spacing w:after="0"/>
              <w:rPr>
                <w:sz w:val="14"/>
                <w:szCs w:val="14"/>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(54,186 )</w:t>
            </w:r>
          </w:p>
        </w:tc>
        <w:tc>
          <w:tcPr>
            <w:tcW w:w="10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(27,808 )</w:t>
            </w: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tcPr>
          <w:p>
            <w:pPr>
              <w:spacing w:after="0"/>
              <w:rPr>
                <w:sz w:val="15"/>
                <w:szCs w:val="15"/>
                <w:color w:val="auto"/>
              </w:rPr>
            </w:pPr>
          </w:p>
        </w:tc>
        <w:tc>
          <w:tcPr>
            <w:tcW w:w="840" w:type="dxa"/>
            <w:vAlign w:val="bottom"/>
            <w:gridSpan w:val="2"/>
          </w:tcPr>
          <w:p>
            <w:pPr>
              <w:jc w:val="right"/>
              <w:ind w:right="148"/>
              <w:spacing w:after="0"/>
              <w:rPr>
                <w:sz w:val="20"/>
                <w:szCs w:val="20"/>
                <w:color w:val="auto"/>
              </w:rPr>
            </w:pPr>
            <w:r>
              <w:rPr>
                <w:rFonts w:ascii="Arial" w:cs="Arial" w:eastAsia="Arial" w:hAnsi="Arial"/>
                <w:sz w:val="14"/>
                <w:szCs w:val="14"/>
                <w:color w:val="auto"/>
              </w:rPr>
              <w:t>(15,771 )</w:t>
            </w:r>
          </w:p>
        </w:tc>
        <w:tc>
          <w:tcPr>
            <w:tcW w:w="1040" w:type="dxa"/>
            <w:vAlign w:val="bottom"/>
          </w:tcPr>
          <w:p>
            <w:pPr>
              <w:spacing w:after="0"/>
              <w:rPr>
                <w:sz w:val="15"/>
                <w:szCs w:val="15"/>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(7,559 )</w:t>
            </w: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Purchases of marketable securities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(65,135 )</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maturities of marketable securities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127,550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76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Borders>
              <w:top w:val="single" w:sz="8" w:color="auto"/>
              <w:bottom w:val="single" w:sz="8" w:color="auto"/>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46,644</w:t>
            </w:r>
          </w:p>
        </w:tc>
        <w:tc>
          <w:tcPr>
            <w:tcW w:w="2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(7,559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76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Series C convertible preferred stock, net of issuance costs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19,981</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exercise of stock options and employee stock purchase plan</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5"/>
                <w:szCs w:val="15"/>
                <w:color w:val="auto"/>
              </w:rPr>
            </w:pPr>
          </w:p>
        </w:tc>
      </w:tr>
      <w:tr>
        <w:trPr>
          <w:trHeight w:val="176"/>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common stock</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(10 )</w:t>
            </w:r>
          </w:p>
        </w:tc>
      </w:tr>
      <w:tr>
        <w:trPr>
          <w:trHeight w:val="176"/>
        </w:trPr>
        <w:tc>
          <w:tcPr>
            <w:tcW w:w="7660" w:type="dxa"/>
            <w:vAlign w:val="bottom"/>
          </w:tcPr>
          <w:p>
            <w:pPr>
              <w:ind w:left="200"/>
              <w:spacing w:after="0"/>
              <w:rPr>
                <w:sz w:val="20"/>
                <w:szCs w:val="20"/>
                <w:color w:val="auto"/>
              </w:rPr>
            </w:pPr>
            <w:r>
              <w:rPr>
                <w:rFonts w:ascii="Arial" w:cs="Arial" w:eastAsia="Arial" w:hAnsi="Arial"/>
                <w:sz w:val="14"/>
                <w:szCs w:val="14"/>
                <w:color w:val="auto"/>
              </w:rPr>
              <w:t>Proceeds from repayments on notes receivable from stockholders</w:t>
            </w:r>
          </w:p>
        </w:tc>
        <w:tc>
          <w:tcPr>
            <w:tcW w:w="1020" w:type="dxa"/>
            <w:vAlign w:val="bottom"/>
          </w:tcPr>
          <w:p>
            <w:pPr>
              <w:spacing w:after="0"/>
              <w:rPr>
                <w:sz w:val="15"/>
                <w:szCs w:val="15"/>
                <w:color w:val="auto"/>
              </w:rPr>
            </w:pPr>
          </w:p>
        </w:tc>
        <w:tc>
          <w:tcPr>
            <w:tcW w:w="84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5"/>
                <w:szCs w:val="15"/>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deferred offering costs</w:t>
            </w:r>
          </w:p>
        </w:tc>
        <w:tc>
          <w:tcPr>
            <w:tcW w:w="10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(1,389 )</w:t>
            </w:r>
          </w:p>
        </w:tc>
      </w:tr>
      <w:tr>
        <w:trPr>
          <w:trHeight w:val="169"/>
        </w:trPr>
        <w:tc>
          <w:tcPr>
            <w:tcW w:w="7660" w:type="dxa"/>
            <w:vAlign w:val="bottom"/>
            <w:tcBorders>
              <w:top w:val="single" w:sz="8" w:color="CFF0FC"/>
            </w:tcBorders>
          </w:tcPr>
          <w:p>
            <w:pPr>
              <w:ind w:left="480"/>
              <w:spacing w:after="0"/>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280" w:type="dxa"/>
            <w:vAlign w:val="bottom"/>
            <w:tcBorders>
              <w:top w:val="single" w:sz="8" w:color="CFF0FC"/>
            </w:tcBorders>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18,717</w:t>
            </w:r>
          </w:p>
        </w:tc>
        <w:tc>
          <w:tcPr>
            <w:tcW w:w="100" w:type="dxa"/>
            <w:vAlign w:val="bottom"/>
            <w:tcBorders>
              <w:top w:val="single" w:sz="8" w:color="CFF0FC"/>
            </w:tcBorders>
          </w:tcPr>
          <w:p>
            <w:pPr>
              <w:spacing w:after="0"/>
              <w:rPr>
                <w:sz w:val="14"/>
                <w:szCs w:val="14"/>
                <w:color w:val="auto"/>
              </w:rPr>
            </w:pPr>
          </w:p>
        </w:tc>
      </w:tr>
      <w:tr>
        <w:trPr>
          <w:trHeight w:val="169"/>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change in cash, cash equivalents and restricted cash</w:t>
            </w: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(7,267</w:t>
            </w:r>
          </w:p>
        </w:tc>
        <w:tc>
          <w:tcPr>
            <w:tcW w:w="28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84"/>
              </w:rPr>
              <w:t>)</w:t>
            </w:r>
          </w:p>
        </w:tc>
        <w:tc>
          <w:tcPr>
            <w:tcW w:w="10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(16,650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6"/>
        </w:trPr>
        <w:tc>
          <w:tcPr>
            <w:tcW w:w="7660" w:type="dxa"/>
            <w:vAlign w:val="bottom"/>
          </w:tcPr>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38,676</w:t>
            </w:r>
          </w:p>
        </w:tc>
        <w:tc>
          <w:tcPr>
            <w:tcW w:w="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129,083</w:t>
            </w:r>
          </w:p>
        </w:tc>
        <w:tc>
          <w:tcPr>
            <w:tcW w:w="100" w:type="dxa"/>
            <w:vAlign w:val="bottom"/>
          </w:tcPr>
          <w:p>
            <w:pPr>
              <w:spacing w:after="0"/>
              <w:rPr>
                <w:sz w:val="15"/>
                <w:szCs w:val="15"/>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and cash equivalents and restricted cash at end of period</w:t>
            </w: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31,409</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112,433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Components of cash, cash equivalents and restricted cash:</w:t>
            </w: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6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and cash equivalents</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31,010</w:t>
            </w:r>
          </w:p>
        </w:tc>
        <w:tc>
          <w:tcPr>
            <w:tcW w:w="28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111,886</w:t>
            </w:r>
          </w:p>
        </w:tc>
        <w:tc>
          <w:tcPr>
            <w:tcW w:w="100" w:type="dxa"/>
            <w:vAlign w:val="bottom"/>
            <w:shd w:val="clear" w:color="auto" w:fill="CFF0FC"/>
          </w:tcPr>
          <w:p>
            <w:pPr>
              <w:spacing w:after="0"/>
              <w:rPr>
                <w:sz w:val="15"/>
                <w:szCs w:val="15"/>
                <w:color w:val="auto"/>
              </w:rPr>
            </w:pPr>
          </w:p>
        </w:tc>
      </w:tr>
      <w:tr>
        <w:trPr>
          <w:trHeight w:val="175"/>
        </w:trPr>
        <w:tc>
          <w:tcPr>
            <w:tcW w:w="7660" w:type="dxa"/>
            <w:vAlign w:val="bottom"/>
          </w:tcPr>
          <w:p>
            <w:pPr>
              <w:ind w:left="20"/>
              <w:spacing w:after="0"/>
              <w:rPr>
                <w:sz w:val="20"/>
                <w:szCs w:val="20"/>
                <w:color w:val="auto"/>
              </w:rPr>
            </w:pPr>
            <w:r>
              <w:rPr>
                <w:rFonts w:ascii="Arial" w:cs="Arial" w:eastAsia="Arial" w:hAnsi="Arial"/>
                <w:sz w:val="14"/>
                <w:szCs w:val="14"/>
                <w:color w:val="auto"/>
              </w:rPr>
              <w:t>Restricted cash, noncurrent</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5"/>
                <w:szCs w:val="15"/>
                <w:color w:val="auto"/>
              </w:rPr>
            </w:pPr>
          </w:p>
        </w:tc>
      </w:tr>
      <w:tr>
        <w:trPr>
          <w:trHeight w:val="209"/>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Cash, cash equivalents and restricted cash</w:t>
            </w: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31,409</w:t>
            </w:r>
          </w:p>
        </w:tc>
        <w:tc>
          <w:tcPr>
            <w:tcW w:w="2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112,433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766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766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7"/>
              </w:rPr>
              <w:t>Deferred offering costs related to initial public offering included in accounts payable and accrued and other current liabilities</w:t>
            </w: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2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1,094</w:t>
            </w:r>
          </w:p>
        </w:tc>
        <w:tc>
          <w:tcPr>
            <w:tcW w:w="100" w:type="dxa"/>
            <w:vAlign w:val="bottom"/>
            <w:shd w:val="clear" w:color="auto" w:fill="CFF0FC"/>
          </w:tcPr>
          <w:p>
            <w:pPr>
              <w:spacing w:after="0"/>
              <w:rPr>
                <w:sz w:val="15"/>
                <w:szCs w:val="15"/>
                <w:color w:val="auto"/>
              </w:rPr>
            </w:pPr>
          </w:p>
        </w:tc>
      </w:tr>
      <w:tr>
        <w:trPr>
          <w:trHeight w:val="182"/>
        </w:trPr>
        <w:tc>
          <w:tcPr>
            <w:tcW w:w="7660" w:type="dxa"/>
            <w:vAlign w:val="bottom"/>
          </w:tcPr>
          <w:p>
            <w:pPr>
              <w:ind w:left="200"/>
              <w:spacing w:after="0"/>
              <w:rPr>
                <w:sz w:val="20"/>
                <w:szCs w:val="20"/>
                <w:color w:val="auto"/>
              </w:rPr>
            </w:pPr>
            <w:r>
              <w:rPr>
                <w:rFonts w:ascii="Arial" w:cs="Arial" w:eastAsia="Arial" w:hAnsi="Arial"/>
                <w:sz w:val="14"/>
                <w:szCs w:val="14"/>
                <w:color w:val="auto"/>
              </w:rPr>
              <w:t>Property and equipment included in accounts payable and accrued and other current liabilities</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3,060</w:t>
            </w:r>
          </w:p>
        </w:tc>
        <w:tc>
          <w:tcPr>
            <w:tcW w:w="280" w:type="dxa"/>
            <w:vAlign w:val="bottom"/>
          </w:tcPr>
          <w:p>
            <w:pPr>
              <w:spacing w:after="0"/>
              <w:rPr>
                <w:sz w:val="15"/>
                <w:szCs w:val="15"/>
                <w:color w:val="auto"/>
              </w:rPr>
            </w:pP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1,954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-2686685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-2686685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-1992630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-1992630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-1315085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-1315085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-843915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-826770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-843915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-826770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-363855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-346710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-346710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TENAYA THERAPEUTICS,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12"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auto"/>
        </w:rPr>
        <w:t>Tenaya Therapeutics, Inc. (Company) was incorporated in the state of Delaware in August 2016 and is headquartered in South San Francisco, California. The Company is a preclinical stage biotechnology company focused on discovering, developing and delivering curative therapies that address the underlying drivers of heart disease. The Company is advancing product candidates from three distinct but interrelated product platforms: gene therapy, cellular regeneration and precision medicine.</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104"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auto"/>
        </w:rPr>
        <w:t>The Company has incurred net losses since inception and expects such losses to continue in the future as it conducts research and development activities. As of June 30, 2022, the Company had an accumulated deficit of $215.0 million. The Company incurred a net loss of $59.5 million and $28.3 million during the six months ended June 30, 2022 and 2021, respectively. The Company had $180.9 million of cash, cash equivalents and investments in marketable securities as of June 30, 2022.</w:t>
      </w:r>
    </w:p>
    <w:p>
      <w:pPr>
        <w:spacing w:after="0" w:line="73" w:lineRule="exact"/>
        <w:rPr>
          <w:sz w:val="20"/>
          <w:szCs w:val="20"/>
          <w:color w:val="auto"/>
        </w:rPr>
      </w:pPr>
    </w:p>
    <w:p>
      <w:pPr>
        <w:ind w:right="100" w:firstLine="509"/>
        <w:spacing w:after="0" w:line="290" w:lineRule="auto"/>
        <w:rPr>
          <w:sz w:val="20"/>
          <w:szCs w:val="20"/>
          <w:color w:val="auto"/>
        </w:rPr>
      </w:pPr>
      <w:r>
        <w:rPr>
          <w:rFonts w:ascii="Arial" w:cs="Arial" w:eastAsia="Arial" w:hAnsi="Arial"/>
          <w:sz w:val="16"/>
          <w:szCs w:val="16"/>
          <w:color w:val="auto"/>
        </w:rPr>
        <w:t>Management recognizes the need to raise additional capital to fully implement its business plan. The Company may seek to raise capital through equity financings, debt financings, license agreements, collaborative agreements or other sources of financing. Management believes that its existing cash, cash equivalents and investments in marketable securities as of June 30, 2022 will be sufficient to fund the Company’s operations for at least the next twelve months following the date these condensed financial statements are filed with the Securities and Exchange Commission (SEC).</w:t>
      </w:r>
    </w:p>
    <w:p>
      <w:pPr>
        <w:spacing w:after="0" w:line="268"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40" w:firstLine="509"/>
        <w:spacing w:after="0" w:line="256" w:lineRule="auto"/>
        <w:rPr>
          <w:sz w:val="20"/>
          <w:szCs w:val="20"/>
          <w:color w:val="auto"/>
        </w:rPr>
      </w:pPr>
      <w:r>
        <w:rPr>
          <w:rFonts w:ascii="Arial" w:cs="Arial" w:eastAsia="Arial" w:hAnsi="Arial"/>
          <w:sz w:val="18"/>
          <w:szCs w:val="18"/>
          <w:color w:val="auto"/>
        </w:rPr>
        <w:t>The accompanying condensed financial statements have been prepared in accordance with accounting principles generally accepted in the United States of America (GAAP) and follow the requirements of the SEC for interim reporting. As permitted under those rules, certain footnotes or other financial information that are normally required by GAAP can be condensed or omitted.</w:t>
      </w:r>
    </w:p>
    <w:p>
      <w:pPr>
        <w:spacing w:after="0" w:line="67"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auto"/>
        </w:rPr>
        <w:t>The interim condensed balance sheet as of June 30, 2022, the interim condensed statements of operations and comprehensive loss, convertible preferred stock and stockholders’ equity (deficit) and cash flows for the six months ended June 30, 2022 and 2021 are unaudited. These unaudited interim condensed financial statements have been prepared on the same basis as the Company’s annual financial statements and reflect all adjustments (consisting only of normal recurring adjustments) that are necessary for the fair statement of the Company’s financial position, results of operations and cash flows for the interim periods presented. The condensed results of operations for the six months ended June 30, 2022 are not necessarily indicative of the results to be expected for the full year or for any other future annual or interim period. The condensed balance sheet as of December 31, 2021 included herein was derived from the audited financial statements as of that date. These condensed financial statements should be read in conjunction with the Company’s audited financial statements and the related notes thereto for the year ended December 31, 2021, included in Company's Annual Report on Form 10-K, filed with the SEC on March 23, 2022.</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auto"/>
        </w:rPr>
        <w:t>The preparation of condensed financial statements in conformity with GAAP requires management to make estimates and assumptions that affect the reported amounts of assets, liabilities, and the disclosure of contingent assets and liabilities at the date of the condensed financial statements and the reported amounts of expenses during the reporting period. On an ongoing basis, management evaluates its estimates, including those related to clinical trials accrued liabilities, income tax valuation allowance and stock-based compensation. Management bases its estimates on historical experience, the current economic environment, and on various other assumptions that are believed to be reasonable under the circumstances. Actual results may differ from those estimates or assumptions.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17"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auto"/>
        </w:rPr>
        <w:t>There have been no material revisions in our significant accounting policies described in Note 2 to the consolidated financial statements included in our Annual Report on Form 10-K for the year ended December 31, 2021.</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9" w:name="page10"/>
    <w:bookmarkEnd w:id="9"/>
    <w:p>
      <w:pPr>
        <w:ind w:left="52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No. 2019-12, Income Taxes (Topic 740): Simplifying the Accounting for Income Taxes (ASU 2019-12), which is intended to simplify the accounting for income taxes. This standard eliminates certain exceptions to the approach for intra period tax allocation, the methodology for calculating income taxes in an interim period and the recognition of deferred tax liabilities for outside basis differences. As an emerging growth company, ASU 2019-12 became effective for the Company beginning January 1, 2022. The adoption of this standard did not have any impact on its financial statements.</w:t>
      </w:r>
    </w:p>
    <w:p>
      <w:pPr>
        <w:spacing w:after="0" w:line="171"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auto"/>
        </w:rPr>
        <w:t>In November 2021, the FASB issued ASU No. 2021-10, Government Assistance (Topic 832): Disclosures by Business Entities about Government Assistance (ASU 2021-10), which requires business entities to make annual disclosures about transactions with a government they account for by analogizing to a grant or contribution accounting model. The required annual disclosures include the nature of the transaction, the entity’s related accounting policy, the financial statement line items affected and the amounts reflected in the current period financial statements, and any significant terms and conditions. ASU 2021-10 became effective for the Company beginning January 1, 2022. The adoption of this standard did not have a material impact on its financial statements.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p>
    <w:p>
      <w:pPr>
        <w:spacing w:after="0" w:line="46"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existing incurred loss impairment model with an expected credit loss model. This standard will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to recognize an allowance for credit losses on available-for-sale debt securities rather than the current approach of recording a reduction to the carrying value of the asset. As an emerging growth company, ASU 2016-13 will become effective for the Company beginning January 1, 2023. The Company is evaluating the impact of this standard on its financial statements.</w:t>
      </w:r>
    </w:p>
    <w:p>
      <w:pPr>
        <w:spacing w:after="0" w:line="183"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right="60" w:firstLine="509"/>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117"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3 - Inputs reflect management’s best estimate of what market participants would use in pricing the asset or liability at the measurement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Consideration is given to the risk inherent in the valuation technique and the risk inherent in the inputs to the model.</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summarize the Company’s financial assets measured at fair value on a recurring basis by level within the fair value hierarchy: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1201"/>
              <w:spacing w:after="0"/>
              <w:rPr>
                <w:sz w:val="20"/>
                <w:szCs w:val="20"/>
                <w:color w:val="auto"/>
              </w:rPr>
            </w:pPr>
            <w:r>
              <w:rPr>
                <w:rFonts w:ascii="Arial" w:cs="Arial" w:eastAsia="Arial" w:hAnsi="Arial"/>
                <w:sz w:val="14"/>
                <w:szCs w:val="14"/>
                <w:b w:val="1"/>
                <w:bCs w:val="1"/>
                <w:color w:val="auto"/>
              </w:rPr>
              <w:t>June 30, 2022</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58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5"/>
              </w:rPr>
              <w:t>Valuation</w:t>
            </w:r>
          </w:p>
        </w:tc>
        <w:tc>
          <w:tcPr>
            <w:tcW w:w="220" w:type="dxa"/>
            <w:vAlign w:val="bottom"/>
          </w:tcPr>
          <w:p>
            <w:pPr>
              <w:spacing w:after="0"/>
              <w:rPr>
                <w:sz w:val="12"/>
                <w:szCs w:val="12"/>
                <w:color w:val="auto"/>
              </w:rPr>
            </w:pPr>
          </w:p>
        </w:tc>
        <w:tc>
          <w:tcPr>
            <w:tcW w:w="1060" w:type="dxa"/>
            <w:vAlign w:val="bottom"/>
          </w:tcPr>
          <w:p>
            <w:pPr>
              <w:jc w:val="right"/>
              <w:ind w:right="234"/>
              <w:spacing w:after="0" w:line="147"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jc w:val="right"/>
              <w:ind w:right="297"/>
              <w:spacing w:after="0" w:line="147"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tcPr>
          <w:p>
            <w:pPr>
              <w:jc w:val="right"/>
              <w:ind w:right="541"/>
              <w:spacing w:after="0" w:line="147"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jc w:val="center"/>
              <w:ind w:right="935"/>
              <w:spacing w:after="0"/>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center"/>
              <w:ind w:left="59"/>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U.S. treasuries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1</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88,636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(549 )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paper</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55,473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(141 )</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Government agencies bonds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(58 )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180,655</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179,916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3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294"/>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-513715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-496570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-513715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-496570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-513715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-496570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5"/>
        </w:trPr>
        <w:tc>
          <w:tcPr>
            <w:tcW w:w="3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1580" w:type="dxa"/>
            <w:vAlign w:val="bottom"/>
            <w:gridSpan w:val="2"/>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Valuation</w:t>
            </w:r>
          </w:p>
        </w:tc>
        <w:tc>
          <w:tcPr>
            <w:tcW w:w="220" w:type="dxa"/>
            <w:vAlign w:val="bottom"/>
          </w:tcPr>
          <w:p>
            <w:pPr>
              <w:spacing w:after="0"/>
              <w:rPr>
                <w:sz w:val="11"/>
                <w:szCs w:val="11"/>
                <w:color w:val="auto"/>
              </w:rPr>
            </w:pPr>
          </w:p>
        </w:tc>
        <w:tc>
          <w:tcPr>
            <w:tcW w:w="106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Amortized</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ind w:left="120"/>
              <w:spacing w:after="0" w:line="133"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jc w:val="right"/>
              <w:ind w:right="541"/>
              <w:spacing w:after="0" w:line="133"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12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Gain</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Loss</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ind w:left="940"/>
              <w:spacing w:after="0"/>
              <w:rPr>
                <w:sz w:val="20"/>
                <w:szCs w:val="20"/>
                <w:color w:val="auto"/>
              </w:rPr>
            </w:pPr>
            <w:r>
              <w:rPr>
                <w:rFonts w:ascii="Arial" w:cs="Arial" w:eastAsia="Arial" w:hAnsi="Arial"/>
                <w:sz w:val="14"/>
                <w:szCs w:val="14"/>
                <w:b w:val="1"/>
                <w:bCs w:val="1"/>
                <w:color w:val="auto"/>
              </w:rPr>
              <w:t>(In</w:t>
            </w:r>
          </w:p>
        </w:tc>
        <w:tc>
          <w:tcPr>
            <w:tcW w:w="1660" w:type="dxa"/>
            <w:vAlign w:val="bottom"/>
            <w:gridSpan w:val="3"/>
          </w:tcPr>
          <w:p>
            <w:pPr>
              <w:jc w:val="center"/>
              <w:ind w:right="935"/>
              <w:spacing w:after="0"/>
              <w:rPr>
                <w:sz w:val="20"/>
                <w:szCs w:val="20"/>
                <w:color w:val="auto"/>
              </w:rPr>
            </w:pPr>
            <w:r>
              <w:rPr>
                <w:rFonts w:ascii="Arial" w:cs="Arial" w:eastAsia="Arial" w:hAnsi="Arial"/>
                <w:sz w:val="14"/>
                <w:szCs w:val="14"/>
                <w:b w:val="1"/>
                <w:bCs w:val="1"/>
                <w:color w:val="auto"/>
                <w:w w:val="84"/>
              </w:rPr>
              <w:t>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b w:val="1"/>
                <w:bCs w:val="1"/>
                <w:color w:val="auto"/>
              </w:rPr>
              <w:t>Cash equivalents: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5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FF0FC"/>
          </w:tcPr>
          <w:p>
            <w:pPr>
              <w:jc w:val="center"/>
              <w:ind w:left="59"/>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b w:val="1"/>
                <w:bCs w:val="1"/>
                <w:color w:val="auto"/>
              </w:rPr>
              <w:t>Marketable securities: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U.S. treasuries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1</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78,097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(85 )</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121,634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Corporate bonds</w:t>
            </w:r>
          </w:p>
        </w:tc>
        <w:tc>
          <w:tcPr>
            <w:tcW w:w="158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(3 )</w:t>
            </w:r>
          </w:p>
        </w:tc>
        <w:tc>
          <w:tcPr>
            <w:tcW w:w="2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120"/>
              <w:spacing w:after="0"/>
              <w:rPr>
                <w:sz w:val="20"/>
                <w:szCs w:val="20"/>
                <w:color w:val="auto"/>
              </w:rPr>
            </w:pPr>
            <w:r>
              <w:rPr>
                <w:rFonts w:ascii="Arial" w:cs="Arial" w:eastAsia="Arial" w:hAnsi="Arial"/>
                <w:sz w:val="18"/>
                <w:szCs w:val="18"/>
                <w:color w:val="auto"/>
              </w:rPr>
              <w:t>Government agencies bonds</w:t>
            </w:r>
          </w:p>
        </w:tc>
        <w:tc>
          <w:tcPr>
            <w:tcW w:w="158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01"/>
              <w:spacing w:after="0"/>
              <w:rPr>
                <w:sz w:val="20"/>
                <w:szCs w:val="20"/>
                <w:color w:val="auto"/>
              </w:rPr>
            </w:pPr>
            <w:r>
              <w:rPr>
                <w:rFonts w:ascii="Arial" w:cs="Arial" w:eastAsia="Arial" w:hAnsi="Arial"/>
                <w:sz w:val="18"/>
                <w:szCs w:val="18"/>
                <w:color w:val="auto"/>
              </w:rPr>
              <w:t>(3 )</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250,441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ind w:left="98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250,300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Money market funds are classified as Level 1 because they are valued using quoted market prices in active markets for identical assets. Financial instruments classified within Level 2 of the fair value hierarchy are valued based on observable inputs or can be derived from non-binding quotes from the Company’s investment managers, which are based on proprietary valuation models of independent pricing services. These models generally use inputs such as observable market data, quoted market prices for similar instruments, or historical pricing trends of a security relative to its peers. To validate the fair value determination provided by its investment managers, the Company reviews the pricing movement in the context of overall market trends and trading information from its investment managers. In addition, the Company considers the inputs and methods used in determining the fair value in order to determine the classification of securities in the fair value hierarchy.</w:t>
      </w:r>
    </w:p>
    <w:p>
      <w:pPr>
        <w:spacing w:after="0" w:line="64" w:lineRule="exact"/>
        <w:rPr>
          <w:sz w:val="20"/>
          <w:szCs w:val="20"/>
          <w:color w:val="auto"/>
        </w:rPr>
      </w:pPr>
    </w:p>
    <w:p>
      <w:pPr>
        <w:ind w:right="80" w:firstLine="509"/>
        <w:spacing w:after="0" w:line="294" w:lineRule="auto"/>
        <w:rPr>
          <w:sz w:val="20"/>
          <w:szCs w:val="20"/>
          <w:color w:val="auto"/>
        </w:rPr>
      </w:pPr>
      <w:r>
        <w:rPr>
          <w:rFonts w:ascii="Arial" w:cs="Arial" w:eastAsia="Arial" w:hAnsi="Arial"/>
          <w:sz w:val="16"/>
          <w:szCs w:val="16"/>
          <w:color w:val="auto"/>
        </w:rPr>
        <w:t>The Company believes it is more likely than not that its marketable securities in an unrealized loss position will be held until maturity or the recovery of the cost basis of the investment. To date, the Company has not recorded any impairment charges on marketable securities related to other-than-temporary declines in market value. As of June 30, 2022, all available-for-sale marketable securities had remaining maturities of less than one year.</w:t>
      </w:r>
    </w:p>
    <w:p>
      <w:pPr>
        <w:spacing w:after="0" w:line="53"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The carrying amount of our remaining financial assets and liabilities, which include cash, receivables and payables, approximate their fair values due to their short-term nature.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spacing w:after="0"/>
        <w:tabs>
          <w:tab w:leader="none" w:pos="360" w:val="left"/>
        </w:tabs>
        <w:rPr>
          <w:sz w:val="20"/>
          <w:szCs w:val="20"/>
          <w:color w:val="auto"/>
        </w:rPr>
      </w:pPr>
      <w:r>
        <w:rPr>
          <w:rFonts w:ascii="Arial" w:cs="Arial" w:eastAsia="Arial" w:hAnsi="Arial"/>
          <w:sz w:val="18"/>
          <w:szCs w:val="18"/>
          <w:b w:val="1"/>
          <w:bCs w:val="1"/>
          <w:color w:val="auto"/>
        </w:rPr>
        <w:t>4.</w:t>
        <w:tab/>
        <w:t>Balance Sheet Components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December 31,</w:t>
            </w:r>
          </w:p>
        </w:tc>
      </w:tr>
      <w:tr>
        <w:trPr>
          <w:trHeight w:val="185"/>
        </w:trPr>
        <w:tc>
          <w:tcPr>
            <w:tcW w:w="5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75"/>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713"/>
              <w:spacing w:after="0"/>
              <w:rPr>
                <w:sz w:val="20"/>
                <w:szCs w:val="20"/>
                <w:color w:val="auto"/>
              </w:rPr>
            </w:pPr>
            <w:r>
              <w:rPr>
                <w:rFonts w:ascii="Arial" w:cs="Arial" w:eastAsia="Arial" w:hAnsi="Arial"/>
                <w:sz w:val="14"/>
                <w:szCs w:val="14"/>
                <w:b w:val="1"/>
                <w:bCs w:val="1"/>
                <w:color w:val="auto"/>
                <w:w w:val="71"/>
              </w:rPr>
              <w:t>thousands)</w:t>
            </w:r>
          </w:p>
        </w:tc>
        <w:tc>
          <w:tcPr>
            <w:tcW w:w="80" w:type="dxa"/>
            <w:vAlign w:val="bottom"/>
          </w:tcPr>
          <w:p>
            <w:pPr>
              <w:spacing w:after="0"/>
              <w:rPr>
                <w:sz w:val="14"/>
                <w:szCs w:val="14"/>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23,605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7,241</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Laboratory equipment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11,891</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Manufacturing equipment</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17,468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32,561</w:t>
            </w:r>
          </w:p>
        </w:tc>
        <w:tc>
          <w:tcPr>
            <w:tcW w:w="8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80" w:type="dxa"/>
            <w:vAlign w:val="bottom"/>
          </w:tcPr>
          <w:p>
            <w:pPr>
              <w:spacing w:after="0"/>
              <w:rPr>
                <w:sz w:val="18"/>
                <w:szCs w:val="18"/>
                <w:color w:val="auto"/>
              </w:rPr>
            </w:pPr>
          </w:p>
        </w:tc>
      </w:tr>
      <w:tr>
        <w:trPr>
          <w:trHeight w:val="210"/>
        </w:trPr>
        <w:tc>
          <w:tcPr>
            <w:tcW w:w="52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64,502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52,445</w:t>
            </w:r>
          </w:p>
        </w:tc>
        <w:tc>
          <w:tcPr>
            <w:tcW w:w="8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Pr>
          <w:p>
            <w:pPr>
              <w:spacing w:after="0"/>
              <w:rPr>
                <w:sz w:val="18"/>
                <w:szCs w:val="18"/>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(11,489 )</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(9,425 )</w:t>
            </w:r>
          </w:p>
        </w:tc>
      </w:tr>
      <w:tr>
        <w:trPr>
          <w:trHeight w:val="249"/>
        </w:trPr>
        <w:tc>
          <w:tcPr>
            <w:tcW w:w="528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property and equipment, net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53,013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43,020</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Depreciation and amortization expense for the three months ended June 30, 2022 and 2021 was $1.3 million and $0.7 million, respectively. Depreciation and amortization expense for the six months ended June 30, 2022 and 2021 was $2.3 million and $1.4 million, respectively. Leasehold improvements as of June 30, 2022 include certain enhancements made to the Company’s leased manufacturing and office space located in Union City, California (Union City Facility). During the second quarter of 2022, the Company completed the build out and operational launch of its Union City Facility. As a result, the Company reclassified the related capitalized machinery and equipment from construction in progress to manufacturing and laboratory equipment.</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Accrued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196"/>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r>
      <w:tr>
        <w:trPr>
          <w:trHeight w:val="185"/>
        </w:trPr>
        <w:tc>
          <w:tcPr>
            <w:tcW w:w="5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r>
      <w:tr>
        <w:trPr>
          <w:trHeight w:val="169"/>
        </w:trPr>
        <w:tc>
          <w:tcPr>
            <w:tcW w:w="5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340" w:type="dxa"/>
            <w:vAlign w:val="bottom"/>
            <w:gridSpan w:val="3"/>
          </w:tcPr>
          <w:p>
            <w:pPr>
              <w:jc w:val="center"/>
              <w:ind w:right="695"/>
              <w:spacing w:after="0"/>
              <w:rPr>
                <w:sz w:val="20"/>
                <w:szCs w:val="20"/>
                <w:color w:val="auto"/>
              </w:rPr>
            </w:pPr>
            <w:r>
              <w:rPr>
                <w:rFonts w:ascii="Arial" w:cs="Arial" w:eastAsia="Arial" w:hAnsi="Arial"/>
                <w:sz w:val="14"/>
                <w:szCs w:val="14"/>
                <w:b w:val="1"/>
                <w:bCs w:val="1"/>
                <w:color w:val="auto"/>
                <w:w w:val="74"/>
              </w:rPr>
              <w:t>thousands)</w:t>
            </w:r>
          </w:p>
        </w:tc>
        <w:tc>
          <w:tcPr>
            <w:tcW w:w="80" w:type="dxa"/>
            <w:vAlign w:val="bottom"/>
          </w:tcPr>
          <w:p>
            <w:pPr>
              <w:spacing w:after="0"/>
              <w:rPr>
                <w:sz w:val="14"/>
                <w:szCs w:val="14"/>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compensation and related expenses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340" w:type="dxa"/>
            <w:vAlign w:val="bottom"/>
            <w:gridSpan w:val="2"/>
            <w:shd w:val="clear" w:color="auto" w:fill="CFF0FC"/>
          </w:tcPr>
          <w:p>
            <w:pPr>
              <w:jc w:val="center"/>
              <w:ind w:left="116"/>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3,667</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Accrued property and equipment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2,863</w:t>
            </w:r>
          </w:p>
        </w:tc>
        <w:tc>
          <w:tcPr>
            <w:tcW w:w="80" w:type="dxa"/>
            <w:vAlign w:val="bottom"/>
          </w:tcPr>
          <w:p>
            <w:pPr>
              <w:spacing w:after="0"/>
              <w:rPr>
                <w:sz w:val="18"/>
                <w:szCs w:val="18"/>
                <w:color w:val="auto"/>
              </w:rPr>
            </w:pPr>
          </w:p>
        </w:tc>
      </w:tr>
      <w:tr>
        <w:trPr>
          <w:trHeight w:val="21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 expenses</w:t>
            </w: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2,301</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8"/>
                <w:szCs w:val="18"/>
                <w:color w:val="auto"/>
              </w:rPr>
            </w:pPr>
          </w:p>
        </w:tc>
      </w:tr>
      <w:tr>
        <w:trPr>
          <w:trHeight w:val="216"/>
        </w:trPr>
        <w:tc>
          <w:tcPr>
            <w:tcW w:w="5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5340" w:type="dxa"/>
            <w:vAlign w:val="bottom"/>
          </w:tcPr>
          <w:p>
            <w:pPr>
              <w:ind w:left="100"/>
              <w:spacing w:after="0"/>
              <w:rPr>
                <w:sz w:val="20"/>
                <w:szCs w:val="20"/>
                <w:color w:val="auto"/>
              </w:rPr>
            </w:pPr>
            <w:r>
              <w:rPr>
                <w:rFonts w:ascii="Arial" w:cs="Arial" w:eastAsia="Arial" w:hAnsi="Arial"/>
                <w:sz w:val="18"/>
                <w:szCs w:val="18"/>
                <w:color w:val="auto"/>
              </w:rPr>
              <w:t>Total accrued and other 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9,498</w:t>
            </w:r>
          </w:p>
        </w:tc>
        <w:tc>
          <w:tcPr>
            <w:tcW w:w="340" w:type="dxa"/>
            <w:vAlign w:val="bottom"/>
            <w:gridSpan w:val="2"/>
          </w:tcPr>
          <w:p>
            <w:pPr>
              <w:jc w:val="center"/>
              <w:ind w:lef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9,059</w:t>
            </w:r>
          </w:p>
        </w:tc>
        <w:tc>
          <w:tcPr>
            <w:tcW w:w="80" w:type="dxa"/>
            <w:vAlign w:val="bottom"/>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-170815</wp:posOffset>
            </wp:positionV>
            <wp:extent cx="5143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431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1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auto"/>
        </w:rPr>
        <w:t>Prepaid expenses and other current assets include a receivable of approximately $2 million relating to the employee retention credit (ERC) under the Coronavirus Aid, Relief, and Economic Security Act (CARES Act). The ERC is a refundable tax credit, which was provided to encourage businesses to keep employees on the payroll during the COVID-19 pandemic. During the second quarter of 2022, the Company filed a claim for the ERC and recorded the receivable with the offsetting benefit included in operating expenses.</w:t>
      </w:r>
    </w:p>
    <w:p>
      <w:pPr>
        <w:spacing w:after="0" w:line="17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Gladstone License Agreement</w:t>
      </w:r>
    </w:p>
    <w:p>
      <w:pPr>
        <w:spacing w:after="0" w:line="117"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October 2016, the Company entered into a license agreement with the J. David Gladstone Institute (Gladstone), pursuant to which Gladstone granted the Company a worldwide, royalty-bearing exclusive patent license and a non-exclusive technology license to develop and commercialize certain products for certain diseases (Gladstone License Agreement). Pursuant to the Gladstone License Agreement, the Company is obligated, among other things, to pay Gladstone (i) annual license maintenance fees ranging from $25,000 up to $100,000 per year, which will be creditable against royalties paid in the following twelve month period, (ii) milestone payments up to $4.1 million for royalty-bearing products directed to a particular target, which are contingent upon achieving specific clinical and commercialization milestone events, and (iii) tiered low-single digit royalties on future net sales of each royalty-bearing product. Under the agreement, the Company is subject to diligence requirements to develop and commercialize at least one royalty-bearing product. The Company may pay $50,000 to $100,000 to extend the deadline for its diligence milestone obligations for up to four additional one-year terms. As of June 30, 2022, the Company has not recognized any milestone and royalty payments under the Gladstone License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2" w:name="page13"/>
    <w:bookmarkEnd w:id="12"/>
    <w:p>
      <w:pPr>
        <w:ind w:right="20" w:firstLine="509"/>
        <w:spacing w:after="0" w:line="277" w:lineRule="auto"/>
        <w:rPr>
          <w:sz w:val="20"/>
          <w:szCs w:val="20"/>
          <w:color w:val="auto"/>
        </w:rPr>
      </w:pPr>
      <w:r>
        <w:rPr>
          <w:rFonts w:ascii="Arial" w:cs="Arial" w:eastAsia="Arial" w:hAnsi="Arial"/>
          <w:sz w:val="18"/>
          <w:szCs w:val="18"/>
          <w:color w:val="auto"/>
        </w:rPr>
        <w:t>During the six months ended June 30, 2022 and 2021, there were no material amounts recorded related to annual license fees payable pursuant to the Gladstone License Agreement.</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University of Texas Southwestern License Agreement</w:t>
      </w:r>
    </w:p>
    <w:p>
      <w:pPr>
        <w:spacing w:after="0" w:line="104" w:lineRule="exact"/>
        <w:rPr>
          <w:sz w:val="20"/>
          <w:szCs w:val="20"/>
          <w:color w:val="auto"/>
        </w:rPr>
      </w:pPr>
    </w:p>
    <w:p>
      <w:pPr>
        <w:ind w:right="220" w:firstLine="509"/>
        <w:spacing w:after="0" w:line="263" w:lineRule="auto"/>
        <w:rPr>
          <w:sz w:val="20"/>
          <w:szCs w:val="20"/>
          <w:color w:val="auto"/>
        </w:rPr>
      </w:pPr>
      <w:r>
        <w:rPr>
          <w:rFonts w:ascii="Arial" w:cs="Arial" w:eastAsia="Arial" w:hAnsi="Arial"/>
          <w:sz w:val="17"/>
          <w:szCs w:val="17"/>
          <w:color w:val="auto"/>
        </w:rPr>
        <w:t>In January 2020, the Company entered into a license agreement with the University of Texas Southwestern (UTSW License), pursuant to which UTSW granted the Company a royalty-bearing exclusive and sublicensable patent license and a non-exclusive, non-sublicensable license for mutually agreed upon development activities. Under the UTSW License, the Company is obligated to pay UTSW (i) a non-refundable upfront license fee of $0.1 million, (ii) milestone payments up to a total of $14.8 million in aggregate, which are contingent upon achieving specific development and commercialization milestone events, and (iii) royalties on future net sales of each royalty-bearing product ranging in the low-single digits. As of June 30, 2022, the Company has not recognized any milestone and royalty payments under the UTSW License.</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License Agreements</w:t>
      </w:r>
    </w:p>
    <w:p>
      <w:pPr>
        <w:spacing w:after="0" w:line="104"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In addition to the agreements described above, the Company also previously entered into other license agreements with various institutions and business entities, none of which are material individually or in the aggregate.</w:t>
      </w:r>
    </w:p>
    <w:p>
      <w:pPr>
        <w:spacing w:after="0" w:line="15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1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In December 2016, the Company entered into a lease agreement for office and laboratory space in South San Francisco, California. The lease expires in May 2025 and the Company may renew the lease term for two additional five-year periods.</w:t>
      </w:r>
    </w:p>
    <w:p>
      <w:pPr>
        <w:spacing w:after="0" w:line="63"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auto"/>
        </w:rPr>
        <w:t>In February 2021, the Company entered into a lease agreement for the Union City Facility. The lease commenced in May 2021 and has a ten-year term with one five-year renewal option. Upon the execution of the lease agreement, the Company provided the landlord with a refundable security deposit of $3.3 million, which was included in other noncurrent assets on the balance sheets.</w:t>
      </w:r>
    </w:p>
    <w:p>
      <w:pPr>
        <w:spacing w:after="0" w:line="67" w:lineRule="exact"/>
        <w:rPr>
          <w:sz w:val="20"/>
          <w:szCs w:val="20"/>
          <w:color w:val="auto"/>
        </w:rPr>
      </w:pPr>
    </w:p>
    <w:p>
      <w:pPr>
        <w:ind w:right="120" w:firstLine="509"/>
        <w:spacing w:after="0" w:line="249" w:lineRule="auto"/>
        <w:rPr>
          <w:sz w:val="20"/>
          <w:szCs w:val="20"/>
          <w:color w:val="auto"/>
        </w:rPr>
      </w:pPr>
      <w:r>
        <w:rPr>
          <w:rFonts w:ascii="Arial" w:cs="Arial" w:eastAsia="Arial" w:hAnsi="Arial"/>
          <w:sz w:val="18"/>
          <w:szCs w:val="18"/>
          <w:color w:val="auto"/>
        </w:rPr>
        <w:t>In November 2021, the Company entered into a short-term sublease agreement for additional office and laboratory space in South San Francisco, California with a lease term that was initially set to expire on June 30, 2022. In May 2022, the Company entered into an amendment to extend the term for the existing sublease premises through December 31, 2022. The amendment also included an additional sublease term whereby the Company subleases additional office and laboratory space on the same floor through November 30, 2023.</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related to operating lease activity during the three and six months ended June 30, 2022 was as follows (in thousands):</w:t>
      </w:r>
    </w:p>
    <w:tbl>
      <w:tblPr>
        <w:tblLayout w:type="fixed"/>
        <w:tblInd w:w="0" w:type="dxa"/>
        <w:tblCellMar>
          <w:top w:w="0" w:type="dxa"/>
          <w:left w:w="0" w:type="dxa"/>
          <w:bottom w:w="0" w:type="dxa"/>
          <w:right w:w="0" w:type="dxa"/>
        </w:tblCellMar>
      </w:tblPr>
      <w:tr>
        <w:trPr>
          <w:trHeight w:val="149"/>
        </w:trPr>
        <w:tc>
          <w:tcPr>
            <w:tcW w:w="5320" w:type="dxa"/>
            <w:vAlign w:val="bottom"/>
          </w:tcPr>
          <w:p>
            <w:pPr>
              <w:spacing w:after="0"/>
              <w:rPr>
                <w:sz w:val="12"/>
                <w:szCs w:val="12"/>
                <w:color w:val="auto"/>
              </w:rPr>
            </w:pPr>
          </w:p>
        </w:tc>
        <w:tc>
          <w:tcPr>
            <w:tcW w:w="2280" w:type="dxa"/>
            <w:vAlign w:val="bottom"/>
            <w:gridSpan w:val="4"/>
          </w:tcPr>
          <w:p>
            <w:pPr>
              <w:jc w:val="right"/>
              <w:ind w:right="188"/>
              <w:spacing w:after="0" w:line="149"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5"/>
        </w:trPr>
        <w:tc>
          <w:tcPr>
            <w:tcW w:w="53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b w:val="1"/>
                <w:bCs w:val="1"/>
                <w:color w:val="auto"/>
              </w:rPr>
              <w:t>(In</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79"/>
              </w:rPr>
              <w:t>thousands)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76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832</w:t>
            </w:r>
          </w:p>
        </w:tc>
        <w:tc>
          <w:tcPr>
            <w:tcW w:w="1080" w:type="dxa"/>
            <w:vAlign w:val="bottom"/>
            <w:gridSpan w:val="2"/>
            <w:shd w:val="clear" w:color="auto" w:fill="CFF0FC"/>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w:t>
            </w:r>
          </w:p>
        </w:tc>
        <w:tc>
          <w:tcPr>
            <w:tcW w:w="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1,534</w:t>
            </w:r>
          </w:p>
        </w:tc>
        <w:tc>
          <w:tcPr>
            <w:tcW w:w="7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00" w:type="dxa"/>
            <w:vAlign w:val="bottom"/>
            <w:shd w:val="clear" w:color="auto" w:fill="CFF0FC"/>
          </w:tcPr>
          <w:p>
            <w:pPr>
              <w:spacing w:after="0"/>
              <w:rPr>
                <w:sz w:val="18"/>
                <w:szCs w:val="18"/>
                <w:color w:val="auto"/>
              </w:rPr>
            </w:pPr>
          </w:p>
        </w:tc>
      </w:tr>
      <w:tr>
        <w:trPr>
          <w:trHeight w:val="216"/>
        </w:trPr>
        <w:tc>
          <w:tcPr>
            <w:tcW w:w="53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353</w:t>
            </w:r>
          </w:p>
        </w:tc>
        <w:tc>
          <w:tcPr>
            <w:tcW w:w="108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591</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7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320" w:type="dxa"/>
            <w:vAlign w:val="bottom"/>
          </w:tcPr>
          <w:p>
            <w:pPr>
              <w:ind w:left="120"/>
              <w:spacing w:after="0"/>
              <w:rPr>
                <w:sz w:val="20"/>
                <w:szCs w:val="20"/>
                <w:color w:val="auto"/>
              </w:rPr>
            </w:pPr>
            <w:r>
              <w:rPr>
                <w:rFonts w:ascii="Arial" w:cs="Arial" w:eastAsia="Arial" w:hAnsi="Arial"/>
                <w:sz w:val="18"/>
                <w:szCs w:val="18"/>
                <w:color w:val="auto"/>
              </w:rPr>
              <w:t>Total lease cost</w:t>
            </w:r>
          </w:p>
        </w:tc>
        <w:tc>
          <w:tcPr>
            <w:tcW w:w="760" w:type="dxa"/>
            <w:vAlign w:val="bottom"/>
          </w:tcPr>
          <w:p>
            <w:pPr>
              <w:jc w:val="right"/>
              <w:ind w:right="557"/>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1,425</w:t>
            </w:r>
          </w:p>
        </w:tc>
        <w:tc>
          <w:tcPr>
            <w:tcW w:w="108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1,445</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2,590</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3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75"/>
        </w:trPr>
        <w:tc>
          <w:tcPr>
            <w:tcW w:w="5320" w:type="dxa"/>
            <w:vAlign w:val="bottom"/>
          </w:tcPr>
          <w:p>
            <w:pPr>
              <w:ind w:left="20"/>
              <w:spacing w:after="0" w:line="175" w:lineRule="exact"/>
              <w:rPr>
                <w:sz w:val="20"/>
                <w:szCs w:val="20"/>
                <w:color w:val="auto"/>
              </w:rPr>
            </w:pPr>
            <w:r>
              <w:rPr>
                <w:rFonts w:ascii="Arial" w:cs="Arial" w:eastAsia="Arial" w:hAnsi="Arial"/>
                <w:sz w:val="18"/>
                <w:szCs w:val="18"/>
                <w:color w:val="auto"/>
                <w:w w:val="99"/>
              </w:rPr>
              <w:t>Operating lease-right-of-use assets obtained in exchange for lease</w:t>
            </w: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obligations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2,224</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8,558</w:t>
            </w:r>
          </w:p>
        </w:tc>
        <w:tc>
          <w:tcPr>
            <w:tcW w:w="100" w:type="dxa"/>
            <w:vAlign w:val="bottom"/>
          </w:tcPr>
          <w:p>
            <w:pPr>
              <w:spacing w:after="0"/>
              <w:rPr>
                <w:sz w:val="20"/>
                <w:szCs w:val="20"/>
                <w:color w:val="auto"/>
              </w:rPr>
            </w:pPr>
          </w:p>
        </w:tc>
      </w:tr>
      <w:tr>
        <w:trPr>
          <w:trHeight w:val="216"/>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leases included in operating cash outflows</w:t>
            </w:r>
          </w:p>
        </w:tc>
        <w:tc>
          <w:tcPr>
            <w:tcW w:w="7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w:t>
            </w:r>
          </w:p>
        </w:tc>
        <w:tc>
          <w:tcPr>
            <w:tcW w:w="7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FF0FC"/>
          </w:tcPr>
          <w:p>
            <w:pPr>
              <w:spacing w:after="0"/>
              <w:rPr>
                <w:sz w:val="18"/>
                <w:szCs w:val="18"/>
                <w:color w:val="auto"/>
              </w:rPr>
            </w:pP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w:t>
            </w: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1,663</w:t>
            </w:r>
          </w:p>
        </w:tc>
        <w:tc>
          <w:tcPr>
            <w:tcW w:w="7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0"/>
                <w:szCs w:val="20"/>
                <w:color w:val="auto"/>
              </w:rPr>
            </w:pPr>
          </w:p>
        </w:tc>
      </w:tr>
      <w:tr>
        <w:trPr>
          <w:trHeight w:val="620"/>
        </w:trPr>
        <w:tc>
          <w:tcPr>
            <w:tcW w:w="5320" w:type="dxa"/>
            <w:vAlign w:val="bottom"/>
          </w:tcPr>
          <w:p>
            <w:pPr>
              <w:spacing w:after="0"/>
              <w:rPr>
                <w:sz w:val="24"/>
                <w:szCs w:val="24"/>
                <w:color w:val="auto"/>
              </w:rPr>
            </w:pPr>
          </w:p>
        </w:tc>
        <w:tc>
          <w:tcPr>
            <w:tcW w:w="760" w:type="dxa"/>
            <w:vAlign w:val="bottom"/>
          </w:tcPr>
          <w:p>
            <w:pPr>
              <w:jc w:val="right"/>
              <w:ind w:right="277"/>
              <w:spacing w:after="0"/>
              <w:rPr>
                <w:sz w:val="20"/>
                <w:szCs w:val="20"/>
                <w:color w:val="auto"/>
              </w:rPr>
            </w:pPr>
            <w:r>
              <w:rPr>
                <w:rFonts w:ascii="Arial" w:cs="Arial" w:eastAsia="Arial" w:hAnsi="Arial"/>
                <w:sz w:val="18"/>
                <w:szCs w:val="18"/>
                <w:color w:val="auto"/>
              </w:rPr>
              <w:t>13</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8"/>
        </w:trPr>
        <w:tc>
          <w:tcPr>
            <w:tcW w:w="53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-1310640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-1310640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-1310640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ind w:right="20" w:firstLine="509"/>
        <w:spacing w:after="0" w:line="277" w:lineRule="auto"/>
        <w:rPr>
          <w:sz w:val="20"/>
          <w:szCs w:val="20"/>
          <w:color w:val="auto"/>
        </w:rPr>
      </w:pPr>
      <w:r>
        <w:rPr>
          <w:rFonts w:ascii="Arial" w:cs="Arial" w:eastAsia="Arial" w:hAnsi="Arial"/>
          <w:sz w:val="18"/>
          <w:szCs w:val="18"/>
          <w:color w:val="auto"/>
        </w:rPr>
        <w:t>As of June 30, 2022, the Company's operating leases had a weighted average remaining lease term of 5.7 years and a weighted average discount rate of 9.2%. Future minimum lease payments under the Company’s operating leases as of June 30, 2022 were as follows:</w:t>
      </w:r>
    </w:p>
    <w:p>
      <w:pPr>
        <w:spacing w:after="0" w:line="148"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Amount</w:t>
            </w:r>
          </w:p>
        </w:tc>
      </w:tr>
      <w:tr>
        <w:trPr>
          <w:trHeight w:val="169"/>
        </w:trPr>
        <w:tc>
          <w:tcPr>
            <w:tcW w:w="53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7"/>
              </w:rPr>
              <w:t>(In thousands)</w:t>
            </w:r>
          </w:p>
        </w:tc>
        <w:tc>
          <w:tcPr>
            <w:tcW w:w="20" w:type="dxa"/>
            <w:vAlign w:val="bottom"/>
          </w:tcPr>
          <w:p>
            <w:pPr>
              <w:spacing w:after="0"/>
              <w:rPr>
                <w:sz w:val="14"/>
                <w:szCs w:val="14"/>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2022 (remaining 6 months)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5,223</w:t>
            </w:r>
          </w:p>
        </w:tc>
        <w:tc>
          <w:tcPr>
            <w:tcW w:w="2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3,910</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2,445</w:t>
            </w:r>
          </w:p>
        </w:tc>
        <w:tc>
          <w:tcPr>
            <w:tcW w:w="20" w:type="dxa"/>
            <w:vAlign w:val="bottom"/>
          </w:tcPr>
          <w:p>
            <w:pPr>
              <w:spacing w:after="0"/>
              <w:rPr>
                <w:sz w:val="18"/>
                <w:szCs w:val="18"/>
                <w:color w:val="auto"/>
              </w:rPr>
            </w:pPr>
          </w:p>
        </w:tc>
      </w:tr>
      <w:tr>
        <w:trPr>
          <w:trHeight w:val="216"/>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1,386</w:t>
            </w:r>
          </w:p>
        </w:tc>
        <w:tc>
          <w:tcPr>
            <w:tcW w:w="20" w:type="dxa"/>
            <w:vAlign w:val="bottom"/>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20" w:type="dxa"/>
            <w:vAlign w:val="bottom"/>
          </w:tcPr>
          <w:p>
            <w:pPr>
              <w:spacing w:after="0"/>
              <w:rPr>
                <w:sz w:val="18"/>
                <w:szCs w:val="18"/>
                <w:color w:val="auto"/>
              </w:rPr>
            </w:pPr>
          </w:p>
        </w:tc>
      </w:tr>
      <w:tr>
        <w:trPr>
          <w:trHeight w:val="209"/>
        </w:trPr>
        <w:tc>
          <w:tcPr>
            <w:tcW w:w="53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undiscounted future minimum lease payments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22,499</w:t>
            </w:r>
          </w:p>
        </w:tc>
        <w:tc>
          <w:tcPr>
            <w:tcW w:w="20" w:type="dxa"/>
            <w:vAlign w:val="bottom"/>
          </w:tcPr>
          <w:p>
            <w:pPr>
              <w:spacing w:after="0"/>
              <w:rPr>
                <w:sz w:val="18"/>
                <w:szCs w:val="18"/>
                <w:color w:val="auto"/>
              </w:rPr>
            </w:pP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Imputed interest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(5,499 )</w:t>
            </w:r>
          </w:p>
        </w:tc>
        <w:tc>
          <w:tcPr>
            <w:tcW w:w="20" w:type="dxa"/>
            <w:vAlign w:val="bottom"/>
          </w:tcPr>
          <w:p>
            <w:pPr>
              <w:spacing w:after="0"/>
              <w:rPr>
                <w:sz w:val="18"/>
                <w:szCs w:val="18"/>
                <w:color w:val="auto"/>
              </w:rPr>
            </w:pPr>
          </w:p>
        </w:tc>
      </w:tr>
      <w:tr>
        <w:trPr>
          <w:trHeight w:val="250"/>
        </w:trPr>
        <w:tc>
          <w:tcPr>
            <w:tcW w:w="53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Asset Retirement Obligation</w:t>
      </w:r>
    </w:p>
    <w:p>
      <w:pPr>
        <w:spacing w:after="0" w:line="117" w:lineRule="exact"/>
        <w:rPr>
          <w:sz w:val="20"/>
          <w:szCs w:val="20"/>
          <w:color w:val="auto"/>
        </w:rPr>
      </w:pPr>
    </w:p>
    <w:p>
      <w:pPr>
        <w:ind w:right="280" w:firstLine="509"/>
        <w:spacing w:after="0" w:line="270" w:lineRule="auto"/>
        <w:rPr>
          <w:sz w:val="20"/>
          <w:szCs w:val="20"/>
          <w:color w:val="auto"/>
        </w:rPr>
      </w:pPr>
      <w:r>
        <w:rPr>
          <w:rFonts w:ascii="Arial" w:cs="Arial" w:eastAsia="Arial" w:hAnsi="Arial"/>
          <w:sz w:val="17"/>
          <w:szCs w:val="17"/>
          <w:color w:val="auto"/>
        </w:rPr>
        <w:t>Under the lease agreement for the manufacturing and office facility in Union City, the Company is contractually obligated to remove constructed leasehold improvements related to capitalized machinery and equipment (see Note 4) and to restore the leased space to its original condition upon termination of the lease agreement. As of June 30, 2022, the balance of the asset retirement obligation liability was not material.</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04" w:lineRule="exact"/>
        <w:rPr>
          <w:sz w:val="20"/>
          <w:szCs w:val="20"/>
          <w:color w:val="auto"/>
        </w:rPr>
      </w:pPr>
    </w:p>
    <w:p>
      <w:pPr>
        <w:ind w:right="440" w:firstLine="509"/>
        <w:spacing w:after="0" w:line="294" w:lineRule="auto"/>
        <w:rPr>
          <w:sz w:val="20"/>
          <w:szCs w:val="20"/>
          <w:color w:val="auto"/>
        </w:rPr>
      </w:pPr>
      <w:r>
        <w:rPr>
          <w:rFonts w:ascii="Arial" w:cs="Arial" w:eastAsia="Arial" w:hAnsi="Arial"/>
          <w:sz w:val="16"/>
          <w:szCs w:val="16"/>
          <w:color w:val="auto"/>
        </w:rPr>
        <w:t>The Company enters into contractual agreements with various suppliers in the normal course of its business, including vendors that provide machinery and equipment. All contracts are terminable, with varying provisions regarding termination. If a contract with a specific vendor were to be terminated, the Company would only be obligated for the products or services that the Company had received through the time of termination.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Litigation and Indemnification</w:t>
      </w:r>
    </w:p>
    <w:p>
      <w:pPr>
        <w:spacing w:after="0" w:line="104" w:lineRule="exact"/>
        <w:rPr>
          <w:sz w:val="20"/>
          <w:szCs w:val="20"/>
          <w:color w:val="auto"/>
        </w:rPr>
      </w:pPr>
    </w:p>
    <w:p>
      <w:pPr>
        <w:jc w:val="both"/>
        <w:ind w:right="200" w:firstLine="405"/>
        <w:spacing w:after="0" w:line="283" w:lineRule="auto"/>
        <w:rPr>
          <w:sz w:val="20"/>
          <w:szCs w:val="20"/>
          <w:color w:val="auto"/>
        </w:rPr>
      </w:pPr>
      <w:r>
        <w:rPr>
          <w:rFonts w:ascii="Arial" w:cs="Arial" w:eastAsia="Arial" w:hAnsi="Arial"/>
          <w:sz w:val="16"/>
          <w:szCs w:val="16"/>
          <w:color w:val="auto"/>
        </w:rPr>
        <w:t>From time to time, the Company may become involved in litigation and other legal actions. The Company estimates the range of liability related to any pending litigation where the amount and range of loss can be estimated. The Company records its best estimate of a loss when the loss is considered probable. Where a liability is probable and there is a range of estimated loss with no best estimate in the range, the Company records a charge equal to at least the minimum estimated liability for a loss contingency when both of the following conditions are met: (i) information available prior to issuance of the consolidated financial statements indicates that it is probable that a liability had been incurred at the date of the consolidated financial statements and (ii) the range of loss can be reasonably estimated. The Company was not involved in any material litigations as of June 30, 2022.</w:t>
      </w:r>
    </w:p>
    <w:p>
      <w:pPr>
        <w:spacing w:after="0" w:line="4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7"/>
          <w:szCs w:val="17"/>
          <w:color w:val="auto"/>
        </w:rPr>
        <w:t>In the normal course of business, the Company enters into agreements that may include indemnification provisions. Pursuant to such agreements, the Company may indemnify, hold harmless and defend an indemnified party for losses suffered or incurred by the indemnified party. In some cases, the indemnification will continue after the termination of the agreement. The maximum potential amounts of future payments the Company could be required to make under these provisions is not determinable. In addition, the Company has entered into indemnification agreements with its directors and certain officers that may require the Company, among other things, to indemnify them against certain liabilities that may arise by reason of their status or service as directors or officers. As of June 30, 2022 and December 31, 2021, the Company did not have any material indemnification claims that were probable or reasonably possible and, consequently, has not recorded any related liabilities.</w:t>
      </w:r>
    </w:p>
    <w:p>
      <w:pPr>
        <w:spacing w:after="0" w:line="168" w:lineRule="exact"/>
        <w:rPr>
          <w:sz w:val="20"/>
          <w:szCs w:val="20"/>
          <w:color w:val="auto"/>
        </w:rPr>
      </w:pPr>
    </w:p>
    <w:p>
      <w:pPr>
        <w:jc w:val="right"/>
        <w:ind w:left="520" w:right="8680" w:hanging="512"/>
        <w:spacing w:after="0" w:line="416" w:lineRule="auto"/>
        <w:tabs>
          <w:tab w:leader="none" w:pos="385"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b w:val="1"/>
          <w:bCs w:val="1"/>
          <w:i w:val="1"/>
          <w:iCs w:val="1"/>
          <w:color w:val="auto"/>
        </w:rPr>
        <w:t>2021 Equity Incentive Plan</w:t>
      </w:r>
    </w:p>
    <w:p>
      <w:pPr>
        <w:spacing w:after="0" w:line="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July 2021, the Company adopted the 2021 Equity Incentive Plan (2021 Plan), which became effective in connection with the initial public offering (IPO). Under the 2021 Plan, 4,000,000 shares of the Company's common stock were initially reserved for issuance of equity awards to employees, directors, and consultants, under terms and provisions established by the Board of Directors. The number of shares of common stock available for issuance under the 2021 Plan automatically increases on the first day of January for a period of ten years, commencing on January 1, 2022, in an amount equal to the lesser of: 4,000,000 shares; 4% of the outstanding shares of the Company’s common stock as of the last day of the immediately preceding year; or such other amount as the Company’s Board of Directors may determine. In addition, the Company’s 2016 Equity Incentive Plan (2016 Plan) was terminated in connection with the IPO. Shares subject to awards granted under the 2016 Plan that are repurchased by or forfeited to the Company will be reserved for issuance under the 2021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Total shares reserved and available for grant under the 2021 Plan as of June 30, 2022 are 2,762,859.</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jc w:val="center"/>
              <w:ind w:right="218"/>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r>
      <w:tr>
        <w:trPr>
          <w:trHeight w:val="149"/>
        </w:trPr>
        <w:tc>
          <w:tcPr>
            <w:tcW w:w="64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jc w:val="center"/>
              <w:ind w:right="238"/>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98"/>
        </w:trPr>
        <w:tc>
          <w:tcPr>
            <w:tcW w:w="6460" w:type="dxa"/>
            <w:vAlign w:val="bottom"/>
          </w:tcPr>
          <w:p>
            <w:pPr>
              <w:spacing w:after="0"/>
              <w:rPr>
                <w:sz w:val="17"/>
                <w:szCs w:val="17"/>
                <w:color w:val="auto"/>
              </w:rPr>
            </w:pPr>
          </w:p>
        </w:tc>
        <w:tc>
          <w:tcPr>
            <w:tcW w:w="18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7"/>
                <w:szCs w:val="17"/>
                <w:color w:val="auto"/>
              </w:rPr>
            </w:pPr>
          </w:p>
        </w:tc>
        <w:tc>
          <w:tcPr>
            <w:tcW w:w="1380" w:type="dxa"/>
            <w:vAlign w:val="bottom"/>
          </w:tcPr>
          <w:p>
            <w:pPr>
              <w:jc w:val="center"/>
              <w:ind w:right="218"/>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7"/>
                <w:szCs w:val="17"/>
                <w:color w:val="auto"/>
              </w:rPr>
            </w:pPr>
          </w:p>
        </w:tc>
      </w:tr>
      <w:tr>
        <w:trPr>
          <w:trHeight w:val="169"/>
        </w:trPr>
        <w:tc>
          <w:tcPr>
            <w:tcW w:w="6460" w:type="dxa"/>
            <w:vAlign w:val="bottom"/>
          </w:tcPr>
          <w:p>
            <w:pPr>
              <w:spacing w:after="0"/>
              <w:rPr>
                <w:sz w:val="14"/>
                <w:szCs w:val="14"/>
                <w:color w:val="auto"/>
              </w:rPr>
            </w:pPr>
          </w:p>
        </w:tc>
        <w:tc>
          <w:tcPr>
            <w:tcW w:w="15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4"/>
              </w:rPr>
              <w:t>(in dollars)</w:t>
            </w:r>
          </w:p>
        </w:tc>
        <w:tc>
          <w:tcPr>
            <w:tcW w:w="100" w:type="dxa"/>
            <w:vAlign w:val="bottom"/>
          </w:tcPr>
          <w:p>
            <w:pPr>
              <w:spacing w:after="0"/>
              <w:rPr>
                <w:sz w:val="14"/>
                <w:szCs w:val="14"/>
                <w:color w:val="auto"/>
              </w:rPr>
            </w:pPr>
          </w:p>
        </w:tc>
      </w:tr>
      <w:tr>
        <w:trPr>
          <w:trHeight w:val="216"/>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2021</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2,772,154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2,448,802</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18"/>
                <w:szCs w:val="18"/>
                <w:color w:val="auto"/>
              </w:rPr>
            </w:pPr>
          </w:p>
        </w:tc>
      </w:tr>
      <w:tr>
        <w:trPr>
          <w:trHeight w:val="216"/>
        </w:trPr>
        <w:tc>
          <w:tcPr>
            <w:tcW w:w="6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Options exercised</w:t>
            </w:r>
          </w:p>
        </w:tc>
        <w:tc>
          <w:tcPr>
            <w:tcW w:w="1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(20,838 )</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(38,408 )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r>
      <w:tr>
        <w:trPr>
          <w:trHeight w:val="249"/>
        </w:trPr>
        <w:tc>
          <w:tcPr>
            <w:tcW w:w="6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June 30, 2022</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5,161,710</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-25400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Stock option awards granted to employees generally vest over a four-year period. The contractual term of stock option awards is generally 10 years from the grant date.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04" w:lineRule="exact"/>
        <w:rPr>
          <w:sz w:val="20"/>
          <w:szCs w:val="20"/>
          <w:color w:val="auto"/>
        </w:rPr>
      </w:pPr>
    </w:p>
    <w:p>
      <w:pPr>
        <w:ind w:right="500" w:firstLine="509"/>
        <w:spacing w:after="0" w:line="250" w:lineRule="auto"/>
        <w:rPr>
          <w:sz w:val="20"/>
          <w:szCs w:val="20"/>
          <w:color w:val="auto"/>
        </w:rPr>
      </w:pPr>
      <w:r>
        <w:rPr>
          <w:rFonts w:ascii="Arial" w:cs="Arial" w:eastAsia="Arial" w:hAnsi="Arial"/>
          <w:sz w:val="18"/>
          <w:szCs w:val="18"/>
          <w:color w:val="auto"/>
        </w:rPr>
        <w:t>The fair value of the Company’s stock option awards is estimated on the date of grant using the Black-Scholes option pricing model using the following assumptions:</w:t>
      </w:r>
    </w:p>
    <w:tbl>
      <w:tblPr>
        <w:tblLayout w:type="fixed"/>
        <w:tblInd w:w="520" w:type="dxa"/>
        <w:tblCellMar>
          <w:top w:w="0" w:type="dxa"/>
          <w:left w:w="0" w:type="dxa"/>
          <w:bottom w:w="0" w:type="dxa"/>
          <w:right w:w="0" w:type="dxa"/>
        </w:tblCellMar>
      </w:tblPr>
      <w:tr>
        <w:trPr>
          <w:trHeight w:val="141"/>
        </w:trPr>
        <w:tc>
          <w:tcPr>
            <w:tcW w:w="4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120" w:type="dxa"/>
            <w:vAlign w:val="bottom"/>
            <w:gridSpan w:val="3"/>
          </w:tcPr>
          <w:p>
            <w:pPr>
              <w:jc w:val="center"/>
              <w:ind w:right="470"/>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3"/>
          </w:tcPr>
          <w:p>
            <w:pPr>
              <w:jc w:val="center"/>
              <w:ind w:left="57"/>
              <w:spacing w:after="0" w:line="141" w:lineRule="exact"/>
              <w:rPr>
                <w:sz w:val="20"/>
                <w:szCs w:val="20"/>
                <w:color w:val="auto"/>
              </w:rPr>
            </w:pPr>
            <w:r>
              <w:rPr>
                <w:rFonts w:ascii="Arial" w:cs="Arial" w:eastAsia="Arial" w:hAnsi="Arial"/>
                <w:sz w:val="14"/>
                <w:szCs w:val="14"/>
                <w:b w:val="1"/>
                <w:bCs w:val="1"/>
                <w:color w:val="auto"/>
                <w:w w:val="93"/>
              </w:rPr>
              <w:t>Six Months Ended</w:t>
            </w:r>
          </w:p>
        </w:tc>
        <w:tc>
          <w:tcPr>
            <w:tcW w:w="680" w:type="dxa"/>
            <w:vAlign w:val="bottom"/>
          </w:tcPr>
          <w:p>
            <w:pPr>
              <w:spacing w:after="0"/>
              <w:rPr>
                <w:sz w:val="12"/>
                <w:szCs w:val="12"/>
                <w:color w:val="auto"/>
              </w:rPr>
            </w:pPr>
          </w:p>
        </w:tc>
      </w:tr>
      <w:tr>
        <w:trPr>
          <w:trHeight w:val="185"/>
        </w:trPr>
        <w:tc>
          <w:tcPr>
            <w:tcW w:w="486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center"/>
              <w:ind w:right="47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left="3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6"/>
                <w:szCs w:val="16"/>
                <w:color w:val="auto"/>
              </w:rPr>
            </w:pPr>
          </w:p>
        </w:tc>
      </w:tr>
      <w:tr>
        <w:trPr>
          <w:trHeight w:val="169"/>
        </w:trPr>
        <w:tc>
          <w:tcPr>
            <w:tcW w:w="4860" w:type="dxa"/>
            <w:vAlign w:val="bottom"/>
          </w:tcPr>
          <w:p>
            <w:pPr>
              <w:spacing w:after="0"/>
              <w:rPr>
                <w:sz w:val="14"/>
                <w:szCs w:val="14"/>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420" w:type="dxa"/>
            <w:vAlign w:val="bottom"/>
            <w:gridSpan w:val="2"/>
          </w:tcPr>
          <w:p>
            <w:pPr>
              <w:jc w:val="center"/>
              <w:ind w:left="39"/>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40" w:type="dxa"/>
            <w:vAlign w:val="bottom"/>
            <w:gridSpan w:val="2"/>
          </w:tcPr>
          <w:p>
            <w:pPr>
              <w:jc w:val="right"/>
              <w:ind w:right="397"/>
              <w:spacing w:after="0"/>
              <w:rPr>
                <w:sz w:val="20"/>
                <w:szCs w:val="20"/>
                <w:color w:val="auto"/>
              </w:rPr>
            </w:pPr>
            <w:r>
              <w:rPr>
                <w:rFonts w:ascii="Arial" w:cs="Arial" w:eastAsia="Arial" w:hAnsi="Arial"/>
                <w:sz w:val="14"/>
                <w:szCs w:val="14"/>
                <w:b w:val="1"/>
                <w:bCs w:val="1"/>
                <w:color w:val="auto"/>
              </w:rPr>
              <w:t>2022</w:t>
            </w:r>
          </w:p>
        </w:tc>
        <w:tc>
          <w:tcPr>
            <w:tcW w:w="134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2021</w:t>
            </w: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0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 6.1</w:t>
            </w:r>
          </w:p>
        </w:tc>
        <w:tc>
          <w:tcPr>
            <w:tcW w:w="1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5.0 – 6.1</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c>
          <w:tcPr>
            <w:tcW w:w="120" w:type="dxa"/>
            <w:vAlign w:val="bottom"/>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6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6.1</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ind w:left="40"/>
              <w:spacing w:after="0"/>
              <w:rPr>
                <w:sz w:val="20"/>
                <w:szCs w:val="20"/>
                <w:color w:val="auto"/>
              </w:rPr>
            </w:pPr>
            <w:r>
              <w:rPr>
                <w:rFonts w:ascii="Arial" w:cs="Arial" w:eastAsia="Arial" w:hAnsi="Arial"/>
                <w:sz w:val="18"/>
                <w:szCs w:val="18"/>
                <w:color w:val="auto"/>
              </w:rPr>
              <w:t>– 97%</w:t>
            </w:r>
          </w:p>
        </w:tc>
        <w:tc>
          <w:tcPr>
            <w:tcW w:w="1420" w:type="dxa"/>
            <w:vAlign w:val="bottom"/>
            <w:gridSpan w:val="2"/>
          </w:tcPr>
          <w:p>
            <w:pPr>
              <w:jc w:val="center"/>
              <w:ind w:left="39"/>
              <w:spacing w:after="0"/>
              <w:rPr>
                <w:sz w:val="20"/>
                <w:szCs w:val="20"/>
                <w:color w:val="auto"/>
              </w:rPr>
            </w:pPr>
            <w:r>
              <w:rPr>
                <w:rFonts w:ascii="Arial" w:cs="Arial" w:eastAsia="Arial" w:hAnsi="Arial"/>
                <w:sz w:val="18"/>
                <w:szCs w:val="18"/>
                <w:color w:val="auto"/>
                <w:w w:val="91"/>
              </w:rPr>
              <w:t>103%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700" w:type="dxa"/>
            <w:vAlign w:val="bottom"/>
          </w:tcPr>
          <w:p>
            <w:pPr>
              <w:ind w:left="20"/>
              <w:spacing w:after="0"/>
              <w:rPr>
                <w:sz w:val="20"/>
                <w:szCs w:val="20"/>
                <w:color w:val="auto"/>
              </w:rPr>
            </w:pPr>
            <w:r>
              <w:rPr>
                <w:rFonts w:ascii="Arial" w:cs="Arial" w:eastAsia="Arial" w:hAnsi="Arial"/>
                <w:sz w:val="18"/>
                <w:szCs w:val="18"/>
                <w:color w:val="auto"/>
              </w:rPr>
              <w:t>– 97%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680" w:type="dxa"/>
            <w:vAlign w:val="bottom"/>
          </w:tcPr>
          <w:p>
            <w:pPr>
              <w:ind w:left="20"/>
              <w:spacing w:after="0"/>
              <w:rPr>
                <w:sz w:val="20"/>
                <w:szCs w:val="20"/>
                <w:color w:val="auto"/>
              </w:rPr>
            </w:pPr>
            <w:r>
              <w:rPr>
                <w:rFonts w:ascii="Arial" w:cs="Arial" w:eastAsia="Arial" w:hAnsi="Arial"/>
                <w:sz w:val="18"/>
                <w:szCs w:val="18"/>
                <w:color w:val="auto"/>
              </w:rPr>
              <w:t>– 103%</w:t>
            </w:r>
          </w:p>
        </w:tc>
      </w:tr>
      <w:tr>
        <w:trPr>
          <w:trHeight w:val="21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 3.4%</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0.8% – 1.0%</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3.4%</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1.0%</w:t>
            </w: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w:t>
            </w: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4"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auto"/>
        </w:rPr>
        <w:t>The Company began granting restricted stock units (RSUs) in the first quarter of 2022. RSUs are awards that entitle the holder to receive freely tradable shares of the Company's common stock upon the completion of a specific period of continued service. RSUs are generally subject to forfeiture if employment terminates prior to the release of vesting restrictions. RSUs are valued at the market price of the underlying common stock on the date of grant. The Company recognizes noncash compensation expense for the fair value of RSUs on a straight-line basis over the requisite service period of the awards. The following table summarizes activity of RSUs granted to employees with service-based vesting under the 2021 Plan.</w:t>
      </w:r>
    </w:p>
    <w:p>
      <w:pPr>
        <w:spacing w:after="0" w:line="258"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r>
      <w:tr>
        <w:trPr>
          <w:trHeight w:val="148"/>
        </w:trPr>
        <w:tc>
          <w:tcPr>
            <w:tcW w:w="6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r>
      <w:tr>
        <w:trPr>
          <w:trHeight w:val="148"/>
        </w:trPr>
        <w:tc>
          <w:tcPr>
            <w:tcW w:w="6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00" w:type="dxa"/>
            <w:vAlign w:val="bottom"/>
          </w:tcPr>
          <w:p>
            <w:pPr>
              <w:spacing w:after="0"/>
              <w:rPr>
                <w:sz w:val="12"/>
                <w:szCs w:val="12"/>
                <w:color w:val="auto"/>
              </w:rPr>
            </w:pPr>
          </w:p>
        </w:tc>
      </w:tr>
      <w:tr>
        <w:trPr>
          <w:trHeight w:val="162"/>
        </w:trPr>
        <w:tc>
          <w:tcPr>
            <w:tcW w:w="6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4"/>
                <w:szCs w:val="14"/>
                <w:color w:val="auto"/>
              </w:rPr>
            </w:pPr>
          </w:p>
        </w:tc>
      </w:tr>
      <w:tr>
        <w:trPr>
          <w:trHeight w:val="185"/>
        </w:trPr>
        <w:tc>
          <w:tcPr>
            <w:tcW w:w="6540" w:type="dxa"/>
            <w:vAlign w:val="bottom"/>
          </w:tcPr>
          <w:p>
            <w:pPr>
              <w:spacing w:after="0"/>
              <w:rPr>
                <w:sz w:val="16"/>
                <w:szCs w:val="16"/>
                <w:color w:val="auto"/>
              </w:rPr>
            </w:pPr>
          </w:p>
        </w:tc>
        <w:tc>
          <w:tcPr>
            <w:tcW w:w="104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w w:val="94"/>
              </w:rPr>
              <w:t>Shares</w:t>
            </w:r>
          </w:p>
        </w:tc>
        <w:tc>
          <w:tcPr>
            <w:tcW w:w="5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6"/>
                <w:szCs w:val="16"/>
                <w:color w:val="auto"/>
              </w:rPr>
            </w:pPr>
          </w:p>
        </w:tc>
      </w:tr>
      <w:tr>
        <w:trPr>
          <w:trHeight w:val="169"/>
        </w:trPr>
        <w:tc>
          <w:tcPr>
            <w:tcW w:w="6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20"/>
              <w:spacing w:after="0"/>
              <w:rPr>
                <w:sz w:val="20"/>
                <w:szCs w:val="20"/>
                <w:color w:val="auto"/>
              </w:rPr>
            </w:pPr>
            <w:r>
              <w:rPr>
                <w:rFonts w:ascii="Arial" w:cs="Arial" w:eastAsia="Arial" w:hAnsi="Arial"/>
                <w:sz w:val="14"/>
                <w:szCs w:val="14"/>
                <w:b w:val="1"/>
                <w:bCs w:val="1"/>
                <w:color w:val="auto"/>
                <w:w w:val="92"/>
              </w:rPr>
              <w:t>(in dollars)</w:t>
            </w:r>
          </w:p>
        </w:tc>
        <w:tc>
          <w:tcPr>
            <w:tcW w:w="100" w:type="dxa"/>
            <w:vAlign w:val="bottom"/>
          </w:tcPr>
          <w:p>
            <w:pPr>
              <w:spacing w:after="0"/>
              <w:rPr>
                <w:sz w:val="14"/>
                <w:szCs w:val="14"/>
                <w:color w:val="auto"/>
              </w:rPr>
            </w:pPr>
          </w:p>
        </w:tc>
      </w:tr>
      <w:tr>
        <w:trPr>
          <w:trHeight w:val="216"/>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as of December 31, 2021</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76,156</w:t>
            </w:r>
          </w:p>
        </w:tc>
        <w:tc>
          <w:tcPr>
            <w:tcW w:w="2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r>
      <w:tr>
        <w:trPr>
          <w:trHeight w:val="216"/>
        </w:trPr>
        <w:tc>
          <w:tcPr>
            <w:tcW w:w="75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8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7580" w:type="dxa"/>
            <w:vAlign w:val="bottom"/>
            <w:gridSpan w:val="2"/>
          </w:tcPr>
          <w:p>
            <w:pPr>
              <w:ind w:left="10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(3,597 )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18"/>
                <w:szCs w:val="18"/>
                <w:color w:val="auto"/>
              </w:rPr>
            </w:pPr>
          </w:p>
        </w:tc>
      </w:tr>
      <w:tr>
        <w:trPr>
          <w:trHeight w:val="250"/>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as of June 30, 2022</w:t>
            </w:r>
          </w:p>
        </w:tc>
        <w:tc>
          <w:tcPr>
            <w:tcW w:w="1040" w:type="dxa"/>
            <w:vAlign w:val="bottom"/>
            <w:tcBorders>
              <w:top w:val="single" w:sz="8" w:color="auto"/>
              <w:bottom w:val="single" w:sz="8" w:color="auto"/>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72,559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auto"/>
        </w:rPr>
        <w:t>In July 2021, the Company adopted the 2021 Employee Stock Purchase Plan (ESPP), which became effective in connection with the IPO. The Company initially reserved 800,000 shares for future issuance under the ESPP. The number of shares of common stock available for issuance under the ESPP automatically increases on the first day of each fiscal year beginning with 2022 in an amount equal to the lesser of: 800,000 shares; 1% of the outstanding shares of the Company’s common stock as of the last day of the immediately preceding year; or such other amount as the board of directors may determine. As of June 30, 2022, 1,161,305 shares were reserved for future issuance under the ESPP. Under Company's ESPP, employees are generally eligible to participate and can purchase shares on each purchase date established semi-annually through payroll deductions at the lower of 85% of the fair market value of the Company's stock at the commencement of the offering period or each purchase date of the offering period. Each offering period spans 6 months. The ESPP permits eligible employees to purchase common stock through payroll deductions for up to 15% of</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 w:name="page16"/>
    <w:bookmarkEnd w:id="15"/>
    <w:p>
      <w:pPr>
        <w:ind w:right="200"/>
        <w:spacing w:after="0" w:line="277" w:lineRule="auto"/>
        <w:rPr>
          <w:sz w:val="20"/>
          <w:szCs w:val="20"/>
          <w:color w:val="auto"/>
        </w:rPr>
      </w:pPr>
      <w:r>
        <w:rPr>
          <w:rFonts w:ascii="Arial" w:cs="Arial" w:eastAsia="Arial" w:hAnsi="Arial"/>
          <w:sz w:val="18"/>
          <w:szCs w:val="18"/>
          <w:color w:val="auto"/>
        </w:rPr>
        <w:t>qualified compensation, up to an annual limit of $25,000. The first offering period commenced in January 2022. For the six months ended June 30, 2022, the stock-based compensation expense for ESPP was not material.</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stock-based compensation recognized in the Company’s condensed statements of operations and comprehensive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3"/>
          </w:tcPr>
          <w:p>
            <w:pPr>
              <w:jc w:val="right"/>
              <w:ind w:right="13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4"/>
                <w:szCs w:val="14"/>
                <w:b w:val="1"/>
                <w:bCs w:val="1"/>
                <w:color w:val="auto"/>
              </w:rPr>
              <w:t>(In</w:t>
            </w:r>
          </w:p>
        </w:tc>
        <w:tc>
          <w:tcPr>
            <w:tcW w:w="940" w:type="dxa"/>
            <w:vAlign w:val="bottom"/>
            <w:gridSpan w:val="2"/>
          </w:tcPr>
          <w:p>
            <w:pPr>
              <w:jc w:val="center"/>
              <w:ind w:right="259"/>
              <w:spacing w:after="0"/>
              <w:rPr>
                <w:sz w:val="20"/>
                <w:szCs w:val="20"/>
                <w:color w:val="auto"/>
              </w:rPr>
            </w:pPr>
            <w:r>
              <w:rPr>
                <w:rFonts w:ascii="Arial" w:cs="Arial" w:eastAsia="Arial" w:hAnsi="Arial"/>
                <w:sz w:val="14"/>
                <w:szCs w:val="14"/>
                <w:b w:val="1"/>
                <w:bCs w:val="1"/>
                <w:color w:val="auto"/>
                <w:w w:val="79"/>
              </w:rPr>
              <w:t>thousands)</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w:t>
            </w:r>
          </w:p>
        </w:tc>
        <w:tc>
          <w:tcPr>
            <w:tcW w:w="1060" w:type="dxa"/>
            <w:vAlign w:val="bottom"/>
            <w:gridSpan w:val="2"/>
            <w:shd w:val="clear" w:color="auto" w:fill="CFF0FC"/>
          </w:tcPr>
          <w:p>
            <w:pPr>
              <w:jc w:val="right"/>
              <w:ind w:right="63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ind w:left="100"/>
              <w:spacing w:after="0"/>
              <w:rPr>
                <w:sz w:val="20"/>
                <w:szCs w:val="20"/>
                <w:color w:val="auto"/>
              </w:rPr>
            </w:pPr>
            <w:r>
              <w:rPr>
                <w:rFonts w:ascii="Arial" w:cs="Arial" w:eastAsia="Arial" w:hAnsi="Arial"/>
                <w:sz w:val="18"/>
                <w:szCs w:val="18"/>
                <w:color w:val="auto"/>
                <w:w w:val="86"/>
              </w:rPr>
              <w:t>174</w:t>
            </w:r>
          </w:p>
        </w:tc>
        <w:tc>
          <w:tcPr>
            <w:tcW w:w="940" w:type="dxa"/>
            <w:vAlign w:val="bottom"/>
            <w:gridSpan w:val="2"/>
            <w:shd w:val="clear" w:color="auto" w:fill="CFF0FC"/>
          </w:tcPr>
          <w:p>
            <w:pPr>
              <w:jc w:val="center"/>
              <w:ind w:right="279"/>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2,433</w:t>
            </w:r>
          </w:p>
        </w:tc>
        <w:tc>
          <w:tcPr>
            <w:tcW w:w="1060" w:type="dxa"/>
            <w:vAlign w:val="bottom"/>
            <w:gridSpan w:val="2"/>
            <w:shd w:val="clear" w:color="auto" w:fill="CFF0FC"/>
          </w:tcPr>
          <w:p>
            <w:pPr>
              <w:jc w:val="right"/>
              <w:ind w:right="659"/>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86"/>
              </w:rPr>
              <w:t>328</w:t>
            </w:r>
          </w:p>
        </w:tc>
        <w:tc>
          <w:tcPr>
            <w:tcW w:w="24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2,673</w:t>
            </w:r>
          </w:p>
        </w:tc>
        <w:tc>
          <w:tcPr>
            <w:tcW w:w="2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8"/>
                <w:szCs w:val="18"/>
                <w:color w:val="auto"/>
              </w:rPr>
            </w:pPr>
          </w:p>
        </w:tc>
      </w:tr>
      <w:tr>
        <w:trPr>
          <w:trHeight w:val="249"/>
        </w:trPr>
        <w:tc>
          <w:tcPr>
            <w:tcW w:w="47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stock-based compensation</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3,012</w:t>
            </w:r>
          </w:p>
        </w:tc>
        <w:tc>
          <w:tcPr>
            <w:tcW w:w="24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w w:val="86"/>
              </w:rPr>
              <w:t>502</w:t>
            </w:r>
          </w:p>
        </w:tc>
        <w:tc>
          <w:tcPr>
            <w:tcW w:w="24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center"/>
              <w:ind w:right="51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88"/>
              </w:rPr>
              <w:t>5,106</w:t>
            </w:r>
          </w:p>
        </w:tc>
        <w:tc>
          <w:tcPr>
            <w:tcW w:w="20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659"/>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-7620</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08"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auto"/>
        </w:rPr>
        <w:t>For the six months ended June 30, 2022 and 2021, the Company did not record any income tax expense. The Company has recorded a full valuation allowance against its U.S. federal and state deferred tax assets as the Company believes it is not more likely than not that the benefit will be realized.</w:t>
      </w:r>
    </w:p>
    <w:p>
      <w:pPr>
        <w:spacing w:after="0" w:line="120"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200" w:firstLine="509"/>
        <w:spacing w:after="0" w:line="248" w:lineRule="auto"/>
        <w:rPr>
          <w:sz w:val="20"/>
          <w:szCs w:val="20"/>
          <w:color w:val="auto"/>
        </w:rPr>
      </w:pPr>
      <w:r>
        <w:rPr>
          <w:rFonts w:ascii="Arial" w:cs="Arial" w:eastAsia="Arial" w:hAnsi="Arial"/>
          <w:sz w:val="18"/>
          <w:szCs w:val="18"/>
          <w:color w:val="auto"/>
        </w:rPr>
        <w:t>Basic and diluted loss per share are computed by dividing net loss by the weighted-average number of common shares outstanding during the reporting period. The following potentially dilutive securities were not included in the calculation of diluted net loss per share as of the periods presented because the effect would have been anti-dilutive: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80" w:type="dxa"/>
            <w:vAlign w:val="bottom"/>
            <w:tcBorders>
              <w:bottom w:val="single" w:sz="8" w:color="auto"/>
            </w:tcBorders>
            <w:gridSpan w:val="3"/>
          </w:tcPr>
          <w:p>
            <w:pPr>
              <w:ind w:left="106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w:t>
            </w:r>
          </w:p>
        </w:tc>
        <w:tc>
          <w:tcPr>
            <w:tcW w:w="17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26,102,278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Outstanding stock options and awards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5,234,269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2,100,130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subject to future vesting</w:t>
            </w:r>
          </w:p>
        </w:tc>
        <w:tc>
          <w:tcPr>
            <w:tcW w:w="178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14,693</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55,902</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Total</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5,248,962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28,258,310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780" w:type="dxa"/>
            <w:vAlign w:val="bottom"/>
            <w:vMerge w:val="restart"/>
          </w:tcPr>
          <w:p>
            <w:pPr>
              <w:jc w:val="right"/>
              <w:ind w:right="1050"/>
              <w:spacing w:after="0"/>
              <w:rPr>
                <w:sz w:val="20"/>
                <w:szCs w:val="20"/>
                <w:color w:val="auto"/>
              </w:rPr>
            </w:pPr>
            <w:r>
              <w:rPr>
                <w:rFonts w:ascii="Arial" w:cs="Arial" w:eastAsia="Arial" w:hAnsi="Arial"/>
                <w:sz w:val="18"/>
                <w:szCs w:val="18"/>
                <w:color w:val="auto"/>
              </w:rPr>
              <w:t>16</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17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5139690</wp:posOffset>
            </wp:positionH>
            <wp:positionV relativeFrom="paragraph">
              <wp:posOffset>-659130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-659130</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condensed financial statements and related notes included elsewhere in this Quarterly Report on Form 10-Q and our audited financial statements and related notes thereto for the year ended December 31, 2021, included in our Annual Report on Form 10-K filed with the Securities and Exchange Commission on March 23, 2021, or Annual Report.</w:t>
      </w:r>
    </w:p>
    <w:p>
      <w:pPr>
        <w:spacing w:after="0" w:line="181" w:lineRule="exact"/>
        <w:rPr>
          <w:sz w:val="20"/>
          <w:szCs w:val="20"/>
          <w:color w:val="auto"/>
        </w:rPr>
      </w:pPr>
    </w:p>
    <w:p>
      <w:pPr>
        <w:ind w:right="80" w:firstLine="509"/>
        <w:spacing w:after="0" w:line="260" w:lineRule="auto"/>
        <w:rPr>
          <w:sz w:val="20"/>
          <w:szCs w:val="20"/>
          <w:color w:val="auto"/>
        </w:rPr>
      </w:pPr>
      <w:r>
        <w:rPr>
          <w:rFonts w:ascii="Arial" w:cs="Arial" w:eastAsia="Arial" w:hAnsi="Arial"/>
          <w:sz w:val="17"/>
          <w:szCs w:val="17"/>
          <w:i w:val="1"/>
          <w:iCs w:val="1"/>
          <w:color w:val="auto"/>
        </w:rPr>
        <w:t>In addition to historical financial information, this discussion and analysis and other parts of this report contain forward-looking statements within the meaning of Section 27A of the Securities Act of 1933, as amended, and Section 21E of the Securities Exchange Act of 1934, as amended, based upon current expectations that involve risks, uncertainties and assumptions. Our actual results could differ materially from those anticipated in these forward-looking statements as a result of various factors, including those set forth in the section titled “Risk Factors” under Part II, Item 1A. below. You should carefully read the “Risk Factors” to gain an understanding of the factors that could cause actual results to differ materially from our forward-looking statements. Please also see the section titled “Special Note Regarding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jc w:val="both"/>
        <w:ind w:right="500" w:firstLine="509"/>
        <w:spacing w:after="0" w:line="256" w:lineRule="auto"/>
        <w:rPr>
          <w:sz w:val="20"/>
          <w:szCs w:val="20"/>
          <w:color w:val="auto"/>
        </w:rPr>
      </w:pPr>
      <w:r>
        <w:rPr>
          <w:rFonts w:ascii="Arial" w:cs="Arial" w:eastAsia="Arial" w:hAnsi="Arial"/>
          <w:sz w:val="18"/>
          <w:szCs w:val="18"/>
          <w:color w:val="auto"/>
        </w:rPr>
        <w:t>We are a biotechnology company focused on discovering, designing, developing and delivering curative therapies that address the underlying drivers of heart disease. Our vision is to change the treatment paradigm for heart disease, and in doing so improve and extend the lives of millions of individuals and families.</w:t>
      </w:r>
    </w:p>
    <w:p>
      <w:pPr>
        <w:spacing w:after="0" w:line="67" w:lineRule="exact"/>
        <w:rPr>
          <w:sz w:val="20"/>
          <w:szCs w:val="20"/>
          <w:color w:val="auto"/>
        </w:rPr>
      </w:pPr>
    </w:p>
    <w:p>
      <w:pPr>
        <w:ind w:right="80" w:firstLine="509"/>
        <w:spacing w:after="0" w:line="249" w:lineRule="auto"/>
        <w:rPr>
          <w:sz w:val="20"/>
          <w:szCs w:val="20"/>
          <w:color w:val="auto"/>
        </w:rPr>
      </w:pPr>
      <w:r>
        <w:rPr>
          <w:rFonts w:ascii="Arial" w:cs="Arial" w:eastAsia="Arial" w:hAnsi="Arial"/>
          <w:sz w:val="18"/>
          <w:szCs w:val="18"/>
          <w:color w:val="auto"/>
        </w:rPr>
        <w:t>We are advancing a deep and diverse pipeline of disease-modifying therapies that includes both gene therapies and small molecules discovered internally and developed using our product platforms and core capabilities to target defined sub-populations of patients with rare or highly prevalent forms of heart disease. All of our programs are currently in the preclinical stage; we do not have any products approved for sale and have not generated any revenue to date.</w:t>
      </w:r>
    </w:p>
    <w:p>
      <w:pPr>
        <w:spacing w:after="0" w:line="7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The most advanced product candidate from our Gene Therapy Platform is TN-201. TN-201 is an adeno-associated virus (AAV)-based gene therapy that addresses genetic hypertrophic cardiomyopathy (HCM) caused by Myosin Binding Protein C3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mutations. These mutations can cause the heart walls of affected individuals to become significantly thickened, leading to fibrosis, abnormal heart rhythms, cardiac dysfunction, heart failure, and sudden cardiac death in some adults and children. TN-201 is designed to deliver a fully functional </w:t>
      </w:r>
      <w:r>
        <w:rPr>
          <w:rFonts w:ascii="Arial" w:cs="Arial" w:eastAsia="Arial" w:hAnsi="Arial"/>
          <w:sz w:val="17"/>
          <w:szCs w:val="17"/>
          <w:i w:val="1"/>
          <w:iCs w:val="1"/>
          <w:color w:val="auto"/>
        </w:rPr>
        <w:t>MYBPC3</w:t>
      </w:r>
      <w:r>
        <w:rPr>
          <w:rFonts w:ascii="Arial" w:cs="Arial" w:eastAsia="Arial" w:hAnsi="Arial"/>
          <w:sz w:val="17"/>
          <w:szCs w:val="17"/>
          <w:color w:val="auto"/>
        </w:rPr>
        <w:t xml:space="preserve"> gene driven by our proprietary heart-specific promoter to restore normal levels of </w:t>
      </w:r>
      <w:r>
        <w:rPr>
          <w:rFonts w:ascii="Arial" w:cs="Arial" w:eastAsia="Arial" w:hAnsi="Arial"/>
          <w:sz w:val="17"/>
          <w:szCs w:val="17"/>
          <w:i w:val="1"/>
          <w:iCs w:val="1"/>
          <w:color w:val="auto"/>
        </w:rPr>
        <w:t>MYBPC3</w:t>
      </w:r>
      <w:r>
        <w:rPr>
          <w:rFonts w:ascii="Arial" w:cs="Arial" w:eastAsia="Arial" w:hAnsi="Arial"/>
          <w:sz w:val="17"/>
          <w:szCs w:val="17"/>
          <w:color w:val="auto"/>
        </w:rPr>
        <w:t xml:space="preserve"> protein. We remain on track with our Investigational New Drug (IND) submission plans for TN-201 in the second half of 2022 and plan to focus on initial clinical development in adult </w:t>
      </w:r>
      <w:r>
        <w:rPr>
          <w:rFonts w:ascii="Arial" w:cs="Arial" w:eastAsia="Arial" w:hAnsi="Arial"/>
          <w:sz w:val="17"/>
          <w:szCs w:val="17"/>
          <w:i w:val="1"/>
          <w:iCs w:val="1"/>
          <w:color w:val="auto"/>
        </w:rPr>
        <w:t>MYBPC3 gene</w:t>
      </w:r>
      <w:r>
        <w:rPr>
          <w:rFonts w:ascii="Arial" w:cs="Arial" w:eastAsia="Arial" w:hAnsi="Arial"/>
          <w:sz w:val="17"/>
          <w:szCs w:val="17"/>
          <w:color w:val="auto"/>
        </w:rPr>
        <w:t xml:space="preserve"> mutation carriers with symptomatic non-obstructive HCM. TN-201 has been granted orphan drug designation by both the U.S. Food and Drug Administration (FDA) and the European Commission for the potential treatment of HCM due to mutations in the </w:t>
      </w:r>
      <w:r>
        <w:rPr>
          <w:rFonts w:ascii="Arial" w:cs="Arial" w:eastAsia="Arial" w:hAnsi="Arial"/>
          <w:sz w:val="17"/>
          <w:szCs w:val="17"/>
          <w:i w:val="1"/>
          <w:iCs w:val="1"/>
          <w:color w:val="auto"/>
        </w:rPr>
        <w:t>MYBPC3 gene</w:t>
      </w:r>
      <w:r>
        <w:rPr>
          <w:rFonts w:ascii="Arial" w:cs="Arial" w:eastAsia="Arial" w:hAnsi="Arial"/>
          <w:sz w:val="17"/>
          <w:szCs w:val="17"/>
          <w:color w:val="auto"/>
        </w:rPr>
        <w:t>.</w:t>
      </w:r>
    </w:p>
    <w:p>
      <w:pPr>
        <w:spacing w:after="0" w:line="81" w:lineRule="exact"/>
        <w:rPr>
          <w:sz w:val="20"/>
          <w:szCs w:val="20"/>
          <w:color w:val="auto"/>
        </w:rPr>
      </w:pPr>
    </w:p>
    <w:p>
      <w:pPr>
        <w:ind w:right="280" w:firstLine="509"/>
        <w:spacing w:after="0" w:line="245" w:lineRule="auto"/>
        <w:rPr>
          <w:sz w:val="20"/>
          <w:szCs w:val="20"/>
          <w:color w:val="auto"/>
        </w:rPr>
      </w:pPr>
      <w:r>
        <w:rPr>
          <w:rFonts w:ascii="Arial" w:cs="Arial" w:eastAsia="Arial" w:hAnsi="Arial"/>
          <w:sz w:val="18"/>
          <w:szCs w:val="18"/>
          <w:color w:val="auto"/>
        </w:rPr>
        <w:t xml:space="preserve">In 2021, we initiated a global natural history study to improve our understanding of disease progression and unmet need in individuals carrying mutations in the </w:t>
      </w:r>
      <w:r>
        <w:rPr>
          <w:rFonts w:ascii="Arial" w:cs="Arial" w:eastAsia="Arial" w:hAnsi="Arial"/>
          <w:sz w:val="18"/>
          <w:szCs w:val="18"/>
          <w:i w:val="1"/>
          <w:iCs w:val="1"/>
          <w:color w:val="auto"/>
        </w:rPr>
        <w:t>MYBPC3</w:t>
      </w:r>
      <w:r>
        <w:rPr>
          <w:rFonts w:ascii="Arial" w:cs="Arial" w:eastAsia="Arial" w:hAnsi="Arial"/>
          <w:sz w:val="18"/>
          <w:szCs w:val="18"/>
          <w:color w:val="auto"/>
        </w:rPr>
        <w:t xml:space="preserve"> gene, with an initial focus on pediatric patients under the age of 18. We continue site activation and patient enrollment in the global natural history study to support the future clinical evaluation of TN-201 in pediatric patients after early safety has been established in adults. The natural history study complements existing disease registries focused primarily on adult patient HCM populations and may support and expedite the development of TN-201 in the pediatric patient population.</w:t>
      </w:r>
    </w:p>
    <w:p>
      <w:pPr>
        <w:spacing w:after="0" w:line="78" w:lineRule="exact"/>
        <w:rPr>
          <w:sz w:val="20"/>
          <w:szCs w:val="20"/>
          <w:color w:val="auto"/>
        </w:rPr>
      </w:pPr>
    </w:p>
    <w:p>
      <w:pPr>
        <w:ind w:right="580" w:firstLine="509"/>
        <w:spacing w:after="0" w:line="249" w:lineRule="auto"/>
        <w:rPr>
          <w:sz w:val="20"/>
          <w:szCs w:val="20"/>
          <w:color w:val="auto"/>
        </w:rPr>
      </w:pPr>
      <w:r>
        <w:rPr>
          <w:rFonts w:ascii="Arial" w:cs="Arial" w:eastAsia="Arial" w:hAnsi="Arial"/>
          <w:sz w:val="18"/>
          <w:szCs w:val="18"/>
          <w:color w:val="auto"/>
        </w:rPr>
        <w:t>TN-301, the most advanced product candidate from our Precision Medicine platform, is a highly specific small molecule inhibitor of histone deacetylase 6 (HDAC6i). It has potentially broad utility in both heart failure with preserved ejection fraction (HFpEF) as well as genetic dilated cardiomyopathy. HFpEF is one of the greatest areas of unmet need in heart disease, and is characterized by systemic inflammation, left ventricular hypertrophy, fibrosis, and diastolic dysfunction resulting in high morbidity and mortality in affected individuals. We remain on track with our IND submission plans for TN-301 in the second half of 2022.</w:t>
      </w:r>
    </w:p>
    <w:p>
      <w:pPr>
        <w:spacing w:after="0" w:line="7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TN-401, another product candidate from our Gene Therapy Platform, uses an AAV-based gene therapy to address genetic arrhythmogenic right ventricular cardiomyopathy (ARVC) caused by plakophilin 2 (</w:t>
      </w:r>
      <w:r>
        <w:rPr>
          <w:rFonts w:ascii="Arial" w:cs="Arial" w:eastAsia="Arial" w:hAnsi="Arial"/>
          <w:sz w:val="18"/>
          <w:szCs w:val="18"/>
          <w:i w:val="1"/>
          <w:iCs w:val="1"/>
          <w:color w:val="auto"/>
        </w:rPr>
        <w:t>PKP2</w:t>
      </w:r>
      <w:r>
        <w:rPr>
          <w:rFonts w:ascii="Arial" w:cs="Arial" w:eastAsia="Arial" w:hAnsi="Arial"/>
          <w:sz w:val="18"/>
          <w:szCs w:val="18"/>
          <w:color w:val="auto"/>
        </w:rPr>
        <w:t>) gene mutations. ARVC is characterized by enlargement of the right ventricle in affected individuals, replacement of heart muscle with fibrotic tissue and fatty deposits, and severely abnormal heart rhythms (arrhythmia) that can make it difficult for the heart to function properly and result in sudden cardiac death in some adults and children. We have scaled up production of TN-401 to 200L and are initiating IND-enabling studies. We also intend to support establishment of a global natural history study in 2022 and expect to submit an IND for TN-401 in 2023.</w:t>
      </w:r>
    </w:p>
    <w:p>
      <w:pPr>
        <w:spacing w:after="0" w:line="93" w:lineRule="exact"/>
        <w:rPr>
          <w:sz w:val="20"/>
          <w:szCs w:val="20"/>
          <w:color w:val="auto"/>
        </w:rPr>
      </w:pPr>
    </w:p>
    <w:p>
      <w:pPr>
        <w:ind w:right="120" w:firstLine="509"/>
        <w:spacing w:after="0" w:line="263" w:lineRule="auto"/>
        <w:rPr>
          <w:sz w:val="20"/>
          <w:szCs w:val="20"/>
          <w:color w:val="auto"/>
        </w:rPr>
      </w:pPr>
      <w:r>
        <w:rPr>
          <w:rFonts w:ascii="Arial" w:cs="Arial" w:eastAsia="Arial" w:hAnsi="Arial"/>
          <w:sz w:val="17"/>
          <w:szCs w:val="17"/>
          <w:color w:val="auto"/>
        </w:rPr>
        <w:t>Our earlier-stage discovery programs include an AAV-based gene therapy designed to express the Dwarf Open Reading Frame (DWORF) gene in the heart, which has potentially broad utility in dilated cardiomyopathy and heart failure with reduced ejection fraction (HFrEF) and is currently at the candidate selection stage. Another program is an AAV-approach based on science from our founders that involves converting (or reprogramming) cells to replace cardiomyocytes lost due to heart damage, such as myocardial infarction. This program is currently at the candidate selection stage. In addition, we have numerous emerging programs being explored to address other forms of heart failure.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7" w:name="page18"/>
    <w:bookmarkEnd w:id="17"/>
    <w:p>
      <w:pPr>
        <w:ind w:right="20" w:firstLine="509"/>
        <w:spacing w:after="0" w:line="283" w:lineRule="auto"/>
        <w:rPr>
          <w:sz w:val="20"/>
          <w:szCs w:val="20"/>
          <w:color w:val="auto"/>
        </w:rPr>
      </w:pPr>
      <w:r>
        <w:rPr>
          <w:rFonts w:ascii="Arial" w:cs="Arial" w:eastAsia="Arial" w:hAnsi="Arial"/>
          <w:sz w:val="16"/>
          <w:szCs w:val="16"/>
          <w:color w:val="auto"/>
        </w:rPr>
        <w:t>We have invested in significant gene therapy enabling capabilities, most notably with the build out and operational launch of our Genetic Medicines Manufacturing Center to support the production of our AAV-based programs. In June 2022, this facility obtained a drug manufacturing license from the State of California, Department of Public Health, to enable current Good Manufacturing Practice (cGMP) production of drug product. Located in Union City, near our research labs, our Genetic Medicines Manufacturing Center enables scale-up of production to support first-in-human studies. This facility will initially support the production of drug product at multiple scales for clinical studies for all AAV-based programs, including TN-201 and TN-401. We have also initiated cGMP to support the production of TN-301 at a contract development and manufacturing organization (CDMO).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The global COVID-19 pandemic continues to evolve, including the continued emergence of variants. Potential impacts to our business include disruptions or restrictions on our employees’ ability to effectively conduct research, development and manufacturing activities. In addition, some of our suppliers of certain laboratory materials, or service providers used in the performance of our research activities, are located in areas significantly impacted by COVID-19, which could limit our ability to achieve planned progress. COVID-19 could continue to adversely affect the economies and financial markets, resulting in a prolonged economic downturn or a period of high inflation rates, which the United States economy has recently experienced, that could affect our ability to raise future funding. To date, we have experienced modest delays in the progress of our research and development activities, primarily due to extended lead times at certain suppliers and temporary and partial shutdowns at certain academic institutions as a result of statewide stay-at-home orders. However, these stay-at-home orders have largely terminated, and operations have since resumed. We continue to monitor and assess the effects of the COVID-19 pandemic on our business, but the ultimate impact of the COVID-19 outbreak or a similar health epidemic is highly uncertain and subject to change. For additional details, see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40" w:type="dxa"/>
            <w:vAlign w:val="bottom"/>
            <w:gridSpan w:val="5"/>
          </w:tcPr>
          <w:p>
            <w:pPr>
              <w:jc w:val="right"/>
              <w:ind w:right="83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4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3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69"/>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1300" w:type="dxa"/>
            <w:vAlign w:val="bottom"/>
          </w:tcPr>
          <w:p>
            <w:pPr>
              <w:ind w:left="4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20,876</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9,970</w:t>
            </w:r>
          </w:p>
        </w:tc>
        <w:tc>
          <w:tcPr>
            <w:tcW w:w="24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91%</w:t>
            </w:r>
          </w:p>
        </w:tc>
      </w:tr>
      <w:tr>
        <w:trPr>
          <w:trHeight w:val="216"/>
        </w:trPr>
        <w:tc>
          <w:tcPr>
            <w:tcW w:w="43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7,743</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w:t>
            </w: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79%</w:t>
            </w:r>
          </w:p>
        </w:tc>
      </w:tr>
      <w:tr>
        <w:trPr>
          <w:trHeight w:val="210"/>
        </w:trPr>
        <w:tc>
          <w:tcPr>
            <w:tcW w:w="43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13,382</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88%</w:t>
            </w:r>
          </w:p>
        </w:tc>
      </w:tr>
      <w:tr>
        <w:trPr>
          <w:trHeight w:val="210"/>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(28,619</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(15,237</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(13,382</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88%</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2,367%</w:t>
            </w:r>
          </w:p>
        </w:tc>
      </w:tr>
      <w:tr>
        <w:trPr>
          <w:trHeight w:val="216"/>
        </w:trPr>
        <w:tc>
          <w:tcPr>
            <w:tcW w:w="434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18"/>
                <w:szCs w:val="18"/>
                <w:color w:val="auto"/>
              </w:rPr>
            </w:pPr>
          </w:p>
        </w:tc>
        <w:tc>
          <w:tcPr>
            <w:tcW w:w="12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(18 )</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0"/>
        </w:trPr>
        <w:tc>
          <w:tcPr>
            <w:tcW w:w="4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other income (expense), net</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w:t>
            </w:r>
          </w:p>
        </w:tc>
        <w:tc>
          <w:tcPr>
            <w:tcW w:w="2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722%</w:t>
            </w:r>
          </w:p>
        </w:tc>
      </w:tr>
      <w:tr>
        <w:trPr>
          <w:trHeight w:val="209"/>
        </w:trPr>
        <w:tc>
          <w:tcPr>
            <w:tcW w:w="434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90"/>
              <w:spacing w:after="0"/>
              <w:rPr>
                <w:sz w:val="20"/>
                <w:szCs w:val="20"/>
                <w:color w:val="auto"/>
              </w:rPr>
            </w:pPr>
            <w:r>
              <w:rPr>
                <w:rFonts w:ascii="Arial" w:cs="Arial" w:eastAsia="Arial" w:hAnsi="Arial"/>
                <w:sz w:val="18"/>
                <w:szCs w:val="18"/>
                <w:color w:val="auto"/>
              </w:rPr>
              <w:t>(28,397 )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(15,210 )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(13,187 )</w:t>
            </w:r>
          </w:p>
        </w:tc>
        <w:tc>
          <w:tcPr>
            <w:tcW w:w="1300" w:type="dxa"/>
            <w:vAlign w:val="bottom"/>
          </w:tcPr>
          <w:p>
            <w:pPr>
              <w:jc w:val="center"/>
              <w:spacing w:after="0"/>
              <w:rPr>
                <w:sz w:val="20"/>
                <w:szCs w:val="20"/>
                <w:color w:val="auto"/>
              </w:rPr>
            </w:pPr>
            <w:r>
              <w:rPr>
                <w:rFonts w:ascii="Arial" w:cs="Arial" w:eastAsia="Arial" w:hAnsi="Arial"/>
                <w:sz w:val="18"/>
                <w:szCs w:val="18"/>
                <w:color w:val="auto"/>
                <w:w w:val="88"/>
              </w:rPr>
              <w:t>87%</w:t>
            </w:r>
          </w:p>
        </w:tc>
      </w:tr>
      <w:tr>
        <w:trPr>
          <w:trHeight w:val="20"/>
        </w:trPr>
        <w:tc>
          <w:tcPr>
            <w:tcW w:w="4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-1019810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-1019810</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-1019810</wp:posOffset>
            </wp:positionV>
            <wp:extent cx="603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-170815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-170815</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Research and development activities account for a significant portion of our operating expenses. Research and development expenses relate primarily to discovery and development of our platforms, programs and product candidates, and are recognized as incurred. Internal research and development costs include, among others, employee-related costs (including salaries, benefits and stock-based compensation for employees engaged in research and development functions), laboratory supplies and other non-capital equipment utilized for in-house research, allocated overhead costs. External research and development expenses include, among others, amounts incurred to clinical research organizations (CROs) that conduct research and development activities on our behalf, consulting fees and amounts owed under licensing agreements. We do not allocate our costs by platform, program or product candidate, as a significant amount of research and development expenses include internal costs, which are deployed across multiple platforms, programs, product candidates and activities.</w:t>
      </w:r>
    </w:p>
    <w:p>
      <w:pPr>
        <w:spacing w:after="0" w:line="81"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Amounts recorded for external goods or services incurred for research and development activities that have not yet been invoiced often represent estimates. We record estimates for amounts due but not yet invoiced generally based on input from external service providers.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8" w:name="page19"/>
    <w:bookmarkEnd w:id="18"/>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5"/>
        </w:trPr>
        <w:tc>
          <w:tcPr>
            <w:tcW w:w="4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535"/>
              <w:spacing w:after="0"/>
              <w:rPr>
                <w:sz w:val="20"/>
                <w:szCs w:val="20"/>
                <w:color w:val="auto"/>
              </w:rPr>
            </w:pPr>
            <w:r>
              <w:rPr>
                <w:rFonts w:ascii="Arial" w:cs="Arial" w:eastAsia="Arial" w:hAnsi="Arial"/>
                <w:sz w:val="14"/>
                <w:szCs w:val="14"/>
                <w:b w:val="1"/>
                <w:bCs w:val="1"/>
                <w:color w:val="auto"/>
              </w:rPr>
              <w:t>$</w:t>
            </w:r>
          </w:p>
        </w:tc>
        <w:tc>
          <w:tcPr>
            <w:tcW w:w="154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rPr>
              <w:t>%</w:t>
            </w:r>
          </w:p>
        </w:tc>
      </w:tr>
      <w:tr>
        <w:trPr>
          <w:trHeight w:val="169"/>
        </w:trPr>
        <w:tc>
          <w:tcPr>
            <w:tcW w:w="4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3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35"/>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Outside services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w:t>
            </w:r>
          </w:p>
        </w:tc>
        <w:tc>
          <w:tcPr>
            <w:tcW w:w="154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91"/>
              </w:rPr>
              <w:t>179%</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Facility and laboratory costs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7,592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2,971</w:t>
            </w:r>
          </w:p>
        </w:tc>
        <w:tc>
          <w:tcPr>
            <w:tcW w:w="1540" w:type="dxa"/>
            <w:vAlign w:val="bottom"/>
            <w:gridSpan w:val="2"/>
          </w:tcPr>
          <w:p>
            <w:pPr>
              <w:jc w:val="center"/>
              <w:ind w:left="134"/>
              <w:spacing w:after="0"/>
              <w:rPr>
                <w:sz w:val="20"/>
                <w:szCs w:val="20"/>
                <w:color w:val="auto"/>
              </w:rPr>
            </w:pPr>
            <w:r>
              <w:rPr>
                <w:rFonts w:ascii="Arial" w:cs="Arial" w:eastAsia="Arial" w:hAnsi="Arial"/>
                <w:sz w:val="18"/>
                <w:szCs w:val="18"/>
                <w:color w:val="auto"/>
                <w:w w:val="88"/>
              </w:rPr>
              <w:t>64%</w:t>
            </w:r>
          </w:p>
        </w:tc>
      </w:tr>
      <w:tr>
        <w:trPr>
          <w:trHeight w:val="21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Personnel-related costs</w:t>
            </w: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5,674</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2,126</w:t>
            </w:r>
          </w:p>
        </w:tc>
        <w:tc>
          <w:tcPr>
            <w:tcW w:w="1540" w:type="dxa"/>
            <w:vAlign w:val="bottom"/>
            <w:gridSpan w:val="2"/>
            <w:shd w:val="clear" w:color="auto" w:fill="CFF0FC"/>
          </w:tcPr>
          <w:p>
            <w:pPr>
              <w:jc w:val="center"/>
              <w:ind w:left="134"/>
              <w:spacing w:after="0"/>
              <w:rPr>
                <w:sz w:val="20"/>
                <w:szCs w:val="20"/>
                <w:color w:val="auto"/>
              </w:rPr>
            </w:pPr>
            <w:r>
              <w:rPr>
                <w:rFonts w:ascii="Arial" w:cs="Arial" w:eastAsia="Arial" w:hAnsi="Arial"/>
                <w:sz w:val="18"/>
                <w:szCs w:val="18"/>
                <w:color w:val="auto"/>
                <w:w w:val="88"/>
              </w:rPr>
              <w:t>60%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540" w:type="dxa"/>
            <w:vAlign w:val="bottom"/>
            <w:gridSpan w:val="2"/>
          </w:tcPr>
          <w:p>
            <w:pPr>
              <w:jc w:val="center"/>
              <w:ind w:left="154"/>
              <w:spacing w:after="0"/>
              <w:rPr>
                <w:sz w:val="20"/>
                <w:szCs w:val="20"/>
                <w:color w:val="auto"/>
              </w:rPr>
            </w:pPr>
            <w:r>
              <w:rPr>
                <w:rFonts w:ascii="Arial" w:cs="Arial" w:eastAsia="Arial" w:hAnsi="Arial"/>
                <w:sz w:val="18"/>
                <w:szCs w:val="18"/>
                <w:color w:val="auto"/>
                <w:w w:val="91"/>
              </w:rPr>
              <w:t>108%</w:t>
            </w:r>
          </w:p>
        </w:tc>
      </w:tr>
      <w:tr>
        <w:trPr>
          <w:trHeight w:val="250"/>
        </w:trPr>
        <w:tc>
          <w:tcPr>
            <w:tcW w:w="4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20,876</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9,970</w:t>
            </w:r>
          </w:p>
        </w:tc>
        <w:tc>
          <w:tcPr>
            <w:tcW w:w="2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Research and development expenses were $20.9 million and $10.9 million for the three months ended June 30, 2022 and 2021, respectively. The year-over-year increase of $10.0 million, or 91%, was primarily due to:</w:t>
      </w:r>
    </w:p>
    <w:p>
      <w:pPr>
        <w:spacing w:after="0" w:line="76" w:lineRule="exact"/>
        <w:rPr>
          <w:sz w:val="20"/>
          <w:szCs w:val="20"/>
          <w:color w:val="auto"/>
        </w:rPr>
      </w:pPr>
    </w:p>
    <w:p>
      <w:pPr>
        <w:ind w:left="760" w:right="140" w:hanging="378"/>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$4.8 million in outside services, including amounts paid to contract research organizations (CROs) for research and development activities, consulting fees, preclinical studies and other external research expenses;</w:t>
      </w:r>
    </w:p>
    <w:p>
      <w:pPr>
        <w:spacing w:after="0" w:line="62" w:lineRule="exact"/>
        <w:rPr>
          <w:rFonts w:ascii="Arial" w:cs="Arial" w:eastAsia="Arial" w:hAnsi="Arial"/>
          <w:sz w:val="18"/>
          <w:szCs w:val="18"/>
          <w:color w:val="auto"/>
        </w:rPr>
      </w:pPr>
    </w:p>
    <w:p>
      <w:pPr>
        <w:ind w:left="760" w:right="30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$3.0 million in facility and laboratory costs, including manufacturing and laboratory supplies and materials and other allocated costs; and</w:t>
      </w:r>
    </w:p>
    <w:p>
      <w:pPr>
        <w:spacing w:after="0" w:line="48" w:lineRule="exact"/>
        <w:rPr>
          <w:rFonts w:ascii="Arial" w:cs="Arial" w:eastAsia="Arial" w:hAnsi="Arial"/>
          <w:sz w:val="18"/>
          <w:szCs w:val="18"/>
          <w:color w:val="auto"/>
        </w:rPr>
      </w:pPr>
    </w:p>
    <w:p>
      <w:pPr>
        <w:ind w:left="760" w:right="60" w:hanging="378"/>
        <w:spacing w:after="0" w:line="261"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$2.1 million in employee-related costs reflecting higher stock-based compensation from growth in the number of our research and development employees, partially offset by benefits from estimated employee tax credits.</w:t>
      </w:r>
    </w:p>
    <w:p>
      <w:pPr>
        <w:spacing w:after="0" w:line="63" w:lineRule="exact"/>
        <w:rPr>
          <w:sz w:val="20"/>
          <w:szCs w:val="20"/>
          <w:color w:val="auto"/>
        </w:rPr>
      </w:pPr>
    </w:p>
    <w:p>
      <w:pPr>
        <w:ind w:right="260" w:firstLine="509"/>
        <w:spacing w:after="0" w:line="246"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research and development activities related to developing our platforms, programs and product candidates and progressing through preclinical and clinical product development stages. The process of conducting the necessary research to advance to the clinical stage and ultimately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509"/>
        <w:spacing w:after="0" w:line="249" w:lineRule="auto"/>
        <w:rPr>
          <w:sz w:val="20"/>
          <w:szCs w:val="20"/>
          <w:color w:val="auto"/>
        </w:rPr>
      </w:pPr>
      <w:r>
        <w:rPr>
          <w:rFonts w:ascii="Arial" w:cs="Arial" w:eastAsia="Arial" w:hAnsi="Arial"/>
          <w:sz w:val="18"/>
          <w:szCs w:val="18"/>
          <w:color w:val="auto"/>
        </w:rPr>
        <w:t>General and administrative expenses consist of personnel-related costs (including salaries, benefits and stock-based compensation for our employees in finance, human resources, information technology and other administrative functions), legal fees, professional fees incurred for accounting, audit and tax services, information technology and facility costs not otherwise included in research and development expenses. Legal fees primarily include those related to corporate and intellectual property related matters.</w:t>
      </w:r>
    </w:p>
    <w:p>
      <w:pPr>
        <w:spacing w:after="0" w:line="73" w:lineRule="exact"/>
        <w:rPr>
          <w:sz w:val="20"/>
          <w:szCs w:val="20"/>
          <w:color w:val="auto"/>
        </w:rPr>
      </w:pPr>
    </w:p>
    <w:p>
      <w:pPr>
        <w:ind w:right="160" w:firstLine="509"/>
        <w:spacing w:after="0" w:line="303" w:lineRule="auto"/>
        <w:rPr>
          <w:sz w:val="20"/>
          <w:szCs w:val="20"/>
          <w:color w:val="auto"/>
        </w:rPr>
      </w:pPr>
      <w:r>
        <w:rPr>
          <w:rFonts w:ascii="Arial" w:cs="Arial" w:eastAsia="Arial" w:hAnsi="Arial"/>
          <w:sz w:val="16"/>
          <w:szCs w:val="16"/>
          <w:color w:val="auto"/>
        </w:rPr>
        <w:t>We expect that our general and administrative expenses will increase for the foreseeable future to support our continued research and development activities, general operations, future business development opportunities and professional fees. In addition, we will continue to incur legal, accounting, insurance and other expenses in operating our business as a public company, including costs associated with regulatory and compliance activities.</w:t>
      </w:r>
    </w:p>
    <w:p>
      <w:pPr>
        <w:spacing w:after="0" w:line="32" w:lineRule="exact"/>
        <w:rPr>
          <w:sz w:val="20"/>
          <w:szCs w:val="20"/>
          <w:color w:val="auto"/>
        </w:rPr>
      </w:pPr>
    </w:p>
    <w:p>
      <w:pPr>
        <w:ind w:right="220" w:firstLine="509"/>
        <w:spacing w:after="0" w:line="268" w:lineRule="auto"/>
        <w:rPr>
          <w:sz w:val="20"/>
          <w:szCs w:val="20"/>
          <w:color w:val="auto"/>
        </w:rPr>
      </w:pPr>
      <w:r>
        <w:rPr>
          <w:rFonts w:ascii="Arial" w:cs="Arial" w:eastAsia="Arial" w:hAnsi="Arial"/>
          <w:sz w:val="17"/>
          <w:szCs w:val="17"/>
          <w:color w:val="auto"/>
        </w:rPr>
        <w:t>General and administrative expenses were $7.7 million and $4.3 million for the three months ended June 30, 2022 and 2021, respectively. The change of $3.4 million, or 79%, was primarily due to a $1.9 million increase in employee-related expenses reflecting higher stock-based compensation from growth in the number of employees, partially offset by benefits from the estimated employee tax credits. The change was also due to a $0.6 million increase in professional service expenses and a $0.4 million increase in insurance costs.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gain and loss on disposal of assets and foreign exchange.</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loss for the three months ended June 30, 2022, was $28.4 million, compared to a net loss of $15.2 million for the three months ended June 30,</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periods presented:</w:t>
      </w: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920" w:type="dxa"/>
            <w:vAlign w:val="bottom"/>
            <w:gridSpan w:val="5"/>
          </w:tcPr>
          <w:p>
            <w:pPr>
              <w:jc w:val="right"/>
              <w:ind w:right="1090"/>
              <w:spacing w:after="0" w:line="149" w:lineRule="exact"/>
              <w:rPr>
                <w:sz w:val="20"/>
                <w:szCs w:val="20"/>
                <w:color w:val="auto"/>
              </w:rPr>
            </w:pPr>
            <w:r>
              <w:rPr>
                <w:rFonts w:ascii="Arial" w:cs="Arial" w:eastAsia="Arial" w:hAnsi="Arial"/>
                <w:sz w:val="14"/>
                <w:szCs w:val="14"/>
                <w:b w:val="1"/>
                <w:bCs w:val="1"/>
                <w:color w:val="auto"/>
              </w:rPr>
              <w:t>Six Months Ended</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5"/>
        </w:trPr>
        <w:tc>
          <w:tcPr>
            <w:tcW w:w="48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614"/>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w:t>
            </w:r>
          </w:p>
        </w:tc>
      </w:tr>
      <w:tr>
        <w:trPr>
          <w:trHeight w:val="169"/>
        </w:trPr>
        <w:tc>
          <w:tcPr>
            <w:tcW w:w="4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67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ind w:lef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84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9"/>
              </w:rPr>
              <w:t>(In thousands)</w:t>
            </w:r>
          </w:p>
        </w:tc>
        <w:tc>
          <w:tcPr>
            <w:tcW w:w="2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45,031</w:t>
            </w:r>
          </w:p>
        </w:tc>
        <w:tc>
          <w:tcPr>
            <w:tcW w:w="2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20,496</w:t>
            </w:r>
          </w:p>
        </w:tc>
        <w:tc>
          <w:tcPr>
            <w:tcW w:w="26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24,535</w:t>
            </w:r>
          </w:p>
        </w:tc>
        <w:tc>
          <w:tcPr>
            <w:tcW w:w="2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120%</w:t>
            </w:r>
          </w:p>
        </w:tc>
      </w:tr>
      <w:tr>
        <w:trPr>
          <w:trHeight w:val="216"/>
        </w:trPr>
        <w:tc>
          <w:tcPr>
            <w:tcW w:w="4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14,742</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7,846</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6,896</w:t>
            </w:r>
          </w:p>
        </w:tc>
        <w:tc>
          <w:tcPr>
            <w:tcW w:w="2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88%</w:t>
            </w:r>
          </w:p>
        </w:tc>
      </w:tr>
      <w:tr>
        <w:trPr>
          <w:trHeight w:val="210"/>
        </w:trPr>
        <w:tc>
          <w:tcPr>
            <w:tcW w:w="484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59,773</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28,342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w:t>
            </w:r>
          </w:p>
        </w:tc>
        <w:tc>
          <w:tcPr>
            <w:tcW w:w="2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111%</w:t>
            </w:r>
          </w:p>
        </w:tc>
      </w:tr>
      <w:tr>
        <w:trPr>
          <w:trHeight w:val="209"/>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(59,773</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(28,342</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(31,431</w:t>
            </w:r>
          </w:p>
        </w:tc>
        <w:tc>
          <w:tcPr>
            <w:tcW w:w="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111%</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8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1,683%</w:t>
            </w:r>
          </w:p>
        </w:tc>
      </w:tr>
      <w:tr>
        <w:trPr>
          <w:trHeight w:val="216"/>
        </w:trPr>
        <w:tc>
          <w:tcPr>
            <w:tcW w:w="484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(1 )</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(17 )</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209"/>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2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841%</w:t>
            </w:r>
          </w:p>
        </w:tc>
      </w:tr>
      <w:tr>
        <w:trPr>
          <w:trHeight w:val="210"/>
        </w:trPr>
        <w:tc>
          <w:tcPr>
            <w:tcW w:w="4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10"/>
              <w:spacing w:after="0"/>
              <w:rPr>
                <w:sz w:val="20"/>
                <w:szCs w:val="20"/>
                <w:color w:val="auto"/>
              </w:rPr>
            </w:pPr>
            <w:r>
              <w:rPr>
                <w:rFonts w:ascii="Arial" w:cs="Arial" w:eastAsia="Arial" w:hAnsi="Arial"/>
                <w:sz w:val="18"/>
                <w:szCs w:val="18"/>
                <w:color w:val="auto"/>
              </w:rPr>
              <w:t>(59,453 )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(28,308 )</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90"/>
              <w:spacing w:after="0"/>
              <w:rPr>
                <w:sz w:val="20"/>
                <w:szCs w:val="20"/>
                <w:color w:val="auto"/>
              </w:rPr>
            </w:pPr>
            <w:r>
              <w:rPr>
                <w:rFonts w:ascii="Arial" w:cs="Arial" w:eastAsia="Arial" w:hAnsi="Arial"/>
                <w:sz w:val="18"/>
                <w:szCs w:val="18"/>
                <w:color w:val="auto"/>
              </w:rPr>
              <w:t>(31,145 )</w:t>
            </w:r>
          </w:p>
        </w:tc>
        <w:tc>
          <w:tcPr>
            <w:tcW w:w="144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20"/>
        </w:trPr>
        <w:tc>
          <w:tcPr>
            <w:tcW w:w="48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-1019810</wp:posOffset>
            </wp:positionV>
            <wp:extent cx="7683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-1019810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-1019810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768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periods presented:</w:t>
      </w:r>
    </w:p>
    <w:tbl>
      <w:tblPr>
        <w:tblLayout w:type="fixed"/>
        <w:tblInd w:w="0" w:type="dxa"/>
        <w:tblCellMar>
          <w:top w:w="0" w:type="dxa"/>
          <w:left w:w="0" w:type="dxa"/>
          <w:bottom w:w="0" w:type="dxa"/>
          <w:right w:w="0" w:type="dxa"/>
        </w:tblCellMar>
      </w:tblPr>
      <w:tr>
        <w:trPr>
          <w:trHeight w:val="149"/>
        </w:trPr>
        <w:tc>
          <w:tcPr>
            <w:tcW w:w="4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80" w:type="dxa"/>
            <w:vAlign w:val="bottom"/>
            <w:gridSpan w:val="4"/>
          </w:tcPr>
          <w:p>
            <w:pPr>
              <w:jc w:val="right"/>
              <w:ind w:right="835"/>
              <w:spacing w:after="0" w:line="149" w:lineRule="exact"/>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85"/>
        </w:trPr>
        <w:tc>
          <w:tcPr>
            <w:tcW w:w="4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11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635"/>
              <w:spacing w:after="0"/>
              <w:rPr>
                <w:sz w:val="20"/>
                <w:szCs w:val="20"/>
                <w:color w:val="auto"/>
              </w:rPr>
            </w:pPr>
            <w:r>
              <w:rPr>
                <w:rFonts w:ascii="Arial" w:cs="Arial" w:eastAsia="Arial" w:hAnsi="Arial"/>
                <w:sz w:val="14"/>
                <w:szCs w:val="14"/>
                <w:b w:val="1"/>
                <w:bCs w:val="1"/>
                <w:color w:val="auto"/>
              </w:rPr>
              <w:t>$</w:t>
            </w:r>
          </w:p>
        </w:tc>
        <w:tc>
          <w:tcPr>
            <w:tcW w:w="168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rPr>
              <w:t>%</w:t>
            </w:r>
          </w:p>
        </w:tc>
      </w:tr>
      <w:tr>
        <w:trPr>
          <w:trHeight w:val="169"/>
        </w:trPr>
        <w:tc>
          <w:tcPr>
            <w:tcW w:w="48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44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Change</w:t>
            </w:r>
          </w:p>
        </w:tc>
      </w:tr>
      <w:tr>
        <w:trPr>
          <w:trHeight w:val="169"/>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w w:val="99"/>
              </w:rPr>
              <w:t>(In thousands)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16"/>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Outside services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15,279</w:t>
            </w:r>
          </w:p>
        </w:tc>
        <w:tc>
          <w:tcPr>
            <w:tcW w:w="5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4,731</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10,548</w:t>
            </w:r>
          </w:p>
        </w:tc>
        <w:tc>
          <w:tcPr>
            <w:tcW w:w="1680" w:type="dxa"/>
            <w:vAlign w:val="bottom"/>
            <w:gridSpan w:val="2"/>
            <w:shd w:val="clear" w:color="auto" w:fill="CFF0FC"/>
          </w:tcPr>
          <w:p>
            <w:pPr>
              <w:jc w:val="center"/>
              <w:ind w:left="174"/>
              <w:spacing w:after="0"/>
              <w:rPr>
                <w:sz w:val="20"/>
                <w:szCs w:val="20"/>
                <w:color w:val="auto"/>
              </w:rPr>
            </w:pPr>
            <w:r>
              <w:rPr>
                <w:rFonts w:ascii="Arial" w:cs="Arial" w:eastAsia="Arial" w:hAnsi="Arial"/>
                <w:sz w:val="18"/>
                <w:szCs w:val="18"/>
                <w:color w:val="auto"/>
                <w:w w:val="91"/>
              </w:rPr>
              <w:t>223%</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Facility and laboratory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7,458</w:t>
            </w:r>
          </w:p>
        </w:tc>
        <w:tc>
          <w:tcPr>
            <w:tcW w:w="1680" w:type="dxa"/>
            <w:vAlign w:val="bottom"/>
            <w:gridSpan w:val="2"/>
          </w:tcPr>
          <w:p>
            <w:pPr>
              <w:jc w:val="center"/>
              <w:ind w:left="154"/>
              <w:spacing w:after="0"/>
              <w:rPr>
                <w:sz w:val="20"/>
                <w:szCs w:val="20"/>
                <w:color w:val="auto"/>
              </w:rPr>
            </w:pPr>
            <w:r>
              <w:rPr>
                <w:rFonts w:ascii="Arial" w:cs="Arial" w:eastAsia="Arial" w:hAnsi="Arial"/>
                <w:sz w:val="18"/>
                <w:szCs w:val="18"/>
                <w:color w:val="auto"/>
                <w:w w:val="88"/>
              </w:rPr>
              <w:t>86%</w:t>
            </w:r>
          </w:p>
        </w:tc>
      </w:tr>
      <w:tr>
        <w:trPr>
          <w:trHeight w:val="216"/>
        </w:trPr>
        <w:tc>
          <w:tcPr>
            <w:tcW w:w="4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costs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13,078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6,193</w:t>
            </w:r>
          </w:p>
        </w:tc>
        <w:tc>
          <w:tcPr>
            <w:tcW w:w="1680" w:type="dxa"/>
            <w:vAlign w:val="bottom"/>
            <w:gridSpan w:val="2"/>
            <w:shd w:val="clear" w:color="auto" w:fill="CFF0FC"/>
          </w:tcPr>
          <w:p>
            <w:pPr>
              <w:jc w:val="center"/>
              <w:ind w:left="154"/>
              <w:spacing w:after="0"/>
              <w:rPr>
                <w:sz w:val="20"/>
                <w:szCs w:val="20"/>
                <w:color w:val="auto"/>
              </w:rPr>
            </w:pPr>
            <w:r>
              <w:rPr>
                <w:rFonts w:ascii="Arial" w:cs="Arial" w:eastAsia="Arial" w:hAnsi="Arial"/>
                <w:sz w:val="18"/>
                <w:szCs w:val="18"/>
                <w:color w:val="auto"/>
                <w:w w:val="88"/>
              </w:rPr>
              <w:t>90%</w:t>
            </w:r>
          </w:p>
        </w:tc>
      </w:tr>
      <w:tr>
        <w:trPr>
          <w:trHeight w:val="216"/>
        </w:trPr>
        <w:tc>
          <w:tcPr>
            <w:tcW w:w="4840" w:type="dxa"/>
            <w:vAlign w:val="bottom"/>
          </w:tcPr>
          <w:p>
            <w:pPr>
              <w:ind w:left="20"/>
              <w:spacing w:after="0"/>
              <w:rPr>
                <w:sz w:val="20"/>
                <w:szCs w:val="20"/>
                <w:color w:val="auto"/>
              </w:rPr>
            </w:pPr>
            <w:r>
              <w:rPr>
                <w:rFonts w:ascii="Arial" w:cs="Arial" w:eastAsia="Arial" w:hAnsi="Arial"/>
                <w:sz w:val="18"/>
                <w:szCs w:val="18"/>
                <w:color w:val="auto"/>
              </w:rPr>
              <w:t>Other research and development expenses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w:t>
            </w:r>
          </w:p>
        </w:tc>
        <w:tc>
          <w:tcPr>
            <w:tcW w:w="1680" w:type="dxa"/>
            <w:vAlign w:val="bottom"/>
            <w:gridSpan w:val="2"/>
          </w:tcPr>
          <w:p>
            <w:pPr>
              <w:jc w:val="center"/>
              <w:ind w:left="174"/>
              <w:spacing w:after="0"/>
              <w:rPr>
                <w:sz w:val="20"/>
                <w:szCs w:val="20"/>
                <w:color w:val="auto"/>
              </w:rPr>
            </w:pPr>
            <w:r>
              <w:rPr>
                <w:rFonts w:ascii="Arial" w:cs="Arial" w:eastAsia="Arial" w:hAnsi="Arial"/>
                <w:sz w:val="18"/>
                <w:szCs w:val="18"/>
                <w:color w:val="auto"/>
                <w:w w:val="91"/>
              </w:rPr>
              <w:t>204%</w:t>
            </w:r>
          </w:p>
        </w:tc>
      </w:tr>
      <w:tr>
        <w:trPr>
          <w:trHeight w:val="249"/>
        </w:trPr>
        <w:tc>
          <w:tcPr>
            <w:tcW w:w="48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45,031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20,496</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24,535</w:t>
            </w:r>
          </w:p>
        </w:tc>
        <w:tc>
          <w:tcPr>
            <w:tcW w:w="24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Research and development expenses were $45.0 million and $20.5 million for the six months ended June 30, 2022 and 2021, respectively. The year-over-year increase of $24.5 million, or 120%, was primarily due to:</w:t>
      </w:r>
    </w:p>
    <w:p>
      <w:pPr>
        <w:spacing w:after="0" w:line="49" w:lineRule="exact"/>
        <w:rPr>
          <w:sz w:val="20"/>
          <w:szCs w:val="20"/>
          <w:color w:val="auto"/>
        </w:rPr>
      </w:pPr>
    </w:p>
    <w:p>
      <w:pPr>
        <w:ind w:left="760" w:right="560" w:hanging="378"/>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$10.5 million in outside services, including amounts paid to CROs for research and development activities, consulting fees, preclinical studies and other external research expenses;</w:t>
      </w:r>
    </w:p>
    <w:p>
      <w:pPr>
        <w:spacing w:after="0" w:line="62" w:lineRule="exact"/>
        <w:rPr>
          <w:rFonts w:ascii="Arial" w:cs="Arial" w:eastAsia="Arial" w:hAnsi="Arial"/>
          <w:sz w:val="18"/>
          <w:szCs w:val="18"/>
          <w:color w:val="auto"/>
        </w:rPr>
      </w:pPr>
    </w:p>
    <w:p>
      <w:pPr>
        <w:ind w:left="760" w:right="320" w:hanging="378"/>
        <w:spacing w:after="0" w:line="277"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$7.5 million in facility and laboratory costs, including manufacturing and laboratory supplies and materials and other allocated costs; and</w:t>
      </w:r>
    </w:p>
    <w:p>
      <w:pPr>
        <w:spacing w:after="0" w:line="48" w:lineRule="exact"/>
        <w:rPr>
          <w:rFonts w:ascii="Arial" w:cs="Arial" w:eastAsia="Arial" w:hAnsi="Arial"/>
          <w:sz w:val="18"/>
          <w:szCs w:val="18"/>
          <w:color w:val="auto"/>
        </w:rPr>
      </w:pPr>
    </w:p>
    <w:p>
      <w:pPr>
        <w:ind w:left="760" w:right="80" w:hanging="378"/>
        <w:spacing w:after="0" w:line="261" w:lineRule="auto"/>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$6.2 million in employee-related costs reflecting higher stock-based compensation from growth in the number of our research and development employees, partially offset by benefits from the estimated employee tax credits.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04" w:lineRule="exact"/>
        <w:rPr>
          <w:sz w:val="20"/>
          <w:szCs w:val="20"/>
          <w:color w:val="auto"/>
        </w:rPr>
      </w:pPr>
    </w:p>
    <w:p>
      <w:pPr>
        <w:ind w:right="380" w:firstLine="509"/>
        <w:spacing w:after="0" w:line="268" w:lineRule="auto"/>
        <w:rPr>
          <w:sz w:val="20"/>
          <w:szCs w:val="20"/>
          <w:color w:val="auto"/>
        </w:rPr>
      </w:pPr>
      <w:r>
        <w:rPr>
          <w:rFonts w:ascii="Arial" w:cs="Arial" w:eastAsia="Arial" w:hAnsi="Arial"/>
          <w:sz w:val="17"/>
          <w:szCs w:val="17"/>
          <w:color w:val="auto"/>
        </w:rPr>
        <w:t>General and administrative expenses were $14.7 million and $7.8 million for the six months ended June 30, 2022 and 2021, respectively. The change of $6.9 million, or 88%, was primarily due to a $4.0 million increase in employee-related expenses reflecting higher stock-based compensation from growth in the number of employees, partially offset by benefits from the estimated employee tax credits. The change is also due to a $1.1 million increase in professional service expenses and a $0.8 million increase in insurance costs.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our cash, cash equivalents and investment balances.</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primarily consists of gain and loss on disposal of assets and foreign exchange.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Net Loss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Net loss for the six months ended June 30, 2022, was $59.5 million, compared to a net loss of $28.3 million for the six months ended June 30, 2021.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20" w:name="page21"/>
    <w:bookmarkEnd w:id="20"/>
    <w:p>
      <w:pPr>
        <w:ind w:right="40" w:firstLine="509"/>
        <w:spacing w:after="0" w:line="263" w:lineRule="auto"/>
        <w:rPr>
          <w:sz w:val="20"/>
          <w:szCs w:val="20"/>
          <w:color w:val="auto"/>
        </w:rPr>
      </w:pPr>
      <w:r>
        <w:rPr>
          <w:rFonts w:ascii="Arial" w:cs="Arial" w:eastAsia="Arial" w:hAnsi="Arial"/>
          <w:sz w:val="17"/>
          <w:szCs w:val="17"/>
          <w:color w:val="auto"/>
        </w:rPr>
        <w:t>Since our inception in August 2016, we have incurred net losses each year and we expect to continue to incur significant and increasing losses for the foreseeable future as we continue to advance our platforms, programs and product candidates, and operate as a public company. Our net losses may fluctuate significantly from period to period, depending on the timing of expenditures on our research and development activities. As of June 30, 2022, we had an accumulated deficit of $215.0 million and cash, cash equivalents and investments in marketable securities of $180.9 million. Our net losses resulted primarily from our research and development programs, and, to a lesser extent, general and administrative costs associated with our operations. Historically, we have funded our operations primarily from the sale and issuance of our equity securities.</w:t>
      </w:r>
    </w:p>
    <w:p>
      <w:pPr>
        <w:spacing w:after="0" w:line="169" w:lineRule="exact"/>
        <w:rPr>
          <w:sz w:val="20"/>
          <w:szCs w:val="20"/>
          <w:color w:val="auto"/>
        </w:rPr>
      </w:pPr>
    </w:p>
    <w:p>
      <w:pPr>
        <w:jc w:val="center"/>
        <w:ind w:right="8720"/>
        <w:spacing w:after="0"/>
        <w:rPr>
          <w:sz w:val="20"/>
          <w:szCs w:val="20"/>
          <w:color w:val="auto"/>
        </w:rPr>
      </w:pPr>
      <w:r>
        <w:rPr>
          <w:rFonts w:ascii="Arial" w:cs="Arial" w:eastAsia="Arial" w:hAnsi="Arial"/>
          <w:sz w:val="16"/>
          <w:szCs w:val="16"/>
          <w:b w:val="1"/>
          <w:bCs w:val="1"/>
          <w:color w:val="auto"/>
        </w:rPr>
        <w:t>Liquidity and Capital Resources</w:t>
      </w:r>
    </w:p>
    <w:p>
      <w:pPr>
        <w:spacing w:after="0" w:line="25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jc w:val="both"/>
        <w:ind w:right="100" w:firstLine="509"/>
        <w:spacing w:after="0" w:line="294" w:lineRule="auto"/>
        <w:rPr>
          <w:sz w:val="20"/>
          <w:szCs w:val="20"/>
          <w:color w:val="auto"/>
        </w:rPr>
      </w:pPr>
      <w:r>
        <w:rPr>
          <w:rFonts w:ascii="Arial" w:cs="Arial" w:eastAsia="Arial" w:hAnsi="Arial"/>
          <w:sz w:val="16"/>
          <w:szCs w:val="16"/>
          <w:color w:val="auto"/>
        </w:rPr>
        <w:t>Since our inception, we have not generated any revenue and we have incurred significant net losses and negative cash flows from operations. From our inception through June 30, 2022, we have funded our operations primarily from the sale and issuance of our equity securities. As of June 30, 2022, we had cash, cash equivalents and investments in marketable securities of $180.9 million and an accumulated deficit of $215.0 million.</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We expect our expenses and operating losses will increase substantially over the foreseeable future. The expected increase in expenses will be driven in large part by our ongoing activities, if and as we:</w:t>
      </w:r>
    </w:p>
    <w:p>
      <w:pPr>
        <w:spacing w:after="0" w:line="76" w:lineRule="exact"/>
        <w:rPr>
          <w:sz w:val="20"/>
          <w:szCs w:val="20"/>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advance our Gene Therapy, Cellular Regeneration and Precision Medicine platforms;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preclinical development of our product candidates and initiate additional preclinical studies;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commence clinical trials of our product candidates;</w:t>
      </w:r>
    </w:p>
    <w:p>
      <w:pPr>
        <w:spacing w:after="0" w:line="117"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operate our manufacturing facility and develop our manufacturing capabilities;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and license technologies aligned with our Gene Therapy, Cellular Regeneration and Precision Medicine platforms;</w:t>
      </w:r>
    </w:p>
    <w:p>
      <w:pPr>
        <w:spacing w:after="0" w:line="103" w:lineRule="exact"/>
        <w:rPr>
          <w:rFonts w:ascii="Arial" w:cs="Arial" w:eastAsia="Arial" w:hAnsi="Arial"/>
          <w:sz w:val="18"/>
          <w:szCs w:val="18"/>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 of our product candidates that successfully complete clinical trials;</w:t>
      </w:r>
    </w:p>
    <w:p>
      <w:pPr>
        <w:spacing w:after="0" w:line="117" w:lineRule="exact"/>
        <w:rPr>
          <w:rFonts w:ascii="Arial" w:cs="Arial" w:eastAsia="Arial" w:hAnsi="Arial"/>
          <w:sz w:val="18"/>
          <w:szCs w:val="18"/>
          <w:color w:val="auto"/>
        </w:rPr>
      </w:pPr>
    </w:p>
    <w:p>
      <w:pPr>
        <w:ind w:left="900" w:right="160" w:hanging="383"/>
        <w:spacing w:after="0" w:line="291" w:lineRule="auto"/>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our operational, financial, and information systems and increase personnel, including personnel to support our preclinical and clinical development, manufacturing, system infrastructure, regulatory compliance and future commercialization efforts;</w:t>
      </w:r>
    </w:p>
    <w:p>
      <w:pPr>
        <w:spacing w:after="0" w:line="38" w:lineRule="exact"/>
        <w:rPr>
          <w:rFonts w:ascii="Arial" w:cs="Arial" w:eastAsia="Arial" w:hAnsi="Arial"/>
          <w:sz w:val="17"/>
          <w:szCs w:val="17"/>
          <w:color w:val="auto"/>
        </w:rPr>
      </w:pPr>
    </w:p>
    <w:p>
      <w:pPr>
        <w:ind w:left="900" w:hanging="383"/>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grow, perfect, enforce and defend our intellectual property portfolio; and</w:t>
      </w:r>
    </w:p>
    <w:p>
      <w:pPr>
        <w:spacing w:after="0" w:line="117" w:lineRule="exact"/>
        <w:rPr>
          <w:rFonts w:ascii="Arial" w:cs="Arial" w:eastAsia="Arial" w:hAnsi="Arial"/>
          <w:sz w:val="18"/>
          <w:szCs w:val="18"/>
          <w:color w:val="auto"/>
        </w:rPr>
      </w:pPr>
    </w:p>
    <w:p>
      <w:pPr>
        <w:ind w:left="900" w:right="320" w:hanging="383"/>
        <w:spacing w:after="0" w:line="261"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incur legal, accounting, insurance and other expenses in operating our business as a public company, including costs associated with regulatory and compliance activities.</w:t>
      </w:r>
    </w:p>
    <w:p>
      <w:pPr>
        <w:spacing w:after="0" w:line="63"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Based on our current operating plan, we believe that our existing cash, cash equivalents and investments in marketable securities will be sufficient to meet our working capital and capital expenditure needs through at least the next twelve months following the date of this Quarterly Report on Form 10-Q.</w:t>
      </w:r>
    </w:p>
    <w:p>
      <w:pPr>
        <w:spacing w:after="0" w:line="30"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In order to complete the development of our product candidates and commercialize our product candidates, if approved, we will require substantial additional funding. Until such time as we can generate significant revenue from sales of our product candidates, if ever, we expect to finance our operations through public or private equity offerings or debt financings or other capital sources, which may include strategic collaborations or other arrangements with third parties, or other sources of financing. We may not be able to raise additional capital on terms acceptable to us or at all.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including restricting our operations and limiting our ability to incur liens, issue additional debt, pay dividends, repurchase our common stock, make certain investments or engage in merger, consolidation, licensing or asset sale transactions. If we raise funds through strategic collaborations, partnerships and other similar arrangements with third parties, we may be required to grant rights to develop and market product candidates that we would otherwise prefer to develop and market ourselves. If we are unable to raise additional capital on acceptable terms when needed, our business, results of operations, and financial condition would be adversely affected.</w:t>
      </w:r>
    </w:p>
    <w:p>
      <w:pPr>
        <w:spacing w:after="0" w:line="80"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the recent disruptions to, and volatility in, the credit and financial markets in the United States and worldwide resulting from the ongoing COVID-19 pandemic. If we fail to obtain necessary capital when needed on acceptable terms, or at all, it could force us to delay, limit,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ind w:right="20"/>
        <w:spacing w:after="0" w:line="256" w:lineRule="auto"/>
        <w:rPr>
          <w:sz w:val="20"/>
          <w:szCs w:val="20"/>
          <w:color w:val="auto"/>
        </w:rPr>
      </w:pPr>
      <w:r>
        <w:rPr>
          <w:rFonts w:ascii="Arial" w:cs="Arial" w:eastAsia="Arial" w:hAnsi="Arial"/>
          <w:sz w:val="18"/>
          <w:szCs w:val="18"/>
          <w:color w:val="auto"/>
        </w:rPr>
        <w:t>reduce or terminate our product development programs, future commercialization efforts or other operations. Because of the numerous risks and uncertainties associated with research, product development and commercialization of product candidates, we are unable to predict the timing or amount of our working capital requirements or when or if we will be able to achieve or maintain profitability.</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62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00" w:type="dxa"/>
            <w:vAlign w:val="bottom"/>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6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9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82"/>
              </w:rPr>
              <w:t>thousands)</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0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39"/>
              <w:spacing w:after="0"/>
              <w:rPr>
                <w:sz w:val="20"/>
                <w:szCs w:val="20"/>
                <w:color w:val="auto"/>
              </w:rPr>
            </w:pPr>
            <w:r>
              <w:rPr>
                <w:rFonts w:ascii="Arial" w:cs="Arial" w:eastAsia="Arial" w:hAnsi="Arial"/>
                <w:sz w:val="18"/>
                <w:szCs w:val="18"/>
                <w:color w:val="auto"/>
                <w:w w:val="99"/>
              </w:rPr>
              <w:t>(54,186 )</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(27,808 )</w:t>
            </w:r>
          </w:p>
        </w:tc>
      </w:tr>
      <w:tr>
        <w:trPr>
          <w:trHeight w:val="216"/>
        </w:trPr>
        <w:tc>
          <w:tcPr>
            <w:tcW w:w="6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46,644</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(7,559 )</w:t>
            </w:r>
          </w:p>
        </w:tc>
      </w:tr>
      <w:tr>
        <w:trPr>
          <w:trHeight w:val="216"/>
        </w:trPr>
        <w:tc>
          <w:tcPr>
            <w:tcW w:w="620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18,717</w:t>
            </w:r>
          </w:p>
        </w:tc>
        <w:tc>
          <w:tcPr>
            <w:tcW w:w="100" w:type="dxa"/>
            <w:vAlign w:val="bottom"/>
          </w:tcPr>
          <w:p>
            <w:pPr>
              <w:spacing w:after="0"/>
              <w:rPr>
                <w:sz w:val="18"/>
                <w:szCs w:val="18"/>
                <w:color w:val="auto"/>
              </w:rPr>
            </w:pPr>
          </w:p>
        </w:tc>
      </w:tr>
      <w:tr>
        <w:trPr>
          <w:trHeight w:val="250"/>
        </w:trPr>
        <w:tc>
          <w:tcPr>
            <w:tcW w:w="6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Net change in cash, cash equivalents and restricted cash</w:t>
            </w:r>
          </w:p>
        </w:tc>
        <w:tc>
          <w:tcPr>
            <w:tcW w:w="1100" w:type="dxa"/>
            <w:vAlign w:val="bottom"/>
            <w:tcBorders>
              <w:bottom w:val="single" w:sz="8" w:color="auto"/>
            </w:tcBorders>
            <w:shd w:val="clear" w:color="auto" w:fill="CFF0FC"/>
          </w:tcPr>
          <w:p>
            <w:pPr>
              <w:jc w:val="right"/>
              <w:ind w:right="916"/>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(7,267</w:t>
            </w:r>
          </w:p>
        </w:tc>
        <w:tc>
          <w:tcPr>
            <w:tcW w:w="30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-24765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6760210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Net cash used in operating activities for the six months ended June 30, 2022 was $54.2 million, which consisted primarily of a net loss of $59.5 million and a net change in operating assets and liabilities of $3.2 million, partially offset by $8.4 million in non-cash charges. The change in net operating assets and liabilities was primarily due to a decrease in accounts payable and accrued liabilities of $1.4 million and a decrease in operating lease liabilities of $1.2 million. Cash flows from operations are generally impacted by the timing of payments to vendors and vendor payment terms. The non-cash charges primarily consisted of stock-based compensation of $5.1 million and depreciation and amortization of $2.3 million.</w:t>
      </w:r>
    </w:p>
    <w:p>
      <w:pPr>
        <w:spacing w:after="0" w:line="44"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Net cash used in operating activities for the six months ended June 30, 2021 was $27.8 million, which consisted primarily of a net loss of $28.3 million and a net change in operating assets and liabilities of $2.3 million, partially offset by $2.8 million in non-cash charges. The change in net operating assets and liabilities was primarily due to an increase in other noncurrent assets of $3.0 million related to a security deposit for a lease entered into in February 2021. The non-cash charges primarily consisted of depreciation and amortization of $1.4 million and stock-based compensation of $0.9 million.</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jc w:val="both"/>
        <w:ind w:right="60" w:firstLine="509"/>
        <w:spacing w:after="0" w:line="250" w:lineRule="auto"/>
        <w:rPr>
          <w:sz w:val="20"/>
          <w:szCs w:val="20"/>
          <w:color w:val="auto"/>
        </w:rPr>
      </w:pPr>
      <w:r>
        <w:rPr>
          <w:rFonts w:ascii="Arial" w:cs="Arial" w:eastAsia="Arial" w:hAnsi="Arial"/>
          <w:sz w:val="18"/>
          <w:szCs w:val="18"/>
          <w:color w:val="auto"/>
        </w:rPr>
        <w:t>Net cash provided by investing activities for the six months ended June 30, 2022 was $46.6 million, which consisted of proceeds from maturities of marketable securities of $127.6 million, partially offset by purchases of marketable securities of $65.1 million and purchases of property and equipment of $15.8 million primarily related to our manufacturing and office space located in Union City, California.</w:t>
      </w:r>
    </w:p>
    <w:p>
      <w:pPr>
        <w:spacing w:after="0" w:line="29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Net cash used in investing activities for the six months ended June 30, 2021 was $7.6 million, for purchases of property and equipment primarily related to our manufacturing and office space located in Union City, California.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Net cash provided by financing activities for the six months ended June 30, 2022 consisted of proceeds from the exercise of stock options.</w:t>
      </w:r>
    </w:p>
    <w:p>
      <w:pPr>
        <w:spacing w:after="0" w:line="115" w:lineRule="exact"/>
        <w:rPr>
          <w:sz w:val="20"/>
          <w:szCs w:val="20"/>
          <w:color w:val="auto"/>
        </w:rPr>
      </w:pPr>
    </w:p>
    <w:p>
      <w:pPr>
        <w:ind w:right="420" w:firstLine="509"/>
        <w:spacing w:after="0" w:line="261" w:lineRule="auto"/>
        <w:rPr>
          <w:sz w:val="20"/>
          <w:szCs w:val="20"/>
          <w:color w:val="auto"/>
        </w:rPr>
      </w:pPr>
      <w:r>
        <w:rPr>
          <w:rFonts w:ascii="Arial" w:cs="Arial" w:eastAsia="Arial" w:hAnsi="Arial"/>
          <w:sz w:val="18"/>
          <w:szCs w:val="18"/>
          <w:color w:val="auto"/>
        </w:rPr>
        <w:t>Net cash provided by financing activities for the six months ended June 30, 2021 was $18.7 million, which consisted primarily of net proceeds received from the sale and issuance of 1.6 million shares of our Series C convertible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As of June 30, 2022, there have been no material changes from the contractual obligations and commitments previously disclosed in our Annual Report on Form 10-K for the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Since inception, we have not engaged in any off-balance sheet arrangements as defined in the rules and regulations of the SEC.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8" w:lineRule="exact"/>
        <w:rPr>
          <w:sz w:val="20"/>
          <w:szCs w:val="20"/>
          <w:color w:val="auto"/>
        </w:rPr>
      </w:pPr>
    </w:p>
    <w:p>
      <w:pPr>
        <w:ind w:right="200" w:firstLine="509"/>
        <w:spacing w:after="0" w:line="342" w:lineRule="auto"/>
        <w:rPr>
          <w:sz w:val="20"/>
          <w:szCs w:val="20"/>
          <w:color w:val="auto"/>
        </w:rPr>
      </w:pPr>
      <w:r>
        <w:rPr>
          <w:rFonts w:ascii="Arial" w:cs="Arial" w:eastAsia="Arial" w:hAnsi="Arial"/>
          <w:sz w:val="16"/>
          <w:szCs w:val="16"/>
          <w:color w:val="auto"/>
        </w:rPr>
        <w:t>A summary of our critical accounting policies and estimates is presented in Part II, Item 7 of our Annual Report on Form 10-K for the year ended December 31, 2021. There were no material changes to our critical accounting policies and estimates during the six months ended June 30, 2022.</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See Note 2 to our unaudited interim condensed financial statements for more information about recent accounting pronouncements, the timing of their adoption, and our assessment, to the extent we have made one yet, of their potential impact on our financial condition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right="60" w:firstLine="509"/>
        <w:spacing w:after="0" w:line="268"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will remain an emerging growth company until the earliest to occur of: (i) the last day of the fiscal year in which we have more than $1.07 billion in annual revenue; (ii) the date we qualify as a “large accelerated filer,” with at least $700 million of equity securities held by non-affiliates; (iii) the date on which we have issued more than $1.0 billion in non-convertible debt securities during the prior three-year period; and (iv) December 31, 2026.</w:t>
      </w:r>
    </w:p>
    <w:p>
      <w:pPr>
        <w:spacing w:after="0" w:line="58" w:lineRule="exact"/>
        <w:rPr>
          <w:sz w:val="20"/>
          <w:szCs w:val="20"/>
          <w:color w:val="auto"/>
        </w:rPr>
      </w:pPr>
    </w:p>
    <w:p>
      <w:pPr>
        <w:ind w:right="200" w:firstLine="509"/>
        <w:spacing w:after="0" w:line="260" w:lineRule="auto"/>
        <w:rPr>
          <w:sz w:val="20"/>
          <w:szCs w:val="20"/>
          <w:color w:val="auto"/>
        </w:rPr>
      </w:pPr>
      <w:r>
        <w:rPr>
          <w:rFonts w:ascii="Arial" w:cs="Arial" w:eastAsia="Arial" w:hAnsi="Arial"/>
          <w:sz w:val="17"/>
          <w:szCs w:val="17"/>
          <w:color w:val="auto"/>
        </w:rPr>
        <w:t>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that have different effective dates for public and private companies until the earlier of the date on which we (i) are no longer an emerging growth company and (ii) affirmatively and irrevocably opt out of the extended transition period provided by the JOBS Act. As a result, our financial statements may not be comparable to companies that comply with new or revised accounting pronouncements as of public company effective dates.</w:t>
      </w:r>
    </w:p>
    <w:p>
      <w:pPr>
        <w:spacing w:after="0" w:line="79" w:lineRule="exact"/>
        <w:rPr>
          <w:sz w:val="20"/>
          <w:szCs w:val="20"/>
          <w:color w:val="auto"/>
        </w:rPr>
      </w:pPr>
    </w:p>
    <w:p>
      <w:pPr>
        <w:ind w:right="120" w:firstLine="509"/>
        <w:spacing w:after="0" w:line="268"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58"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company’s smaller reporting companies have reduced disclosure obligations regarding executive compensation.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We are a smaller reporting company, as defined by Rule 12b-2 under the Securities and Exchange Act of 1934 and in Item 10(f)(1) of Regulation S-K, and are not required to provide the information under this item.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80" w:firstLine="509"/>
        <w:spacing w:after="0" w:line="258" w:lineRule="auto"/>
        <w:rPr>
          <w:sz w:val="20"/>
          <w:szCs w:val="20"/>
          <w:color w:val="auto"/>
        </w:rPr>
      </w:pPr>
      <w:r>
        <w:rPr>
          <w:rFonts w:ascii="Arial" w:cs="Arial" w:eastAsia="Arial" w:hAnsi="Arial"/>
          <w:sz w:val="17"/>
          <w:szCs w:val="17"/>
          <w:color w:val="auto"/>
        </w:rPr>
        <w:t>Our management, with the participation and supervision of our Chief Executive Officer and our Chief Financial Officer, have evaluated our disclosure controls and procedures (as defined in Rules 13a-15(e) and 15d-15(e) under the Securities Exchange Act of 1934, as amended, or the Exchange Act) as of the end of the period covered by this Quarterly Report on Form 10-Q. Based on that evaluation, our Chief Executive Officer and Chief Financial Officer have concluded that, as of the end of the period covered by this Quarterly Report on Form 10-Q,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Exchange Act Rules 13a-15(f) and 15d-15(f)) during the quarter ended June 30, 2022 that have materially affected, or are reasonably likely to materially affect, our internal control over financial reporting.</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8" w:lineRule="exact"/>
        <w:rPr>
          <w:sz w:val="20"/>
          <w:szCs w:val="20"/>
          <w:color w:val="auto"/>
        </w:rPr>
      </w:pPr>
    </w:p>
    <w:p>
      <w:pPr>
        <w:jc w:val="both"/>
        <w:ind w:right="140" w:firstLine="509"/>
        <w:spacing w:after="0" w:line="278" w:lineRule="auto"/>
        <w:rPr>
          <w:sz w:val="20"/>
          <w:szCs w:val="20"/>
          <w:color w:val="auto"/>
        </w:rPr>
      </w:pPr>
      <w:r>
        <w:rPr>
          <w:rFonts w:ascii="Arial" w:cs="Arial" w:eastAsia="Arial" w:hAnsi="Arial"/>
          <w:sz w:val="17"/>
          <w:szCs w:val="17"/>
          <w:color w:val="auto"/>
        </w:rPr>
        <w:t>From time to time, we may become involved in various legal proceedings that arise in the ordinary course of our business. We are not currently a party to any litigation or legal proceedings that are likely to have a material adverse effect on our business. Regardless of outcome, litigation can have an adverse impact on us because of defense and settlement costs, diversion of management resources, and other factors.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ind w:right="420" w:firstLine="509"/>
        <w:spacing w:after="0" w:line="283" w:lineRule="auto"/>
        <w:rPr>
          <w:sz w:val="20"/>
          <w:szCs w:val="20"/>
          <w:color w:val="auto"/>
        </w:rPr>
      </w:pPr>
      <w:r>
        <w:rPr>
          <w:rFonts w:ascii="Arial" w:cs="Arial" w:eastAsia="Arial" w:hAnsi="Arial"/>
          <w:sz w:val="16"/>
          <w:szCs w:val="16"/>
          <w:i w:val="1"/>
          <w:iCs w:val="1"/>
          <w:color w:val="231F20"/>
        </w:rPr>
        <w:t>Investing in our common stock involves a high degree of risk. You should carefully consider the risks described below, as well as the other information in this quarterly report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 Factors Summary</w:t>
      </w:r>
    </w:p>
    <w:p>
      <w:pPr>
        <w:spacing w:after="0" w:line="108"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i w:val="1"/>
          <w:iCs w:val="1"/>
          <w:color w:val="auto"/>
        </w:rPr>
        <w:t>Our ability to execute on our business strategy is subject to a number of risks and uncertainties, including those outside of our control, that could cause our actual results to be harmed, including risks regarding the following:</w:t>
      </w:r>
    </w:p>
    <w:p>
      <w:pPr>
        <w:spacing w:after="0" w:line="251" w:lineRule="exact"/>
        <w:rPr>
          <w:sz w:val="20"/>
          <w:szCs w:val="20"/>
          <w:color w:val="auto"/>
        </w:rPr>
      </w:pPr>
    </w:p>
    <w:p>
      <w:pPr>
        <w:ind w:left="900" w:right="320" w:hanging="383"/>
        <w:spacing w:after="0" w:line="256"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66" w:lineRule="exact"/>
        <w:rPr>
          <w:rFonts w:ascii="Arial" w:cs="Arial" w:eastAsia="Arial" w:hAnsi="Arial"/>
          <w:sz w:val="13"/>
          <w:szCs w:val="13"/>
          <w:color w:val="auto"/>
        </w:rPr>
      </w:pPr>
    </w:p>
    <w:p>
      <w:pPr>
        <w:ind w:left="900" w:right="240" w:hanging="383"/>
        <w:spacing w:after="0" w:line="277"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We have not generated any product revenue to date, have incurred significant net losses since our inception, and expect to continue to incur significant net losses for the foreseeable future.</w:t>
      </w:r>
    </w:p>
    <w:p>
      <w:pPr>
        <w:spacing w:after="0" w:line="48" w:lineRule="exact"/>
        <w:rPr>
          <w:rFonts w:ascii="Arial" w:cs="Arial" w:eastAsia="Arial" w:hAnsi="Arial"/>
          <w:sz w:val="13"/>
          <w:szCs w:val="13"/>
          <w:color w:val="auto"/>
        </w:rPr>
      </w:pPr>
    </w:p>
    <w:p>
      <w:pPr>
        <w:ind w:left="900" w:right="48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76" w:lineRule="exact"/>
        <w:rPr>
          <w:rFonts w:ascii="Arial" w:cs="Arial" w:eastAsia="Arial" w:hAnsi="Arial"/>
          <w:sz w:val="13"/>
          <w:szCs w:val="13"/>
          <w:color w:val="auto"/>
        </w:rPr>
      </w:pPr>
    </w:p>
    <w:p>
      <w:pPr>
        <w:ind w:left="900" w:right="240" w:hanging="383"/>
        <w:spacing w:after="0" w:line="248"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73" w:lineRule="exact"/>
        <w:rPr>
          <w:rFonts w:ascii="Arial" w:cs="Arial" w:eastAsia="Arial" w:hAnsi="Arial"/>
          <w:sz w:val="13"/>
          <w:szCs w:val="13"/>
          <w:color w:val="auto"/>
        </w:rPr>
      </w:pPr>
    </w:p>
    <w:p>
      <w:pPr>
        <w:ind w:left="900" w:hanging="383"/>
        <w:spacing w:after="0" w:line="277"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operations and financial results could be adversely impacted by the effects of the COVID-19 pandemic in the United States and the rest of the world.</w:t>
      </w:r>
    </w:p>
    <w:p>
      <w:pPr>
        <w:spacing w:after="0" w:line="48" w:lineRule="exact"/>
        <w:rPr>
          <w:rFonts w:ascii="Arial" w:cs="Arial" w:eastAsia="Arial" w:hAnsi="Arial"/>
          <w:sz w:val="13"/>
          <w:szCs w:val="13"/>
          <w:color w:val="auto"/>
        </w:rPr>
      </w:pPr>
    </w:p>
    <w:p>
      <w:pPr>
        <w:ind w:left="900" w:right="300" w:hanging="383"/>
        <w:spacing w:after="0" w:line="278" w:lineRule="auto"/>
        <w:tabs>
          <w:tab w:leader="none" w:pos="900" w:val="left"/>
        </w:tabs>
        <w:numPr>
          <w:ilvl w:val="0"/>
          <w:numId w:val="15"/>
        </w:numPr>
        <w:rPr>
          <w:rFonts w:ascii="Arial" w:cs="Arial" w:eastAsia="Arial" w:hAnsi="Arial"/>
          <w:sz w:val="12"/>
          <w:szCs w:val="12"/>
          <w:color w:val="auto"/>
        </w:rPr>
      </w:pPr>
      <w:r>
        <w:rPr>
          <w:rFonts w:ascii="Arial" w:cs="Arial" w:eastAsia="Arial" w:hAnsi="Arial"/>
          <w:sz w:val="17"/>
          <w:szCs w:val="17"/>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49" w:lineRule="exact"/>
        <w:rPr>
          <w:rFonts w:ascii="Arial" w:cs="Arial" w:eastAsia="Arial" w:hAnsi="Arial"/>
          <w:sz w:val="12"/>
          <w:szCs w:val="12"/>
          <w:color w:val="auto"/>
        </w:rPr>
      </w:pPr>
    </w:p>
    <w:p>
      <w:pPr>
        <w:ind w:left="900" w:right="60" w:hanging="383"/>
        <w:spacing w:after="0" w:line="278" w:lineRule="auto"/>
        <w:tabs>
          <w:tab w:leader="none" w:pos="900" w:val="left"/>
        </w:tabs>
        <w:numPr>
          <w:ilvl w:val="0"/>
          <w:numId w:val="15"/>
        </w:numPr>
        <w:rPr>
          <w:rFonts w:ascii="Arial" w:cs="Arial" w:eastAsia="Arial" w:hAnsi="Arial"/>
          <w:sz w:val="12"/>
          <w:szCs w:val="12"/>
          <w:color w:val="auto"/>
        </w:rPr>
      </w:pPr>
      <w:r>
        <w:rPr>
          <w:rFonts w:ascii="Arial" w:cs="Arial" w:eastAsia="Arial" w:hAnsi="Arial"/>
          <w:sz w:val="17"/>
          <w:szCs w:val="17"/>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49" w:lineRule="exact"/>
        <w:rPr>
          <w:rFonts w:ascii="Arial" w:cs="Arial" w:eastAsia="Arial" w:hAnsi="Arial"/>
          <w:sz w:val="12"/>
          <w:szCs w:val="12"/>
          <w:color w:val="auto"/>
        </w:rPr>
      </w:pPr>
    </w:p>
    <w:p>
      <w:pPr>
        <w:ind w:left="900" w:right="520" w:hanging="383"/>
        <w:spacing w:after="0" w:line="261"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The mechanisms of action of our product candidates are unproven, and we do not know whether we will be able to develop any drug of commercial value.</w:t>
      </w:r>
    </w:p>
    <w:p>
      <w:pPr>
        <w:spacing w:after="0" w:line="76" w:lineRule="exact"/>
        <w:rPr>
          <w:rFonts w:ascii="Arial" w:cs="Arial" w:eastAsia="Arial" w:hAnsi="Arial"/>
          <w:sz w:val="13"/>
          <w:szCs w:val="13"/>
          <w:color w:val="auto"/>
        </w:rPr>
      </w:pPr>
    </w:p>
    <w:p>
      <w:pPr>
        <w:ind w:left="900" w:hanging="383"/>
        <w:spacing w:after="0" w:line="245"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7" w:lineRule="exact"/>
        <w:rPr>
          <w:rFonts w:ascii="Arial" w:cs="Arial" w:eastAsia="Arial" w:hAnsi="Arial"/>
          <w:sz w:val="13"/>
          <w:szCs w:val="13"/>
          <w:color w:val="auto"/>
        </w:rPr>
      </w:pPr>
    </w:p>
    <w:p>
      <w:pPr>
        <w:ind w:left="900" w:right="40" w:hanging="383"/>
        <w:spacing w:after="0" w:line="256" w:lineRule="auto"/>
        <w:tabs>
          <w:tab w:leader="none" w:pos="900" w:val="left"/>
        </w:tabs>
        <w:numPr>
          <w:ilvl w:val="0"/>
          <w:numId w:val="15"/>
        </w:numPr>
        <w:rPr>
          <w:rFonts w:ascii="Arial" w:cs="Arial" w:eastAsia="Arial" w:hAnsi="Arial"/>
          <w:sz w:val="13"/>
          <w:szCs w:val="13"/>
          <w:color w:val="auto"/>
        </w:rPr>
      </w:pPr>
      <w:r>
        <w:rPr>
          <w:rFonts w:ascii="Arial" w:cs="Arial" w:eastAsia="Arial" w:hAnsi="Arial"/>
          <w:sz w:val="18"/>
          <w:szCs w:val="18"/>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24" w:right="419" w:bottom="1440" w:gutter="0" w:footer="0" w:header="0"/>
        </w:sectPr>
      </w:pPr>
    </w:p>
    <w:bookmarkStart w:id="24" w:name="page25"/>
    <w:bookmarkEnd w:id="24"/>
    <w:p>
      <w:pPr>
        <w:jc w:val="both"/>
        <w:ind w:left="900" w:right="220" w:hanging="383"/>
        <w:spacing w:after="0" w:line="249"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86" w:lineRule="exact"/>
        <w:rPr>
          <w:rFonts w:ascii="Arial" w:cs="Arial" w:eastAsia="Arial" w:hAnsi="Arial"/>
          <w:sz w:val="13"/>
          <w:szCs w:val="13"/>
          <w:color w:val="auto"/>
        </w:rPr>
      </w:pPr>
    </w:p>
    <w:p>
      <w:pPr>
        <w:ind w:left="900" w:right="600" w:hanging="383"/>
        <w:spacing w:after="0" w:line="324" w:lineRule="auto"/>
        <w:tabs>
          <w:tab w:leader="none" w:pos="900" w:val="left"/>
        </w:tabs>
        <w:numPr>
          <w:ilvl w:val="0"/>
          <w:numId w:val="16"/>
        </w:numPr>
        <w:rPr>
          <w:rFonts w:ascii="Arial" w:cs="Arial" w:eastAsia="Arial" w:hAnsi="Arial"/>
          <w:sz w:val="11"/>
          <w:szCs w:val="11"/>
          <w:color w:val="auto"/>
        </w:rPr>
      </w:pPr>
      <w:r>
        <w:rPr>
          <w:rFonts w:ascii="Arial" w:cs="Arial" w:eastAsia="Arial" w:hAnsi="Arial"/>
          <w:sz w:val="16"/>
          <w:szCs w:val="16"/>
          <w:color w:val="231F20"/>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16" w:lineRule="exact"/>
        <w:rPr>
          <w:rFonts w:ascii="Arial" w:cs="Arial" w:eastAsia="Arial" w:hAnsi="Arial"/>
          <w:sz w:val="11"/>
          <w:szCs w:val="11"/>
          <w:color w:val="auto"/>
        </w:rPr>
      </w:pPr>
    </w:p>
    <w:p>
      <w:pPr>
        <w:jc w:val="both"/>
        <w:ind w:left="900" w:right="340" w:hanging="383"/>
        <w:spacing w:after="0" w:line="256"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66" w:lineRule="exact"/>
        <w:rPr>
          <w:rFonts w:ascii="Arial" w:cs="Arial" w:eastAsia="Arial" w:hAnsi="Arial"/>
          <w:sz w:val="13"/>
          <w:szCs w:val="13"/>
          <w:color w:val="auto"/>
        </w:rPr>
      </w:pPr>
    </w:p>
    <w:p>
      <w:pPr>
        <w:jc w:val="both"/>
        <w:ind w:left="900" w:right="40" w:hanging="383"/>
        <w:spacing w:after="0" w:line="256"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66" w:lineRule="exact"/>
        <w:rPr>
          <w:rFonts w:ascii="Arial" w:cs="Arial" w:eastAsia="Arial" w:hAnsi="Arial"/>
          <w:sz w:val="13"/>
          <w:szCs w:val="13"/>
          <w:color w:val="auto"/>
        </w:rPr>
      </w:pPr>
    </w:p>
    <w:p>
      <w:pPr>
        <w:ind w:left="900" w:right="120" w:hanging="383"/>
        <w:spacing w:after="0" w:line="268" w:lineRule="auto"/>
        <w:tabs>
          <w:tab w:leader="none" w:pos="900" w:val="left"/>
        </w:tabs>
        <w:numPr>
          <w:ilvl w:val="0"/>
          <w:numId w:val="16"/>
        </w:numPr>
        <w:rPr>
          <w:rFonts w:ascii="Arial" w:cs="Arial" w:eastAsia="Arial" w:hAnsi="Arial"/>
          <w:sz w:val="12"/>
          <w:szCs w:val="12"/>
          <w:color w:val="auto"/>
        </w:rPr>
      </w:pPr>
      <w:r>
        <w:rPr>
          <w:rFonts w:ascii="Arial" w:cs="Arial" w:eastAsia="Arial" w:hAnsi="Arial"/>
          <w:sz w:val="17"/>
          <w:szCs w:val="17"/>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58" w:lineRule="exact"/>
        <w:rPr>
          <w:rFonts w:ascii="Arial" w:cs="Arial" w:eastAsia="Arial" w:hAnsi="Arial"/>
          <w:sz w:val="12"/>
          <w:szCs w:val="12"/>
          <w:color w:val="auto"/>
        </w:rPr>
      </w:pPr>
    </w:p>
    <w:p>
      <w:pPr>
        <w:ind w:left="900" w:right="60" w:hanging="383"/>
        <w:spacing w:after="0" w:line="256" w:lineRule="auto"/>
        <w:tabs>
          <w:tab w:leader="none" w:pos="900" w:val="left"/>
        </w:tabs>
        <w:numPr>
          <w:ilvl w:val="0"/>
          <w:numId w:val="16"/>
        </w:numPr>
        <w:rPr>
          <w:rFonts w:ascii="Arial" w:cs="Arial" w:eastAsia="Arial" w:hAnsi="Arial"/>
          <w:sz w:val="13"/>
          <w:szCs w:val="13"/>
          <w:color w:val="auto"/>
        </w:rPr>
      </w:pPr>
      <w:r>
        <w:rPr>
          <w:rFonts w:ascii="Arial" w:cs="Arial" w:eastAsia="Arial" w:hAnsi="Arial"/>
          <w:sz w:val="18"/>
          <w:szCs w:val="18"/>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Financial Position, Need for Additional Capital and Limited Operating History</w:t>
      </w:r>
    </w:p>
    <w:p>
      <w:pPr>
        <w:spacing w:after="0" w:line="229" w:lineRule="exact"/>
        <w:rPr>
          <w:sz w:val="20"/>
          <w:szCs w:val="20"/>
          <w:color w:val="auto"/>
        </w:rPr>
      </w:pPr>
    </w:p>
    <w:p>
      <w:pPr>
        <w:jc w:val="both"/>
        <w:ind w:right="500"/>
        <w:spacing w:after="0" w:line="356" w:lineRule="auto"/>
        <w:rPr>
          <w:sz w:val="20"/>
          <w:szCs w:val="20"/>
          <w:color w:val="auto"/>
        </w:rPr>
      </w:pPr>
      <w:r>
        <w:rPr>
          <w:rFonts w:ascii="Arial" w:cs="Arial" w:eastAsia="Arial" w:hAnsi="Arial"/>
          <w:sz w:val="15"/>
          <w:szCs w:val="15"/>
          <w:b w:val="1"/>
          <w:bCs w:val="1"/>
          <w:i w:val="1"/>
          <w:iCs w:val="1"/>
          <w:color w:val="231F20"/>
        </w:rPr>
        <w:t>We are early in our development efforts, with a limited operating history, have not initiated or completed any clinical trials, and have no products approved for commercial sale, which may make it difficult for you to evaluate our current business and likelihood of success and future viability.</w:t>
      </w:r>
    </w:p>
    <w:p>
      <w:pPr>
        <w:spacing w:after="0" w:line="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231F20"/>
        </w:rPr>
        <w:t>We are a preclinical stage biotechnology company with a limited operating history upon which you can evaluate our business and prospects. We commenced operations in 2016, have not initiated or completed any clinical trials, have no products approved for commercial sale and have not generated any revenue. We are developing therapies that address the underlying drivers of heart disease, which is an unproven and highly uncertain undertaking and involves a substantial degree of risk. All of our product candidates are still in preclinical development and have never been tested in humans. Since our inception in 2016, we have devoted substantially all of our focus and financial resources to developing our gene therapy, cellular regeneration and precision medicine platforms, identifying and developing product candidates, conducting preclinical studies, acquiring technology, organizing and recruiting management and technical staff, business planning, establishing our intellectual property portfolio, raising capital, and providing general and administrative support for these operations.</w:t>
      </w:r>
    </w:p>
    <w:p>
      <w:pPr>
        <w:spacing w:after="0" w:line="81"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We have not yet demonstrated our ability to successfully initiate and complete any clinical trials, obtain marketing approvals, manufacture a clinical-or commercial-scale product or arrange for a third party to do so on our behalf, or conduct sales and marketing activities necessary for successful product commercialization. As a result, it may be more difficult for investors to accurately predict our likelihood of success and viability than it could be if we had a longer operating history.</w:t>
      </w:r>
    </w:p>
    <w:p>
      <w:pPr>
        <w:spacing w:after="0" w:line="73"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In addition, we may encounter unforeseen expenses, difficulties, complications, delays and other known and unknown factors and risks frequently experienced by early-stage biotechnology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9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We have not generated any product revenue to date, have incurred significant net losses since our inception, and expect to continue to incur significant net losses for the foreseeable future.</w:t>
      </w:r>
    </w:p>
    <w:p>
      <w:pPr>
        <w:spacing w:after="0" w:line="6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231F20"/>
        </w:rPr>
        <w:t>We have incurred significant net losses since our inception, have not generated any product revenue to date and have financed our operations</w:t>
      </w:r>
    </w:p>
    <w:p>
      <w:pPr>
        <w:spacing w:after="0" w:line="23"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231F20"/>
        </w:rPr>
        <w:t>principally through issuances of our common stock (including in our IPO) and, up until the date of our IPO in July 2021, through private placements of our convertible preferred stock. Our net loss was $ 59.5 million for the six months ended June 30, 2022. As of June 30, 2022, we had an accumulated deficit of $215.0 million. Substantially all of our losses have resulted from expenses incurred in connection with our research and development programs and from general and administrative costs associated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5" w:name="page26"/>
    <w:bookmarkEnd w:id="25"/>
    <w:p>
      <w:pPr>
        <w:ind w:right="40"/>
        <w:spacing w:after="0" w:line="246" w:lineRule="auto"/>
        <w:rPr>
          <w:sz w:val="20"/>
          <w:szCs w:val="20"/>
          <w:color w:val="auto"/>
        </w:rPr>
      </w:pPr>
      <w:r>
        <w:rPr>
          <w:rFonts w:ascii="Arial" w:cs="Arial" w:eastAsia="Arial" w:hAnsi="Arial"/>
          <w:sz w:val="18"/>
          <w:szCs w:val="18"/>
          <w:color w:val="231F20"/>
        </w:rPr>
        <w:t>with our operations. We are still in the early stages of development of our product candidates and have not yet initiated or completed any clinical trials. Our product candidates will require substantial additional development time and resources before we will be able to apply for regulatory approvals and, if approved, begin generating revenue from product sales. As a result, we expect that it will be several years, if ever, before we receive approval to commercialize a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77"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particularly since we expect our expenses to increase if and when our product candidates progress through clinical development as product candidates in later stages of clinical development generally have higher development costs than those in earlier stages, primarily due to the increased size and duration of later-stage clinical trials.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231F20"/>
        </w:rPr>
        <w:t>Our ability to generate revenue and achieve profitability depends significantly on our ability to achieve several objectives relating to the discovery, development and commercialization of our product candidates, if approved.</w:t>
      </w:r>
    </w:p>
    <w:p>
      <w:pPr>
        <w:spacing w:after="0" w:line="49"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231F20"/>
        </w:rPr>
        <w:t>We rely on our multi-modality drug discovery platforms to identify and develop product candidates. Our business depends entirely on the success of these platforms and the successful development, regulatory approval, manufacturing and commercialization of product candidates that we discover with these platforms. Our ability to generate revenue and achieve profitability depends significantly on our ability, or any future collaborator’s ability, to achieve several objectives, including:</w:t>
      </w:r>
    </w:p>
    <w:p>
      <w:pPr>
        <w:spacing w:after="0" w:line="73" w:lineRule="exact"/>
        <w:rPr>
          <w:sz w:val="20"/>
          <w:szCs w:val="20"/>
          <w:color w:val="auto"/>
        </w:rPr>
      </w:pPr>
    </w:p>
    <w:p>
      <w:pPr>
        <w:ind w:left="900" w:right="280" w:hanging="383"/>
        <w:spacing w:after="0" w:line="277"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and timely completion of preclinical and clinical development of product candidates and programs in our Gene Therapy, Cellular Regeneration and Precision Medicine platforms, and our other future product candidates and programs;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obtaining regulatory approval to commence clinical trials of our product candidates;</w:t>
      </w:r>
    </w:p>
    <w:p>
      <w:pPr>
        <w:spacing w:after="0" w:line="103" w:lineRule="exact"/>
        <w:rPr>
          <w:rFonts w:ascii="Arial" w:cs="Arial" w:eastAsia="Arial" w:hAnsi="Arial"/>
          <w:sz w:val="13"/>
          <w:szCs w:val="13"/>
          <w:color w:val="auto"/>
        </w:rPr>
      </w:pPr>
    </w:p>
    <w:p>
      <w:pPr>
        <w:ind w:left="900" w:right="280" w:hanging="383"/>
        <w:spacing w:after="0" w:line="277"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establishing and maintaining relationships with contract research organizations (CROs) and clinical sites for the clinical development of our product candidates and any other future product candidates;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the initiation and successful patient enrollment and completion of clinical trials on a timely basis;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acceptable frequency and severity of adverse events in the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2"/>
          <w:szCs w:val="12"/>
          <w:color w:val="auto"/>
        </w:rPr>
      </w:pPr>
      <w:r>
        <w:rPr>
          <w:rFonts w:ascii="Arial" w:cs="Arial" w:eastAsia="Arial" w:hAnsi="Arial"/>
          <w:sz w:val="17"/>
          <w:szCs w:val="17"/>
          <w:color w:val="231F20"/>
        </w:rPr>
        <w:t>the efficacy and safety profiles that are satisfactory to the FDA or any comparable foreign regulatory authority for marketing approval;</w:t>
      </w:r>
    </w:p>
    <w:p>
      <w:pPr>
        <w:spacing w:after="0" w:line="128" w:lineRule="exact"/>
        <w:rPr>
          <w:rFonts w:ascii="Arial" w:cs="Arial" w:eastAsia="Arial" w:hAnsi="Arial"/>
          <w:sz w:val="12"/>
          <w:szCs w:val="12"/>
          <w:color w:val="auto"/>
        </w:rPr>
      </w:pPr>
    </w:p>
    <w:p>
      <w:pPr>
        <w:ind w:left="900" w:right="30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timely receipt of marketing approvals from applicable regulatory authorities for any product candidates for which we successfully complete clinical development;</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complying with any required post-marketing approval commitments to applicable regulatory authorities;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operating a manufacturing facility and developing an efficient and scalable manufacturing process for our product candidates;</w:t>
      </w:r>
    </w:p>
    <w:p>
      <w:pPr>
        <w:spacing w:after="0" w:line="103" w:lineRule="exact"/>
        <w:rPr>
          <w:rFonts w:ascii="Arial" w:cs="Arial" w:eastAsia="Arial" w:hAnsi="Arial"/>
          <w:sz w:val="13"/>
          <w:szCs w:val="13"/>
          <w:color w:val="auto"/>
        </w:rPr>
      </w:pPr>
    </w:p>
    <w:p>
      <w:pPr>
        <w:ind w:left="900" w:right="120" w:hanging="383"/>
        <w:spacing w:after="0" w:line="256"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66" w:lineRule="exact"/>
        <w:rPr>
          <w:rFonts w:ascii="Arial" w:cs="Arial" w:eastAsia="Arial" w:hAnsi="Arial"/>
          <w:sz w:val="13"/>
          <w:szCs w:val="13"/>
          <w:color w:val="auto"/>
        </w:rPr>
      </w:pPr>
    </w:p>
    <w:p>
      <w:pPr>
        <w:ind w:left="900" w:right="12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commercial launch following any marketing approval, including the development of a commercial infrastructure, whether in-house or with one or more collaborators;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a continued acceptable safety profile following any marketing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commercial acceptance of our product candidates by patients, the medical community and third-party payors;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satisfying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identifying, assessing and developing new product candidates;</w:t>
      </w:r>
    </w:p>
    <w:p>
      <w:pPr>
        <w:spacing w:after="0" w:line="103"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obtaining, maintaining, and expanding patent and other intellectual property protection, trade secret protection and regulatory exclusivity, both in the United States and internationally;</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17"/>
        </w:numPr>
        <w:rPr>
          <w:rFonts w:ascii="Arial" w:cs="Arial" w:eastAsia="Arial" w:hAnsi="Arial"/>
          <w:sz w:val="13"/>
          <w:szCs w:val="13"/>
          <w:color w:val="auto"/>
        </w:rPr>
      </w:pPr>
      <w:r>
        <w:rPr>
          <w:rFonts w:ascii="Arial" w:cs="Arial" w:eastAsia="Arial" w:hAnsi="Arial"/>
          <w:sz w:val="18"/>
          <w:szCs w:val="18"/>
          <w:color w:val="231F20"/>
        </w:rPr>
        <w:t>protecting and enforcing our rights in our intellectual property portfolio;</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6" w:name="page27"/>
    <w:bookmarkEnd w:id="26"/>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defending against third-party infringement, misappropriation, or other claims, if any;</w:t>
      </w:r>
    </w:p>
    <w:p>
      <w:pPr>
        <w:spacing w:after="0" w:line="117" w:lineRule="exact"/>
        <w:rPr>
          <w:rFonts w:ascii="Arial" w:cs="Arial" w:eastAsia="Arial" w:hAnsi="Arial"/>
          <w:sz w:val="13"/>
          <w:szCs w:val="13"/>
          <w:color w:val="auto"/>
        </w:rPr>
      </w:pPr>
    </w:p>
    <w:p>
      <w:pPr>
        <w:ind w:left="900" w:right="900" w:hanging="383"/>
        <w:spacing w:after="0" w:line="261"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entering into, on favorable terms, any collaboration, licensing or other arrangements that may be necessary or desirable to develop, manufacture or commercialize our product candidates;</w:t>
      </w:r>
    </w:p>
    <w:p>
      <w:pPr>
        <w:spacing w:after="0" w:line="62" w:lineRule="exact"/>
        <w:rPr>
          <w:rFonts w:ascii="Arial" w:cs="Arial" w:eastAsia="Arial" w:hAnsi="Arial"/>
          <w:sz w:val="13"/>
          <w:szCs w:val="13"/>
          <w:color w:val="auto"/>
        </w:rPr>
      </w:pPr>
    </w:p>
    <w:p>
      <w:pPr>
        <w:ind w:left="900" w:right="120" w:hanging="383"/>
        <w:spacing w:after="0" w:line="277"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obtaining coverage and adequate reimbursement by third-party payors for our products and patients’ willingness to pay in the absence of such coverage and adequate reimbursement;</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obtaining additional funding to develop, manufacture and commercialize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addressing any competing therapies and technological and market developments;</w:t>
      </w:r>
    </w:p>
    <w:p>
      <w:pPr>
        <w:spacing w:after="0" w:line="117"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managing costs, including any unforeseen costs, that we may incur as a result of nonclinical study or clinical trial delays due to the effects of the COVID-19 pandemic, including the emergence of recent variants, or other causes;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8"/>
        </w:numPr>
        <w:rPr>
          <w:rFonts w:ascii="Arial" w:cs="Arial" w:eastAsia="Arial" w:hAnsi="Arial"/>
          <w:sz w:val="13"/>
          <w:szCs w:val="13"/>
          <w:color w:val="auto"/>
        </w:rPr>
      </w:pPr>
      <w:r>
        <w:rPr>
          <w:rFonts w:ascii="Arial" w:cs="Arial" w:eastAsia="Arial" w:hAnsi="Arial"/>
          <w:sz w:val="18"/>
          <w:szCs w:val="18"/>
          <w:color w:val="231F20"/>
        </w:rPr>
        <w:t>attracting, hiring and retaining qualified and key personnel including clinical, scientific, management and administrative personnel.</w:t>
      </w:r>
    </w:p>
    <w:p>
      <w:pPr>
        <w:spacing w:after="0" w:line="104" w:lineRule="exact"/>
        <w:rPr>
          <w:sz w:val="20"/>
          <w:szCs w:val="20"/>
          <w:color w:val="auto"/>
        </w:rPr>
      </w:pPr>
    </w:p>
    <w:p>
      <w:pPr>
        <w:ind w:right="160" w:firstLine="509"/>
        <w:spacing w:after="0" w:line="249" w:lineRule="auto"/>
        <w:rPr>
          <w:sz w:val="20"/>
          <w:szCs w:val="20"/>
          <w:color w:val="auto"/>
        </w:rPr>
      </w:pPr>
      <w:r>
        <w:rPr>
          <w:rFonts w:ascii="Arial" w:cs="Arial" w:eastAsia="Arial" w:hAnsi="Arial"/>
          <w:sz w:val="18"/>
          <w:szCs w:val="18"/>
          <w:color w:val="231F20"/>
        </w:rPr>
        <w:t>We may never be successful in achieving our objectives and, even if we are,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94"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i w:val="1"/>
          <w:iCs w:val="1"/>
          <w:color w:val="231F20"/>
        </w:rPr>
        <w:t>We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6" w:lineRule="exact"/>
        <w:rPr>
          <w:sz w:val="20"/>
          <w:szCs w:val="20"/>
          <w:color w:val="auto"/>
        </w:rPr>
      </w:pPr>
    </w:p>
    <w:p>
      <w:pPr>
        <w:ind w:right="300" w:firstLine="509"/>
        <w:spacing w:after="0" w:line="288" w:lineRule="auto"/>
        <w:rPr>
          <w:sz w:val="20"/>
          <w:szCs w:val="20"/>
          <w:color w:val="auto"/>
        </w:rPr>
      </w:pPr>
      <w:r>
        <w:rPr>
          <w:rFonts w:ascii="Arial" w:cs="Arial" w:eastAsia="Arial" w:hAnsi="Arial"/>
          <w:sz w:val="16"/>
          <w:szCs w:val="16"/>
          <w:color w:val="231F20"/>
        </w:rPr>
        <w:t>As of June 30, 2022, we had $180.9 million in cash, cash equivalents and investments in marketable securities. We expect our current cash, cash equivalents and investments in marketable securities will be sufficient to fund our current operating plan for operations through at least the next twelve months from the date of this Quarterly Report on Form 10-Q. Our estimate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4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the near- and long-term in connection with our ongoing activities, particularly as we initiate and conduct clinical trials of, and seek marketing approval for, our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EMA or other regulatory agencies to perform clinical trials or preclinical studies in addition to those that we currently anticipate. Other unanticipated costs may also arise. Because the design and outcome of our planned and anticipated preclinical studies and clinical trials are highly uncertain, we cannot reasonably estimate the actual amount of resources and funding that will be necessary to successfully complete the development and commercialization of any product candidate we develop. We are not permitted to market or promote any product candidate before we receive marketing approval from the FDA. We also expect to incur costs associated with operating as a public company. Accordingly, we will need to obtain substantial additional funding in order to continue our operations.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future capital requirements will depend on may factors, including, but not limited to:</w:t>
      </w:r>
    </w:p>
    <w:p>
      <w:pPr>
        <w:spacing w:after="0" w:line="117" w:lineRule="exact"/>
        <w:rPr>
          <w:sz w:val="20"/>
          <w:szCs w:val="20"/>
          <w:color w:val="auto"/>
        </w:rPr>
      </w:pPr>
    </w:p>
    <w:p>
      <w:pPr>
        <w:ind w:left="900" w:hanging="383"/>
        <w:spacing w:after="0" w:line="261"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scope, progress, results and costs of researching, developing and testing our product candidates including conducting preclinical studies and clinical trials;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timing and outcome of regulatory review of our product candidates or any future candidates;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number and characteristics of other product candidates that we pursue or acquire;</w:t>
      </w:r>
    </w:p>
    <w:p>
      <w:pPr>
        <w:spacing w:after="0" w:line="103" w:lineRule="exact"/>
        <w:rPr>
          <w:rFonts w:ascii="Arial" w:cs="Arial" w:eastAsia="Arial" w:hAnsi="Arial"/>
          <w:sz w:val="13"/>
          <w:szCs w:val="13"/>
          <w:color w:val="auto"/>
        </w:rPr>
      </w:pPr>
    </w:p>
    <w:p>
      <w:pPr>
        <w:ind w:left="900" w:right="600" w:hanging="383"/>
        <w:spacing w:after="0" w:line="261"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future activities, including product sales, medical affairs, marketing, manufacturing and distribution, for any of our product candidates for which we receive marketing approval;</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operating our own manufacturing facility;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costs of manufacturing commercial-grade products and sufficient inventory to support commercial launch;</w:t>
      </w:r>
    </w:p>
    <w:p>
      <w:pPr>
        <w:spacing w:after="0" w:line="103"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19"/>
        </w:numPr>
        <w:rPr>
          <w:rFonts w:ascii="Arial" w:cs="Arial" w:eastAsia="Arial" w:hAnsi="Arial"/>
          <w:sz w:val="13"/>
          <w:szCs w:val="13"/>
          <w:color w:val="auto"/>
        </w:rPr>
      </w:pPr>
      <w:r>
        <w:rPr>
          <w:rFonts w:ascii="Arial" w:cs="Arial" w:eastAsia="Arial" w:hAnsi="Arial"/>
          <w:sz w:val="18"/>
          <w:szCs w:val="18"/>
          <w:color w:val="231F20"/>
        </w:rPr>
        <w:t>the cost of commercialization activities, include the cost of building a sales force in anticipation of product commercialization and distribution costs;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7" w:name="page28"/>
    <w:bookmarkEnd w:id="27"/>
    <w:p>
      <w:pPr>
        <w:ind w:left="900" w:hanging="383"/>
        <w:spacing w:after="0"/>
        <w:tabs>
          <w:tab w:leader="none" w:pos="900" w:val="left"/>
        </w:tabs>
        <w:numPr>
          <w:ilvl w:val="0"/>
          <w:numId w:val="20"/>
        </w:numPr>
        <w:rPr>
          <w:rFonts w:ascii="Arial" w:cs="Arial" w:eastAsia="Arial" w:hAnsi="Arial"/>
          <w:sz w:val="12"/>
          <w:szCs w:val="12"/>
          <w:color w:val="auto"/>
        </w:rPr>
      </w:pPr>
      <w:r>
        <w:rPr>
          <w:rFonts w:ascii="Arial" w:cs="Arial" w:eastAsia="Arial" w:hAnsi="Arial"/>
          <w:sz w:val="17"/>
          <w:szCs w:val="17"/>
          <w:color w:val="231F20"/>
        </w:rPr>
        <w:t>the revenue, if any, received from commercial sale of our products, should any of our product candidates receive marketing approval;</w:t>
      </w:r>
    </w:p>
    <w:p>
      <w:pPr>
        <w:spacing w:after="0" w:line="128" w:lineRule="exact"/>
        <w:rPr>
          <w:rFonts w:ascii="Arial" w:cs="Arial" w:eastAsia="Arial" w:hAnsi="Arial"/>
          <w:sz w:val="12"/>
          <w:szCs w:val="12"/>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cost and timing of hiring new employees to support our continued growth;</w:t>
      </w:r>
    </w:p>
    <w:p>
      <w:pPr>
        <w:spacing w:after="0" w:line="103" w:lineRule="exact"/>
        <w:rPr>
          <w:rFonts w:ascii="Arial" w:cs="Arial" w:eastAsia="Arial" w:hAnsi="Arial"/>
          <w:sz w:val="13"/>
          <w:szCs w:val="13"/>
          <w:color w:val="auto"/>
        </w:rPr>
      </w:pPr>
    </w:p>
    <w:p>
      <w:pPr>
        <w:ind w:left="900" w:right="380" w:hanging="383"/>
        <w:spacing w:after="0" w:line="261"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costs of preparing, filing and prosecuting patent applications, maintaining, protecting and enforcing our intellectual property rights and defending intellectual property-related claims;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effect of competing products that may limit market penetration of our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ability to establish and maintain collaborations on favorable terms, if at all;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extent to which we acquire or in-license other product candidates and technologies;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1"/>
          <w:szCs w:val="11"/>
          <w:color w:val="auto"/>
        </w:rPr>
      </w:pPr>
      <w:r>
        <w:rPr>
          <w:rFonts w:ascii="Arial" w:cs="Arial" w:eastAsia="Arial" w:hAnsi="Arial"/>
          <w:sz w:val="16"/>
          <w:szCs w:val="16"/>
          <w:color w:val="231F20"/>
        </w:rPr>
        <w:t>the timing, receipt and amount of sales of, or milestone payments related to or royalties on, our current or future product candidates, if any;</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our need to implement additional internal systems and infrastructure, including financial and reporting systems;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compliance and administrative costs associated with being a public company; and</w:t>
      </w:r>
    </w:p>
    <w:p>
      <w:pPr>
        <w:spacing w:after="0" w:line="103" w:lineRule="exact"/>
        <w:rPr>
          <w:rFonts w:ascii="Arial" w:cs="Arial" w:eastAsia="Arial" w:hAnsi="Arial"/>
          <w:sz w:val="13"/>
          <w:szCs w:val="13"/>
          <w:color w:val="auto"/>
        </w:rPr>
      </w:pPr>
    </w:p>
    <w:p>
      <w:pPr>
        <w:ind w:left="900" w:right="220" w:hanging="383"/>
        <w:spacing w:after="0" w:line="277" w:lineRule="auto"/>
        <w:tabs>
          <w:tab w:leader="none" w:pos="900" w:val="left"/>
        </w:tabs>
        <w:numPr>
          <w:ilvl w:val="0"/>
          <w:numId w:val="20"/>
        </w:numPr>
        <w:rPr>
          <w:rFonts w:ascii="Arial" w:cs="Arial" w:eastAsia="Arial" w:hAnsi="Arial"/>
          <w:sz w:val="13"/>
          <w:szCs w:val="13"/>
          <w:color w:val="auto"/>
        </w:rPr>
      </w:pPr>
      <w:r>
        <w:rPr>
          <w:rFonts w:ascii="Arial" w:cs="Arial" w:eastAsia="Arial" w:hAnsi="Arial"/>
          <w:sz w:val="18"/>
          <w:szCs w:val="18"/>
          <w:color w:val="231F20"/>
        </w:rPr>
        <w:t>the extent to which we acquire or invest in businesses, products, or technologies, although we currently have no commitments or agreements relating to any of these types of transactions.</w:t>
      </w:r>
    </w:p>
    <w:p>
      <w:pPr>
        <w:spacing w:after="0" w:line="49"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231F20"/>
        </w:rPr>
        <w:t>A change in the outcome of any of these or other factors with respect to the development of any of our product candidates could significantly change the costs and timing associated with the development of that product candidate, and many of these factors are outside of our control. Identifying potential product candidates and conducting preclinical studies and clinical trials is a time-consuming, expensive and uncertain process that takes years to complete, and we may never generate the necessary data or results required to obtain regulatory and marketing approval and achieve product sales. In addition, our product candidates, if approved, may not achieve commercial success. Accordingly, we will need to continue to rely on additional financing to achieve our business objectives.</w:t>
      </w:r>
    </w:p>
    <w:p>
      <w:pPr>
        <w:spacing w:after="0" w:line="77" w:lineRule="exact"/>
        <w:rPr>
          <w:sz w:val="20"/>
          <w:szCs w:val="20"/>
          <w:color w:val="auto"/>
        </w:rPr>
      </w:pPr>
    </w:p>
    <w:p>
      <w:pPr>
        <w:ind w:right="20" w:firstLine="509"/>
        <w:spacing w:after="0" w:line="263" w:lineRule="auto"/>
        <w:rPr>
          <w:sz w:val="20"/>
          <w:szCs w:val="20"/>
          <w:color w:val="auto"/>
        </w:rPr>
      </w:pPr>
      <w:r>
        <w:rPr>
          <w:rFonts w:ascii="Arial" w:cs="Arial" w:eastAsia="Arial" w:hAnsi="Arial"/>
          <w:sz w:val="17"/>
          <w:szCs w:val="17"/>
          <w:color w:val="231F20"/>
        </w:rPr>
        <w:t>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our product candidates. Our failure to raise capital as and when needed or on acceptable terms would have a negative impact on our financial condition and our ability to pursue our business strategy, and we may have to delay, reduce the scope of, suspend or eliminate one or more of our platforms, programs, planned clinical trials or future commercialization efforts.</w:t>
      </w:r>
    </w:p>
    <w:p>
      <w:pPr>
        <w:spacing w:after="0" w:line="18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Our operations and financial results could be adversely impacted by the effects of the COVID-19 pandemic, including the emergence of recent variants, in the United States and the rest of the world.</w:t>
      </w:r>
    </w:p>
    <w:p>
      <w:pPr>
        <w:spacing w:after="0" w:line="6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231F20"/>
        </w:rPr>
        <w:t>In March 2020, the World Health Organization declared the novel coronavirus disease (COVID-19) outbreak a global pandemic. To limit the spread of COVID-19, governments have taken various actions including the issuance of stay-at-home orders and physical distancing guidelines. Accordingly, businesses have adjusted, reduced or suspended operating activities. Beginning in March 2020, the majority of our workforce began working from home. Disruptions caused by the COVID-19 pandemic, including the effects of the stay-at-home orders and work-from-home policies, have impacted productivity, have resulted in increased operational expenses, certain adjustments to our operations, delays in our development efforts, and delays in certain supply chain activities. We may experience further disruptions as a result of COVID-19, including the effects of recent variants, that could severely impact our business, including:</w:t>
      </w:r>
    </w:p>
    <w:p>
      <w:pPr>
        <w:spacing w:after="0" w:line="79" w:lineRule="exact"/>
        <w:rPr>
          <w:sz w:val="20"/>
          <w:szCs w:val="20"/>
          <w:color w:val="auto"/>
        </w:rPr>
      </w:pPr>
    </w:p>
    <w:p>
      <w:pPr>
        <w:ind w:left="900" w:right="220" w:hanging="518"/>
        <w:spacing w:after="0" w:line="277" w:lineRule="auto"/>
        <w:tabs>
          <w:tab w:leader="none" w:pos="900" w:val="left"/>
        </w:tabs>
        <w:numPr>
          <w:ilvl w:val="0"/>
          <w:numId w:val="21"/>
        </w:numPr>
        <w:rPr>
          <w:rFonts w:ascii="Arial" w:cs="Arial" w:eastAsia="Arial" w:hAnsi="Arial"/>
          <w:sz w:val="13"/>
          <w:szCs w:val="13"/>
          <w:color w:val="231F20"/>
        </w:rPr>
      </w:pPr>
      <w:r>
        <w:rPr>
          <w:rFonts w:ascii="Arial" w:cs="Arial" w:eastAsia="Arial" w:hAnsi="Arial"/>
          <w:sz w:val="18"/>
          <w:szCs w:val="18"/>
          <w:color w:val="231F20"/>
        </w:rPr>
        <w:t>interruptions, difficulties or delays arising in our existing operations and company culture as a result of a majority of our employees working remotely, including those hired during the COVID-19 pandemic;</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in the receipt of materials integral to the production of drug product to support our planned clinical trials;</w:t>
      </w:r>
    </w:p>
    <w:p>
      <w:pPr>
        <w:spacing w:after="0" w:line="103"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in receiving approval from local regulatory authorities to initiate our planned clinical trials;</w:t>
      </w:r>
    </w:p>
    <w:p>
      <w:pPr>
        <w:spacing w:after="0" w:line="117" w:lineRule="exact"/>
        <w:rPr>
          <w:rFonts w:ascii="Arial" w:cs="Arial" w:eastAsia="Arial" w:hAnsi="Arial"/>
          <w:sz w:val="18"/>
          <w:szCs w:val="18"/>
          <w:color w:val="231F20"/>
        </w:rPr>
      </w:pPr>
    </w:p>
    <w:p>
      <w:pPr>
        <w:ind w:left="900" w:right="260" w:hanging="383"/>
        <w:spacing w:after="0" w:line="261" w:lineRule="auto"/>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or difficulties in enrolling and retaining patients in clinical trials and incurrence of additional costs as a result of preclinical study and clinical trial delays and adjustments;</w:t>
      </w:r>
    </w:p>
    <w:p>
      <w:pPr>
        <w:spacing w:after="0" w:line="62"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challenges related to ongoing and increased operational expenses related to the COVID-19 pandemic;</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1"/>
          <w:numId w:val="21"/>
        </w:numPr>
        <w:rPr>
          <w:rFonts w:ascii="Arial" w:cs="Arial" w:eastAsia="Arial" w:hAnsi="Arial"/>
          <w:sz w:val="18"/>
          <w:szCs w:val="18"/>
          <w:color w:val="231F20"/>
        </w:rPr>
      </w:pPr>
      <w:r>
        <w:rPr>
          <w:rFonts w:ascii="Arial" w:cs="Arial" w:eastAsia="Arial" w:hAnsi="Arial"/>
          <w:sz w:val="18"/>
          <w:szCs w:val="18"/>
          <w:color w:val="231F20"/>
        </w:rPr>
        <w:t>delays or difficulties in clinical site initiation, including difficulties in recruiting clinical site investigators and clinical site staff;</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ind w:left="900" w:hanging="383"/>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or difficulties in obtaining supplies, supply chain specialists, vendors or other contractors related to clinical trial operations and logistics, which can delay the submission of an IND or our ability to commence a clinical trial on a timely manner;</w:t>
      </w:r>
    </w:p>
    <w:p>
      <w:pPr>
        <w:spacing w:after="0" w:line="48" w:lineRule="exact"/>
        <w:rPr>
          <w:rFonts w:ascii="Arial" w:cs="Arial" w:eastAsia="Arial" w:hAnsi="Arial"/>
          <w:sz w:val="18"/>
          <w:szCs w:val="18"/>
          <w:color w:val="auto"/>
        </w:rPr>
      </w:pPr>
    </w:p>
    <w:p>
      <w:pPr>
        <w:ind w:left="900" w:right="60" w:hanging="383"/>
        <w:spacing w:after="0" w:line="26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made to manufacturing plans due to delays or interruptions in obtaining manufacturing supplies or other disruptions to the supply chain, which can negatively impact our clinical plans, delay our clinical development timelines, and increase our costs; if supply chain or manufacturing issues result in material changes to our manufacturing process, such material changes could impact the quality and performance of our product candidates, which could delay our clinical trials, require the conduct of bridging clinical trials or the repetition of one or more clinical trials, increase clinical trial costs, and delay approval of our product candidates;</w:t>
      </w:r>
    </w:p>
    <w:p>
      <w:pPr>
        <w:spacing w:after="0" w:line="76" w:lineRule="exact"/>
        <w:rPr>
          <w:rFonts w:ascii="Arial" w:cs="Arial" w:eastAsia="Arial" w:hAnsi="Arial"/>
          <w:sz w:val="17"/>
          <w:szCs w:val="17"/>
          <w:color w:val="auto"/>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difficulties or increased costs to comply with COVID-19 protocols at our leased facilities and clinical sites;</w:t>
      </w:r>
    </w:p>
    <w:p>
      <w:pPr>
        <w:spacing w:after="0" w:line="103" w:lineRule="exact"/>
        <w:rPr>
          <w:rFonts w:ascii="Arial" w:cs="Arial" w:eastAsia="Arial" w:hAnsi="Arial"/>
          <w:sz w:val="18"/>
          <w:szCs w:val="18"/>
          <w:color w:val="231F20"/>
        </w:rPr>
      </w:pPr>
    </w:p>
    <w:p>
      <w:pPr>
        <w:ind w:left="900" w:right="22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diversion of healthcare resources away from the conduct of clinical trials, including the diversion of hospitals that may serve as our potential clinical trial sites and hospital staff supporting the conduct of clinical trials;</w:t>
      </w:r>
    </w:p>
    <w:p>
      <w:pPr>
        <w:spacing w:after="0" w:line="62" w:lineRule="exact"/>
        <w:rPr>
          <w:rFonts w:ascii="Arial" w:cs="Arial" w:eastAsia="Arial" w:hAnsi="Arial"/>
          <w:sz w:val="18"/>
          <w:szCs w:val="18"/>
          <w:color w:val="231F20"/>
        </w:rPr>
      </w:pPr>
    </w:p>
    <w:p>
      <w:pPr>
        <w:ind w:left="900" w:right="20" w:hanging="383"/>
        <w:spacing w:after="0" w:line="277"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interruption of key clinical trial activities, such as clinical trial site monitoring, due to limitations on travel imposed or recommended by federal or state governments, employers and others;</w:t>
      </w:r>
    </w:p>
    <w:p>
      <w:pPr>
        <w:spacing w:after="0" w:line="48" w:lineRule="exact"/>
        <w:rPr>
          <w:rFonts w:ascii="Arial" w:cs="Arial" w:eastAsia="Arial" w:hAnsi="Arial"/>
          <w:sz w:val="18"/>
          <w:szCs w:val="18"/>
          <w:color w:val="231F20"/>
        </w:rPr>
      </w:pPr>
    </w:p>
    <w:p>
      <w:pPr>
        <w:ind w:left="900" w:right="180" w:hanging="383"/>
        <w:spacing w:after="0" w:line="256"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limitations in resources that would otherwise be focused on the conduct of our business or our clinical trials, including because of sickness or the desire to avoid contact with large groups of people or as a result of government-imposed “Stay-at-Home” orders or similar working restrictions;</w:t>
      </w:r>
    </w:p>
    <w:p>
      <w:pPr>
        <w:spacing w:after="0" w:line="66"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in preclinical and clinical sites receiving the supplies and materials needed to conduct our planned clinical trials;</w:t>
      </w:r>
    </w:p>
    <w:p>
      <w:pPr>
        <w:spacing w:after="0" w:line="103" w:lineRule="exact"/>
        <w:rPr>
          <w:rFonts w:ascii="Arial" w:cs="Arial" w:eastAsia="Arial" w:hAnsi="Arial"/>
          <w:sz w:val="18"/>
          <w:szCs w:val="18"/>
          <w:color w:val="231F20"/>
        </w:rPr>
      </w:pPr>
    </w:p>
    <w:p>
      <w:pPr>
        <w:ind w:left="900" w:right="340" w:hanging="383"/>
        <w:spacing w:after="0" w:line="277"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interruption in global shipping that may affect the transport of clinical trial materials, such as investigational drug product to be used in our clinical trials;</w:t>
      </w:r>
    </w:p>
    <w:p>
      <w:pPr>
        <w:spacing w:after="0" w:line="48" w:lineRule="exact"/>
        <w:rPr>
          <w:rFonts w:ascii="Arial" w:cs="Arial" w:eastAsia="Arial" w:hAnsi="Arial"/>
          <w:sz w:val="18"/>
          <w:szCs w:val="18"/>
          <w:color w:val="231F20"/>
        </w:rPr>
      </w:pPr>
    </w:p>
    <w:p>
      <w:pPr>
        <w:ind w:left="900" w:right="22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changes in regulations as part of a response to the COVID-19 pandemic which may require us to change the ways in which our clinical trials are conducted, or to discontinue clinical trials altogether, or which may result in unexpected costs;</w:t>
      </w:r>
    </w:p>
    <w:p>
      <w:pPr>
        <w:spacing w:after="0" w:line="76" w:lineRule="exact"/>
        <w:rPr>
          <w:rFonts w:ascii="Arial" w:cs="Arial" w:eastAsia="Arial" w:hAnsi="Arial"/>
          <w:sz w:val="18"/>
          <w:szCs w:val="18"/>
          <w:color w:val="231F20"/>
        </w:rPr>
      </w:pPr>
    </w:p>
    <w:p>
      <w:pPr>
        <w:ind w:left="900" w:right="60" w:hanging="383"/>
        <w:spacing w:after="0" w:line="261" w:lineRule="auto"/>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delays in necessary interactions with regulators, ethics committees and other important agencies and contractors due to limitations in employee resources or forced furlough of government or contractor personnel;</w:t>
      </w:r>
    </w:p>
    <w:p>
      <w:pPr>
        <w:spacing w:after="0" w:line="62"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refusal of the FDA to accept data from clinical trials in affected geographies outside the United States;</w:t>
      </w:r>
    </w:p>
    <w:p>
      <w:pPr>
        <w:spacing w:after="0" w:line="117" w:lineRule="exact"/>
        <w:rPr>
          <w:rFonts w:ascii="Arial" w:cs="Arial" w:eastAsia="Arial" w:hAnsi="Arial"/>
          <w:sz w:val="18"/>
          <w:szCs w:val="18"/>
          <w:color w:val="231F20"/>
        </w:rPr>
      </w:pPr>
    </w:p>
    <w:p>
      <w:pPr>
        <w:ind w:left="900" w:hanging="383"/>
        <w:spacing w:after="0"/>
        <w:tabs>
          <w:tab w:leader="none" w:pos="90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increased competition for CROs, CDMOs, suppliers and vendors; and</w:t>
      </w:r>
    </w:p>
    <w:p>
      <w:pPr>
        <w:spacing w:after="0" w:line="103" w:lineRule="exact"/>
        <w:rPr>
          <w:rFonts w:ascii="Arial" w:cs="Arial" w:eastAsia="Arial" w:hAnsi="Arial"/>
          <w:sz w:val="18"/>
          <w:szCs w:val="18"/>
          <w:color w:val="231F20"/>
        </w:rPr>
      </w:pPr>
    </w:p>
    <w:p>
      <w:pPr>
        <w:ind w:left="900" w:right="140" w:hanging="383"/>
        <w:spacing w:after="0" w:line="291" w:lineRule="auto"/>
        <w:tabs>
          <w:tab w:leader="none" w:pos="900" w:val="left"/>
        </w:tabs>
        <w:numPr>
          <w:ilvl w:val="0"/>
          <w:numId w:val="22"/>
        </w:numPr>
        <w:rPr>
          <w:rFonts w:ascii="Arial" w:cs="Arial" w:eastAsia="Arial" w:hAnsi="Arial"/>
          <w:sz w:val="17"/>
          <w:szCs w:val="17"/>
          <w:color w:val="231F20"/>
        </w:rPr>
      </w:pPr>
      <w:r>
        <w:rPr>
          <w:rFonts w:ascii="Arial" w:cs="Arial" w:eastAsia="Arial" w:hAnsi="Arial"/>
          <w:sz w:val="17"/>
          <w:szCs w:val="17"/>
          <w:color w:val="231F20"/>
        </w:rPr>
        <w:t>delays in collecting, receiving and analyzing data from patients enrolled in our clinical trials due to limited staff at potential clinical trial sites, limitation or suspension of on-site visits by patients, or patients’ reluctance to visit the clinical trial sites during the pandemic.</w:t>
      </w:r>
    </w:p>
    <w:p>
      <w:pPr>
        <w:spacing w:after="0" w:line="39" w:lineRule="exact"/>
        <w:rPr>
          <w:sz w:val="20"/>
          <w:szCs w:val="20"/>
          <w:color w:val="auto"/>
        </w:rPr>
      </w:pPr>
    </w:p>
    <w:p>
      <w:pPr>
        <w:ind w:right="220" w:firstLine="509"/>
        <w:spacing w:after="0" w:line="256" w:lineRule="auto"/>
        <w:rPr>
          <w:sz w:val="20"/>
          <w:szCs w:val="20"/>
          <w:color w:val="auto"/>
        </w:rPr>
      </w:pPr>
      <w:r>
        <w:rPr>
          <w:rFonts w:ascii="Arial" w:cs="Arial" w:eastAsia="Arial" w:hAnsi="Arial"/>
          <w:sz w:val="18"/>
          <w:szCs w:val="18"/>
          <w:color w:val="231F20"/>
        </w:rPr>
        <w:t>We will continue to assess the impact that the COVID-19 pandemic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w:t>
      </w:r>
    </w:p>
    <w:p>
      <w:pPr>
        <w:spacing w:after="0" w:line="67" w:lineRule="exact"/>
        <w:rPr>
          <w:sz w:val="20"/>
          <w:szCs w:val="20"/>
          <w:color w:val="auto"/>
        </w:rPr>
      </w:pPr>
    </w:p>
    <w:p>
      <w:pPr>
        <w:ind w:right="220" w:firstLine="509"/>
        <w:spacing w:after="0" w:line="278" w:lineRule="auto"/>
        <w:rPr>
          <w:sz w:val="20"/>
          <w:szCs w:val="20"/>
          <w:color w:val="auto"/>
        </w:rPr>
      </w:pPr>
      <w:r>
        <w:rPr>
          <w:rFonts w:ascii="Arial" w:cs="Arial" w:eastAsia="Arial" w:hAnsi="Arial"/>
          <w:sz w:val="16"/>
          <w:szCs w:val="16"/>
          <w:color w:val="231F20"/>
        </w:rPr>
        <w:t>Additionally, certain third parties with whom we engage or may engage, including our collaborators, CROs, third-party manufacturers, suppliers, clinical trial sites, regulators and other third parties with whom we conduct business have similarly adjusted their operations and are assessing their capacity in light of the COVID-19 pandemic. If these third parties experience shutdowns or continued business disruptions, our ability to conduct our business in the manner and on the timelines presently planned could be materially and negatively impacted. For example, as a result of the COVID-19 pandemic, we experienced delays in the procurement of materials needed to conduct our preclinical studies. Additionally, certain preclinical studies are conducted by CROs, some of which were delayed as a result of the COVID-19 pandemic and which could be discontinued or further delayed as the pandemic continues. Research and development expenses and general and administrative expenses may vary significantly if there is an increased impact from COVID-19 on the costs and timing associated with the conduct of our business. As we continue to actively advance our programs, we are assessing the impact of the COVID-19 pandemic, our expected timelines and costs on an ongoing basis.</w:t>
      </w:r>
    </w:p>
    <w:p>
      <w:pPr>
        <w:spacing w:after="0" w:line="53" w:lineRule="exact"/>
        <w:rPr>
          <w:sz w:val="20"/>
          <w:szCs w:val="20"/>
          <w:color w:val="auto"/>
        </w:rPr>
      </w:pPr>
    </w:p>
    <w:p>
      <w:pPr>
        <w:jc w:val="both"/>
        <w:ind w:right="40" w:firstLine="509"/>
        <w:spacing w:after="0" w:line="303" w:lineRule="auto"/>
        <w:rPr>
          <w:sz w:val="20"/>
          <w:szCs w:val="20"/>
          <w:color w:val="auto"/>
        </w:rPr>
      </w:pPr>
      <w:r>
        <w:rPr>
          <w:rFonts w:ascii="Arial" w:cs="Arial" w:eastAsia="Arial" w:hAnsi="Arial"/>
          <w:sz w:val="16"/>
          <w:szCs w:val="16"/>
          <w:color w:val="231F20"/>
        </w:rPr>
        <w:t>The demand for COVID-19 vaccines and related treatment options, and the potential for manufacturing facilities and materials to be commandeered under the Defense Production Act of 1950, or equivalent foreign legislation, have made it more difficult to obtain materials and manufacturing slots for our product candidates needed for our preclinical studies and clinical trials, which could lead to delays in these studies and trials.</w:t>
      </w:r>
    </w:p>
    <w:p>
      <w:pPr>
        <w:spacing w:after="0" w:line="32" w:lineRule="exact"/>
        <w:rPr>
          <w:sz w:val="20"/>
          <w:szCs w:val="20"/>
          <w:color w:val="auto"/>
        </w:rPr>
      </w:pPr>
    </w:p>
    <w:p>
      <w:pPr>
        <w:ind w:right="180" w:firstLine="509"/>
        <w:spacing w:after="0" w:line="245" w:lineRule="auto"/>
        <w:rPr>
          <w:sz w:val="20"/>
          <w:szCs w:val="20"/>
          <w:color w:val="auto"/>
        </w:rPr>
      </w:pPr>
      <w:r>
        <w:rPr>
          <w:rFonts w:ascii="Arial" w:cs="Arial" w:eastAsia="Arial" w:hAnsi="Arial"/>
          <w:sz w:val="18"/>
          <w:szCs w:val="18"/>
          <w:color w:val="231F20"/>
        </w:rPr>
        <w:t>The extent to which the COVID-19 pandemic, including recent variants, impacts our business will depend on future developments such as the rate of the spread of the disease, emergence of new variants, re-imposition of travel restrictions and social distancing in the United States and other countries, business closures or business disruptions, and continued demand for vaccines, the continued effectiveness of the vaccines against new variants, and the effectiveness of actions taken in the United States and other countries to contain and treat the disease and to address its impact, including on financial markets or otherwise. While the extent of the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9" w:name="page30"/>
    <w:bookmarkEnd w:id="29"/>
    <w:p>
      <w:pPr>
        <w:ind w:right="340"/>
        <w:spacing w:after="0" w:line="277" w:lineRule="auto"/>
        <w:rPr>
          <w:sz w:val="20"/>
          <w:szCs w:val="20"/>
          <w:color w:val="auto"/>
        </w:rPr>
      </w:pPr>
      <w:r>
        <w:rPr>
          <w:rFonts w:ascii="Arial" w:cs="Arial" w:eastAsia="Arial" w:hAnsi="Arial"/>
          <w:sz w:val="18"/>
          <w:szCs w:val="18"/>
          <w:color w:val="231F20"/>
        </w:rPr>
        <w:t>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49"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231F20"/>
        </w:rPr>
        <w:t>To the extent the COVID-19 pandemic adversely affects our business, financial condition and operating results, it may also have the effect of heightening many of the risks described in this “Risk Factors” section.</w:t>
      </w:r>
    </w:p>
    <w:p>
      <w:pPr>
        <w:spacing w:after="0" w:line="18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31F20"/>
        </w:rPr>
        <w:t>Raising additional capital will cause dilution to our stockholders, restrict our operations or require us to relinquish rights to our technologies or product candidates.</w:t>
      </w:r>
    </w:p>
    <w:p>
      <w:pPr>
        <w:spacing w:after="0" w:line="171"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Until such time, if ever, as we can generate substantial revenues, 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Debt financing and preferred equity financing, if available, may involve agreements that include covenants limiting or restricting our ability to take specific actions, such as incurring additional debt, maintaining certain leverage ratios, making acquisitions, engaging in acquisition, merger or collaboration transactions, selling or licensing our assets, making capital expenditures, redeeming our stock, making certain investments, declaring dividends or encumbering our assets to secure future indebtedness. Such restrictions could adversely impact our ability to conduct our operations and execute our business plan.</w:t>
      </w:r>
    </w:p>
    <w:p>
      <w:pPr>
        <w:spacing w:after="0" w:line="66" w:lineRule="exact"/>
        <w:rPr>
          <w:sz w:val="20"/>
          <w:szCs w:val="20"/>
          <w:color w:val="auto"/>
        </w:rPr>
      </w:pPr>
    </w:p>
    <w:p>
      <w:pPr>
        <w:ind w:right="200" w:firstLine="509"/>
        <w:spacing w:after="0" w:line="288" w:lineRule="auto"/>
        <w:rPr>
          <w:sz w:val="20"/>
          <w:szCs w:val="20"/>
          <w:color w:val="auto"/>
        </w:rPr>
      </w:pPr>
      <w:r>
        <w:rPr>
          <w:rFonts w:ascii="Arial" w:cs="Arial" w:eastAsia="Arial" w:hAnsi="Arial"/>
          <w:sz w:val="16"/>
          <w:szCs w:val="16"/>
          <w:color w:val="231F20"/>
        </w:rPr>
        <w:t>If we raise additional funds through upfront payments or milestone payments pursuant to strategic collaborations, strategic alliances or marketing, distribution or licensing arrangements with third parties, we may have to relinquish valuable rights to our technologies or intellectual property, future revenue streams, research programs or product candidates or grant licenses on terms that may not be favorable to us. If we are unable to raise additional funds through equity or debt financings, we may be required to delay, limit, reduce or terminate our product development or future commercialization efforts or grant rights to develop and market product candidates that we would otherwise prefer to develop and market ourselves.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Our ability to utilize our net operating loss carryforwards and certain other tax attributes to offset future taxable income may be limited.</w:t>
      </w:r>
    </w:p>
    <w:p>
      <w:pPr>
        <w:spacing w:after="0" w:line="115"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231F20"/>
        </w:rPr>
        <w:t>Our net operating loss (NOL) carryforwards may be unavailable to offset future taxable income because of restrictions under U.S. tax law. Under current law, our federal NOLs generated in tax years beginning after December 31, 2017 may be carried forward indefinitely, but is limited to 80% of our current year taxable income. Federal NOLs generated in tax years ending on or prior to December 31, 2017 expire after 20 taxable years. Different restrictions apply under state law.</w:t>
      </w:r>
    </w:p>
    <w:p>
      <w:pPr>
        <w:spacing w:after="0" w:line="7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In addition, under Sections 382 and 383 of the Internal Revenue Code of 1986, as amended (Code), if a corporation undergoes an “ownership change” (generally defined as a cumulative change in the corporation’s ownership by “5-percent shareholders” that exceeds 50 percentage points over a rolling three-year period), the corporation’s ability to use its pre-change NOLs and certain other pre-change tax attributes to offset its post- change taxable income may be limited. Similar rules may apply under state tax laws. We have experienced such ownership changes in the past, and we may experience ownership changes in the future as a result of subsequent shifts in our stock ownership, some of which are outside our control. Our ability to utilize our remaining NOLs and certain other tax attributes could be further limited by a future “ownership change” as described above and consequently, we may not be able to utilize a material portion of our NOLs and certain other tax attributes, which could have a material adverse effect on our cash flows and results of operations</w:t>
      </w:r>
    </w:p>
    <w:p>
      <w:pPr>
        <w:spacing w:after="0" w:line="78"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auto"/>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eliminates the option to deduct domestic research and development costs in the year incurred and instead requires taxpayers to amortize such costs over five years. The Company is currently evaluating the potential impact. In addition, the current Biden Administration has proposed numerous changes to U.S. federal income tax law, including an increase to the U.S. corporate income tax rate and modifications of the provisions addressing taxation of international business operations. Such changes, if enacted, may adversely affect our effective tax rates, cash flows and general business condition.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231F20"/>
        </w:rPr>
        <w:t>Risks Related to the Discovery, Development, Manufacturing and Commercialization of Our Product Candidates</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231F20"/>
        </w:rPr>
        <w:t>Our product candidates are in the early stages of development and we have no products approved for commercial sale. If we are unable to successfully develop, receive regulatory approval for, manufacture and commercialize our product candidates, or successfully develop any other product candidates, or experience significant delays in doing so, our business will be harmed.</w:t>
      </w:r>
    </w:p>
    <w:p>
      <w:pPr>
        <w:spacing w:after="0" w:line="87" w:lineRule="exact"/>
        <w:rPr>
          <w:sz w:val="20"/>
          <w:szCs w:val="20"/>
          <w:color w:val="auto"/>
        </w:rPr>
      </w:pPr>
    </w:p>
    <w:p>
      <w:pPr>
        <w:ind w:right="100" w:firstLine="509"/>
        <w:spacing w:after="0" w:line="258" w:lineRule="auto"/>
        <w:rPr>
          <w:sz w:val="20"/>
          <w:szCs w:val="20"/>
          <w:color w:val="auto"/>
        </w:rPr>
      </w:pPr>
      <w:r>
        <w:rPr>
          <w:rFonts w:ascii="Arial" w:cs="Arial" w:eastAsia="Arial" w:hAnsi="Arial"/>
          <w:sz w:val="17"/>
          <w:szCs w:val="17"/>
          <w:color w:val="231F20"/>
        </w:rPr>
        <w:t>We are very early in our development efforts. We have not initiated clinical trials for any of our programs. We do not have any products that are approved for commercial sale, and we may never be able to develop or commercialize marketable products. Before we generate any revenue from product sales, each of our programs and product candidates will require additional preclinical and clinical development, expansion of manufacturing capabilities and expertise, regulatory approval, building a commercial organization or successfully outsourcing commercialization, substantial investment and significant marketing efforts. We are not permitted to market or promote any product candidates before we receive approval from the FDA or comparable foreign regulatory authorities, and we many never receive such approval. Because our product candidates are in an early stage of development, there is a high risk of failure and we may never succeed in developing marketable products.</w:t>
      </w:r>
    </w:p>
    <w:p>
      <w:pPr>
        <w:spacing w:after="0" w:line="82" w:lineRule="exact"/>
        <w:rPr>
          <w:sz w:val="20"/>
          <w:szCs w:val="20"/>
          <w:color w:val="auto"/>
        </w:rPr>
      </w:pPr>
    </w:p>
    <w:p>
      <w:pPr>
        <w:ind w:right="20" w:firstLine="509"/>
        <w:spacing w:after="0" w:line="280" w:lineRule="auto"/>
        <w:rPr>
          <w:sz w:val="20"/>
          <w:szCs w:val="20"/>
          <w:color w:val="auto"/>
        </w:rPr>
      </w:pPr>
      <w:r>
        <w:rPr>
          <w:rFonts w:ascii="Arial" w:cs="Arial" w:eastAsia="Arial" w:hAnsi="Arial"/>
          <w:sz w:val="16"/>
          <w:szCs w:val="16"/>
          <w:color w:val="231F20"/>
        </w:rPr>
        <w:t>If we do not successfully initiate and complete our planned clinical trials in a timely manner or fail to achieve favorable results from the trial, we may experience significant delays or other issues in advancing our programs. We cannot be certain that our clinical trials will be initiated and completed on time, if at all, or whether our planned clinical strategy will be acceptable to the FDA or comparable foreign regulatory authorities. 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studies and clinical trials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50"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Because of the early stage of development of our programs, our ability to eventually generate significant revenues from our product candidates, which we do not expect will occur for several years, if ever, will depend on a number of factors, including:</w:t>
      </w:r>
    </w:p>
    <w:p>
      <w:pPr>
        <w:spacing w:after="0" w:line="76" w:lineRule="exact"/>
        <w:rPr>
          <w:sz w:val="20"/>
          <w:szCs w:val="20"/>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successful and timely completion of our ongoing preclinical studies;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generating sufficient data to support the initiation or continuation of clinical trials;</w:t>
      </w:r>
    </w:p>
    <w:p>
      <w:pPr>
        <w:spacing w:after="0" w:line="103" w:lineRule="exact"/>
        <w:rPr>
          <w:rFonts w:ascii="Arial" w:cs="Arial" w:eastAsia="Arial" w:hAnsi="Arial"/>
          <w:sz w:val="13"/>
          <w:szCs w:val="13"/>
          <w:color w:val="auto"/>
        </w:rPr>
      </w:pPr>
    </w:p>
    <w:p>
      <w:pPr>
        <w:ind w:left="900" w:right="180" w:hanging="383"/>
        <w:spacing w:after="0" w:line="277"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addressing any delays, necessary adjustments and additional costs in preclinical studies and clinical trials resulting from factors related to the COVID-19 pandemic;</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1"/>
          <w:szCs w:val="11"/>
          <w:color w:val="auto"/>
        </w:rPr>
      </w:pPr>
      <w:r>
        <w:rPr>
          <w:rFonts w:ascii="Arial" w:cs="Arial" w:eastAsia="Arial" w:hAnsi="Arial"/>
          <w:sz w:val="16"/>
          <w:szCs w:val="16"/>
          <w:color w:val="231F20"/>
        </w:rPr>
        <w:t>submission of INDs or other regulatory applications for our planned clinical trials and authorizations from regulators to initiate clinical trials;</w:t>
      </w:r>
    </w:p>
    <w:p>
      <w:pPr>
        <w:spacing w:after="0" w:line="126" w:lineRule="exact"/>
        <w:rPr>
          <w:rFonts w:ascii="Arial" w:cs="Arial" w:eastAsia="Arial" w:hAnsi="Arial"/>
          <w:sz w:val="11"/>
          <w:szCs w:val="11"/>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contracting with the necessary parties to conduct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successful enrollment in, and completion of, clinical trials on a timely basis;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achieving favorable results from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timely manufacture of sufficient quantities of a product candidate for use in clinical trials and, if approved, commercialization;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successful outputs from our capsid engineering and promotor and regulator elements efforts;</w:t>
      </w:r>
    </w:p>
    <w:p>
      <w:pPr>
        <w:spacing w:after="0" w:line="117" w:lineRule="exact"/>
        <w:rPr>
          <w:rFonts w:ascii="Arial" w:cs="Arial" w:eastAsia="Arial" w:hAnsi="Arial"/>
          <w:sz w:val="13"/>
          <w:szCs w:val="13"/>
          <w:color w:val="auto"/>
        </w:rPr>
      </w:pPr>
    </w:p>
    <w:p>
      <w:pPr>
        <w:ind w:left="900" w:right="72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sufficiency of our financial and other resources to complete the necessary preclinical studies and clinical trials and commercialization activities;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frequency and severity of adverse events in clinical trials;</w:t>
      </w:r>
    </w:p>
    <w:p>
      <w:pPr>
        <w:spacing w:after="0" w:line="117"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demonstrating efficacy, safety and tolerability profiles that are satisfactory to the FDA, EMA or any comparable foreign regulatory authority for marketing approval;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timely receipt of marketing approvals from applicable regulatory authorities;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the extent of any required post-marketing approval commitments to applicable regulatory authorities;</w:t>
      </w:r>
    </w:p>
    <w:p>
      <w:pPr>
        <w:spacing w:after="0" w:line="103"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operational, technical and clinical development challenges associated with pediatric indications that we may pursue, including challenges associated with recruiting and enrolling eligible pediatric patients in clinical trials;</w:t>
      </w:r>
    </w:p>
    <w:p>
      <w:pPr>
        <w:spacing w:after="0" w:line="76" w:lineRule="exact"/>
        <w:rPr>
          <w:rFonts w:ascii="Arial" w:cs="Arial" w:eastAsia="Arial" w:hAnsi="Arial"/>
          <w:sz w:val="13"/>
          <w:szCs w:val="13"/>
          <w:color w:val="auto"/>
        </w:rPr>
      </w:pPr>
    </w:p>
    <w:p>
      <w:pPr>
        <w:ind w:left="900" w:right="100" w:hanging="383"/>
        <w:spacing w:after="0" w:line="248" w:lineRule="auto"/>
        <w:tabs>
          <w:tab w:leader="none" w:pos="900" w:val="left"/>
        </w:tabs>
        <w:numPr>
          <w:ilvl w:val="0"/>
          <w:numId w:val="23"/>
        </w:numPr>
        <w:rPr>
          <w:rFonts w:ascii="Arial" w:cs="Arial" w:eastAsia="Arial" w:hAnsi="Arial"/>
          <w:sz w:val="13"/>
          <w:szCs w:val="13"/>
          <w:color w:val="auto"/>
        </w:rPr>
      </w:pPr>
      <w:r>
        <w:rPr>
          <w:rFonts w:ascii="Arial" w:cs="Arial" w:eastAsia="Arial" w:hAnsi="Arial"/>
          <w:sz w:val="18"/>
          <w:szCs w:val="18"/>
          <w:color w:val="231F20"/>
        </w:rPr>
        <w:t>additional clinical trials and other requirements imposed by regulatory authorities for expanding drug labeling to include pediatric populations or for approval a pediatric product candidate, including formulation changes, additional bridging studies, manufacturing changes, dosage and administration changes, among others;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31" w:name="page32"/>
    <w:bookmarkEnd w:id="31"/>
    <w:p>
      <w:pPr>
        <w:ind w:left="900" w:right="300" w:hanging="383"/>
        <w:spacing w:after="0" w:line="277"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the maintenance of existing or the establishment of new supply arrangements with third-party drug product suppliers and manufacturers for clinical development and, if approved, commercialization;</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maintaining consistent quality, purity, and potency across clinical supplies and commercial supplies for any approved products;</w:t>
      </w:r>
    </w:p>
    <w:p>
      <w:pPr>
        <w:spacing w:after="0" w:line="103" w:lineRule="exact"/>
        <w:rPr>
          <w:rFonts w:ascii="Arial" w:cs="Arial" w:eastAsia="Arial" w:hAnsi="Arial"/>
          <w:sz w:val="13"/>
          <w:szCs w:val="13"/>
          <w:color w:val="auto"/>
        </w:rPr>
      </w:pPr>
    </w:p>
    <w:p>
      <w:pPr>
        <w:ind w:left="900" w:right="500" w:hanging="383"/>
        <w:spacing w:after="0" w:line="277"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obtaining and maintaining patent and other intellectual property protection, trade secret protection and regulatory exclusivity, both in the United States and internationally;</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protecting, enforcing and defending our rights in our intellectual property portfolio;</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our ability to expand into multiple indications;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the successful launch of commercial sales following any marketing approval;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a continued acceptable safety profile and sustained therapeutic effect of our therapies following any marketing approval;</w:t>
      </w:r>
    </w:p>
    <w:p>
      <w:pPr>
        <w:spacing w:after="0" w:line="103"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the actual market-size, ability to identify patients and the demographics of patients eligible for our product candidates, which may be different than expected;</w:t>
      </w:r>
    </w:p>
    <w:p>
      <w:pPr>
        <w:spacing w:after="0" w:line="76" w:lineRule="exact"/>
        <w:rPr>
          <w:rFonts w:ascii="Arial" w:cs="Arial" w:eastAsia="Arial" w:hAnsi="Arial"/>
          <w:sz w:val="13"/>
          <w:szCs w:val="13"/>
          <w:color w:val="auto"/>
        </w:rPr>
      </w:pPr>
    </w:p>
    <w:p>
      <w:pPr>
        <w:ind w:left="900" w:right="160" w:hanging="383"/>
        <w:spacing w:after="0" w:line="261" w:lineRule="auto"/>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commercial acceptance by patients, the medical community and third-party payors, particularly since the product candidates we develop may be novel;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4"/>
        </w:numPr>
        <w:rPr>
          <w:rFonts w:ascii="Arial" w:cs="Arial" w:eastAsia="Arial" w:hAnsi="Arial"/>
          <w:sz w:val="13"/>
          <w:szCs w:val="13"/>
          <w:color w:val="auto"/>
        </w:rPr>
      </w:pPr>
      <w:r>
        <w:rPr>
          <w:rFonts w:ascii="Arial" w:cs="Arial" w:eastAsia="Arial" w:hAnsi="Arial"/>
          <w:sz w:val="18"/>
          <w:szCs w:val="18"/>
          <w:color w:val="231F20"/>
        </w:rPr>
        <w:t>our ability to compete with other therapies.</w:t>
      </w:r>
    </w:p>
    <w:p>
      <w:pPr>
        <w:spacing w:after="0" w:line="117"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We do not have control over many of these factors, including certain aspects of preclinical and clinical development and the regulatory submission process and potential threats to our intellectual property rights. If we are not successful with respect to one or more of these factors in a timely manner or at all, we could experience significant delays or an inability to successfully commercialize our product candidates, which would materially harm our business.</w:t>
      </w:r>
    </w:p>
    <w:p>
      <w:pPr>
        <w:spacing w:after="0" w:line="5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To become and remain profitable, we must develop, obtain approval for and eventually commercialize products candidates that generate significant revenue. We do not expect to receive approval of any product candidates for many years and may never succeed in these activities. In addition, it is not uncommon for product candidates to exhibit unforeseen safety issues or inadequate efficacy when tested in humans despite promising results in preclinical animal models,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9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93" w:lineRule="exact"/>
        <w:rPr>
          <w:sz w:val="20"/>
          <w:szCs w:val="20"/>
          <w:color w:val="auto"/>
        </w:rPr>
      </w:pPr>
    </w:p>
    <w:p>
      <w:pPr>
        <w:jc w:val="both"/>
        <w:ind w:right="540" w:firstLine="509"/>
        <w:spacing w:after="0" w:line="294" w:lineRule="auto"/>
        <w:rPr>
          <w:sz w:val="20"/>
          <w:szCs w:val="20"/>
          <w:color w:val="auto"/>
        </w:rPr>
      </w:pPr>
      <w:r>
        <w:rPr>
          <w:rFonts w:ascii="Arial" w:cs="Arial" w:eastAsia="Arial" w:hAnsi="Arial"/>
          <w:sz w:val="16"/>
          <w:szCs w:val="16"/>
          <w:color w:val="231F20"/>
        </w:rPr>
        <w:t>Even if we successfully discover and advance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manufacture, commercialize or generate significant revenue from any product candidates.</w:t>
      </w:r>
    </w:p>
    <w:p>
      <w:pPr>
        <w:spacing w:after="0" w:line="53"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b w:val="1"/>
          <w:bCs w:val="1"/>
          <w:i w:val="1"/>
          <w:iCs w:val="1"/>
          <w:color w:val="231F20"/>
        </w:rPr>
        <w:t>We intend to identify and develop gene therapy product candidates based on novel technology, and because the regulatory landscape that governs any product candidates we may develop is rigorous, complex, uncertain and subject to change, we cannot predict the time and cost of obtaining regulatory approval, if we receive it at all, for any product candidates we may develop.</w:t>
      </w:r>
    </w:p>
    <w:p>
      <w:pPr>
        <w:spacing w:after="0" w:line="69" w:lineRule="exact"/>
        <w:rPr>
          <w:sz w:val="20"/>
          <w:szCs w:val="20"/>
          <w:color w:val="auto"/>
        </w:rPr>
      </w:pPr>
    </w:p>
    <w:p>
      <w:pPr>
        <w:ind w:right="100" w:firstLine="509"/>
        <w:spacing w:after="0" w:line="283" w:lineRule="auto"/>
        <w:rPr>
          <w:sz w:val="20"/>
          <w:szCs w:val="20"/>
          <w:color w:val="auto"/>
        </w:rPr>
      </w:pPr>
      <w:r>
        <w:rPr>
          <w:rFonts w:ascii="Arial" w:cs="Arial" w:eastAsia="Arial" w:hAnsi="Arial"/>
          <w:sz w:val="16"/>
          <w:szCs w:val="16"/>
          <w:color w:val="231F20"/>
        </w:rPr>
        <w:t>We intend to discover, develop, manufacture, and commercialize gene therapy product candidates for the heart. Our product candidates may use both known capsids, such as AAV9, as well as proprietary capsids developed in-house through our own capsid engineering efforts or licensed from third parties. Furthermore, our product candidates may also use novel heart-specific promoters and we may explore different routes-of-administration involving infusion- or injection-based catheters to support targeted delivery and efficient uptake of gene therapies for the heart. We are also establishing proprietary manufacturing processes for our product candidates. Our future success depends on the successful development of these novel therapeutic approaches.</w:t>
      </w:r>
    </w:p>
    <w:p>
      <w:pPr>
        <w:spacing w:after="0" w:line="49" w:lineRule="exact"/>
        <w:rPr>
          <w:sz w:val="20"/>
          <w:szCs w:val="20"/>
          <w:color w:val="auto"/>
        </w:rPr>
      </w:pPr>
    </w:p>
    <w:p>
      <w:pPr>
        <w:ind w:right="100" w:firstLine="509"/>
        <w:spacing w:after="0" w:line="245" w:lineRule="auto"/>
        <w:rPr>
          <w:sz w:val="20"/>
          <w:szCs w:val="20"/>
          <w:color w:val="auto"/>
        </w:rPr>
      </w:pPr>
      <w:r>
        <w:rPr>
          <w:rFonts w:ascii="Arial" w:cs="Arial" w:eastAsia="Arial" w:hAnsi="Arial"/>
          <w:sz w:val="18"/>
          <w:szCs w:val="18"/>
          <w:color w:val="231F20"/>
        </w:rPr>
        <w:t>To date, only a limited number of products that utilize AAV-mediated gene transfer have been approved in the United States or Europe, including Novartis Pharmaceuticals’ Zolgensma (developed by AveXis), Roche’s Luxturna (developed by Spark Therapeutics), and PTC Therapeutics’ Upstaza. No AAV-based gene therapies have yet been approved for the heart, much less therapies for the heart using novel capsids or promoters or delivery methods. It is therefore difficult to determine how long it will take or how much it will cost to obtain regulatory approvals for our product candidates in the United States, the European Union or other jurisdictions.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2" w:name="page33"/>
    <w:bookmarkEnd w:id="32"/>
    <w:p>
      <w:pPr>
        <w:ind w:firstLine="509"/>
        <w:spacing w:after="0" w:line="257" w:lineRule="auto"/>
        <w:rPr>
          <w:sz w:val="20"/>
          <w:szCs w:val="20"/>
          <w:color w:val="auto"/>
        </w:rPr>
      </w:pPr>
      <w:r>
        <w:rPr>
          <w:rFonts w:ascii="Arial" w:cs="Arial" w:eastAsia="Arial" w:hAnsi="Arial"/>
          <w:sz w:val="17"/>
          <w:szCs w:val="17"/>
          <w:color w:val="231F20"/>
        </w:rPr>
        <w:t>The regulatory requirements that will govern any novel gene therapy product candidates we develop are not entirely clear, have changed over time and are subject to further change. Within the broader genetic medicine field, very few therapeutic products have received marketing authorization from the FDA, EMA or comparable foreign regulatory authorities.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Changes in the regulatory authorities’ data requirements and risk mitigation methods, including requirements resulting from safety concerns raised by regulatory authorities in clinical programs of unrelated companies in the gene therapy and cardiovascular fields in general, could have a material impact on our clinical development, increase our costs, and delay regulatory approval of our product candidates. Moreover, there is substantial overlap in those responsible for regulation of existing gene therapy products and cell therapy products. For example, in the United States, the FDA has established the Office of Tissues and Advanced Therapies within its Center for Biologics Evaluation and Research (CBER) to consolidate the review of gene therapy and related products, and the Cellular, Tissue and Gene Therapies Advisory Committee to advise CBER on its review.</w:t>
      </w:r>
    </w:p>
    <w:p>
      <w:pPr>
        <w:spacing w:after="0" w:line="8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Our product candidates will need to meet safety and efficacy standards applicable to any new biologic under the regulatory framework administered by the FDA. In addition to FDA oversight and oversight by institutional review boards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80"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231F20"/>
        </w:rPr>
        <w:t>The same applies in the European Union. The EMA’s Committee for Advanced Therapies (CAT) is responsible for assessing the quality, safety, and efficacy of advanced-therapy medicinal products. Advanced- therapy medicinal products include gene therapy medicines, somatic-cell therapy medicines and tissue- engineered medicines. The role of the CAT is to prepare a draft opinion on an application for marketing authorization for a gene therapy medicinal candidate that is submitted to the EMA. In the European Union, the development and evaluation of a gene therapy product must be considered in the context of the relevant EU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66"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231F20"/>
        </w:rPr>
        <w:t>Approvals by the EMA may not be indicative of what the FDA may require for approval. Delay or failure to obtain, or unexpected costs in obtaining, the regulatory approvals necessary to bring a potential product to market could decrease our ability to generate sufficient product revenue and our business, financial condition, results of operations and prospects could be materially harmed.</w:t>
      </w:r>
    </w:p>
    <w:p>
      <w:pPr>
        <w:spacing w:after="0" w:line="8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231F20"/>
        </w:rPr>
        <w:t>Adverse developments in preclinical studies or clinical trials conducted by others in the field of gene therapy and gene regulation products may cause the FDA, EMA, and other regulatory bodies to revise the requirements for the conduct of the clinical studies and approval of our product candidates or limit the use of products utilizing gene regulation technologies, either of which could harm our business. For example, the FDA has imposed clinical holds on various clinical trials of gene therapy product candidates being developed by other companies. In addition, the clinical trial requirements of the FDA,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there is heightened risk that the FDA, EMA or other regulatory bodies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9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our product candidates, or lead to significant post-approval limitations or restrictions. As we advance our research programs and develop our product candidates, we will be required to consult with these regulatory and advisory groups and to comply with applicable guidelines. If we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ind w:right="320"/>
        <w:spacing w:after="0" w:line="249" w:lineRule="auto"/>
        <w:rPr>
          <w:sz w:val="20"/>
          <w:szCs w:val="20"/>
          <w:color w:val="auto"/>
        </w:rPr>
      </w:pPr>
      <w:r>
        <w:rPr>
          <w:rFonts w:ascii="Arial" w:cs="Arial" w:eastAsia="Arial" w:hAnsi="Arial"/>
          <w:sz w:val="18"/>
          <w:szCs w:val="18"/>
          <w:color w:val="231F20"/>
        </w:rPr>
        <w:t>fail to do so, we may be required to delay or discontinue development of our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9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231F20"/>
        </w:rPr>
        <w:t>The mechanisms of action of our product candidates are unproven, and we do not know whether we will be able to develop any drug of commercial value.</w:t>
      </w:r>
    </w:p>
    <w:p>
      <w:pPr>
        <w:spacing w:after="0" w:line="6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We have discovered and are developing product candidates that have what we believe are novel mechanisms of action. Because no currently-approved drugs appear to operate via the same biochemical mechanisms as our compounds, we cannot be certain that our product candidates will result in commercially viable drugs that safely and effectively treat the indications for which we intend to develop them. The results we see for our compounds in preclinical models may not be replicated in subsequent preclinical studies or translate into similar results in humans in clinical trials, and results of early clinical trials in humans may not be predictive of the results of larger clinical trials or post-marketing studies that may later be conducted with our product candidates. As an example, patients may develop antibodies against the product candidates, or the product candidates may otherwise have a more limited duration of therapeutic effect than anticipated, resulting in decreased efficacy over time, which could delay approval and, if approved, limit the ultimate commercial value. Even if we are successful in developing and receiving regulatory approval for a product candidate for the treatment of a particular disease, we cannot be certain that it will be accepted by prescribers or be reimbursed by insurers or that we will also be able to develop and receive regulatory approval for that or other product candidates for the treatment of other diseases. If we are unable to successfully develop and commercialize our product candidates, our business will be materially harmed.</w:t>
      </w:r>
    </w:p>
    <w:p>
      <w:pPr>
        <w:spacing w:after="0" w:line="8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Moreover, in the event any of our competitors were to develop their own product candidates that have a similar mechanism of action to any of our product candidates, any efficacy or safety concerns identified during the development of such similar product candidates may have an adverse impact on the development of our product candidates. For example, if our competitors’ product candidate having a similar mechanism of action as any of our product candidates is shown in clinical trials to give rise to serious safety concerns or have poor efficacy when administered to the target patient population, the FDA or other regulatory bodies may subject our product candidates to increased scrutiny, leading to additional delays in development and potentially decreasing the chance of ultimate approval of our product candidates.</w:t>
      </w:r>
    </w:p>
    <w:p>
      <w:pPr>
        <w:spacing w:after="0" w:line="201" w:lineRule="exact"/>
        <w:rPr>
          <w:sz w:val="20"/>
          <w:szCs w:val="20"/>
          <w:color w:val="auto"/>
        </w:rPr>
      </w:pPr>
    </w:p>
    <w:p>
      <w:pPr>
        <w:spacing w:after="0" w:line="245" w:lineRule="auto"/>
        <w:rPr>
          <w:sz w:val="20"/>
          <w:szCs w:val="20"/>
          <w:color w:val="auto"/>
        </w:rPr>
      </w:pPr>
      <w:r>
        <w:rPr>
          <w:rFonts w:ascii="Arial" w:cs="Arial" w:eastAsia="Arial" w:hAnsi="Arial"/>
          <w:sz w:val="18"/>
          <w:szCs w:val="18"/>
          <w:b w:val="1"/>
          <w:bCs w:val="1"/>
          <w:i w:val="1"/>
          <w:iCs w:val="1"/>
          <w:color w:val="231F20"/>
        </w:rPr>
        <w:t>Drug development involves a lengthy and expensive process with an uncertain outcome. The preclinical studies, clinical trials and post-marketing studies of our product candidates may not demonstrate safety and efficacy to the satisfaction of the FDA, EMA or other comparable foreign regulatory authorities or otherwise produce positive results and the results of preclinical studies and early clinical trials may not be predictive of future results. We may incur additional costs or experience delays in completing, or ultimately be unable to complete, the development and commercialization of our product candidates.</w:t>
      </w:r>
    </w:p>
    <w:p>
      <w:pPr>
        <w:spacing w:after="0" w:line="7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 xml:space="preserve">It is impossible to predict when or if any product candidate that we develop will prove effective or safe in humans or will receive marketing approval. Before obtaining marketing approval from the FDA, European Commission, following a positive opinion from the EMA, or other comparable foreign regulatory authorities for the sale of our product candidates, we must complete </w:t>
      </w:r>
      <w:r>
        <w:rPr>
          <w:rFonts w:ascii="Arial" w:cs="Arial" w:eastAsia="Arial" w:hAnsi="Arial"/>
          <w:sz w:val="18"/>
          <w:szCs w:val="18"/>
          <w:color w:val="000000"/>
        </w:rPr>
        <w:t>lengthy, complex and extensive</w:t>
      </w:r>
      <w:r>
        <w:rPr>
          <w:rFonts w:ascii="Arial" w:cs="Arial" w:eastAsia="Arial" w:hAnsi="Arial"/>
          <w:sz w:val="18"/>
          <w:szCs w:val="18"/>
          <w:color w:val="231F20"/>
        </w:rPr>
        <w:t xml:space="preserve"> preclinical studies and clinical trials to demonstrate with substantial evidence the safety and efficacy of such product candidates.</w:t>
      </w:r>
    </w:p>
    <w:p>
      <w:pPr>
        <w:spacing w:after="0" w:line="73"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auto"/>
        </w:rPr>
        <w:t xml:space="preserve">Preclinical and </w:t>
      </w:r>
      <w:r>
        <w:rPr>
          <w:rFonts w:ascii="Arial" w:cs="Arial" w:eastAsia="Arial" w:hAnsi="Arial"/>
          <w:sz w:val="17"/>
          <w:szCs w:val="17"/>
          <w:color w:val="231F20"/>
        </w:rPr>
        <w:t>clinical testing is expensive, difficult to design and implement, can take many years to complete and its ultimate outcome is</w:t>
      </w:r>
      <w:r>
        <w:rPr>
          <w:rFonts w:ascii="Arial" w:cs="Arial" w:eastAsia="Arial" w:hAnsi="Arial"/>
          <w:sz w:val="17"/>
          <w:szCs w:val="17"/>
          <w:color w:val="auto"/>
        </w:rPr>
        <w:t xml:space="preserve"> </w:t>
      </w:r>
      <w:r>
        <w:rPr>
          <w:rFonts w:ascii="Arial" w:cs="Arial" w:eastAsia="Arial" w:hAnsi="Arial"/>
          <w:sz w:val="17"/>
          <w:szCs w:val="17"/>
          <w:color w:val="231F20"/>
        </w:rPr>
        <w:t xml:space="preserve">uncertain. We cannot guarantee that any of our preclinical studies, clinical trials or post-marketing studies will be initiated, conducted or completed on schedule or as planned, or at all. </w:t>
      </w:r>
      <w:r>
        <w:rPr>
          <w:rFonts w:ascii="Arial" w:cs="Arial" w:eastAsia="Arial" w:hAnsi="Arial"/>
          <w:sz w:val="17"/>
          <w:szCs w:val="17"/>
          <w:color w:val="000000"/>
        </w:rPr>
        <w:t>Failure can occur at any stage of testing.</w:t>
      </w:r>
      <w:r>
        <w:rPr>
          <w:rFonts w:ascii="Arial" w:cs="Arial" w:eastAsia="Arial" w:hAnsi="Arial"/>
          <w:sz w:val="17"/>
          <w:szCs w:val="17"/>
          <w:color w:val="231F20"/>
        </w:rPr>
        <w:t xml:space="preserve"> Such failure may result from a multitude of factors, including, among other things, flaws in study design, dose selection issues, placebo effects, patient enrollment criteria and failure to demonstrate favorable safety or efficacy traits, which could delay or prevent the submission of an IND, initiation of clinical trials, receipt of marketing approval or our ability to commercialize our product candidates, or require us to suspended or terminate further development of our product candidates. Moreover, the outcome of preclinical studies and early-stage clinical trials may not be predictive of the success of later clinical trials and post-marketing studies. For example, our product candidates may fail to show the desired safety and efficacy in clinical development despite positive results in preclinical studies or having successfully advanced through initial clinical trials. As a result, we cannot assure you that any preclinical studies, clinical trials or post-marketing studies that we conduct will demonstrate consistent or adequate efficacy and safety to support or maintain marketing approval.</w:t>
      </w:r>
    </w:p>
    <w:p>
      <w:pPr>
        <w:spacing w:after="0" w:line="72"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To the extent we pursue any pediatric indications or expand any approved drug product labeling to include pediatric populations, we may face additional challenges associated with clinical testing in pediatric populations, which can increase our operational costs, delay regulatory approval and commercialization, or expose us to additional liability. For example, finding qualified clinical sites that have access to sufficient pediatric populations and that are interested in participating in our clinical trials may take additional time than adult indications. There may be fewer eligible patients with the target genetic disorder or heart disease or condition applicable to our product candidate for our planned clinical trials. This may increase the time needed to enroll patients for our planned pediatric clinical trials, increase our clinical development timelines, delay approval for such pediatric indications, and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4" w:name="page35"/>
    <w:bookmarkEnd w:id="34"/>
    <w:p>
      <w:pPr>
        <w:spacing w:after="0" w:line="268" w:lineRule="auto"/>
        <w:rPr>
          <w:sz w:val="20"/>
          <w:szCs w:val="20"/>
          <w:color w:val="auto"/>
        </w:rPr>
      </w:pPr>
      <w:r>
        <w:rPr>
          <w:rFonts w:ascii="Arial" w:cs="Arial" w:eastAsia="Arial" w:hAnsi="Arial"/>
          <w:sz w:val="17"/>
          <w:szCs w:val="17"/>
          <w:color w:val="231F20"/>
        </w:rPr>
        <w:t>increase our operational costs. We may also be required to modify the formulation or other aspects of the product candidate, as compared to the comparable product candidate intended for adult patient populations, make manufacturing changes, modify route of administration, and conduct additional clinical studies, such as bridging studies and additional safety studies, before we can commence our clinical trials in pediatric populations. Any delays in our planned clinical development activities for pediatric patients could have an adverse effect on our business operations.</w:t>
      </w:r>
    </w:p>
    <w:p>
      <w:pPr>
        <w:spacing w:after="0" w:line="72"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This is particularly true for clinical trials in very rare diseases, such as with certain indications we are pursuing, where the very small patient population makes it difficult or impossible to conduct two traditional, adequate and well-controlled studies, and therefore the FDA or comparable foreign regulatory authorities are often permitted to exercise flexibility in approving therapies for such diseases. Moreover, results acceptable to support approval in one jurisdiction may be deemed inadequate by another regulatory authority to support regulatory approval in that other jurisdiction.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Furthermore, the failure of any of our product candidates to demonstrate safety and efficacy in any clinical trial could negatively impact the perception of our other product candidates and/or cause the FDA or comparable regulatory authorities to require additional testing before approving any of our product candidates.</w:t>
      </w:r>
    </w:p>
    <w:p>
      <w:pPr>
        <w:spacing w:after="0" w:line="58"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231F20"/>
        </w:rPr>
        <w:t>To date, we have not initiated or completed any clinical trials. We may experience numerous unforeseen events during, or as a result of, preclinical studies or clinical trials that could delay or prevent receipt of marketing approval or our ability to commercialize our product candidates, including:</w:t>
      </w:r>
    </w:p>
    <w:p>
      <w:pPr>
        <w:spacing w:after="0" w:line="313" w:lineRule="exact"/>
        <w:rPr>
          <w:sz w:val="20"/>
          <w:szCs w:val="20"/>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 xml:space="preserve">inability to generate sufficient preclinical, toxicology, or other </w:t>
      </w:r>
      <w:r>
        <w:rPr>
          <w:rFonts w:ascii="Arial" w:cs="Arial" w:eastAsia="Arial" w:hAnsi="Arial"/>
          <w:sz w:val="18"/>
          <w:szCs w:val="18"/>
          <w:i w:val="1"/>
          <w:iCs w:val="1"/>
          <w:color w:val="231F20"/>
        </w:rPr>
        <w:t>in vivo</w:t>
      </w:r>
      <w:r>
        <w:rPr>
          <w:rFonts w:ascii="Arial" w:cs="Arial" w:eastAsia="Arial" w:hAnsi="Arial"/>
          <w:sz w:val="18"/>
          <w:szCs w:val="18"/>
          <w:color w:val="231F20"/>
        </w:rPr>
        <w:t xml:space="preserve"> or </w:t>
      </w:r>
      <w:r>
        <w:rPr>
          <w:rFonts w:ascii="Arial" w:cs="Arial" w:eastAsia="Arial" w:hAnsi="Arial"/>
          <w:sz w:val="18"/>
          <w:szCs w:val="18"/>
          <w:i w:val="1"/>
          <w:iCs w:val="1"/>
          <w:color w:val="231F20"/>
        </w:rPr>
        <w:t>in vitro</w:t>
      </w:r>
      <w:r>
        <w:rPr>
          <w:rFonts w:ascii="Arial" w:cs="Arial" w:eastAsia="Arial" w:hAnsi="Arial"/>
          <w:sz w:val="18"/>
          <w:szCs w:val="18"/>
          <w:color w:val="231F20"/>
        </w:rPr>
        <w:t xml:space="preserve"> data to support the initiation of clinical trials;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delays in sufficiently developing, characterizing or controlling a manufacturing process suitable for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receipt of feedback from regulatory authorities that requires us to modify the design of our clinical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preclinical study or clinical trial observations or results that require us to modify the design of our clinical trials;</w:t>
      </w:r>
    </w:p>
    <w:p>
      <w:pPr>
        <w:spacing w:after="0" w:line="117"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negative or inconclusive preclinical study or clinical trial results that may require us to conduct additional preclinical studies or clinical trials or abandon certain research and/or drug development programs;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obtaining approval from one or more IRBs;</w:t>
      </w:r>
    </w:p>
    <w:p>
      <w:pPr>
        <w:spacing w:after="0" w:line="103" w:lineRule="exact"/>
        <w:rPr>
          <w:rFonts w:ascii="Arial" w:cs="Arial" w:eastAsia="Arial" w:hAnsi="Arial"/>
          <w:sz w:val="13"/>
          <w:szCs w:val="13"/>
          <w:color w:val="auto"/>
        </w:rPr>
      </w:pPr>
    </w:p>
    <w:p>
      <w:pPr>
        <w:ind w:left="900" w:right="140" w:hanging="383"/>
        <w:spacing w:after="0" w:line="277"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48" w:lineRule="exact"/>
        <w:rPr>
          <w:rFonts w:ascii="Arial" w:cs="Arial" w:eastAsia="Arial" w:hAnsi="Arial"/>
          <w:sz w:val="13"/>
          <w:szCs w:val="13"/>
          <w:color w:val="auto"/>
        </w:rPr>
      </w:pPr>
    </w:p>
    <w:p>
      <w:pPr>
        <w:ind w:left="900" w:right="8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76" w:lineRule="exact"/>
        <w:rPr>
          <w:rFonts w:ascii="Arial" w:cs="Arial" w:eastAsia="Arial" w:hAnsi="Arial"/>
          <w:sz w:val="13"/>
          <w:szCs w:val="13"/>
          <w:color w:val="auto"/>
        </w:rPr>
      </w:pPr>
    </w:p>
    <w:p>
      <w:pPr>
        <w:ind w:left="900" w:right="420" w:hanging="383"/>
        <w:spacing w:after="0" w:line="248"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 xml:space="preserve">the suspension or termination of our clinical trials, as a result of </w:t>
      </w:r>
      <w:r>
        <w:rPr>
          <w:rFonts w:ascii="Arial" w:cs="Arial" w:eastAsia="Arial" w:hAnsi="Arial"/>
          <w:sz w:val="18"/>
          <w:szCs w:val="18"/>
          <w:color w:val="000000"/>
        </w:rPr>
        <w:t>a clinical hold by regulatory authorities or otherwise,</w:t>
      </w:r>
      <w:r>
        <w:rPr>
          <w:rFonts w:ascii="Arial" w:cs="Arial" w:eastAsia="Arial" w:hAnsi="Arial"/>
          <w:sz w:val="18"/>
          <w:szCs w:val="18"/>
          <w:color w:val="231F20"/>
        </w:rPr>
        <w:t xml:space="preserve"> for various reasons, including non-compliance with regulatory requirements, a finding that our product candidates have undesirable side effects or other unfavorable or unexpected characteristics or risks;</w:t>
      </w:r>
    </w:p>
    <w:p>
      <w:pPr>
        <w:spacing w:after="0" w:line="8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changes to clinical trial protocol;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clinical sites deviating from trial protocol or dropping out of a trial;</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costs of preclinical studies or clinical trials being greater than anticipated;</w:t>
      </w:r>
    </w:p>
    <w:p>
      <w:pPr>
        <w:spacing w:after="0" w:line="117" w:lineRule="exact"/>
        <w:rPr>
          <w:rFonts w:ascii="Arial" w:cs="Arial" w:eastAsia="Arial" w:hAnsi="Arial"/>
          <w:sz w:val="13"/>
          <w:szCs w:val="13"/>
          <w:color w:val="auto"/>
        </w:rPr>
      </w:pPr>
    </w:p>
    <w:p>
      <w:pPr>
        <w:ind w:left="900" w:right="800" w:hanging="383"/>
        <w:spacing w:after="0" w:line="261" w:lineRule="auto"/>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the supply or quality of our product candidates or other materials necessary to conduct clinical trials of our product candidates being insufficient or inadequate;</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subjects experiencing severe or unexpected drug-related adverse effects;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5"/>
        </w:numPr>
        <w:rPr>
          <w:rFonts w:ascii="Arial" w:cs="Arial" w:eastAsia="Arial" w:hAnsi="Arial"/>
          <w:sz w:val="13"/>
          <w:szCs w:val="13"/>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03" w:lineRule="exact"/>
        <w:rPr>
          <w:rFonts w:ascii="Arial" w:cs="Arial" w:eastAsia="Arial" w:hAnsi="Arial"/>
          <w:sz w:val="13"/>
          <w:szCs w:val="13"/>
          <w:color w:val="auto"/>
        </w:rPr>
      </w:pPr>
    </w:p>
    <w:p>
      <w:pPr>
        <w:ind w:left="900" w:right="260" w:hanging="383"/>
        <w:spacing w:after="0" w:line="294" w:lineRule="auto"/>
        <w:tabs>
          <w:tab w:leader="none" w:pos="900" w:val="left"/>
        </w:tabs>
        <w:numPr>
          <w:ilvl w:val="0"/>
          <w:numId w:val="25"/>
        </w:numPr>
        <w:rPr>
          <w:rFonts w:ascii="Arial" w:cs="Arial" w:eastAsia="Arial" w:hAnsi="Arial"/>
          <w:sz w:val="11"/>
          <w:szCs w:val="11"/>
          <w:color w:val="auto"/>
        </w:rPr>
      </w:pPr>
      <w:r>
        <w:rPr>
          <w:rFonts w:ascii="Arial" w:cs="Arial" w:eastAsia="Arial" w:hAnsi="Arial"/>
          <w:sz w:val="16"/>
          <w:szCs w:val="16"/>
          <w:color w:val="231F20"/>
        </w:rPr>
        <w:t>a facility manufacturing our product candidates or any of their components being ordered by the FDA or comparable foreign regulatory authorities to temporarily or permanently shut down due to violations of current good manufacturing practice (cGMPs), regulations or other applicable requirements, or infections or cross-contaminations of product candidates in the manufacturing process;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5" w:name="page36"/>
    <w:bookmarkEnd w:id="35"/>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any changes to our manufacturing process that may be necessary or desired;</w:t>
      </w:r>
    </w:p>
    <w:p>
      <w:pPr>
        <w:spacing w:after="0" w:line="117" w:lineRule="exact"/>
        <w:rPr>
          <w:rFonts w:ascii="Arial" w:cs="Arial" w:eastAsia="Arial" w:hAnsi="Arial"/>
          <w:sz w:val="13"/>
          <w:szCs w:val="13"/>
          <w:color w:val="auto"/>
        </w:rPr>
      </w:pPr>
    </w:p>
    <w:p>
      <w:pPr>
        <w:ind w:left="900" w:right="140" w:hanging="383"/>
        <w:spacing w:after="0" w:line="291" w:lineRule="auto"/>
        <w:tabs>
          <w:tab w:leader="none" w:pos="900" w:val="left"/>
        </w:tabs>
        <w:numPr>
          <w:ilvl w:val="0"/>
          <w:numId w:val="26"/>
        </w:numPr>
        <w:rPr>
          <w:rFonts w:ascii="Arial" w:cs="Arial" w:eastAsia="Arial" w:hAnsi="Arial"/>
          <w:sz w:val="12"/>
          <w:szCs w:val="12"/>
          <w:color w:val="auto"/>
        </w:rPr>
      </w:pPr>
      <w:r>
        <w:rPr>
          <w:rFonts w:ascii="Arial" w:cs="Arial" w:eastAsia="Arial" w:hAnsi="Arial"/>
          <w:sz w:val="17"/>
          <w:szCs w:val="17"/>
          <w:color w:val="231F20"/>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38" w:lineRule="exact"/>
        <w:rPr>
          <w:rFonts w:ascii="Arial" w:cs="Arial" w:eastAsia="Arial" w:hAnsi="Arial"/>
          <w:sz w:val="12"/>
          <w:szCs w:val="12"/>
          <w:color w:val="auto"/>
        </w:rPr>
      </w:pPr>
    </w:p>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third-party contractors not performing data collection or analysis in a timely or accurate manner;</w:t>
      </w:r>
    </w:p>
    <w:p>
      <w:pPr>
        <w:spacing w:after="0" w:line="117" w:lineRule="exact"/>
        <w:rPr>
          <w:rFonts w:ascii="Arial" w:cs="Arial" w:eastAsia="Arial" w:hAnsi="Arial"/>
          <w:sz w:val="13"/>
          <w:szCs w:val="13"/>
          <w:color w:val="auto"/>
        </w:rPr>
      </w:pPr>
    </w:p>
    <w:p>
      <w:pPr>
        <w:jc w:val="both"/>
        <w:ind w:left="900" w:right="160" w:hanging="383"/>
        <w:spacing w:after="0" w:line="248" w:lineRule="auto"/>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87"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regulators revising the requirements for approving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an unsuccessful post-marketing study or failure to complete such a study;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6"/>
        </w:numPr>
        <w:rPr>
          <w:rFonts w:ascii="Arial" w:cs="Arial" w:eastAsia="Arial" w:hAnsi="Arial"/>
          <w:sz w:val="12"/>
          <w:szCs w:val="12"/>
          <w:color w:val="auto"/>
        </w:rPr>
      </w:pPr>
      <w:r>
        <w:rPr>
          <w:rFonts w:ascii="Arial" w:cs="Arial" w:eastAsia="Arial" w:hAnsi="Arial"/>
          <w:sz w:val="17"/>
          <w:szCs w:val="17"/>
          <w:color w:val="231F20"/>
        </w:rPr>
        <w:t>absence in some countries of established groups with sufficient regulatory expertise for review of AAV gene therapy protocols; and</w:t>
      </w:r>
    </w:p>
    <w:p>
      <w:pPr>
        <w:spacing w:after="0" w:line="115" w:lineRule="exact"/>
        <w:rPr>
          <w:rFonts w:ascii="Arial" w:cs="Arial" w:eastAsia="Arial" w:hAnsi="Arial"/>
          <w:sz w:val="12"/>
          <w:szCs w:val="12"/>
          <w:color w:val="auto"/>
        </w:rPr>
      </w:pPr>
    </w:p>
    <w:p>
      <w:pPr>
        <w:ind w:left="900" w:right="280" w:hanging="383"/>
        <w:spacing w:after="0" w:line="277" w:lineRule="auto"/>
        <w:tabs>
          <w:tab w:leader="none" w:pos="900" w:val="left"/>
        </w:tabs>
        <w:numPr>
          <w:ilvl w:val="0"/>
          <w:numId w:val="26"/>
        </w:numPr>
        <w:rPr>
          <w:rFonts w:ascii="Arial" w:cs="Arial" w:eastAsia="Arial" w:hAnsi="Arial"/>
          <w:sz w:val="13"/>
          <w:szCs w:val="13"/>
          <w:color w:val="auto"/>
        </w:rPr>
      </w:pPr>
      <w:r>
        <w:rPr>
          <w:rFonts w:ascii="Arial" w:cs="Arial" w:eastAsia="Arial" w:hAnsi="Arial"/>
          <w:sz w:val="18"/>
          <w:szCs w:val="18"/>
          <w:color w:val="231F20"/>
        </w:rPr>
        <w:t>the potential burden of complying with a variety of foreign laws, medical standards and regulatory requirements, including the regulation of pharmaceutical and biotechnology products and treatment.</w:t>
      </w:r>
    </w:p>
    <w:p>
      <w:pPr>
        <w:spacing w:after="0" w:line="49"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If we are required to conduct additional preclinical studies or clinical trials or other testing of our product candidates beyond those that we currently contemplate, if we are unable to successfully complete preclinical studies or clinical trials of our product candidates or other testing in a timely manner and if the results of these studies, trials or tests are not positive or are only modestly positive or if there are safety concerns, we may incur unplanned costs and be delayed in sub</w:t>
      </w:r>
      <w:r>
        <w:rPr>
          <w:rFonts w:ascii="Arial" w:cs="Arial" w:eastAsia="Arial" w:hAnsi="Arial"/>
          <w:sz w:val="16"/>
          <w:szCs w:val="16"/>
          <w:color w:val="000000"/>
        </w:rPr>
        <w:t>mitting an IND, initiating clinical trials or seek</w:t>
      </w:r>
      <w:r>
        <w:rPr>
          <w:rFonts w:ascii="Arial" w:cs="Arial" w:eastAsia="Arial" w:hAnsi="Arial"/>
          <w:sz w:val="16"/>
          <w:szCs w:val="16"/>
          <w:color w:val="231F20"/>
        </w:rPr>
        <w:t>ing and obtaining marketing approval. We may also decide to change the design or protocol of one or more of our planned clinical trials, which could result in increased costs and expenses and/or delays. Any delays in initiating or completing our preclinical studies or clinical trials will increase our costs, slow down our development and approval process and jeopardize our ability to commence product sales and generate revenues. If we receive approval, it is possible that we may receive limited or restrictive marketing approval, be subject to additional post-marketing testing requirements or have the drug removed from the market after obtaining marketing approval.</w:t>
      </w:r>
    </w:p>
    <w:p>
      <w:pPr>
        <w:spacing w:after="0" w:line="70" w:lineRule="exact"/>
        <w:rPr>
          <w:sz w:val="20"/>
          <w:szCs w:val="20"/>
          <w:color w:val="auto"/>
        </w:rPr>
      </w:pPr>
    </w:p>
    <w:p>
      <w:pPr>
        <w:ind w:right="120" w:firstLine="509"/>
        <w:spacing w:after="0" w:line="258" w:lineRule="auto"/>
        <w:rPr>
          <w:sz w:val="20"/>
          <w:szCs w:val="20"/>
          <w:color w:val="auto"/>
        </w:rPr>
      </w:pPr>
      <w:r>
        <w:rPr>
          <w:rFonts w:ascii="Arial" w:cs="Arial" w:eastAsia="Arial" w:hAnsi="Arial"/>
          <w:sz w:val="17"/>
          <w:szCs w:val="17"/>
          <w:color w:val="231F20"/>
        </w:rPr>
        <w:t>Moreover, in the future,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82"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b w:val="1"/>
          <w:bCs w:val="1"/>
          <w:i w:val="1"/>
          <w:iCs w:val="1"/>
          <w:color w:val="231F20"/>
        </w:rPr>
        <w:t>Our product candidates may cause serious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6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We are developing novel therapies for the treatment of heart disease. As a result, there is uncertainty as to the safety profile of product candidates we may develop. If our product candidates are associated with undesirable side effects or have unexpected characteristics in preclinical studies or clinical trials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There is no guarantee that our product candidates will not have side effects similar to those seen in other gene therapies or that we will be able to prevent side effects from escalating to an unsafe level for our patients. Any of these occurrences may prevent us from achieving or maintaining market acceptance of the affected product candidate and may harm our business, financial condition and prospects significantly.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6" w:name="page37"/>
    <w:bookmarkEnd w:id="36"/>
    <w:p>
      <w:pPr>
        <w:ind w:right="20" w:firstLine="509"/>
        <w:spacing w:after="0" w:line="263" w:lineRule="auto"/>
        <w:rPr>
          <w:sz w:val="20"/>
          <w:szCs w:val="20"/>
          <w:color w:val="auto"/>
        </w:rPr>
      </w:pPr>
      <w:r>
        <w:rPr>
          <w:rFonts w:ascii="Arial" w:cs="Arial" w:eastAsia="Arial" w:hAnsi="Arial"/>
          <w:sz w:val="17"/>
          <w:szCs w:val="17"/>
          <w:color w:val="231F20"/>
        </w:rPr>
        <w:t>Patients in our planned clinical trials may in the future suffer other serious adverse events or other side effects not observed in our preclinical studies or previous clinical trials. Patients treated with our other product candidates may also be undergoing other therapies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clinical trials will die or experience major clinical events either during the course of our clinical trials or after participating in such trials.</w:t>
      </w:r>
    </w:p>
    <w:p>
      <w:pPr>
        <w:spacing w:after="0" w:line="65"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231F20"/>
        </w:rPr>
        <w:t>If further serious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EMA,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trials.</w:t>
      </w:r>
    </w:p>
    <w:p>
      <w:pPr>
        <w:spacing w:after="0" w:line="161"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i w:val="1"/>
          <w:iCs w:val="1"/>
          <w:color w:val="231F20"/>
        </w:rPr>
        <w:t>The outcome of preclinical studies and early clinical trials may not be predictive of the success of later clinical trials, and the results of our clinical trials may not satisfy the requirements of the FDA, EMA or other comparable foreign regulatory authorities.</w:t>
      </w:r>
    </w:p>
    <w:p>
      <w:pPr>
        <w:spacing w:after="0" w:line="5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We will be required to demonstrate with substantial evidence through well-controlled clinical trials that our product candidates are safe and effective for use in a diverse population before we can seek marketing approvals for their commercial sale. Success in preclinical studies and early-stage clinical trials does not mean that future clinical trials will be successful. For instance, we do not know whether any of our product candidates will perform in our current or future preclinical studies or future clinical trials as it has in prior preclinical studies or earlier clinical trials. Product candidates in clinical trials may fail to demonstrate sufficient safety and efficacy to the satisfaction of the FDA, EMA and other comparable foreign regulatory authorities despite having progressed through preclinical studies. Regulatory authorities may also limit the scope of later-stage trials until we have demonstrated satisfactory safety, which could delay regulatory approval, limit the size of the patient population to which we may market our product candidates, or prevent regulatory approval.</w:t>
      </w:r>
    </w:p>
    <w:p>
      <w:pPr>
        <w:spacing w:after="0" w:line="78"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other therapies and may be using other approved products or investigational new drugs, which can cause side effects or adverse events that are unrelated to our product candidates. As a result, assessments of efficacy can vary widely for a particular patient, and from patient to patient and site to site within a clinical trial. This subjectivity can increase the uncertainty of, and adversely impact, our clinical trial outcomes.</w:t>
      </w:r>
    </w:p>
    <w:p>
      <w:pPr>
        <w:spacing w:after="0" w:line="48"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We do not know whether any clinical trials we may conduct will demonstrate consistent or adequate efficacy and safety sufficient to obtain approval to market any of our product candidates.</w:t>
      </w:r>
    </w:p>
    <w:p>
      <w:pPr>
        <w:spacing w:after="0" w:line="184"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231F20"/>
        </w:rPr>
        <w:t>If we experience delays or difficulties in the enrollment and/or maintenance of patients in clinical trials, our regulatory submissions or receipt of necessary marketing approvals could be delayed or prevented.</w:t>
      </w:r>
    </w:p>
    <w:p>
      <w:pPr>
        <w:spacing w:after="0" w:line="63" w:lineRule="exact"/>
        <w:rPr>
          <w:sz w:val="20"/>
          <w:szCs w:val="20"/>
          <w:color w:val="auto"/>
        </w:rPr>
      </w:pPr>
    </w:p>
    <w:p>
      <w:pPr>
        <w:ind w:right="340" w:firstLine="509"/>
        <w:spacing w:after="0" w:line="249" w:lineRule="auto"/>
        <w:rPr>
          <w:sz w:val="20"/>
          <w:szCs w:val="20"/>
          <w:color w:val="auto"/>
        </w:rPr>
      </w:pPr>
      <w:r>
        <w:rPr>
          <w:rFonts w:ascii="Arial" w:cs="Arial" w:eastAsia="Arial" w:hAnsi="Arial"/>
          <w:sz w:val="18"/>
          <w:szCs w:val="18"/>
          <w:color w:val="231F20"/>
        </w:rPr>
        <w:t>We may not be able to initiate or continue clinical trials for our product candidates if we are unable to locate and enroll a sufficient number of eligible patients to participate in these trials to such trial’s conclusion as required by the FDA, EMA or other comparable foreign regulatory authorities. Patient enrollment is a significant factor in the timing of clinical trials. Our ability to enroll eligible patients may be limited or may result in slower enrollment than we anticipate.</w:t>
      </w:r>
    </w:p>
    <w:p>
      <w:pPr>
        <w:spacing w:after="0" w:line="73"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We may experience delays if our clinical trial sites limit their onsite staff or temporarily close as a result of the COVID-19 pandemic, including the effects of the most recent variants.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These factors resulting from the COVID-19 pandemic could delay the anticipated readouts from our clinical trials and our regulatory submissions.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7" w:name="page38"/>
    <w:bookmarkEnd w:id="37"/>
    <w:p>
      <w:pPr>
        <w:ind w:right="20" w:firstLine="509"/>
        <w:spacing w:after="0" w:line="249" w:lineRule="auto"/>
        <w:rPr>
          <w:sz w:val="20"/>
          <w:szCs w:val="20"/>
          <w:color w:val="auto"/>
        </w:rPr>
      </w:pPr>
      <w:r>
        <w:rPr>
          <w:rFonts w:ascii="Arial" w:cs="Arial" w:eastAsia="Arial" w:hAnsi="Arial"/>
          <w:sz w:val="18"/>
          <w:szCs w:val="18"/>
          <w:color w:val="231F20"/>
        </w:rPr>
        <w:t>We are developing product candidates for the treatment of heart disease, including for certain indications, such as rare genetic diseases, with limited patient pools from which to draw for clinical trials. We also may encounter difficulties in identifying and enrolling patients with a stage of disease appropriate for our planned clinical trials and monitoring such subjects adequately during and after treatment. The process of finding and diagnosing patients may prove costly. Further, the treating physicians in our clinical trials may also use their medical discretion in advising patients enrolled in our clinical trials to withdraw from our studies to try alternative therapies.</w:t>
      </w:r>
    </w:p>
    <w:p>
      <w:pPr>
        <w:spacing w:after="0" w:line="74" w:lineRule="exact"/>
        <w:rPr>
          <w:sz w:val="20"/>
          <w:szCs w:val="20"/>
          <w:color w:val="auto"/>
        </w:rPr>
      </w:pPr>
    </w:p>
    <w:p>
      <w:pPr>
        <w:ind w:right="120" w:firstLine="509"/>
        <w:spacing w:after="0" w:line="278" w:lineRule="auto"/>
        <w:rPr>
          <w:sz w:val="20"/>
          <w:szCs w:val="20"/>
          <w:color w:val="auto"/>
        </w:rPr>
      </w:pPr>
      <w:r>
        <w:rPr>
          <w:rFonts w:ascii="Arial" w:cs="Arial" w:eastAsia="Arial" w:hAnsi="Arial"/>
          <w:sz w:val="17"/>
          <w:szCs w:val="17"/>
          <w:color w:val="231F20"/>
        </w:rPr>
        <w:t>We expect patient enrollment to be affected because our competitors have ongoing clinical trials for programs that are under development for the same indications as our product candidates, and patients who would otherwise be eligible for our clinical trials could instead enroll in clinical trials of our competitors’ programs. Patient enrollment for our current or any future clinical trials may be affected by other factors, including:</w:t>
      </w:r>
    </w:p>
    <w:p>
      <w:pPr>
        <w:spacing w:after="0" w:line="50" w:lineRule="exact"/>
        <w:rPr>
          <w:sz w:val="20"/>
          <w:szCs w:val="20"/>
          <w:color w:val="auto"/>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size and nature of the patient population;</w:t>
      </w:r>
    </w:p>
    <w:p>
      <w:pPr>
        <w:spacing w:after="0" w:line="103" w:lineRule="exact"/>
        <w:rPr>
          <w:rFonts w:ascii="Arial" w:cs="Arial" w:eastAsia="Arial" w:hAnsi="Arial"/>
          <w:sz w:val="13"/>
          <w:szCs w:val="13"/>
          <w:color w:val="231F20"/>
        </w:rPr>
      </w:pPr>
    </w:p>
    <w:p>
      <w:pPr>
        <w:ind w:left="900" w:right="240" w:hanging="383"/>
        <w:spacing w:after="0" w:line="303" w:lineRule="auto"/>
        <w:tabs>
          <w:tab w:leader="none" w:pos="900" w:val="left"/>
        </w:tabs>
        <w:numPr>
          <w:ilvl w:val="0"/>
          <w:numId w:val="27"/>
        </w:numPr>
        <w:rPr>
          <w:rFonts w:ascii="Arial" w:cs="Arial" w:eastAsia="Arial" w:hAnsi="Arial"/>
          <w:sz w:val="11"/>
          <w:szCs w:val="11"/>
          <w:color w:val="231F20"/>
        </w:rPr>
      </w:pPr>
      <w:r>
        <w:rPr>
          <w:rFonts w:ascii="Arial" w:cs="Arial" w:eastAsia="Arial" w:hAnsi="Arial"/>
          <w:sz w:val="16"/>
          <w:szCs w:val="16"/>
          <w:color w:val="231F20"/>
        </w:rPr>
        <w:t>challenges associated with recruiting pediatric patient population, including, but not limited to, identifying clinical sites that are qualified to participate in pediatric clinical trials, smaller number of eligible pediatric patients who are interested in participating within the target age groups, or under- diagnosis or challenges associated with diagnosing pediatric populations with the applicable target disease or condition;</w:t>
      </w:r>
    </w:p>
    <w:p>
      <w:pPr>
        <w:spacing w:after="0" w:line="32" w:lineRule="exact"/>
        <w:rPr>
          <w:rFonts w:ascii="Arial" w:cs="Arial" w:eastAsia="Arial" w:hAnsi="Arial"/>
          <w:sz w:val="11"/>
          <w:szCs w:val="11"/>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perceived risks and benefits of novel, unproven approaches;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severity of the disease under investigation;</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availability and efficacy of approved drugs for the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ongoing clinical trials evaluating other product candidates in the same disease under investigation;</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patient eligibility criteria for the trial in question as defined in the protocol;</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perceived risks and benefits of the product candidate under study;</w:t>
      </w:r>
    </w:p>
    <w:p>
      <w:pPr>
        <w:spacing w:after="0" w:line="103" w:lineRule="exact"/>
        <w:rPr>
          <w:rFonts w:ascii="Arial" w:cs="Arial" w:eastAsia="Arial" w:hAnsi="Arial"/>
          <w:sz w:val="13"/>
          <w:szCs w:val="13"/>
          <w:color w:val="231F20"/>
        </w:rPr>
      </w:pPr>
    </w:p>
    <w:p>
      <w:pPr>
        <w:jc w:val="both"/>
        <w:ind w:left="900" w:right="660" w:hanging="383"/>
        <w:spacing w:after="0" w:line="256" w:lineRule="auto"/>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or other product candidates being investigated for the indications we are investigating;</w:t>
      </w:r>
    </w:p>
    <w:p>
      <w:pPr>
        <w:spacing w:after="0" w:line="66"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patient referral practices of physicians;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ability to monitor patients adequately during and after treatment;</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activities of key opinion leaders (KOLs) and patient advocacy groups;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proximity and availability of clinical trial sites for prospective patients; and</w:t>
      </w:r>
    </w:p>
    <w:p>
      <w:pPr>
        <w:spacing w:after="0" w:line="103" w:lineRule="exact"/>
        <w:rPr>
          <w:rFonts w:ascii="Arial" w:cs="Arial" w:eastAsia="Arial" w:hAnsi="Arial"/>
          <w:sz w:val="13"/>
          <w:szCs w:val="13"/>
          <w:color w:val="231F20"/>
        </w:rPr>
      </w:pPr>
    </w:p>
    <w:p>
      <w:pPr>
        <w:ind w:left="900" w:right="20" w:hanging="383"/>
        <w:spacing w:after="0" w:line="261" w:lineRule="auto"/>
        <w:tabs>
          <w:tab w:leader="none" w:pos="900" w:val="left"/>
        </w:tabs>
        <w:numPr>
          <w:ilvl w:val="0"/>
          <w:numId w:val="27"/>
        </w:numPr>
        <w:rPr>
          <w:rFonts w:ascii="Arial" w:cs="Arial" w:eastAsia="Arial" w:hAnsi="Arial"/>
          <w:sz w:val="13"/>
          <w:szCs w:val="13"/>
          <w:color w:val="231F20"/>
        </w:rPr>
      </w:pPr>
      <w:r>
        <w:rPr>
          <w:rFonts w:ascii="Arial" w:cs="Arial" w:eastAsia="Arial" w:hAnsi="Arial"/>
          <w:sz w:val="18"/>
          <w:szCs w:val="18"/>
          <w:color w:val="231F20"/>
        </w:rPr>
        <w:t>the risk that patients enrolled in clinical trials will drop out of the trials before completion or, because they may have an advanced disease, will not survive the full terms of the clinical trials.</w:t>
      </w:r>
    </w:p>
    <w:p>
      <w:pPr>
        <w:spacing w:after="0" w:line="76"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5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i w:val="1"/>
          <w:iCs w:val="1"/>
          <w:color w:val="231F20"/>
        </w:rPr>
        <w:t>Due to the significant resources required for the development of product candidates, and depending on our ability to access capital, we must prioritize development of certain programs and product candidates. Moreover, we may expend our limited resources on programs or product candidates that do not yield a successful product and fail to capitalize on product candidates or indications that may be more profitable or for which there is a greater likelihood of success.</w:t>
      </w:r>
    </w:p>
    <w:p>
      <w:pPr>
        <w:spacing w:after="0" w:line="73"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231F20"/>
        </w:rPr>
        <w:t>Due to the significant resources required for the development of product candidates, in particular our product candidates in IND-enabling studies and those that begin clinical trials, we must decide which programs, product candidates and indications to pursue and advance and the amount of resources to allocate to each. Our decisions concerning the allocation of research, development, collaboration, management and financial resources toward particular programs, product candidates or therapeutic areas may not lead to the development of any viable commercial product and may divert resources away from better opportunities. Similarly, our potential decisions to delay, terminate or collaborate with third parties in respect of certain platforms, programs or product candidates may subsequently also prove to be less than optimal and could cause us to miss valuable opportunities. If we make incorrect determinations regarding the viability or market potential of any of our programs or product candidates or misread trends in the biotechnology industry, in particular in the field of cardiology, our business could be seriously harmed. As a result, we may fail to capitalize on viable commercial products or profitable market opportunities, be required to forego or delay pursuit of opportunities</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8" w:name="page39"/>
    <w:bookmarkEnd w:id="38"/>
    <w:p>
      <w:pPr>
        <w:ind w:right="140"/>
        <w:spacing w:after="0" w:line="278" w:lineRule="auto"/>
        <w:rPr>
          <w:sz w:val="20"/>
          <w:szCs w:val="20"/>
          <w:color w:val="auto"/>
        </w:rPr>
      </w:pPr>
      <w:r>
        <w:rPr>
          <w:rFonts w:ascii="Arial" w:cs="Arial" w:eastAsia="Arial" w:hAnsi="Arial"/>
          <w:sz w:val="17"/>
          <w:szCs w:val="17"/>
          <w:color w:val="231F20"/>
        </w:rPr>
        <w:t>with other programs, product candidates or other diseases that may later prove to have greater commercial potential than those we choose to pursue, or relinquish valuable rights to our platforms or product candidates through collaboration, licensing or other royalty arrangements in cases in which it would have been advantageous for us to invest additional resources to retain sole development and commercialization rights.</w:t>
      </w:r>
    </w:p>
    <w:p>
      <w:pPr>
        <w:spacing w:after="0" w:line="15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231F20"/>
        </w:rPr>
        <w:t>We face significant competition and if our competitors develop and market technologies or products more rapidly than we do or that are more effective, safer or less expensive than the products we develop, our commercial opportunities will be negatively impacted.</w:t>
      </w:r>
    </w:p>
    <w:p>
      <w:pPr>
        <w:spacing w:after="0" w:line="25"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The biotechnology and biopharmaceutical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w:t>
      </w:r>
    </w:p>
    <w:p>
      <w:pPr>
        <w:spacing w:after="0" w:line="49"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We have competitors both in the United States and internationally, including major multinational pharmaceutical companies, established biotechnology companies, specialty pharmaceutical companies, emerging and start-up companies, universities and other research institutions. We also compete with other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74"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231F20"/>
        </w:rPr>
        <w:t>We expect to face competition from existing products and products in development for each of our programs and anticipate substantial direct competition from a variety of competitors.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57" w:lineRule="exact"/>
        <w:rPr>
          <w:sz w:val="20"/>
          <w:szCs w:val="20"/>
          <w:color w:val="auto"/>
        </w:rPr>
      </w:pPr>
    </w:p>
    <w:p>
      <w:pPr>
        <w:ind w:right="40" w:firstLine="509"/>
        <w:spacing w:after="0" w:line="280" w:lineRule="auto"/>
        <w:rPr>
          <w:sz w:val="20"/>
          <w:szCs w:val="20"/>
          <w:color w:val="auto"/>
        </w:rPr>
      </w:pPr>
      <w:r>
        <w:rPr>
          <w:rFonts w:ascii="Arial" w:cs="Arial" w:eastAsia="Arial" w:hAnsi="Arial"/>
          <w:sz w:val="16"/>
          <w:szCs w:val="16"/>
          <w:color w:val="231F20"/>
        </w:rPr>
        <w:t>Our commercial opportunity could be reduced or eliminated if our competitors develop and commercialize products that are safer, more effective, have fewer side effects, are more convenient, have a broader label, are marketed more effectively, are more widely reimbursed or are less expensive than any products that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5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231F20"/>
        </w:rPr>
        <w:t>Interim, topline and preliminary data from our clinical trials that we announce or publish may change as more patient data become available and are subject to audit and verification procedures that could result in material changes in the final data.</w:t>
      </w:r>
    </w:p>
    <w:p>
      <w:pPr>
        <w:spacing w:after="0" w:line="7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is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9" w:name="page40"/>
    <w:bookmarkEnd w:id="39"/>
    <w:p>
      <w:pPr>
        <w:spacing w:after="0"/>
        <w:rPr>
          <w:sz w:val="20"/>
          <w:szCs w:val="20"/>
          <w:color w:val="auto"/>
        </w:rPr>
      </w:pPr>
      <w:r>
        <w:rPr>
          <w:rFonts w:ascii="Arial" w:cs="Arial" w:eastAsia="Arial" w:hAnsi="Arial"/>
          <w:sz w:val="17"/>
          <w:szCs w:val="17"/>
          <w:color w:val="231F20"/>
        </w:rPr>
        <w:t>Further, additional disclosure of interim data by us or by our competitors in the future could result in volatility in the price of our common stock.</w:t>
      </w:r>
    </w:p>
    <w:p>
      <w:pPr>
        <w:spacing w:after="0" w:line="129"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231F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our efforts to utilize our proprietary drug discovery platforms to develop a pipeline of product candidates.</w:t>
      </w:r>
    </w:p>
    <w:p>
      <w:pPr>
        <w:spacing w:after="0" w:line="115" w:lineRule="exact"/>
        <w:rPr>
          <w:sz w:val="20"/>
          <w:szCs w:val="20"/>
          <w:color w:val="auto"/>
        </w:rPr>
      </w:pPr>
    </w:p>
    <w:p>
      <w:pPr>
        <w:ind w:right="40" w:firstLine="509"/>
        <w:spacing w:after="0" w:line="277" w:lineRule="auto"/>
        <w:rPr>
          <w:sz w:val="20"/>
          <w:szCs w:val="20"/>
          <w:color w:val="auto"/>
        </w:rPr>
      </w:pPr>
      <w:r>
        <w:rPr>
          <w:rFonts w:ascii="Arial" w:cs="Arial" w:eastAsia="Arial" w:hAnsi="Arial"/>
          <w:sz w:val="16"/>
          <w:szCs w:val="16"/>
          <w:color w:val="231F20"/>
        </w:rPr>
        <w:t>A key element of our strategy is to leverage our proprietary drug discovery platforms to develop a pipeline of product candidates to treat heart disease. In order to do so, we must continue to invest in our proprietary drug discovery platforms and development capabilities, including our internal disease modeling and capsid engineering efforts, our in-house cassette engineering capabilities to create novel promoters and regulatory elements to support our programs, and targeted drug delivery approaches for efficient uptake of gene therapies for the heart. Although our research and development efforts to date have resulted in a pipeline of product candidates, these product candidates may not be safe and effective. Our capsid engineering, promoter and regulatory elements may not be successful. In addition, although we expect that our proprietary drug discovery platforms and development capabilities will allow us to develop a diverse pipeline of product candidates, we may not prove to be successful at doing so. Furthermore, we may also find that the uses of our proprietary drug discovery platforms are limited because alternative uses of our therapeutics prove not to be safe or effective.</w:t>
      </w:r>
    </w:p>
    <w:p>
      <w:pPr>
        <w:spacing w:after="0" w:line="70"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231F20"/>
        </w:rPr>
        <w:t>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Further, because our product candidates and programs are based on our proprietary drug discovery platforms, adverse developments with respect to one of our programs may have a significant adverse impact on the actual or perceived likelihood of success and value of our other programs.</w:t>
      </w:r>
    </w:p>
    <w:p>
      <w:pPr>
        <w:spacing w:after="0" w:line="78"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231F20"/>
        </w:rPr>
        <w:t>In addition, the biotechnology and pharmaceutical industries are characterized by rapidly advancing technologies. Our future success will depend in part on our ability to maintain a competitive position with our approach. If we fail to stay at the forefront of technological change in utilizing our proprietary drug discovery platforms to create and develop programs and product candidates, we may be unable to compete effectively. Our competitors may render our approach obsolete or limit the commercial value of our product candidates, by advances in existing technological approaches or the development of new or different approaches, potentially eliminating the advantages in our drug discovery process that we believe we derive from our research approach and proprietary technologies. By contrast, adverse developments with respect to other companies that attempt to use a similar approach to our approach may adversely impact the actual or perceived value of our proprietary drug discovery platforms and potential of our programs and product candidates. If any of these events occur, we may be forced to abandon our development efforts for a program or programs, which would have a material adverse effect on our business and could potentially cause us to cease operations.</w:t>
      </w:r>
    </w:p>
    <w:p>
      <w:pPr>
        <w:spacing w:after="0" w:line="173"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b w:val="1"/>
          <w:bCs w:val="1"/>
          <w:i w:val="1"/>
          <w:iCs w:val="1"/>
          <w:color w:val="231F20"/>
        </w:rPr>
        <w:t>The manufacture of drugs is complex, and we or our third-party manufacturers may encounter difficulties in production. If we or any of our third-party manufacturers encounter such difficulties, our ability to provide adequate supply of our product candidates for preclinical studies or clinical trials or our products for patients, if approved, could be delayed or prevented.</w:t>
      </w:r>
    </w:p>
    <w:p>
      <w:pPr>
        <w:spacing w:after="0" w:line="6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231F20"/>
        </w:rPr>
        <w:t>Manufacturing drugs, especially in large quantities, is complex and may require the use of innovative technologies. Each lot of an approved drug product must undergo thorough testing for safety identity, strength, quality, purity and potency. Manufacturing drugs requires key materials and facilities specifically designed for and validated for this purpose, as well as sophisticated QA and QC procedures. Slight deviations anywhere in the manufacturing process, including manufacturing drug substance, drug product filling, labeling, packaging, storage and shipping and quality control and testing, may result in lot failures or product recalls. When changes are made to the manufacturing process, we may be required to provide preclinical and clinical data showing the comparable quality and efficacy of the products before and after such changes. If we or our third-party manufacturers are unable to produce sufficient quantities for preclinical studies 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0" w:name="page41"/>
    <w:bookmarkEnd w:id="40"/>
    <w:p>
      <w:pPr>
        <w:ind w:right="420"/>
        <w:spacing w:after="0" w:line="366" w:lineRule="auto"/>
        <w:rPr>
          <w:sz w:val="20"/>
          <w:szCs w:val="20"/>
          <w:color w:val="auto"/>
        </w:rPr>
      </w:pPr>
      <w:r>
        <w:rPr>
          <w:rFonts w:ascii="Arial" w:cs="Arial" w:eastAsia="Arial" w:hAnsi="Arial"/>
          <w:sz w:val="15"/>
          <w:szCs w:val="15"/>
          <w:b w:val="1"/>
          <w:bCs w:val="1"/>
          <w:i w:val="1"/>
          <w:iCs w:val="1"/>
          <w:color w:val="231F20"/>
        </w:rPr>
        <w:t>Gene therapies are novel, complex and difficult to manufacture. We could experience production problems that result in delays in development or commercialization of our product candidates, limit the supply of our products, if approved, or otherwise seriously harm our business.</w:t>
      </w:r>
    </w:p>
    <w:p>
      <w:pPr>
        <w:ind w:right="40" w:firstLine="509"/>
        <w:spacing w:after="0" w:line="258" w:lineRule="auto"/>
        <w:rPr>
          <w:sz w:val="20"/>
          <w:szCs w:val="20"/>
          <w:color w:val="auto"/>
        </w:rPr>
      </w:pPr>
      <w:r>
        <w:rPr>
          <w:rFonts w:ascii="Arial" w:cs="Arial" w:eastAsia="Arial" w:hAnsi="Arial"/>
          <w:sz w:val="17"/>
          <w:szCs w:val="17"/>
          <w:color w:val="231F20"/>
        </w:rPr>
        <w:t>Our gene therapy product candidates require processing steps that are more complex than those required for most chemical and protein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need to employ multiple steps to control our manufacturing process to assure that the process works and the product candidate is made strictly and consistently in compliance with the process. Problems with the manufacturing process, even minor deviations from the normal process, could result in product defects or manufacturing failures that result in lot failures, product recalls, product liability claims or insufficient inventory, which could delay or prevent the initiation of clinical trials or receipt of regulatory approvals. We may encounter problems achieving adequate quantities and quality of clinical-grade materials that meet FDA, or other comparable applicable foreign regulatory authorities’ standards or specifications with consistent and acceptable production yields and costs.</w:t>
      </w:r>
    </w:p>
    <w:p>
      <w:pPr>
        <w:spacing w:after="0" w:line="80"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231F20"/>
        </w:rPr>
        <w:t>In addition, the FDA and other comparable foreign regulatory authorities may require us to submit samples of any lot of any approved product together with the protocols showing the results of applicable tests at any time. Under some circumstances, the FDA or other comparable foreign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seriously harm our business.</w:t>
      </w:r>
    </w:p>
    <w:p>
      <w:pPr>
        <w:spacing w:after="0" w:line="49"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231F20"/>
        </w:rPr>
        <w:t>We also may encounter problems hiring and retaining the experienced scientific, quality control and manufacturing personnel needed to operate our manufacturing process which could result in delays in our production or difficulties in maintaining compliance with applicable regulatory requirements.</w:t>
      </w:r>
    </w:p>
    <w:p>
      <w:pPr>
        <w:spacing w:after="0" w:line="2" w:lineRule="exact"/>
        <w:rPr>
          <w:sz w:val="20"/>
          <w:szCs w:val="20"/>
          <w:color w:val="auto"/>
        </w:rPr>
      </w:pPr>
    </w:p>
    <w:p>
      <w:pPr>
        <w:ind w:right="60" w:firstLine="509"/>
        <w:spacing w:after="0" w:line="283" w:lineRule="auto"/>
        <w:rPr>
          <w:sz w:val="20"/>
          <w:szCs w:val="20"/>
          <w:color w:val="auto"/>
        </w:rPr>
      </w:pPr>
      <w:r>
        <w:rPr>
          <w:rFonts w:ascii="Arial" w:cs="Arial" w:eastAsia="Arial" w:hAnsi="Arial"/>
          <w:sz w:val="16"/>
          <w:szCs w:val="16"/>
          <w:color w:val="231F20"/>
        </w:rPr>
        <w:t>Any problems in our manufacturing process or facilities or the facilities with which we contract could make us a less attractive collaborator for potential partners, including larger pharmaceutical companies, which could limit our access to additional attractive development programs. Problems in manufacturing process or facilities also could restrict our ability to meet market demand for our products, if approved. Additionally, should our agreement or agreements with other parties with whom we have manufacturing agreements be terminated for any reason, there are a limited number of manufacturers who would be suitable replacements, and it would take a significant amount of time to transition the manufacturing to a replacement.</w:t>
      </w:r>
    </w:p>
    <w:p>
      <w:pPr>
        <w:spacing w:after="0" w:line="171"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231F20"/>
        </w:rPr>
        <w:t>We have completed the build-out of a manufacturing facility to support the production of certain of our product candidates. We have no experience in manufacturing, and there can be no assurance that we will be able to successfully manufacture product candidates.</w:t>
      </w:r>
    </w:p>
    <w:p>
      <w:pPr>
        <w:spacing w:after="0" w:line="39" w:lineRule="exact"/>
        <w:rPr>
          <w:sz w:val="20"/>
          <w:szCs w:val="20"/>
          <w:color w:val="auto"/>
        </w:rPr>
      </w:pPr>
    </w:p>
    <w:p>
      <w:pPr>
        <w:ind w:firstLine="509"/>
        <w:spacing w:after="0" w:line="278" w:lineRule="auto"/>
        <w:rPr>
          <w:sz w:val="20"/>
          <w:szCs w:val="20"/>
          <w:color w:val="auto"/>
        </w:rPr>
      </w:pPr>
      <w:r>
        <w:rPr>
          <w:rFonts w:ascii="Arial" w:cs="Arial" w:eastAsia="Arial" w:hAnsi="Arial"/>
          <w:sz w:val="16"/>
          <w:szCs w:val="16"/>
          <w:color w:val="231F20"/>
        </w:rPr>
        <w:t>We have historically relied on third parties to manufacture supplies of our product candidates. We plan to fully integrate and internalize AAV manufacturing capabilities to support our Gene Therapy and Cellular Regeneration platforms. We have established an in-house Pilot Plant Operation facility that operates at the 200L scale to support all non-clinical studies including IND-enabling pharmacology (efficacy) and toxicology (safety) studies. In June 2022, we completed the build-out of a dedicated cGMP facility for drug product manufacturing in the San Francisco Bay Area. The facility will initially produce drug product at the 1000L scale to support FIH studies for TN-201, the most advanced product candidate from our MYBPC3 program. The facility will also support cGMP production for TN-401, our gene therapy program being developed for the treatment of genetic ARVC due to PKP2 gene mutations. To optimize our use of resources and utilize extensive third-party experience in small molecule manufacturing, we intend to work with CDMOs for our small molecule programs. We initiated cGMP manufacturing activities for our HDAC6 inhibitor program, TN-301, in December 2021. We have and may continue to experience delays in supply chain activities due to disruptions caused by the COVID-19 pandemic.</w:t>
      </w:r>
    </w:p>
    <w:p>
      <w:pPr>
        <w:spacing w:after="0" w:line="5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Although some of our employees have experience in the manufacturing of biopharmaceutical products from prior employment at other companies, we as a company have no prior experience in manufacturing. We may face delays or increased costs in the production of clinical supply at our manufacturing facility, including as a result of COVID-19 or otherwise. We cannot guarantee when our facility will be able to produce sufficient quantities of product candidates needed to support our preclinical studies and planned clinical trials. In addition, government approvals will be required for us to operate our manufacturing facility and can be time-consuming to obtain, and there can be no assurance that such approval will be obtained. As a manufacturer of pharmaceutical products, we also will be required to demonstrate and maintain compliance with cGMP requirements related to production processes, quality control and assurance and recordkeeping. Furthermore, maintaining manufacturing operations may require a reallocation of other resources and management time, as well as potentially significant capital expenditures, particularly in areas relating to operations, quality, regulatory, facilities and information technology. We also may encounter problems hiring and retaining the experienced scientific, quality control and manufacturing personnel needed to operate our manufacturing facility and processes. If we experience unanticipated employee shortage or turnover in any of these areas, we may not be able to effectively manage our ongoing manufacturing operations and we may not achieve the operating efficiencies that we anticipate from developing these capabilities,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231F20"/>
        </w:rPr>
        <w:t>which may negatively affect our product development timelines or result in difficulties in maintaining compliance with applicable regulatory requirements.</w:t>
      </w:r>
    </w:p>
    <w:p>
      <w:pPr>
        <w:spacing w:after="0" w:line="140"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231F20"/>
        </w:rPr>
        <w:t>Any delays in developing our internal manufacturing capabilities may disrupt or delay the supply of our product candidates if we have not maintained a sufficient back-up supply of such product candidates through third-party manufacturers. Moreover, changing manufacturing facilities during the clinical development process may also require that we conduct additional studies, make notifications to regulatory authorities, make additional filings to regulatory authorities, and obtain regulatory authority approval for the new facilities, which may be delayed or which we may never receive.</w:t>
      </w:r>
    </w:p>
    <w:p>
      <w:pPr>
        <w:spacing w:after="0" w:line="42" w:lineRule="exact"/>
        <w:rPr>
          <w:sz w:val="20"/>
          <w:szCs w:val="20"/>
          <w:color w:val="auto"/>
        </w:rPr>
      </w:pPr>
    </w:p>
    <w:p>
      <w:pPr>
        <w:ind w:right="340" w:firstLine="509"/>
        <w:spacing w:after="0" w:line="256" w:lineRule="auto"/>
        <w:rPr>
          <w:sz w:val="20"/>
          <w:szCs w:val="20"/>
          <w:color w:val="auto"/>
        </w:rPr>
      </w:pPr>
      <w:r>
        <w:rPr>
          <w:rFonts w:ascii="Arial" w:cs="Arial" w:eastAsia="Arial" w:hAnsi="Arial"/>
          <w:sz w:val="18"/>
          <w:szCs w:val="18"/>
          <w:color w:val="231F20"/>
        </w:rPr>
        <w:t>Any failure or delay in the development of our manufacturing operations or capabilities may hamper our ability to further process improvement, maintain quality control, limit our reliance on contract manufacturers and protect our trade secrets and other intellectual property, and could adversely impact the development or commercialization of our product candidates.</w:t>
      </w:r>
    </w:p>
    <w:p>
      <w:pPr>
        <w:spacing w:after="0" w:line="9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231F20"/>
        </w:rPr>
        <w:t>Our manufacturing facilities will be subject to significant government regulations and approvals, which are often costly and could result in adverse consequences to our business if we fail to comply with the regulations or maintain the approvals.</w:t>
      </w:r>
    </w:p>
    <w:p>
      <w:pPr>
        <w:spacing w:after="0" w:line="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We will need to comply with the FDA’s and applicable foreign regulatory authorities’ cGMP requirements for the production of product candidates for clinical trials and, if approved, commercial supply. We may encounter difficulties in achieving QC and QA and may experience shortages in qualified personnel. We will be subject to inspections by the FDA and comparable agencies in other jurisdictions to confirm compliance with applicable regulatory requirements. These requirements include the qualification and validation of our manufacturing equipment and processes. Any failure to follow cGMP or other regulatory requirements or delay, interruption or other issues that arise in the manufacture of our product candidates as a result of a failure of our facilities or the facilities or operations of our third-party suppliers to comply with regulatory requirements or pass any regulatory authority inspection could significantly impair our ability to develop and commercialize our product candidates, including leading to significant delays in the availability of our product candidates for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If we are not able to maintain regulatory compliance, we may not be permitted to market our product candidates and/or may be subject to product recalls, seizures, injunctions, or criminal prosecution.</w:t>
      </w:r>
    </w:p>
    <w:p>
      <w:pPr>
        <w:spacing w:after="0" w:line="18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b w:val="1"/>
          <w:bCs w:val="1"/>
          <w:i w:val="1"/>
          <w:iCs w:val="1"/>
          <w:color w:val="231F20"/>
        </w:rPr>
        <w:t>We may not be able to successfully manufacture our product candidates in sufficient quality and quantity, which would delay or prevent us from developing our product candidates and commercializing resulting approved products, if any.</w:t>
      </w:r>
    </w:p>
    <w:p>
      <w:pPr>
        <w:spacing w:after="0" w:line="76"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To date, our product candidates have been manufactured in quantities adequate for preclinical studies. In order to conduct clinical trials for a product candidate and for commercialization of the resulting product if that product candidate is approved for sale, we will need to manufacture product candidates in larger quantities. We may not be able to successfully repeat or increase the manufacturing capacity for any of our product candidates in a timely or cost-effective manner or at all. Significant changes or scale-up of manufacturing may require additional validation studies, which are costly and which regulatory authorities must review and approve. In addition, quality issues may arise during those changes or scale-up activities. If we are unable to successfully manufacture of any of our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Changes in methods of product candidate manufacturing or formulation may result in additional costs or delay.</w:t>
      </w:r>
    </w:p>
    <w:p>
      <w:pPr>
        <w:spacing w:after="0" w:line="117" w:lineRule="exact"/>
        <w:rPr>
          <w:sz w:val="20"/>
          <w:szCs w:val="20"/>
          <w:color w:val="auto"/>
        </w:rPr>
      </w:pPr>
    </w:p>
    <w:p>
      <w:pPr>
        <w:ind w:right="180" w:firstLine="509"/>
        <w:spacing w:after="0" w:line="241" w:lineRule="auto"/>
        <w:rPr>
          <w:sz w:val="20"/>
          <w:szCs w:val="20"/>
          <w:color w:val="auto"/>
        </w:rPr>
      </w:pPr>
      <w:r>
        <w:rPr>
          <w:rFonts w:ascii="Arial" w:cs="Arial" w:eastAsia="Arial" w:hAnsi="Arial"/>
          <w:sz w:val="18"/>
          <w:szCs w:val="18"/>
          <w:color w:val="231F20"/>
        </w:rPr>
        <w:t>As product candidates progress through preclinical studies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Even if approved, we may not successfully commercialize our product candidates.</w:t>
      </w:r>
    </w:p>
    <w:p>
      <w:pPr>
        <w:spacing w:after="0" w:line="104" w:lineRule="exact"/>
        <w:rPr>
          <w:sz w:val="20"/>
          <w:szCs w:val="20"/>
          <w:color w:val="auto"/>
        </w:rPr>
      </w:pPr>
    </w:p>
    <w:p>
      <w:pPr>
        <w:ind w:firstLine="509"/>
        <w:spacing w:after="0" w:line="303" w:lineRule="auto"/>
        <w:rPr>
          <w:sz w:val="20"/>
          <w:szCs w:val="20"/>
          <w:color w:val="auto"/>
        </w:rPr>
      </w:pPr>
      <w:r>
        <w:rPr>
          <w:rFonts w:ascii="Arial" w:cs="Arial" w:eastAsia="Arial" w:hAnsi="Arial"/>
          <w:sz w:val="16"/>
          <w:szCs w:val="16"/>
          <w:color w:val="231F20"/>
        </w:rPr>
        <w:t>Our product candidates are subject to the risks of failure inherent in the development of pharmaceutical products based on new technologies, and our failure to develop safe, commercially viable products would severely limit our ability to become profitable or to achieve significant revenues. Even if one or more of our product candidates is approved, we may be unable to successfully commercialize our product candidates for several reasons, including: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2" w:name="page43"/>
    <w:bookmarkEnd w:id="42"/>
    <w:p>
      <w:pPr>
        <w:ind w:left="900" w:right="380" w:hanging="383"/>
        <w:spacing w:after="0" w:line="256" w:lineRule="auto"/>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some or all of our product candidates may be found to be unsafe or ineffective or otherwise fail to meet applicable regulatory standards or receive necessary regulatory clearances; our product candidates, if safe and effective, may nonetheless not be able to be developed into commercially viable products;</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28"/>
        </w:numPr>
        <w:rPr>
          <w:rFonts w:ascii="Arial" w:cs="Arial" w:eastAsia="Arial" w:hAnsi="Arial"/>
          <w:sz w:val="11"/>
          <w:szCs w:val="11"/>
          <w:color w:val="auto"/>
        </w:rPr>
      </w:pPr>
      <w:r>
        <w:rPr>
          <w:rFonts w:ascii="Arial" w:cs="Arial" w:eastAsia="Arial" w:hAnsi="Arial"/>
          <w:sz w:val="16"/>
          <w:szCs w:val="16"/>
          <w:color w:val="231F20"/>
        </w:rPr>
        <w:t>it may be difficult to manufacture or market our product candidates on a scale that is necessary to ultimately deliver our products to end-users;</w:t>
      </w:r>
    </w:p>
    <w:p>
      <w:pPr>
        <w:spacing w:after="0" w:line="140" w:lineRule="exact"/>
        <w:rPr>
          <w:rFonts w:ascii="Arial" w:cs="Arial" w:eastAsia="Arial" w:hAnsi="Arial"/>
          <w:sz w:val="11"/>
          <w:szCs w:val="11"/>
          <w:color w:val="auto"/>
        </w:rPr>
      </w:pPr>
    </w:p>
    <w:p>
      <w:pPr>
        <w:ind w:left="900" w:hanging="38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intellectual property and proprietary rights of third parties may preclude us from marketing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the nature of our indications as rare diseases means that the potential market size may be limited; and</w:t>
      </w:r>
    </w:p>
    <w:p>
      <w:pPr>
        <w:spacing w:after="0" w:line="103" w:lineRule="exact"/>
        <w:rPr>
          <w:rFonts w:ascii="Arial" w:cs="Arial" w:eastAsia="Arial" w:hAnsi="Arial"/>
          <w:sz w:val="13"/>
          <w:szCs w:val="13"/>
          <w:color w:val="auto"/>
        </w:rPr>
      </w:pPr>
    </w:p>
    <w:p>
      <w:pPr>
        <w:ind w:left="900" w:right="600" w:hanging="383"/>
        <w:spacing w:after="0" w:line="277" w:lineRule="auto"/>
        <w:tabs>
          <w:tab w:leader="none" w:pos="900" w:val="left"/>
        </w:tabs>
        <w:numPr>
          <w:ilvl w:val="0"/>
          <w:numId w:val="28"/>
        </w:numPr>
        <w:rPr>
          <w:rFonts w:ascii="Arial" w:cs="Arial" w:eastAsia="Arial" w:hAnsi="Arial"/>
          <w:sz w:val="13"/>
          <w:szCs w:val="13"/>
          <w:color w:val="auto"/>
        </w:rPr>
      </w:pPr>
      <w:r>
        <w:rPr>
          <w:rFonts w:ascii="Arial" w:cs="Arial" w:eastAsia="Arial" w:hAnsi="Arial"/>
          <w:sz w:val="18"/>
          <w:szCs w:val="18"/>
          <w:color w:val="231F20"/>
        </w:rPr>
        <w:t>third parties may market superior or equivalent drugs which could adversely affect the commercial viability and success of our product candidates.</w:t>
      </w:r>
    </w:p>
    <w:p>
      <w:pPr>
        <w:spacing w:after="0" w:line="157"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b w:val="1"/>
          <w:bCs w:val="1"/>
          <w:i w:val="1"/>
          <w:iCs w:val="1"/>
          <w:color w:val="231F20"/>
        </w:rPr>
        <w:t>Our product candidates may not achieve adequate market acceptance among physicians, patients, healthcare payors and others in the medical community necessary for commercial success.</w:t>
      </w:r>
    </w:p>
    <w:p>
      <w:pPr>
        <w:spacing w:after="0" w:line="63" w:lineRule="exact"/>
        <w:rPr>
          <w:sz w:val="20"/>
          <w:szCs w:val="20"/>
          <w:color w:val="auto"/>
        </w:rPr>
      </w:pPr>
    </w:p>
    <w:p>
      <w:pPr>
        <w:jc w:val="both"/>
        <w:ind w:right="160" w:firstLine="509"/>
        <w:spacing w:after="0" w:line="249" w:lineRule="auto"/>
        <w:rPr>
          <w:sz w:val="20"/>
          <w:szCs w:val="20"/>
          <w:color w:val="auto"/>
        </w:rPr>
      </w:pPr>
      <w:r>
        <w:rPr>
          <w:rFonts w:ascii="Arial" w:cs="Arial" w:eastAsia="Arial" w:hAnsi="Arial"/>
          <w:sz w:val="18"/>
          <w:szCs w:val="18"/>
          <w:color w:val="231F20"/>
        </w:rPr>
        <w:t>Even if our product candidates receive regulatory approval, they may not gain adequate market acceptance among physicians, patients, third-party payors and others in the medical community. If we are unable to demonstrate sufficient safety to permit a broader use of our product candidates, we may not generate significant product revenue and we may not become profitable. The degree of market acceptance of any of our approved product candidates will depend on a number of factors, including:</w:t>
      </w:r>
    </w:p>
    <w:p>
      <w:pPr>
        <w:spacing w:after="0" w:line="86" w:lineRule="exact"/>
        <w:rPr>
          <w:sz w:val="20"/>
          <w:szCs w:val="20"/>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103" w:lineRule="exact"/>
        <w:rPr>
          <w:rFonts w:ascii="Arial" w:cs="Arial" w:eastAsia="Arial" w:hAnsi="Arial"/>
          <w:sz w:val="13"/>
          <w:szCs w:val="13"/>
          <w:color w:val="auto"/>
        </w:rPr>
      </w:pPr>
    </w:p>
    <w:p>
      <w:pPr>
        <w:ind w:left="900" w:right="220" w:hanging="383"/>
        <w:spacing w:after="0" w:line="261" w:lineRule="auto"/>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size of the relevant pediatric patient population if approved for a pediatric indication, including challenges associated with diagnosing or identifying pediatric populations with the applicable target disease or condition;</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perceive safety and efficacy profile and ease of use for pediatric patient population if approved for a pediatric indication;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timing of market introduction of the product candidate as well as competitive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clinical indications for which a product candidate is approved;</w:t>
      </w:r>
    </w:p>
    <w:p>
      <w:pPr>
        <w:spacing w:after="0" w:line="117" w:lineRule="exact"/>
        <w:rPr>
          <w:rFonts w:ascii="Arial" w:cs="Arial" w:eastAsia="Arial" w:hAnsi="Arial"/>
          <w:sz w:val="13"/>
          <w:szCs w:val="13"/>
          <w:color w:val="auto"/>
        </w:rPr>
      </w:pPr>
    </w:p>
    <w:p>
      <w:pPr>
        <w:ind w:left="900" w:right="80" w:hanging="383"/>
        <w:spacing w:after="0" w:line="324" w:lineRule="auto"/>
        <w:tabs>
          <w:tab w:leader="none" w:pos="900" w:val="left"/>
        </w:tabs>
        <w:numPr>
          <w:ilvl w:val="0"/>
          <w:numId w:val="29"/>
        </w:numPr>
        <w:rPr>
          <w:rFonts w:ascii="Arial" w:cs="Arial" w:eastAsia="Arial" w:hAnsi="Arial"/>
          <w:sz w:val="11"/>
          <w:szCs w:val="11"/>
          <w:color w:val="auto"/>
        </w:rPr>
      </w:pPr>
      <w:r>
        <w:rPr>
          <w:rFonts w:ascii="Arial" w:cs="Arial" w:eastAsia="Arial" w:hAnsi="Arial"/>
          <w:sz w:val="16"/>
          <w:szCs w:val="16"/>
          <w:color w:val="231F20"/>
        </w:rPr>
        <w:t>restrictions on the use of product candidates in the labeling approved by regulatory authorities, such as boxed warnings or contraindications in labeling, or a risk evaluation and mitigation strategy, if any, which may not be required of alternative treatments and competitor products;</w:t>
      </w:r>
    </w:p>
    <w:p>
      <w:pPr>
        <w:spacing w:after="0" w:line="16" w:lineRule="exact"/>
        <w:rPr>
          <w:rFonts w:ascii="Arial" w:cs="Arial" w:eastAsia="Arial" w:hAnsi="Arial"/>
          <w:sz w:val="11"/>
          <w:szCs w:val="11"/>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physicians, hospitals, treatment centers and patients considering our product candidates as a safe, pure and effective treatment;</w:t>
      </w:r>
    </w:p>
    <w:p>
      <w:pPr>
        <w:spacing w:after="0" w:line="117"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perceived prevalence and severity of any side effects for our product candidates compared to the prevalence and severity of any side effects for conventional products and other gene therapies;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potential and perceived advantages of our product candidates over alternative treatments;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cost of treatment in relation to alternative treatments;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relative convenience and ease of administration;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2"/>
          <w:szCs w:val="12"/>
          <w:color w:val="auto"/>
        </w:rPr>
      </w:pPr>
      <w:r>
        <w:rPr>
          <w:rFonts w:ascii="Arial" w:cs="Arial" w:eastAsia="Arial" w:hAnsi="Arial"/>
          <w:sz w:val="17"/>
          <w:szCs w:val="17"/>
          <w:color w:val="231F20"/>
        </w:rPr>
        <w:t>the willingness of the target patient population or their caregivers to try new therapies and of physicians to prescribe these therapies;</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availability of coverage and adequate reimbursement by third-party payors, including government authorities;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patients’ willingness to pay for these therapies in the absence of such coverage and adequate reimbursement;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effectiveness of sales and marketing efforts;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support from KOLs and patient advocacy groups;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unfavorable publicity relating to our product candidates;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29"/>
        </w:numPr>
        <w:rPr>
          <w:rFonts w:ascii="Arial" w:cs="Arial" w:eastAsia="Arial" w:hAnsi="Arial"/>
          <w:sz w:val="13"/>
          <w:szCs w:val="13"/>
          <w:color w:val="auto"/>
        </w:rPr>
      </w:pPr>
      <w:r>
        <w:rPr>
          <w:rFonts w:ascii="Arial" w:cs="Arial" w:eastAsia="Arial" w:hAnsi="Arial"/>
          <w:sz w:val="18"/>
          <w:szCs w:val="18"/>
          <w:color w:val="231F20"/>
        </w:rPr>
        <w:t>the approval of other new therapies for the same indications.</w:t>
      </w:r>
    </w:p>
    <w:p>
      <w:pPr>
        <w:spacing w:after="0" w:line="104" w:lineRule="exact"/>
        <w:rPr>
          <w:sz w:val="20"/>
          <w:szCs w:val="20"/>
          <w:color w:val="auto"/>
        </w:rPr>
      </w:pPr>
    </w:p>
    <w:p>
      <w:pPr>
        <w:ind w:right="300" w:firstLine="509"/>
        <w:spacing w:after="0" w:line="342" w:lineRule="auto"/>
        <w:rPr>
          <w:sz w:val="20"/>
          <w:szCs w:val="20"/>
          <w:color w:val="auto"/>
        </w:rPr>
      </w:pPr>
      <w:r>
        <w:rPr>
          <w:rFonts w:ascii="Arial" w:cs="Arial" w:eastAsia="Arial" w:hAnsi="Arial"/>
          <w:sz w:val="16"/>
          <w:szCs w:val="16"/>
          <w:color w:val="231F20"/>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8" w:right="379" w:bottom="1440" w:gutter="0" w:footer="0" w:header="0"/>
        </w:sectPr>
      </w:pPr>
    </w:p>
    <w:bookmarkStart w:id="43" w:name="page44"/>
    <w:bookmarkEnd w:id="43"/>
    <w:p>
      <w:pPr>
        <w:ind w:right="240"/>
        <w:spacing w:after="0" w:line="277" w:lineRule="auto"/>
        <w:rPr>
          <w:sz w:val="20"/>
          <w:szCs w:val="20"/>
          <w:color w:val="auto"/>
        </w:rPr>
      </w:pPr>
      <w:r>
        <w:rPr>
          <w:rFonts w:ascii="Arial" w:cs="Arial" w:eastAsia="Arial" w:hAnsi="Arial"/>
          <w:sz w:val="18"/>
          <w:szCs w:val="18"/>
          <w:b w:val="1"/>
          <w:bCs w:val="1"/>
          <w:i w:val="1"/>
          <w:iCs w:val="1"/>
          <w:color w:val="231F20"/>
        </w:rPr>
        <w:t>Adverse public perception or regulatory scrutiny of gene therapy technology or precision medicine for the treatment of heart diseases may negatively impact the developmental progress or commercial success of product candidates that we develop.</w:t>
      </w:r>
    </w:p>
    <w:p>
      <w:pPr>
        <w:spacing w:after="0" w:line="49" w:lineRule="exact"/>
        <w:rPr>
          <w:sz w:val="20"/>
          <w:szCs w:val="20"/>
          <w:color w:val="auto"/>
        </w:rPr>
      </w:pPr>
    </w:p>
    <w:p>
      <w:pPr>
        <w:ind w:right="300" w:firstLine="509"/>
        <w:spacing w:after="0" w:line="249" w:lineRule="auto"/>
        <w:rPr>
          <w:sz w:val="20"/>
          <w:szCs w:val="20"/>
          <w:color w:val="auto"/>
        </w:rPr>
      </w:pPr>
      <w:r>
        <w:rPr>
          <w:rFonts w:ascii="Arial" w:cs="Arial" w:eastAsia="Arial" w:hAnsi="Arial"/>
          <w:sz w:val="18"/>
          <w:szCs w:val="18"/>
          <w:color w:val="231F20"/>
        </w:rPr>
        <w:t>The developmental and commercial success of product candidates that we develop will depend in part on public acceptance of the use of gene therapy technology, including the use of AAVs, and precision medicine for the prevention or treatment of human diseases. Adverse public perception of gene therapies or precision medicine may negatively impact our ability to raise capital or enter into strategic agreements for the development of product candidates.</w:t>
      </w:r>
    </w:p>
    <w:p>
      <w:pPr>
        <w:spacing w:after="0" w:line="73"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Gene therapy and precision medicine remain novel technologies. The commercial success of our products, if successfully developed and approved, may be adversely affected by claims that gene therapy or precision medicine is unsafe, unethical or immoral. This may lead to unfavorable public perception and the inability of any of our product candidates to gain the acceptance of the public or the medical community. Unfavorable public perceptions may also adversely impact our ability to enroll clinical trials for our product candidates. Moreover, success in commercializing any product candidates that receive regulatory approval will depend upon physicians prescribing, and their patients being willing to receive, treatments that involve the use of such product candidates in lieu of, or in addition to, existing treatments with which they are already familiar and for which greater clinical data may be available.</w:t>
      </w:r>
    </w:p>
    <w:p>
      <w:pPr>
        <w:spacing w:after="0" w:line="48"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231F20"/>
        </w:rPr>
        <w:t>Publicity of any adverse events in, or unfavorable results of, preclinical studies or clinical trials for any current or future product candidates, or with respect to the studies or trials of our competitors or of academic researchers utilizing similar technologies, even if not ultimately attributable to our technology or product candidates, could negatively influence public opinion. Negative public perception about the use of AAV technology in human therapeutics or precision medicine, whether related to our technology or our competitor’s technology, could result in increased governmental regulation, delays in the development and commercialization of product candidates or decreased demand for the resulting products, any of which may seriously harm our business.</w:t>
      </w:r>
    </w:p>
    <w:p>
      <w:pPr>
        <w:spacing w:after="0" w:line="185"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b w:val="1"/>
          <w:bCs w:val="1"/>
          <w:i w:val="1"/>
          <w:iCs w:val="1"/>
          <w:color w:val="231F20"/>
        </w:rPr>
        <w:t>The limited number of patients who have the diseases for which our product candidates are being developed may make it more difficult for us to enroll or complete clinical trials or may result in findings in our clinical trials that do not reach levels of statistical significance sufficient for marketing approval. Even if such product candidates achieve marketing approval, because such target patient populations are small and the addressable patient population may be even smaller, we must be able to successfully identify patients and capture a significant market share to achieve profitability and growth.</w:t>
      </w:r>
    </w:p>
    <w:p>
      <w:pPr>
        <w:spacing w:after="0" w:line="91"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Some of the indications for which we plan to evaluate our product candidates in clinical trials are rare genetic diseases. Accordingly, there are limited patient pools from which to draw for clinical trials. In addition to the rarity of these diseases, the eligibility criteria of our planned clinical trials will further limit the pool of available study participants as we will require that patients have specific characteristics that we can measure to assure their disease is either severe enough or not too advanced to include them in a trial. Moreover, the effort to identify patients with diseases we seek to treat is in early stages, and we cannot accurately predict the number of patients for whom treatment might be possible. We may not be able to initiate or continue clinical trials on a timely basis or at all for our product candidates if we are unable to locate and enroll a sufficient number of eligible patients to participate in the trials as required by applicable regulations or as needed to provide appropriate statistical power for a given trial. Similarly, because some of the conditions we intend to treat are rare in nature, we plan to design and conduct clinical trials utilizing a small number of patients in order to evaluate the safety and therapeutic activity of our product candidates. Conducting trials in smaller subject populations increases the risk that any safety or efficacy issues observed in only a few patients could prevent such trials from reaching statistical significance or otherwise meeting their specified endpoints, which could require us to conduct additional clinical trials, or delay or prevent our product candidates from receiving regulatory approval, which would seriously harm our business.</w:t>
      </w:r>
    </w:p>
    <w:p>
      <w:pPr>
        <w:spacing w:after="0" w:line="67" w:lineRule="exact"/>
        <w:rPr>
          <w:sz w:val="20"/>
          <w:szCs w:val="20"/>
          <w:color w:val="auto"/>
        </w:rPr>
      </w:pPr>
    </w:p>
    <w:p>
      <w:pPr>
        <w:jc w:val="both"/>
        <w:ind w:right="40" w:firstLine="509"/>
        <w:spacing w:after="0" w:line="249" w:lineRule="auto"/>
        <w:rPr>
          <w:sz w:val="20"/>
          <w:szCs w:val="20"/>
          <w:color w:val="auto"/>
        </w:rPr>
      </w:pPr>
      <w:r>
        <w:rPr>
          <w:rFonts w:ascii="Arial" w:cs="Arial" w:eastAsia="Arial" w:hAnsi="Arial"/>
          <w:sz w:val="18"/>
          <w:szCs w:val="18"/>
          <w:color w:val="231F20"/>
        </w:rPr>
        <w:t>Additionally, the potentially addressable patient population for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achieve profitability despite obtaining such significant market share.</w:t>
      </w:r>
    </w:p>
    <w:p>
      <w:pPr>
        <w:spacing w:after="0" w:line="194"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231F20"/>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160" w:firstLine="509"/>
        <w:spacing w:after="0" w:line="246" w:lineRule="auto"/>
        <w:rPr>
          <w:sz w:val="20"/>
          <w:szCs w:val="20"/>
          <w:color w:val="auto"/>
        </w:rPr>
      </w:pPr>
      <w:r>
        <w:rPr>
          <w:rFonts w:ascii="Arial" w:cs="Arial" w:eastAsia="Arial" w:hAnsi="Arial"/>
          <w:sz w:val="18"/>
          <w:szCs w:val="18"/>
          <w:color w:val="231F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The indications we are initially pursuing have small patient populations. For product candidates that are designed to treat smaller patient populations to be commercially viable, the reimbursement for such product candidates must be higher, on a relative basis, to account for the lack of volume. Accordingly, we will need to implement a coverage and reimbursement strategy for any approved product candidate that accounts for the smaller potential market size.</w:t>
      </w:r>
    </w:p>
    <w:p>
      <w:pPr>
        <w:spacing w:after="0" w:line="77" w:lineRule="exact"/>
        <w:rPr>
          <w:sz w:val="20"/>
          <w:szCs w:val="20"/>
          <w:color w:val="auto"/>
        </w:rPr>
      </w:pPr>
    </w:p>
    <w:p>
      <w:pPr>
        <w:jc w:val="both"/>
        <w:ind w:right="20" w:firstLine="509"/>
        <w:spacing w:after="0" w:line="256" w:lineRule="auto"/>
        <w:rPr>
          <w:sz w:val="20"/>
          <w:szCs w:val="20"/>
          <w:color w:val="auto"/>
        </w:rPr>
      </w:pPr>
      <w:r>
        <w:rPr>
          <w:rFonts w:ascii="Arial" w:cs="Arial" w:eastAsia="Arial" w:hAnsi="Arial"/>
          <w:sz w:val="18"/>
          <w:szCs w:val="18"/>
          <w:color w:val="231F20"/>
        </w:rPr>
        <w:t>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ind w:right="100"/>
        <w:spacing w:after="0" w:line="249" w:lineRule="auto"/>
        <w:rPr>
          <w:sz w:val="20"/>
          <w:szCs w:val="20"/>
          <w:color w:val="auto"/>
        </w:rPr>
      </w:pPr>
      <w:r>
        <w:rPr>
          <w:rFonts w:ascii="Arial" w:cs="Arial" w:eastAsia="Arial" w:hAnsi="Arial"/>
          <w:sz w:val="18"/>
          <w:szCs w:val="18"/>
          <w:color w:val="231F20"/>
        </w:rPr>
        <w:t>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86"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or at the same level of reimbursement.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67"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231F20"/>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92"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231F20"/>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73" w:lineRule="exact"/>
        <w:rPr>
          <w:sz w:val="20"/>
          <w:szCs w:val="20"/>
          <w:color w:val="auto"/>
        </w:rPr>
      </w:pPr>
    </w:p>
    <w:p>
      <w:pPr>
        <w:ind w:right="60" w:firstLine="509"/>
        <w:spacing w:after="0" w:line="245" w:lineRule="auto"/>
        <w:rPr>
          <w:sz w:val="20"/>
          <w:szCs w:val="20"/>
          <w:color w:val="auto"/>
        </w:rPr>
      </w:pPr>
      <w:r>
        <w:rPr>
          <w:rFonts w:ascii="Arial" w:cs="Arial" w:eastAsia="Arial" w:hAnsi="Arial"/>
          <w:sz w:val="18"/>
          <w:szCs w:val="18"/>
          <w:color w:val="231F20"/>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231F20"/>
        </w:rPr>
        <w:t>Our business entails a significant risk of product liability and if we are unable to obtain sufficient insurance coverage, such inability could have an adverse effect on our business and financial condition. If product liability lawsuits are brought against us, we may incur substantial liabilities and may be required to limit commercialization of our products.</w:t>
      </w:r>
    </w:p>
    <w:p>
      <w:pPr>
        <w:spacing w:after="0" w:line="67"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231F20"/>
        </w:rPr>
        <w:t>Our business exposes us to significant product liability risks inherent in the development, testing, manufacturing and marketing of therapeutic treatments. We currently have no product liability insurance.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 Also,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collaborators entitle us to indemnification against losses, such indemnification may not be available or adequate should any claim arise.</w:t>
      </w:r>
    </w:p>
    <w:p>
      <w:pPr>
        <w:spacing w:after="0" w:line="70"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231F20"/>
        </w:rPr>
        <w:t>We may be sued if any of our product candidates cause or are perceived to cause injury or are found to be otherwise unsuitable during clinical testing, manufacturing, marketing, or sale post-approval. Any such product liability claims may include allegations 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spacing w:after="0" w:line="249" w:lineRule="auto"/>
        <w:rPr>
          <w:sz w:val="20"/>
          <w:szCs w:val="20"/>
          <w:color w:val="auto"/>
        </w:rPr>
      </w:pPr>
      <w:r>
        <w:rPr>
          <w:rFonts w:ascii="Arial" w:cs="Arial" w:eastAsia="Arial" w:hAnsi="Arial"/>
          <w:sz w:val="18"/>
          <w:szCs w:val="18"/>
          <w:color w:val="231F20"/>
        </w:rPr>
        <w:t>defects in manufacturing, defects in design, a failure to warn of dangers inherent in the product, negligence, strict liability, or a breach of warranties. Claims could also be asserted under state consumer protection laws. If we cannot successfully defend ourselves against product liability claims, we may incur substantial liabilities or be required to limit testing and commercialization of our products. Even successful defense would require significant financial and management resources.</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Regardless of the merits or eventual outcome, liability claims may result in:</w:t>
      </w:r>
    </w:p>
    <w:p>
      <w:pPr>
        <w:spacing w:after="0" w:line="104" w:lineRule="exact"/>
        <w:rPr>
          <w:sz w:val="20"/>
          <w:szCs w:val="20"/>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delays in the development of our product candidates;</w:t>
      </w:r>
    </w:p>
    <w:p>
      <w:pPr>
        <w:spacing w:after="0" w:line="103" w:lineRule="exact"/>
        <w:rPr>
          <w:rFonts w:ascii="Arial" w:cs="Arial" w:eastAsia="Arial" w:hAnsi="Arial"/>
          <w:sz w:val="13"/>
          <w:szCs w:val="13"/>
          <w:color w:val="auto"/>
        </w:rPr>
      </w:pPr>
    </w:p>
    <w:p>
      <w:pPr>
        <w:ind w:left="900" w:right="600" w:hanging="383"/>
        <w:spacing w:after="0" w:line="277" w:lineRule="auto"/>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FDA, EMA or other regulatory authority investigation of the safety and effectiveness of our products, our manufacturing processes and facilities or our marketing programs;</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decreased or interrupted demand for our products;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injury to our reputation;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withdrawal of clinical trial participants and inability to continue clinical trials;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initiation of investigations by regulators;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costs to defend the related litigation;</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a diversion of management’s time and our resources;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substantial monetary awards to trial participants or patients;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product recalls, withdrawals or labeling, marketing, or promotional restrictions;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loss of revenue;</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exhaustion of any available insurance and our capital resources; and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8"/>
          <w:szCs w:val="18"/>
          <w:color w:val="231F20"/>
        </w:rPr>
        <w:t>the inability to commercialize any products.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Regulatory Approval and Other Legal Compliance Matters</w:t>
      </w:r>
    </w:p>
    <w:p>
      <w:pPr>
        <w:spacing w:after="0" w:line="229" w:lineRule="exact"/>
        <w:rPr>
          <w:sz w:val="20"/>
          <w:szCs w:val="20"/>
          <w:color w:val="auto"/>
        </w:rPr>
      </w:pPr>
    </w:p>
    <w:p>
      <w:pPr>
        <w:jc w:val="both"/>
        <w:ind w:right="120"/>
        <w:spacing w:after="0" w:line="248" w:lineRule="auto"/>
        <w:rPr>
          <w:sz w:val="20"/>
          <w:szCs w:val="20"/>
          <w:color w:val="auto"/>
        </w:rPr>
      </w:pPr>
      <w:r>
        <w:rPr>
          <w:rFonts w:ascii="Arial" w:cs="Arial" w:eastAsia="Arial" w:hAnsi="Arial"/>
          <w:sz w:val="18"/>
          <w:szCs w:val="18"/>
          <w:b w:val="1"/>
          <w:bCs w:val="1"/>
          <w:i w:val="1"/>
          <w:iCs w:val="1"/>
          <w:color w:val="231F20"/>
        </w:rPr>
        <w:t>The regulatory approval processes of the FDA, EMA and other comparable foreign regulatory authorities are lengthy, time consuming and inherently unpredictable. If we are ultimately unable to obtain regulatory approval of our product candidates, we will be unable to generate product revenue and our business will be substantially harmed.</w:t>
      </w:r>
    </w:p>
    <w:p>
      <w:pPr>
        <w:spacing w:after="0" w:line="74" w:lineRule="exact"/>
        <w:rPr>
          <w:sz w:val="20"/>
          <w:szCs w:val="20"/>
          <w:color w:val="auto"/>
        </w:rPr>
      </w:pPr>
    </w:p>
    <w:p>
      <w:pPr>
        <w:ind w:right="20" w:firstLine="509"/>
        <w:spacing w:after="0" w:line="245" w:lineRule="auto"/>
        <w:rPr>
          <w:sz w:val="20"/>
          <w:szCs w:val="20"/>
          <w:color w:val="auto"/>
        </w:rPr>
      </w:pPr>
      <w:r>
        <w:rPr>
          <w:rFonts w:ascii="Arial" w:cs="Arial" w:eastAsia="Arial" w:hAnsi="Arial"/>
          <w:sz w:val="17"/>
          <w:szCs w:val="17"/>
          <w:color w:val="231F20"/>
        </w:rPr>
        <w:t>Our product candidates are and will continue to be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approved for marketing. Obtaining approval by the FDA, EMA and other comparable foreign regulatory authorities is costly,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for our product candidates, the FDA, EMA and other comparable foreign regulatory authorities may approve our product candidates for a more limited indication or a narrower patient population than we originally requested or may impose other prescribing limitations or warnings that limit the product’s commercial potential. We have not submitted for, or obtained, regulatory approval for any product candidate, and it is possible that none of our product candidates will ever obtain regulatory approval. Further, development of our product candidates and/or regulatory approval may be delayed for reasons beyond our control. We cannot provide any assurance that any product candidate we may develop will progress through required clinical testing and obtain the regulatory approvals necessary for us to begin selling them.</w:t>
      </w:r>
    </w:p>
    <w:p>
      <w:pPr>
        <w:spacing w:after="0" w:line="101" w:lineRule="exact"/>
        <w:rPr>
          <w:sz w:val="20"/>
          <w:szCs w:val="20"/>
          <w:color w:val="auto"/>
        </w:rPr>
      </w:pPr>
    </w:p>
    <w:p>
      <w:pPr>
        <w:ind w:right="120" w:firstLine="509"/>
        <w:spacing w:after="0" w:line="291" w:lineRule="auto"/>
        <w:rPr>
          <w:sz w:val="20"/>
          <w:szCs w:val="20"/>
          <w:color w:val="auto"/>
        </w:rPr>
      </w:pPr>
      <w:r>
        <w:rPr>
          <w:rFonts w:ascii="Arial" w:cs="Arial" w:eastAsia="Arial" w:hAnsi="Arial"/>
          <w:sz w:val="17"/>
          <w:szCs w:val="17"/>
          <w:color w:val="231F20"/>
        </w:rPr>
        <w:t>We have not initiated, conducted, managed or completed any clinical trials nor managed the regulatory approval process with the FDA or any other regulatory authority. Applications for our product candidates could fail to receive regulatory approval for many reasons, including the following:</w:t>
      </w:r>
    </w:p>
    <w:p>
      <w:pPr>
        <w:spacing w:after="0" w:line="133" w:lineRule="exact"/>
        <w:rPr>
          <w:sz w:val="20"/>
          <w:szCs w:val="20"/>
          <w:color w:val="auto"/>
        </w:rPr>
      </w:pPr>
    </w:p>
    <w:p>
      <w:pPr>
        <w:ind w:left="5540" w:hanging="5023"/>
        <w:spacing w:after="0" w:line="527" w:lineRule="auto"/>
        <w:tabs>
          <w:tab w:leader="none" w:pos="898" w:val="left"/>
        </w:tabs>
        <w:numPr>
          <w:ilvl w:val="0"/>
          <w:numId w:val="31"/>
        </w:numPr>
        <w:rPr>
          <w:rFonts w:ascii="Arial" w:cs="Arial" w:eastAsia="Arial" w:hAnsi="Arial"/>
          <w:sz w:val="13"/>
          <w:szCs w:val="13"/>
          <w:color w:val="auto"/>
        </w:rPr>
      </w:pPr>
      <w:r>
        <w:rPr>
          <w:rFonts w:ascii="Arial" w:cs="Arial" w:eastAsia="Arial" w:hAnsi="Arial"/>
          <w:sz w:val="18"/>
          <w:szCs w:val="18"/>
          <w:color w:val="231F20"/>
        </w:rPr>
        <w:t xml:space="preserve">the FDA, EMA or other comparable foreign regulatory authorities may disagree with the design, implementation or results of our clinical trials; </w:t>
      </w:r>
      <w:r>
        <w:rPr>
          <w:rFonts w:ascii="Arial" w:cs="Arial" w:eastAsia="Arial" w:hAnsi="Arial"/>
          <w:sz w:val="18"/>
          <w:szCs w:val="18"/>
          <w:color w:val="00000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-108585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6" w:name="page47"/>
    <w:bookmarkEnd w:id="46"/>
    <w:p>
      <w:pPr>
        <w:ind w:left="900" w:right="300" w:hanging="383"/>
        <w:spacing w:after="0" w:line="256"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determine that our product candidates are not safe and effective, are only moderately effective or have undesirable or unintended side effects, toxicities or other characteristics that preclude our obtaining marketing approval or prevent or limit commercial use;</w:t>
      </w:r>
    </w:p>
    <w:p>
      <w:pPr>
        <w:spacing w:after="0" w:line="66" w:lineRule="exact"/>
        <w:rPr>
          <w:rFonts w:ascii="Arial" w:cs="Arial" w:eastAsia="Arial" w:hAnsi="Arial"/>
          <w:sz w:val="13"/>
          <w:szCs w:val="13"/>
          <w:color w:val="auto"/>
        </w:rPr>
      </w:pPr>
    </w:p>
    <w:p>
      <w:pPr>
        <w:ind w:left="900" w:right="80" w:hanging="383"/>
        <w:spacing w:after="0" w:line="277"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48"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the FDA, EMA or other comparable foreign regulatory authorities may disagree with our interpretation of data from preclinical studies or clinical trials;</w:t>
      </w:r>
    </w:p>
    <w:p>
      <w:pPr>
        <w:spacing w:after="0" w:line="76"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we may be unable to demonstrate to the FDA, EMA or other comparable foreign regulatory authorities that our product candidate’s risk-benefit ratio for its proposed indication is acceptable;</w:t>
      </w:r>
    </w:p>
    <w:p>
      <w:pPr>
        <w:spacing w:after="0" w:line="62" w:lineRule="exact"/>
        <w:rPr>
          <w:rFonts w:ascii="Arial" w:cs="Arial" w:eastAsia="Arial" w:hAnsi="Arial"/>
          <w:sz w:val="13"/>
          <w:szCs w:val="13"/>
          <w:color w:val="auto"/>
        </w:rPr>
      </w:pPr>
    </w:p>
    <w:p>
      <w:pPr>
        <w:ind w:left="900" w:right="560" w:hanging="383"/>
        <w:spacing w:after="0" w:line="324" w:lineRule="auto"/>
        <w:tabs>
          <w:tab w:leader="none" w:pos="900" w:val="left"/>
        </w:tabs>
        <w:numPr>
          <w:ilvl w:val="0"/>
          <w:numId w:val="32"/>
        </w:numPr>
        <w:rPr>
          <w:rFonts w:ascii="Arial" w:cs="Arial" w:eastAsia="Arial" w:hAnsi="Arial"/>
          <w:sz w:val="11"/>
          <w:szCs w:val="11"/>
          <w:color w:val="auto"/>
        </w:rPr>
      </w:pPr>
      <w:r>
        <w:rPr>
          <w:rFonts w:ascii="Arial" w:cs="Arial" w:eastAsia="Arial" w:hAnsi="Arial"/>
          <w:sz w:val="16"/>
          <w:szCs w:val="16"/>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9" w:lineRule="exact"/>
        <w:rPr>
          <w:rFonts w:ascii="Arial" w:cs="Arial" w:eastAsia="Arial" w:hAnsi="Arial"/>
          <w:sz w:val="11"/>
          <w:szCs w:val="11"/>
          <w:color w:val="auto"/>
        </w:rPr>
      </w:pPr>
    </w:p>
    <w:p>
      <w:pPr>
        <w:ind w:left="900" w:right="60" w:hanging="383"/>
        <w:spacing w:after="0" w:line="261" w:lineRule="auto"/>
        <w:tabs>
          <w:tab w:leader="none" w:pos="900" w:val="left"/>
        </w:tabs>
        <w:numPr>
          <w:ilvl w:val="0"/>
          <w:numId w:val="32"/>
        </w:numPr>
        <w:rPr>
          <w:rFonts w:ascii="Arial" w:cs="Arial" w:eastAsia="Arial" w:hAnsi="Arial"/>
          <w:sz w:val="13"/>
          <w:szCs w:val="13"/>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63"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231F20"/>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Any delay or failure in seeking or obtaining required approvals would have a material and adverse effect on our ability to generate revenue from any particular product candidates we are developing and for which we are seeking approval. Furthermore, any regulatory approval to market a drug may be subject to significant limitations on the approved uses or indications for which we may market, promote and advertise the drug or the labeling or other restrictions. In addition, the FDA has the authority to require a Risk Evaluation and Mitigation Strategy (REMS) plan as part of approving an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8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231F20"/>
        </w:rPr>
        <w:t>We are also subject to numerous foreign regulatory requirements governing, among other things, the conduct of clinical trials, manufacturing and marketing authorization, pricing and third-party reimbursement. The foreign regulatory approval process varies among countries, and generally includes all of the risks associated with FDA and EMA approval described above as well as risks attributable to the satisfaction of local regulations in foreign jurisdictions. Moreover, the time required to obtain approval may differ from that required to obtain FDA approval.</w:t>
      </w:r>
    </w:p>
    <w:p>
      <w:pPr>
        <w:spacing w:after="0" w:line="186" w:lineRule="exact"/>
        <w:rPr>
          <w:sz w:val="20"/>
          <w:szCs w:val="20"/>
          <w:color w:val="auto"/>
        </w:rPr>
      </w:pPr>
    </w:p>
    <w:p>
      <w:pPr>
        <w:ind w:right="900"/>
        <w:spacing w:after="0" w:line="261" w:lineRule="auto"/>
        <w:rPr>
          <w:sz w:val="20"/>
          <w:szCs w:val="20"/>
          <w:color w:val="auto"/>
        </w:rPr>
      </w:pPr>
      <w:r>
        <w:rPr>
          <w:rFonts w:ascii="Arial" w:cs="Arial" w:eastAsia="Arial" w:hAnsi="Arial"/>
          <w:sz w:val="18"/>
          <w:szCs w:val="18"/>
          <w:b w:val="1"/>
          <w:bCs w:val="1"/>
          <w:i w:val="1"/>
          <w:iCs w:val="1"/>
          <w:color w:val="231F20"/>
        </w:rPr>
        <w:t>The FDA, EMA and other comparable foreign regulatory authorities may not accept data from trials conducted in locations outside of their jurisdiction.</w:t>
      </w:r>
    </w:p>
    <w:p>
      <w:pPr>
        <w:spacing w:after="0" w:line="63"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We are planning on undertaking clinical trials in the United States and additional clinical trials internationally. The acceptance of study data by the FDA, EMA or other comparable foreign regulatory authority from clinical trials conducted outside of their respective jurisdictions may be subject to certain conditions. In cases where data from U.S. clinical trials are intended to serve as the basis for marketing approval in the foreign countries outside the United States, the standards for clinical trials and approval may be different. There can be no assurance that any U.S. or foreign regulatory authority would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17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231F20"/>
        </w:rPr>
        <w:t>Obtaining and maintaining regulatory approval of our product candidates in one jurisdiction does not mean that we will be successful in obtaining regulatory approval of our product candidates in other jurisdictions.</w:t>
      </w:r>
    </w:p>
    <w:p>
      <w:pPr>
        <w:spacing w:after="0" w:line="63"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Obtaining and maintaining regulatory approval of our product candidates in one jurisdiction does not guarantee that we will be able to obtain or maintain regulatory approval in any other jurisdiction. For example, even if the FDA or EMA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20" w:firstLine="509"/>
        <w:spacing w:after="0" w:line="249" w:lineRule="auto"/>
        <w:rPr>
          <w:sz w:val="20"/>
          <w:szCs w:val="20"/>
          <w:color w:val="auto"/>
        </w:rPr>
      </w:pPr>
      <w:r>
        <w:rPr>
          <w:rFonts w:ascii="Arial" w:cs="Arial" w:eastAsia="Arial" w:hAnsi="Arial"/>
          <w:sz w:val="18"/>
          <w:szCs w:val="18"/>
          <w:color w:val="231F20"/>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harmed.</w:t>
      </w:r>
    </w:p>
    <w:p>
      <w:pPr>
        <w:spacing w:after="0" w:line="194"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b w:val="1"/>
          <w:bCs w:val="1"/>
          <w:i w:val="1"/>
          <w:iCs w:val="1"/>
          <w:color w:val="231F20"/>
        </w:rPr>
        <w:t>Even if we successfully complete the necessary preclinical studies and clinical trials, we cannot predict when, or if, we will obtain regulatory approval to commercialize a product candidate and the approval may be for a narrower indication than we seek.</w:t>
      </w:r>
    </w:p>
    <w:p>
      <w:pPr>
        <w:spacing w:after="0" w:line="39"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We cannot commercialize a product candidate until the appropriate regulatory authorities have reviewed and approved the product candidate. We have not received approval from regulatory authorities in any jurisdiction to market any of our product candidates. Even if our product candidates meet their safety and efficacy endpoints in clinical trials, the regulatory authorities may not complete their review processes in a timely manner, issue a complete response letter, or ultimately, we may not be able to obtain regulatory approval. In addition, we may experience delays or rejections if an FDA Advisory Committee recommends disapproval or restrictions on use.</w:t>
      </w:r>
    </w:p>
    <w:p>
      <w:pPr>
        <w:spacing w:after="0" w:line="91"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We may also experience delays or rejections based upon additional government regulation from future legislation or administrative actions, or changes in regulatory authority policy during the period of product development, clinical trials and the review process. Regulatory authorities have substantial discretion in the approval process and may refuse to accept any application or may decide that our data are insufficient for approval and require additional preclinical, clinical or other studies. In addition, varying interpretations of data obtained from preclinical and clinical testing could delay, limit or prevent the receipt of marketing approval for a product candidate.</w:t>
      </w:r>
    </w:p>
    <w:p>
      <w:pPr>
        <w:spacing w:after="0" w:line="78"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231F20"/>
        </w:rPr>
        <w:t>Regulatory authorities also may approve a product candidate for more limited indications than requested or they may impose significant limitations in the form of narrow indications, warnings or other labeling changes. These regulatory authorities may require precautions or contra-indications with respect to conditions of use or they may grant approval subject to the performance of costly post-marketing clinical trials. Regulatory authorities may impose restrictions and conditions on product distribution, prescribing, or dispensing in the form of a REMS or equivalent requirement.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harm our business, financial condition, results of operations and prospects.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Even if our product candidates receive regulatory approval, they will be subject to significant post- marketing regulatory requirements and oversight.</w:t>
      </w:r>
    </w:p>
    <w:p>
      <w:pPr>
        <w:spacing w:after="0" w:line="138" w:lineRule="exact"/>
        <w:rPr>
          <w:sz w:val="20"/>
          <w:szCs w:val="20"/>
          <w:color w:val="auto"/>
        </w:rPr>
      </w:pPr>
    </w:p>
    <w:p>
      <w:pPr>
        <w:ind w:firstLine="509"/>
        <w:spacing w:after="0" w:line="256" w:lineRule="auto"/>
        <w:rPr>
          <w:sz w:val="20"/>
          <w:szCs w:val="20"/>
          <w:color w:val="auto"/>
        </w:rPr>
      </w:pPr>
      <w:r>
        <w:rPr>
          <w:rFonts w:ascii="Arial" w:cs="Arial" w:eastAsia="Arial" w:hAnsi="Arial"/>
          <w:sz w:val="17"/>
          <w:szCs w:val="17"/>
          <w:color w:val="231F20"/>
        </w:rPr>
        <w:t>Any regulatory approvals that we may receive for our product candidates will require the submission of reports to regulatory authorities and on-going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and regulatory inspection.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 marketing information and reports, registration, as well as on-going compliance with cGMPs and GCPs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180" w:lineRule="exact"/>
        <w:rPr>
          <w:sz w:val="20"/>
          <w:szCs w:val="20"/>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delays in or the rejection of product approvals;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restrictions on the products, manufacturers or manufacturing process;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warning or untitled letters;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civil and criminal penalties;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3"/>
        </w:numPr>
        <w:rPr>
          <w:rFonts w:ascii="Arial" w:cs="Arial" w:eastAsia="Arial" w:hAnsi="Arial"/>
          <w:sz w:val="13"/>
          <w:szCs w:val="13"/>
          <w:color w:val="auto"/>
        </w:rPr>
      </w:pPr>
      <w:r>
        <w:rPr>
          <w:rFonts w:ascii="Arial" w:cs="Arial" w:eastAsia="Arial" w:hAnsi="Arial"/>
          <w:sz w:val="18"/>
          <w:szCs w:val="18"/>
          <w:color w:val="231F20"/>
        </w:rPr>
        <w:t>injunctions;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left="900" w:hanging="383"/>
        <w:spacing w:after="0"/>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suspension or withdrawal of regulatory approvals;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product seizures, detentions or import bans;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voluntary or mandatory product recalls and publicity requirements;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total or partial suspension of production; and</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34"/>
        </w:numPr>
        <w:rPr>
          <w:rFonts w:ascii="Arial" w:cs="Arial" w:eastAsia="Arial" w:hAnsi="Arial"/>
          <w:sz w:val="13"/>
          <w:szCs w:val="13"/>
          <w:color w:val="auto"/>
        </w:rPr>
      </w:pPr>
      <w:r>
        <w:rPr>
          <w:rFonts w:ascii="Arial" w:cs="Arial" w:eastAsia="Arial" w:hAnsi="Arial"/>
          <w:sz w:val="18"/>
          <w:szCs w:val="18"/>
          <w:color w:val="231F20"/>
        </w:rPr>
        <w:t>imposition of restrictions on operations, including costly new manufacturing requirements.</w:t>
      </w:r>
    </w:p>
    <w:p>
      <w:pPr>
        <w:spacing w:after="0" w:line="104" w:lineRule="exact"/>
        <w:rPr>
          <w:sz w:val="20"/>
          <w:szCs w:val="20"/>
          <w:color w:val="auto"/>
        </w:rPr>
      </w:pPr>
    </w:p>
    <w:p>
      <w:pPr>
        <w:jc w:val="both"/>
        <w:ind w:right="120" w:firstLine="509"/>
        <w:spacing w:after="0" w:line="278" w:lineRule="auto"/>
        <w:rPr>
          <w:sz w:val="20"/>
          <w:szCs w:val="20"/>
          <w:color w:val="auto"/>
        </w:rPr>
      </w:pPr>
      <w:r>
        <w:rPr>
          <w:rFonts w:ascii="Arial" w:cs="Arial" w:eastAsia="Arial" w:hAnsi="Arial"/>
          <w:sz w:val="17"/>
          <w:szCs w:val="17"/>
          <w:color w:val="231F20"/>
        </w:rPr>
        <w:t>The occurrence of any event or penalty described above may inhibit our ability to commercialize our product candidates, if approved, and generate revenue. Furthermore, non-compliance by us or any future collaborator with regulatory requirements, including safety monitoring and with requirements related to the development of products for the pediatric population can also result in significant financial penalties.</w:t>
      </w:r>
    </w:p>
    <w:p>
      <w:pPr>
        <w:spacing w:after="0" w:line="158" w:lineRule="exact"/>
        <w:rPr>
          <w:sz w:val="20"/>
          <w:szCs w:val="20"/>
          <w:color w:val="auto"/>
        </w:rPr>
      </w:pPr>
    </w:p>
    <w:p>
      <w:pPr>
        <w:ind w:right="300"/>
        <w:spacing w:after="0" w:line="324" w:lineRule="auto"/>
        <w:rPr>
          <w:sz w:val="20"/>
          <w:szCs w:val="20"/>
          <w:color w:val="auto"/>
        </w:rPr>
      </w:pPr>
      <w:r>
        <w:rPr>
          <w:rFonts w:ascii="Arial" w:cs="Arial" w:eastAsia="Arial" w:hAnsi="Arial"/>
          <w:sz w:val="16"/>
          <w:szCs w:val="16"/>
          <w:b w:val="1"/>
          <w:bCs w:val="1"/>
          <w:i w:val="1"/>
          <w:iCs w:val="1"/>
          <w:color w:val="231F20"/>
        </w:rPr>
        <w:t>We may not be able to obtain orphan drug designation or obtain or maintain orphan drug exclusivity for our product candidates and, even if we do, that exclusivity may not prevent the FDA, EMA or other comparable foreign regulatory authorities, from approving competing products.</w:t>
      </w:r>
    </w:p>
    <w:p>
      <w:pPr>
        <w:spacing w:after="0" w:line="16"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 However, there can be no assurances that we will be able to obtain orphan designations for our product candidates.</w:t>
      </w:r>
    </w:p>
    <w:p>
      <w:pPr>
        <w:spacing w:after="0" w:line="70" w:lineRule="exact"/>
        <w:rPr>
          <w:sz w:val="20"/>
          <w:szCs w:val="20"/>
          <w:color w:val="auto"/>
        </w:rPr>
      </w:pPr>
    </w:p>
    <w:p>
      <w:pPr>
        <w:ind w:right="160" w:firstLine="509"/>
        <w:spacing w:after="0" w:line="283" w:lineRule="auto"/>
        <w:rPr>
          <w:sz w:val="20"/>
          <w:szCs w:val="20"/>
          <w:color w:val="auto"/>
        </w:rPr>
      </w:pPr>
      <w:r>
        <w:rPr>
          <w:rFonts w:ascii="Arial" w:cs="Arial" w:eastAsia="Arial" w:hAnsi="Arial"/>
          <w:sz w:val="16"/>
          <w:szCs w:val="16"/>
          <w:color w:val="231F20"/>
        </w:rPr>
        <w:t>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The applicable exclusivity period is ten years in Europe. The European exclusivity period can be reduced to six years if a drug no longer meets the criteria for orphan drug designation or if the drug is sufficiently profitable so that market exclusivity is no longer justified.</w:t>
      </w:r>
    </w:p>
    <w:p>
      <w:pPr>
        <w:spacing w:after="0" w:line="48"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The FDA and the European Commission have granted orphan drug designation for TN-201, the most advanced product candidate from our MYBPC3 program, and we may seek orphan drug designation for other product candidates in the United States, Europe and other jurisdictions. Even if we obtain orphan drug designation for a product candidate, we may not be able to obtain or maintain orphan drug exclusivity for that product candidate. We may not be the first to obtain marketing approval of any product candidate for which we have obtained orphan drug designation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 or entitles the product candidate to priority review.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face difficulties from changes to current FDA and healthcare regulations and future legislation.</w:t>
      </w:r>
    </w:p>
    <w:p>
      <w:pPr>
        <w:spacing w:after="0" w:line="117"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231F20"/>
        </w:rPr>
        <w:t>Existing regulatory policies may change, and additional government regulations may be enacted that could prevent, limit or delay regulatory approval of our product candidates. We cannot predict the likelihood, nature or extent of government regulation that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9" w:name="page50"/>
    <w:bookmarkEnd w:id="49"/>
    <w:p>
      <w:pPr>
        <w:ind w:right="40"/>
        <w:spacing w:after="0" w:line="256" w:lineRule="auto"/>
        <w:rPr>
          <w:sz w:val="20"/>
          <w:szCs w:val="20"/>
          <w:color w:val="auto"/>
        </w:rPr>
      </w:pPr>
      <w:r>
        <w:rPr>
          <w:rFonts w:ascii="Arial" w:cs="Arial" w:eastAsia="Arial" w:hAnsi="Arial"/>
          <w:sz w:val="18"/>
          <w:szCs w:val="18"/>
          <w:color w:val="231F20"/>
        </w:rPr>
        <w:t>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67" w:lineRule="exact"/>
        <w:rPr>
          <w:sz w:val="20"/>
          <w:szCs w:val="20"/>
          <w:color w:val="auto"/>
        </w:rPr>
      </w:pPr>
    </w:p>
    <w:p>
      <w:pPr>
        <w:ind w:right="40" w:firstLine="509"/>
        <w:spacing w:after="0" w:line="260" w:lineRule="auto"/>
        <w:rPr>
          <w:sz w:val="20"/>
          <w:szCs w:val="20"/>
          <w:color w:val="auto"/>
        </w:rPr>
      </w:pPr>
      <w:r>
        <w:rPr>
          <w:rFonts w:ascii="Arial" w:cs="Arial" w:eastAsia="Arial" w:hAnsi="Arial"/>
          <w:sz w:val="17"/>
          <w:szCs w:val="17"/>
          <w:color w:val="231F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which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current and future legislation, executive actions, and litigation, including the executive orders referenced below, will be implemented, and the extent to which they will impact our business, our clinical development, and the FDA’s and other agencies’ ability to exercise their regulatory authority, including FDA’s pre-approval inspection and timely review of any regulatory filings or applications we submit to the FDA. If these executive actions impose constraints on FDA’s ability to engage in oversight and implementation activities in the normal course or constraints on our business operations, including operations of our contractors, our business may be negatively impacted.</w:t>
      </w:r>
    </w:p>
    <w:p>
      <w:pPr>
        <w:spacing w:after="0" w:line="65"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231F20"/>
        </w:rPr>
        <w:t>For example, in March 2010, the Patient Protection and Affordable Care Act of 2010, as amended by the Health Care and Education Reconciliation Act of 2010 (collectively, the ACA), was passed, which substantially changed the way healthcare is financed by both the government and private insurers, and continues to significantly impact the U.S. pharmaceutical industry. Since its enactment, there have been judicial and Congressional challenges to certain aspects of the ACA. For example, various portions of the ACA have been the subject of legal and constitutional challenges in the U.S. Supreme Court. In June 2021, the U.S. Supreme Court held that Texas and other challengers had no legal standing to challenge the ACA, dismissing the case without specifically ruling on the constitutionality of the ACA. On January 28, 2021, President Biden issued an executive order to initiate a special enrollment period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We cannot predict how this Supreme Court decision or future litigation will impact our business, or what other healthcare measures and regulations will ultimately be implemented at the federal or state level or the effect of any future legislation or regulation may have on our business.</w:t>
      </w:r>
    </w:p>
    <w:p>
      <w:pPr>
        <w:spacing w:after="0" w:line="70" w:lineRule="exact"/>
        <w:rPr>
          <w:sz w:val="20"/>
          <w:szCs w:val="20"/>
          <w:color w:val="auto"/>
        </w:rPr>
      </w:pPr>
    </w:p>
    <w:p>
      <w:pPr>
        <w:ind w:right="60" w:firstLine="509"/>
        <w:spacing w:after="0" w:line="277" w:lineRule="auto"/>
        <w:rPr>
          <w:sz w:val="20"/>
          <w:szCs w:val="20"/>
          <w:color w:val="auto"/>
        </w:rPr>
      </w:pPr>
      <w:r>
        <w:rPr>
          <w:rFonts w:ascii="Arial" w:cs="Arial" w:eastAsia="Arial" w:hAnsi="Arial"/>
          <w:sz w:val="16"/>
          <w:szCs w:val="16"/>
          <w:color w:val="231F20"/>
        </w:rPr>
        <w:t>In addition, other legislative changes have been proposed and adopted in the United States since the ACA was enacted. These changes included aggregate reductions to Medicare payments to providers of up to 2% per fiscal year, effective April 1, 2013, which will remain in effect through 2031, with the exception of a temporary suspension implemented under various COVID-19 relief legislation from May 1, 2020 through March 31, 2022, unless additional congressional action is taken. Under current legislation, starting on April 1, 2022, the actual reduction in Medicare payments will vary from 1% in 2022 to up to 4% in the final fiscal year of the sequester.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 material adverse effect on customers for our drugs, if approved, and accordingly, our financial operations.</w:t>
      </w:r>
    </w:p>
    <w:p>
      <w:pPr>
        <w:spacing w:after="0" w:line="56"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in May 2019, CMS issued a final rule to allow Medicare Advantage Plans the option of using step therapy for Part B drugs beginning January 1, 2020. This final rule codified CMS’s policy change that was effective January 1, 2019. At the federal level, the Trump administration used several means to propose or implement drug pricing reform, including through federal budget proposals, executive orders and policy initiatives. For example, in 2020, HHS and CMS issued various rules that are expected to impact, among others, price reductions from pharmaceutical manufacturers to plan sponsors under Part D, fee arrangements between pharmacy benefit managers and manufacturers, manufacturer price reporting requirements under the Medicaid Drug Rebate Program, including regulations that affect manufacturer-sponsored patient assistance programs subject to pharmacy benefit manager accumulator programs and Best Price reporting related to certain value-based purchasing arrangements. Multiple lawsuits have been brought against the HHS challenging various aspects of the rules. As a result, the Biden administration and HHS have delayed the implementation or published rules rescinding some of these policies of the prior administration.</w:t>
      </w:r>
    </w:p>
    <w:p>
      <w:pPr>
        <w:spacing w:after="0" w:line="53"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In July 2021, the Biden administration released an executive order, “Promoting Competition in the American Economy,” with multiple provisions aimed at increasing competition for prescription drugs. In response to this executive order, the HHS released a Comprehensive Plan for Addressing High Drug Prices that outlines principles for drug pricing reform and potential legislative policies that Congress could pursue to advance these principles. In addition, Congress is considering legislation that, if passed, could have significant impact on prices of prescription drugs covered by Medicare, including limitations on drug price increases. The impact of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0" w:name="page51"/>
    <w:bookmarkEnd w:id="50"/>
    <w:p>
      <w:pPr>
        <w:ind w:right="20"/>
        <w:spacing w:after="0" w:line="278" w:lineRule="auto"/>
        <w:rPr>
          <w:sz w:val="20"/>
          <w:szCs w:val="20"/>
          <w:color w:val="auto"/>
        </w:rPr>
      </w:pPr>
      <w:r>
        <w:rPr>
          <w:rFonts w:ascii="Arial" w:cs="Arial" w:eastAsia="Arial" w:hAnsi="Arial"/>
          <w:sz w:val="17"/>
          <w:szCs w:val="17"/>
          <w:color w:val="231F20"/>
        </w:rPr>
        <w:t>these legislative, executive, and administrative actions and any future healthcare measures and agency rules implemented by the Biden administration on us and the pharmaceutical industry as a whole is unclear. The implementation of cost containment measures or other healthcare reforms may prevent us from being able to generate revenue, attain profitability, or commercialize our product candidates if approved.</w:t>
      </w:r>
    </w:p>
    <w:p>
      <w:pPr>
        <w:spacing w:after="0" w:line="50"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We are unable to predict the future course of federal or state healthcare legislation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spacing w:after="0" w:line="81"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231F20"/>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It is also possible that additional governmental action is taken to address the COVID-19 pandemic.</w:t>
      </w:r>
    </w:p>
    <w:p>
      <w:pPr>
        <w:spacing w:after="0" w:line="63"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231F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82" w:lineRule="exact"/>
        <w:rPr>
          <w:sz w:val="20"/>
          <w:szCs w:val="20"/>
          <w:color w:val="auto"/>
        </w:rPr>
      </w:pPr>
    </w:p>
    <w:p>
      <w:pPr>
        <w:ind w:right="300"/>
        <w:spacing w:after="0" w:line="249" w:lineRule="auto"/>
        <w:rPr>
          <w:sz w:val="20"/>
          <w:szCs w:val="20"/>
          <w:color w:val="auto"/>
        </w:rPr>
      </w:pPr>
      <w:r>
        <w:rPr>
          <w:rFonts w:ascii="Arial" w:cs="Arial" w:eastAsia="Arial" w:hAnsi="Arial"/>
          <w:sz w:val="18"/>
          <w:szCs w:val="18"/>
          <w:b w:val="1"/>
          <w:bCs w:val="1"/>
          <w:i w:val="1"/>
          <w:iCs w:val="1"/>
          <w:color w:val="231F20"/>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73"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The regulatory framework for privacy and personal information security issues worldwide is rapidly evolving and is likely to remain uncertain for the foreseeable future. The U.S. federal and various state, local and foreign government bodies and agencies have adopted or are considering adopting laws, rules, regulations and standards limiting, or laws, rules, regulations and standards regarding, the collection, distribution, use, disclosure, storage, security and other processing of personal information.</w:t>
      </w:r>
    </w:p>
    <w:p>
      <w:pPr>
        <w:spacing w:after="0" w:line="73" w:lineRule="exact"/>
        <w:rPr>
          <w:sz w:val="20"/>
          <w:szCs w:val="20"/>
          <w:color w:val="auto"/>
        </w:rPr>
      </w:pPr>
    </w:p>
    <w:p>
      <w:pPr>
        <w:ind w:right="20" w:firstLine="509"/>
        <w:spacing w:after="0" w:line="272" w:lineRule="auto"/>
        <w:rPr>
          <w:sz w:val="20"/>
          <w:szCs w:val="20"/>
          <w:color w:val="auto"/>
        </w:rPr>
      </w:pPr>
      <w:r>
        <w:rPr>
          <w:rFonts w:ascii="Arial" w:cs="Arial" w:eastAsia="Arial" w:hAnsi="Arial"/>
          <w:sz w:val="16"/>
          <w:szCs w:val="16"/>
          <w:color w:val="231F20"/>
        </w:rPr>
        <w:t>Outside of the United States, legal requirements relating to the collection, storage, processing and transfer of personal data continue to evolve. For example, the collection and use of health data and other personal data is governed in the European Union by the General Data Protection Regulation (GDPR), which extends the geographical scope of EU data protection law to entities and operations outside of the European Union under certain conditions and imposes substantial obligations upon companies and new rights for individuals, and by certain EU member state-level legislation. For example, the GDPR requires data controllers to implement stringent operational requirements for processors and controllers of personal data, including transparent and expanded disclosure to data subjects about how their personal data is to be used, limitations on retention of information, mandatory data breach notification requirements, and higher standards for data controllers to demonstrate that they have obtained valid consent for certain data processing activities. Failure to comply with the GDPR may result in fines up to €20,000,000 or 4% of the total worldwide annual turnover of the preceding financial year, whichever is higher, and other administrative penalties. The GDPR may increase our responsibility and liability in relation to personal data that we may process, and we may be required to implement additional measures in an effort to comply with the GDPR and with other laws, rules, regulations and standards in the European Union, including those of EU member states, relating to privacy and data protection. This may be onerous and if our efforts to comply with GDPR or other applicable EU laws, rules, regulations and standards are not successful, or are perceived to be unsuccessful, it could adversely affect our business. Further, in July 2020, the Court of Justice of the European Union (CJEU) invalidated the EU-U.S. Privacy Shield, which had enabled the transfer of personal data from the European Union to the United States for companies that had self-certified to the Privacy Shield. The CJEU decision also raised questions about the continued validity of one of the primary alternatives to the EU-U.S. Privacy Shield, namely the European Commission’s Standard Contractual Clauses (SCCs), and EU regulators have issued additional guidance regarding considerations and requirements that we and other companies must consider and undertake when using the SCCs. Although the European Commission has presented a new set of SCCs in June 2021, which are required to be implemented, there are few, if any, viable alternatives to the EU-U.S. Privacy Shield and the SCCs and it remains to be seen whether additional means for lawful data transfers will become available. On September 8, 2020, the Swiss Federal Data Protection and Information Commissioner invalidated the Swiss-U.S. Privacy Shield in light of the CJEU’s decision. To the extent that we were to rely on the EU-U.S. or Swiss-U.S.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right="100"/>
        <w:spacing w:after="0" w:line="267" w:lineRule="auto"/>
        <w:rPr>
          <w:sz w:val="20"/>
          <w:szCs w:val="20"/>
          <w:color w:val="auto"/>
        </w:rPr>
      </w:pPr>
      <w:r>
        <w:rPr>
          <w:rFonts w:ascii="Arial" w:cs="Arial" w:eastAsia="Arial" w:hAnsi="Arial"/>
          <w:sz w:val="17"/>
          <w:szCs w:val="17"/>
          <w:color w:val="231F20"/>
        </w:rPr>
        <w:t>Privacy Shield programs, we will not be able to do so in the future, and the CJEU’s decision and other regulatory guidance or developments may impose additional obligations with respect to the transfer of personal data from the European Economic Area and Switzerland to the United States, all of which could restrict our activities in those jurisdictions, limit our ability to provide our products and services in those jurisdictions, require us to modify our policies and practices, and to engage in additional contractual negotiations, or increase our costs and obligations and impose limitations upon our ability to efficiently transfer personal data from the European Economic Area and Switzerland to the United States.</w:t>
      </w:r>
    </w:p>
    <w:p>
      <w:pPr>
        <w:spacing w:after="0" w:line="60" w:lineRule="exact"/>
        <w:rPr>
          <w:sz w:val="20"/>
          <w:szCs w:val="20"/>
          <w:color w:val="auto"/>
        </w:rPr>
      </w:pPr>
    </w:p>
    <w:p>
      <w:pPr>
        <w:ind w:right="20" w:firstLine="509"/>
        <w:spacing w:after="0" w:line="275" w:lineRule="auto"/>
        <w:rPr>
          <w:sz w:val="20"/>
          <w:szCs w:val="20"/>
          <w:color w:val="auto"/>
        </w:rPr>
      </w:pPr>
      <w:r>
        <w:rPr>
          <w:rFonts w:ascii="Arial" w:cs="Arial" w:eastAsia="Arial" w:hAnsi="Arial"/>
          <w:sz w:val="16"/>
          <w:szCs w:val="16"/>
          <w:color w:val="231F20"/>
        </w:rPr>
        <w:t>Further, the exit of the United Kingdom from the European Union, often referred to as Brexit, has created uncertainty with regard to data protection regulation in the United Kingdom. Specifically, the United Kingdom exited the European Union on January 1, 2020, subject to a transition period that ended December 31, 2020. The United Kingdom has implemented legislation similar to the GDPR, referred to as the UK GDPR, which provides for significant fines of up to the greater of £17.5 million or 4% of global turnover and exposes us to two parallel regimes with potentially divergent enforcement actions for certain violations. With respect to transfers of personal data, on June 28, 2021, the European Commission issued an adequacy decision in respect of the United Kingdom’s data protection framework, enabling data transfers from EU member states to the United Kingdom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 The relationship between the United Kingdom and European Union in relation to aspects of data protection law in the medium and longer term remains unclear, including with respect to cross-border data transfers and the role of the UK Information Commissioner’s Office with respect to the European Union, which exposes us to further compliance risk. We may incur liabilities, expenses, costs, and other operational losses relating to the GDPR, the UK GDPR, and other laws and regulations in the European Union and United Kingdom relating to privacy and data protection, including those of applicable EU member states in connection with any measures we take to comply with them.</w:t>
      </w:r>
    </w:p>
    <w:p>
      <w:pPr>
        <w:spacing w:after="0" w:line="5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 xml:space="preserve">Finally, federal, state and foreign laws, rules, regulations and standards may apply generally to the privacy and security of information we maintain, and may differ from each other in significant ways, thus complicating compliance efforts and potentially requiring us to undertake additional measures to comply with them. In the United States, there are a broad variety of data privacy, protection and security laws, rules, regulations and standards that may apply to our activities, such as state data breach notification laws, state personal data privacy laws (for example, the California Consumer Privacy Act of 2018 (CCPA)), state health information privacy laws, and federal and state consumer protection laws (for example, Section 5(c) of the Federal Trade Commission Act). A range of enforcement agencies exist at both the state and federal levels that can enforce these laws, rules, regulations and standards. For example, the CCPA, which took effect on January 1, 2020, requires covered businesses that process personal information of California residents to disclose their data collection, use and sharing practices. Further, the CCPA provides California residents with new data privacy rights (including the ability to opt out of certain disclosures of personal information), imposes new operational requirements for covered businesses, provides for significant civil penalties for violations as well as a private right of action for certain data breaches and statutory damages (that is expected to increase data breach class action litigation and result in significant exposure to costly legal judgements and settlements). Aspects of the CCPA and its interpretation and enforcement remain uncertain. In addition, California voters passed the California Privacy Rights Act of 2020 (CPRA) in November 2020, which becomes effective in most material respects on January 1, 2023. The CPRA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CCPA and CPRA. Although there are limited exemptions for clinical trial data under the CCPA, the CCPA and other similar laws could impact our business activities, depending on their interpretation. Further, laws in all 50 states require businesses to provide notice to customers whose personal data has been disclosed as a result of a data breach. </w:t>
      </w:r>
      <w:r>
        <w:rPr>
          <w:rFonts w:ascii="Arial" w:cs="Arial" w:eastAsia="Arial" w:hAnsi="Arial"/>
          <w:sz w:val="16"/>
          <w:szCs w:val="16"/>
          <w:color w:val="000000"/>
        </w:rPr>
        <w:t>Additionally, other state legislatures have enacted or are currently contemplating, and may pass, their own comprehensive data privacy and security laws, with potentially greater penalties and more rigorous compliance requirements relevant to our business. For example, in March 2021, Virginia enacted the Virginia Consumer Data Protection Act (CDPA), which becomes effective on January 1, 2023, and in June 2021, Colorado enacted the Colorado Privacy Act, (CPA), which takes effect on July 1, 2023, in March 2022, Utah enacted a the Utah Consumer Privacy Act (UCPA), which will take effect on December 31, 2023, and in May 2022, Connecticut enacted an Act Concerning Personal Data Privacy and Online Monitoring (CTDPA), which will take effect on July 1, 2023. The CPA, CDPA, UCPA, and CTDPA share similarities with the CCPA, the CPRA, and legislation proposed in other states.</w:t>
      </w:r>
    </w:p>
    <w:p>
      <w:pPr>
        <w:spacing w:after="0" w:line="58" w:lineRule="exact"/>
        <w:rPr>
          <w:sz w:val="20"/>
          <w:szCs w:val="20"/>
          <w:color w:val="auto"/>
        </w:rPr>
      </w:pPr>
    </w:p>
    <w:p>
      <w:pPr>
        <w:ind w:right="60" w:firstLine="509"/>
        <w:spacing w:after="0" w:line="280" w:lineRule="auto"/>
        <w:rPr>
          <w:sz w:val="20"/>
          <w:szCs w:val="20"/>
          <w:color w:val="auto"/>
        </w:rPr>
      </w:pPr>
      <w:r>
        <w:rPr>
          <w:rFonts w:ascii="Arial" w:cs="Arial" w:eastAsia="Arial" w:hAnsi="Arial"/>
          <w:sz w:val="16"/>
          <w:szCs w:val="16"/>
          <w:color w:val="231F20"/>
        </w:rPr>
        <w:t>With the GDPR, CCPA, CRPA and other laws, regulations and other obligations relating to privacy and data protection imposing new and relatively burdensome obligations, and with substantial uncertainty over the interpretation and application of these and other obligations, we may face challenges in addressing their requirements and making necessary changes to our policies and practices, and may incur significant costs and expenses in an effort to do so. We are currently in the process of developing and updating our policies and procedures in accordance with requirements under the CCPA and the GDPR, as well as other applicable data privacy and protection laws and regulations. Additionally, the CPRA and the CCPA may lead other states to pass comparable legislation, with potentially greater penalties and more rigorous compliance requirements relevant to our business. Additionally, if third parties we work with, such as vendors or service providers, violate applicable laws, rules or regulations or our policies, such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color w:val="231F20"/>
        </w:rPr>
        <w:t>violations may also put our or our customers’ data, including personal data, at risk, which could in turn have an adverse effect on our business.</w:t>
      </w:r>
    </w:p>
    <w:p>
      <w:pPr>
        <w:spacing w:after="0" w:line="129"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231F20"/>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vendors or service providers to comply with our applicable policies or notices relating to privacy or data protection, our contractual or other obligations to third parties, or any of our other legal obligations, laws, rules, regulations and standards relating to privacy or data protection, may result in governmental investigations or enforcement actions, litigation, claims and other proceedings, harm our reputation, and could result in significant liability.</w:t>
      </w:r>
    </w:p>
    <w:p>
      <w:pPr>
        <w:spacing w:after="0" w:line="186" w:lineRule="exact"/>
        <w:rPr>
          <w:sz w:val="20"/>
          <w:szCs w:val="20"/>
          <w:color w:val="auto"/>
        </w:rPr>
      </w:pPr>
    </w:p>
    <w:p>
      <w:pPr>
        <w:ind w:right="300"/>
        <w:spacing w:after="0" w:line="331" w:lineRule="auto"/>
        <w:rPr>
          <w:sz w:val="20"/>
          <w:szCs w:val="20"/>
          <w:color w:val="auto"/>
        </w:rPr>
      </w:pPr>
      <w:r>
        <w:rPr>
          <w:rFonts w:ascii="Arial" w:cs="Arial" w:eastAsia="Arial" w:hAnsi="Arial"/>
          <w:sz w:val="15"/>
          <w:szCs w:val="15"/>
          <w:b w:val="1"/>
          <w:bCs w:val="1"/>
          <w:i w:val="1"/>
          <w:iCs w:val="1"/>
          <w:color w:val="231F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5"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U.S. Securities and Exchange Commission (SEC) and other government agencies on which our operations may rely, including those that fund research and development activities is subject to the political process, which is inherently fluid and unpredictable.</w:t>
      </w:r>
    </w:p>
    <w:p>
      <w:pPr>
        <w:spacing w:after="0" w:line="91" w:lineRule="exact"/>
        <w:rPr>
          <w:sz w:val="20"/>
          <w:szCs w:val="20"/>
          <w:color w:val="auto"/>
        </w:rPr>
      </w:pPr>
    </w:p>
    <w:p>
      <w:pPr>
        <w:ind w:right="40" w:firstLine="509"/>
        <w:spacing w:after="0" w:line="256" w:lineRule="auto"/>
        <w:rPr>
          <w:sz w:val="20"/>
          <w:szCs w:val="20"/>
          <w:color w:val="auto"/>
        </w:rPr>
      </w:pPr>
      <w:r>
        <w:rPr>
          <w:rFonts w:ascii="Arial" w:cs="Arial" w:eastAsia="Arial" w:hAnsi="Arial"/>
          <w:sz w:val="17"/>
          <w:szCs w:val="17"/>
          <w:color w:val="231F20"/>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and the SEC, had to furlough critical employees and stop critical activities. Separately, in response to the COVID-19 pandemic, since March 2020 when foreign and domestic inspections of facilities were largely placed on hold, the FDA has been working to resume routine surveillance, bioresearch monitoring and pre-approval inspections on a prioritized basis. The FDA has developed a rating system to assist in determining when and where it is safest to conduct prioritized domestic inspections. In 2020 and 2021, a number of companies announced receipt of complete response letters due to the FDA’s inability to complete required inspections for their applications. In February 2022, the FDA announced that it will resume routine domestic surveillance inspections. The FDA also announced proceeding with previously planned foreign surveillance inspections that have received country clearance and are within the CDC’s Level 1 or Level 2 COVID-19 travel recommendation; otherwise, the inspection would be rescheduled, with the anticipated goal of resuming foreign prioritized inspections in April 2022. Regulatory authorities outside the U.S. may adopt similar restrictions or other policy measures in response to the COVID-19 pandemic and may experience delays in their regulatory activities. If a prolonged government shutdown or other disruption occurs, it could significantly impact the ability of the FDA to timely review, provide feedback on our clinical trial plans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80"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231F20"/>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spacing w:after="0" w:line="74" w:lineRule="exact"/>
        <w:rPr>
          <w:sz w:val="20"/>
          <w:szCs w:val="20"/>
          <w:color w:val="auto"/>
        </w:rPr>
      </w:pPr>
    </w:p>
    <w:p>
      <w:pPr>
        <w:ind w:right="340" w:firstLine="509"/>
        <w:spacing w:after="0" w:line="263" w:lineRule="auto"/>
        <w:rPr>
          <w:sz w:val="20"/>
          <w:szCs w:val="20"/>
          <w:color w:val="auto"/>
        </w:rPr>
      </w:pPr>
      <w:r>
        <w:rPr>
          <w:rFonts w:ascii="Arial" w:cs="Arial" w:eastAsia="Arial" w:hAnsi="Arial"/>
          <w:sz w:val="17"/>
          <w:szCs w:val="17"/>
          <w:color w:val="231F20"/>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as well as market, sell and distribute our products for which we obtain marketing approval. Restrictions under applicable federal and state healthcare laws and regulations may include the following:</w:t>
      </w:r>
    </w:p>
    <w:p>
      <w:pPr>
        <w:spacing w:after="0" w:line="63" w:lineRule="exact"/>
        <w:rPr>
          <w:sz w:val="20"/>
          <w:szCs w:val="20"/>
          <w:color w:val="auto"/>
        </w:rPr>
      </w:pPr>
    </w:p>
    <w:p>
      <w:pPr>
        <w:ind w:left="900" w:right="180" w:hanging="383"/>
        <w:spacing w:after="0" w:line="249" w:lineRule="auto"/>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86"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35"/>
        </w:numPr>
        <w:rPr>
          <w:rFonts w:ascii="Arial" w:cs="Arial" w:eastAsia="Arial" w:hAnsi="Arial"/>
          <w:sz w:val="13"/>
          <w:szCs w:val="13"/>
          <w:color w:val="auto"/>
        </w:rPr>
      </w:pPr>
      <w:r>
        <w:rPr>
          <w:rFonts w:ascii="Arial" w:cs="Arial" w:eastAsia="Arial" w:hAnsi="Arial"/>
          <w:sz w:val="18"/>
          <w:szCs w:val="18"/>
          <w:color w:val="231F20"/>
        </w:rPr>
        <w:t>the federal false claims laws, including the civil False Claims Act, which can be enforced by private citizens through civil whistleblower or qui tam actions, and civil monetary penalties laws, prohibit individuals or entities from, among other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left="900" w:right="20"/>
        <w:spacing w:after="0" w:line="277" w:lineRule="auto"/>
        <w:rPr>
          <w:sz w:val="20"/>
          <w:szCs w:val="20"/>
          <w:color w:val="auto"/>
        </w:rPr>
      </w:pPr>
      <w:r>
        <w:rPr>
          <w:rFonts w:ascii="Arial" w:cs="Arial" w:eastAsia="Arial" w:hAnsi="Arial"/>
          <w:sz w:val="18"/>
          <w:szCs w:val="18"/>
          <w:color w:val="231F20"/>
        </w:rPr>
        <w:t>things, knowingly presenting, or causing to be presented, to the federal government, claims for payment that are false or fraudulent or making a false statement to avoid, decrease or conceal an obligation to pay money to the federal government;</w:t>
      </w:r>
    </w:p>
    <w:p>
      <w:pPr>
        <w:spacing w:after="0" w:line="49" w:lineRule="exact"/>
        <w:rPr>
          <w:sz w:val="20"/>
          <w:szCs w:val="20"/>
          <w:color w:val="auto"/>
        </w:rPr>
      </w:pPr>
    </w:p>
    <w:p>
      <w:pPr>
        <w:ind w:left="900" w:right="300" w:hanging="383"/>
        <w:spacing w:after="0" w:line="291" w:lineRule="auto"/>
        <w:tabs>
          <w:tab w:leader="none" w:pos="900" w:val="left"/>
        </w:tabs>
        <w:numPr>
          <w:ilvl w:val="0"/>
          <w:numId w:val="36"/>
        </w:numPr>
        <w:rPr>
          <w:rFonts w:ascii="Arial" w:cs="Arial" w:eastAsia="Arial" w:hAnsi="Arial"/>
          <w:sz w:val="12"/>
          <w:szCs w:val="12"/>
          <w:color w:val="auto"/>
        </w:rPr>
      </w:pPr>
      <w:r>
        <w:rPr>
          <w:rFonts w:ascii="Arial" w:cs="Arial" w:eastAsia="Arial" w:hAnsi="Arial"/>
          <w:sz w:val="17"/>
          <w:szCs w:val="17"/>
          <w:color w:val="231F20"/>
        </w:rPr>
        <w:t>the federal Health Insurance Portability and Accountability Act of 1996 (HIPAA), prohibits, among other things, executing or attempting to execute a scheme to defraud any healthcare benefit program or making false statements relating to healthcare matters;</w:t>
      </w:r>
    </w:p>
    <w:p>
      <w:pPr>
        <w:spacing w:after="0" w:line="52" w:lineRule="exact"/>
        <w:rPr>
          <w:rFonts w:ascii="Arial" w:cs="Arial" w:eastAsia="Arial" w:hAnsi="Arial"/>
          <w:sz w:val="12"/>
          <w:szCs w:val="12"/>
          <w:color w:val="auto"/>
        </w:rPr>
      </w:pPr>
    </w:p>
    <w:p>
      <w:pPr>
        <w:ind w:left="900" w:right="40" w:hanging="383"/>
        <w:spacing w:after="0" w:line="245"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the Civil Monetary Penalty Act of 1981 and implementing regulations, which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offered or transferred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77" w:lineRule="exact"/>
        <w:rPr>
          <w:rFonts w:ascii="Arial" w:cs="Arial" w:eastAsia="Arial" w:hAnsi="Arial"/>
          <w:sz w:val="13"/>
          <w:szCs w:val="13"/>
          <w:color w:val="auto"/>
        </w:rPr>
      </w:pPr>
    </w:p>
    <w:p>
      <w:pPr>
        <w:ind w:left="900" w:right="480" w:hanging="383"/>
        <w:spacing w:after="0" w:line="290" w:lineRule="auto"/>
        <w:tabs>
          <w:tab w:leader="none" w:pos="900" w:val="left"/>
        </w:tabs>
        <w:numPr>
          <w:ilvl w:val="0"/>
          <w:numId w:val="36"/>
        </w:numPr>
        <w:rPr>
          <w:rFonts w:ascii="Arial" w:cs="Arial" w:eastAsia="Arial" w:hAnsi="Arial"/>
          <w:sz w:val="11"/>
          <w:szCs w:val="11"/>
          <w:color w:val="auto"/>
        </w:rPr>
      </w:pPr>
      <w:r>
        <w:rPr>
          <w:rFonts w:ascii="Arial" w:cs="Arial" w:eastAsia="Arial" w:hAnsi="Arial"/>
          <w:sz w:val="16"/>
          <w:szCs w:val="16"/>
          <w:color w:val="231F20"/>
        </w:rPr>
        <w:t>HIPAA, as amended by the Health Information Technology for Economic and Clinical Health Act (HITECH) and their implementing regulations, also imposes obligations, including mandatory contractual terms, on covered entities, which are health plans, healthcare clearinghouses, and certain health care providers, as those terms are defined by HIPAA, and their respective business associates and their subcontractors, with respect to safeguarding the privacy, security and transmission of individually identifiable health information;</w:t>
      </w:r>
    </w:p>
    <w:p>
      <w:pPr>
        <w:spacing w:after="0" w:line="42" w:lineRule="exact"/>
        <w:rPr>
          <w:rFonts w:ascii="Arial" w:cs="Arial" w:eastAsia="Arial" w:hAnsi="Arial"/>
          <w:sz w:val="11"/>
          <w:szCs w:val="11"/>
          <w:color w:val="auto"/>
        </w:rPr>
      </w:pPr>
    </w:p>
    <w:p>
      <w:pPr>
        <w:ind w:left="900" w:right="360" w:hanging="383"/>
        <w:spacing w:after="0" w:line="277"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federal consumer protection and unfair competition laws, which broadly regulate marketplace activities and activities that potentially harm consumers;</w:t>
      </w:r>
    </w:p>
    <w:p>
      <w:pPr>
        <w:spacing w:after="0" w:line="48" w:lineRule="exact"/>
        <w:rPr>
          <w:rFonts w:ascii="Arial" w:cs="Arial" w:eastAsia="Arial" w:hAnsi="Arial"/>
          <w:sz w:val="13"/>
          <w:szCs w:val="13"/>
          <w:color w:val="auto"/>
        </w:rPr>
      </w:pPr>
    </w:p>
    <w:p>
      <w:pPr>
        <w:ind w:left="900" w:right="60" w:hanging="383"/>
        <w:spacing w:after="0" w:line="246" w:lineRule="auto"/>
        <w:tabs>
          <w:tab w:leader="none" w:pos="900" w:val="left"/>
        </w:tabs>
        <w:numPr>
          <w:ilvl w:val="0"/>
          <w:numId w:val="36"/>
        </w:numPr>
        <w:rPr>
          <w:rFonts w:ascii="Arial" w:cs="Arial" w:eastAsia="Arial" w:hAnsi="Arial"/>
          <w:sz w:val="13"/>
          <w:szCs w:val="13"/>
          <w:color w:val="auto"/>
        </w:rPr>
      </w:pPr>
      <w:r>
        <w:rPr>
          <w:rFonts w:ascii="Arial" w:cs="Arial" w:eastAsia="Arial" w:hAnsi="Arial"/>
          <w:sz w:val="18"/>
          <w:szCs w:val="18"/>
          <w:color w:val="231F20"/>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certain non-physician healthcare professionals (such as nurse practitioners and physician assistants, among others), and teaching hospitals as well as information regarding ownership and investment interests held by physicians and their immediate family members; and</w:t>
      </w:r>
    </w:p>
    <w:p>
      <w:pPr>
        <w:spacing w:after="0" w:line="77" w:lineRule="exact"/>
        <w:rPr>
          <w:rFonts w:ascii="Arial" w:cs="Arial" w:eastAsia="Arial" w:hAnsi="Arial"/>
          <w:sz w:val="13"/>
          <w:szCs w:val="13"/>
          <w:color w:val="auto"/>
        </w:rPr>
      </w:pPr>
    </w:p>
    <w:p>
      <w:pPr>
        <w:ind w:left="900" w:right="20" w:hanging="383"/>
        <w:spacing w:after="0" w:line="259" w:lineRule="auto"/>
        <w:tabs>
          <w:tab w:leader="none" w:pos="900" w:val="left"/>
        </w:tabs>
        <w:numPr>
          <w:ilvl w:val="0"/>
          <w:numId w:val="36"/>
        </w:numPr>
        <w:rPr>
          <w:rFonts w:ascii="Arial" w:cs="Arial" w:eastAsia="Arial" w:hAnsi="Arial"/>
          <w:sz w:val="12"/>
          <w:szCs w:val="12"/>
          <w:color w:val="auto"/>
        </w:rPr>
      </w:pPr>
      <w:r>
        <w:rPr>
          <w:rFonts w:ascii="Arial" w:cs="Arial" w:eastAsia="Arial" w:hAnsi="Arial"/>
          <w:sz w:val="17"/>
          <w:szCs w:val="17"/>
          <w:color w:val="231F20"/>
        </w:rPr>
        <w:t>analogous state and foreign laws and regulations, such as state anti-kickback and false claims laws,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state and local laws that require the registration of pharmaceutical sales and medical representatives; state laws that govern the privacy and security of health information in some circumstances, many of which differ from each other in significant ways and often are not preempted by HIPAA, thus complicating compliance efforts.</w:t>
      </w:r>
    </w:p>
    <w:p>
      <w:pPr>
        <w:spacing w:after="0" w:line="67" w:lineRule="exact"/>
        <w:rPr>
          <w:sz w:val="20"/>
          <w:szCs w:val="20"/>
          <w:color w:val="auto"/>
        </w:rPr>
      </w:pPr>
    </w:p>
    <w:p>
      <w:pPr>
        <w:ind w:firstLine="509"/>
        <w:spacing w:after="0" w:line="275" w:lineRule="auto"/>
        <w:rPr>
          <w:sz w:val="20"/>
          <w:szCs w:val="20"/>
          <w:color w:val="auto"/>
        </w:rPr>
      </w:pPr>
      <w:r>
        <w:rPr>
          <w:rFonts w:ascii="Arial" w:cs="Arial" w:eastAsia="Arial" w:hAnsi="Arial"/>
          <w:sz w:val="16"/>
          <w:szCs w:val="16"/>
          <w:color w:val="231F20"/>
        </w:rPr>
        <w:t>Efforts to ensure that our current and future business arrangements with third parties will comply with applicable healthcare and data privacy and security laws and regulations will involve substantial ongoing costs and may require us to undertake or implement additional policies or measures. We may face claims and proceedings by private parties, and claims, investigations and other proceedings by governmental authorities, relating to allegations that our business practices do not comply with current or future statutes, regulations or case law involving applicable fraud and abuse or other healthcare laws and regulations, and it is possible that courts or governmental authorities may conclude that we have not complied with them, or that we may find it necessary or appropriate to settle any such claims or other proceedings. In connection with any such claims, proceedings, or settlements,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6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b w:val="1"/>
          <w:bCs w:val="1"/>
          <w:i w:val="1"/>
          <w:iCs w:val="1"/>
          <w:color w:val="231F20"/>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25" w:lineRule="exact"/>
        <w:rPr>
          <w:sz w:val="20"/>
          <w:szCs w:val="20"/>
          <w:color w:val="auto"/>
        </w:rPr>
      </w:pPr>
    </w:p>
    <w:p>
      <w:pPr>
        <w:ind w:right="140" w:firstLine="509"/>
        <w:spacing w:after="0" w:line="256" w:lineRule="auto"/>
        <w:rPr>
          <w:sz w:val="20"/>
          <w:szCs w:val="20"/>
          <w:color w:val="auto"/>
        </w:rPr>
      </w:pPr>
      <w:r>
        <w:rPr>
          <w:rFonts w:ascii="Arial" w:cs="Arial" w:eastAsia="Arial" w:hAnsi="Arial"/>
          <w:sz w:val="18"/>
          <w:szCs w:val="18"/>
          <w:color w:val="231F20"/>
        </w:rPr>
        <w:t>We are exposed to the risk that our employees, independent contractors, consultants, commercial collaborators, principal investigators, CROs, CDMOs, suppliers and vendors may engage in misconduct or other improper activities. Misconduct by these parties could include failures to comply with FDA regulations, provide accurate information to the FDA, comply with federal and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right="20"/>
        <w:spacing w:after="0" w:line="276" w:lineRule="auto"/>
        <w:rPr>
          <w:sz w:val="20"/>
          <w:szCs w:val="20"/>
          <w:color w:val="auto"/>
        </w:rPr>
      </w:pPr>
      <w:r>
        <w:rPr>
          <w:rFonts w:ascii="Arial" w:cs="Arial" w:eastAsia="Arial" w:hAnsi="Arial"/>
          <w:sz w:val="16"/>
          <w:szCs w:val="16"/>
          <w:color w:val="231F20"/>
        </w:rPr>
        <w:t>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We have adopted a code of conduct,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231F20"/>
        </w:rPr>
        <w:t>If we fail to comply with environmental, health and safety laws and regulations, we could become subject to fines or penalties or incur costs that could have a material adverse effect on our business.</w:t>
      </w:r>
    </w:p>
    <w:p>
      <w:pPr>
        <w:spacing w:after="0" w:line="76" w:lineRule="exact"/>
        <w:rPr>
          <w:sz w:val="20"/>
          <w:szCs w:val="20"/>
          <w:color w:val="auto"/>
        </w:rPr>
      </w:pPr>
    </w:p>
    <w:p>
      <w:pPr>
        <w:ind w:right="20" w:firstLine="509"/>
        <w:spacing w:after="0" w:line="260" w:lineRule="auto"/>
        <w:rPr>
          <w:sz w:val="20"/>
          <w:szCs w:val="20"/>
          <w:color w:val="auto"/>
        </w:rPr>
      </w:pPr>
      <w:r>
        <w:rPr>
          <w:rFonts w:ascii="Arial" w:cs="Arial" w:eastAsia="Arial" w:hAnsi="Arial"/>
          <w:sz w:val="17"/>
          <w:szCs w:val="17"/>
          <w:color w:val="231F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9" w:lineRule="exact"/>
        <w:rPr>
          <w:sz w:val="20"/>
          <w:szCs w:val="20"/>
          <w:color w:val="auto"/>
        </w:rPr>
      </w:pPr>
    </w:p>
    <w:p>
      <w:pPr>
        <w:ind w:firstLine="509"/>
        <w:spacing w:after="0" w:line="249" w:lineRule="auto"/>
        <w:rPr>
          <w:sz w:val="20"/>
          <w:szCs w:val="20"/>
          <w:color w:val="auto"/>
        </w:rPr>
      </w:pPr>
      <w:r>
        <w:rPr>
          <w:rFonts w:ascii="Arial" w:cs="Arial" w:eastAsia="Arial" w:hAnsi="Arial"/>
          <w:sz w:val="18"/>
          <w:szCs w:val="18"/>
          <w:color w:val="231F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73"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231F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231F20"/>
        </w:rPr>
        <w:t>Our business activities may be subject to the U.S. Foreign Corrupt Practices Act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53" w:lineRule="exact"/>
        <w:rPr>
          <w:sz w:val="20"/>
          <w:szCs w:val="20"/>
          <w:color w:val="auto"/>
        </w:rPr>
      </w:pPr>
    </w:p>
    <w:p>
      <w:pPr>
        <w:ind w:right="20" w:firstLine="509"/>
        <w:spacing w:after="0" w:line="277" w:lineRule="auto"/>
        <w:rPr>
          <w:sz w:val="20"/>
          <w:szCs w:val="20"/>
          <w:color w:val="auto"/>
        </w:rPr>
      </w:pPr>
      <w:r>
        <w:rPr>
          <w:rFonts w:ascii="Arial" w:cs="Arial" w:eastAsia="Arial" w:hAnsi="Arial"/>
          <w:sz w:val="16"/>
          <w:szCs w:val="16"/>
          <w:color w:val="231F20"/>
        </w:rPr>
        <w:t>Our business activities are subject to the U.S. Foreign Corrupt Practices Act of 1977, as amended (FCPA), the U.S. domestic bribery statute contained in 18 U.S.C. § 201, the U.S. Travel Act, and similar anti-bribery or anti-corruption laws, regulations or rules of other countries in which we operate. These laws generally prohibit companies and their employees, agents, representatives, business partners, and third-party intermediaries from, directly or indirectly, offering, promising, giving or authorizing others to give anything of value, either directly or indirectly, to recipients in the public or private sector in order to influence official action or otherwise obtain or retain business. Our business is heavily regulated and therefore involves significant interaction with public officials, including officials of non-U.S. governments. Additionally, in many other countries, hospitals are owned and operated by the government, and doctors and other hospital employees would be considered foreign officials under the FCPA. Recently, the SEC and Department of Justice (DOJ) have increased their FCPA enforcement activities with respect to biotechnology and pharmaceutical companies.</w:t>
      </w:r>
    </w:p>
    <w:p>
      <w:pPr>
        <w:spacing w:after="0" w:line="56" w:lineRule="exact"/>
        <w:rPr>
          <w:sz w:val="20"/>
          <w:szCs w:val="20"/>
          <w:color w:val="auto"/>
        </w:rPr>
      </w:pPr>
    </w:p>
    <w:p>
      <w:pPr>
        <w:ind w:right="60" w:firstLine="509"/>
        <w:spacing w:after="0" w:line="263" w:lineRule="auto"/>
        <w:rPr>
          <w:sz w:val="20"/>
          <w:szCs w:val="20"/>
          <w:color w:val="auto"/>
        </w:rPr>
      </w:pPr>
      <w:r>
        <w:rPr>
          <w:rFonts w:ascii="Arial" w:cs="Arial" w:eastAsia="Arial" w:hAnsi="Arial"/>
          <w:sz w:val="17"/>
          <w:szCs w:val="17"/>
          <w:color w:val="231F20"/>
        </w:rPr>
        <w:t>We sometimes leverage third parties to assist with the conduct of our business abroad. We, our employees, agents, representatives, business partners and our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all of our employees, agents, representatives, business partners and third-party intermediaries will not take actions in violation of applicable law for which we may be ultimately held responsible. As we increase our international sales and business, our risks under these laws may increase.</w:t>
      </w:r>
    </w:p>
    <w:p>
      <w:pPr>
        <w:spacing w:after="0" w:line="65" w:lineRule="exact"/>
        <w:rPr>
          <w:sz w:val="20"/>
          <w:szCs w:val="20"/>
          <w:color w:val="auto"/>
        </w:rPr>
      </w:pPr>
    </w:p>
    <w:p>
      <w:pPr>
        <w:jc w:val="both"/>
        <w:ind w:right="140" w:firstLine="509"/>
        <w:spacing w:after="0" w:line="256" w:lineRule="auto"/>
        <w:rPr>
          <w:sz w:val="20"/>
          <w:szCs w:val="20"/>
          <w:color w:val="auto"/>
        </w:rPr>
      </w:pPr>
      <w:r>
        <w:rPr>
          <w:rFonts w:ascii="Arial" w:cs="Arial" w:eastAsia="Arial" w:hAnsi="Arial"/>
          <w:sz w:val="18"/>
          <w:szCs w:val="18"/>
          <w:color w:val="231F20"/>
        </w:rPr>
        <w:t>These laws also require that we make and keep books and records that accurately and fairly reflect the transactions of the corporation and to devise and maintain an adequate system of internal accounting controls and compliance procedures designed to prevent violations of anti-corruption laws. While we have policies and procedures to address compliance with such laws, there is no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5" w:name="page56"/>
    <w:bookmarkEnd w:id="55"/>
    <w:p>
      <w:pPr>
        <w:ind w:right="120"/>
        <w:spacing w:after="0" w:line="277" w:lineRule="auto"/>
        <w:rPr>
          <w:sz w:val="20"/>
          <w:szCs w:val="20"/>
          <w:color w:val="auto"/>
        </w:rPr>
      </w:pPr>
      <w:r>
        <w:rPr>
          <w:rFonts w:ascii="Arial" w:cs="Arial" w:eastAsia="Arial" w:hAnsi="Arial"/>
          <w:sz w:val="18"/>
          <w:szCs w:val="18"/>
          <w:color w:val="231F20"/>
        </w:rPr>
        <w:t>certainty that all of our employees, agents, representatives, business partners and third-party intermediaries, or those of our affiliates, will comply with our policies or applicable laws and regulations, for which we may be ultimately held responsible.</w:t>
      </w:r>
    </w:p>
    <w:p>
      <w:pPr>
        <w:spacing w:after="0" w:line="4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231F20"/>
        </w:rPr>
        <w:t>Allegations or violations of these laws and regulations could result in whistleblower complaints, fines, severe civil or criminal sanctions, settlements, prosecution, enforcement actions, damages, adverse media coverage, investigations, loss of export privileges, disgorgement, and other remedial measures, suspension or debarment from government contracts and prohibitions on the conduct of our business including our ability to offer our products in one or more countries. Responding to any investigation or action will likely result in a materially significant diversion of management’s attention and resources and significant defense costs and other professional fees. As a general matter, investigations, enforcement actions and sanctions could damage our reputation, our brand, our international activities, our ability to attract and retain employees and our business, prospects, operating results and financial condition.</w:t>
      </w:r>
    </w:p>
    <w:p>
      <w:pPr>
        <w:spacing w:after="0" w:line="79" w:lineRule="exact"/>
        <w:rPr>
          <w:sz w:val="20"/>
          <w:szCs w:val="20"/>
          <w:color w:val="auto"/>
        </w:rPr>
      </w:pPr>
    </w:p>
    <w:p>
      <w:pPr>
        <w:ind w:right="60" w:firstLine="509"/>
        <w:spacing w:after="0" w:line="276" w:lineRule="auto"/>
        <w:rPr>
          <w:sz w:val="20"/>
          <w:szCs w:val="20"/>
          <w:color w:val="auto"/>
        </w:rPr>
      </w:pPr>
      <w:r>
        <w:rPr>
          <w:rFonts w:ascii="Arial" w:cs="Arial" w:eastAsia="Arial" w:hAnsi="Arial"/>
          <w:sz w:val="16"/>
          <w:szCs w:val="16"/>
          <w:color w:val="231F20"/>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international sales and adversely affect our revenue.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products targeted by such regulations, could result in decreased use of our products by, or in our decreased ability to export our products to, existing or potential customers with international operations. Any decreased use of our products or limitation on our ability to export or sell our products would likely adversely affect our business.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Changes in tax law could increase the tax burden on our orphan drug programs and adversely affect our business and financial condition.</w:t>
      </w:r>
    </w:p>
    <w:p>
      <w:pPr>
        <w:spacing w:after="0" w:line="115" w:lineRule="exact"/>
        <w:rPr>
          <w:sz w:val="20"/>
          <w:szCs w:val="20"/>
          <w:color w:val="auto"/>
        </w:rPr>
      </w:pPr>
    </w:p>
    <w:p>
      <w:pPr>
        <w:ind w:right="40" w:firstLine="509"/>
        <w:spacing w:after="0" w:line="283" w:lineRule="auto"/>
        <w:rPr>
          <w:sz w:val="20"/>
          <w:szCs w:val="20"/>
          <w:color w:val="auto"/>
        </w:rPr>
      </w:pPr>
      <w:r>
        <w:rPr>
          <w:rFonts w:ascii="Arial" w:cs="Arial" w:eastAsia="Arial" w:hAnsi="Arial"/>
          <w:sz w:val="16"/>
          <w:szCs w:val="16"/>
          <w:color w:val="231F20"/>
        </w:rPr>
        <w:t>In 2017, the U.S. government enacted the Tax Act, which as modified by the CARES Act, includes significant changes to the taxation of business entities. These changes include, among others, a reduction in the orphan drug tax credit from 50% to 25% of qualifying expenditures. When and if we become profitable, this reduction in tax credits may result in an increased federal income tax burden on our orphan drug programs as it may cause us to pay federal income taxes earlier under the revised tax law than under the prior law and may increase our total federal tax liability attributable to such programs. Additionally, the current administration has proposed an increase of the corporate tax rate and other changes, including a global minimum tax and changes to the orphan drug tax credit, which, if enacted, would further increase our total federal tax liability when and if we become profitable.</w:t>
      </w:r>
    </w:p>
    <w:p>
      <w:pPr>
        <w:spacing w:after="0" w:line="89"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231F20"/>
        </w:rPr>
        <w:t>It is uncertain if and to what extent various states will conform to the Tax Act and proposed tax legislation, and states may enact suspensions or limitations on the use of NOLs and tax credits.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Employee Matters, Managing Our Growth and Other 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is highly dependent on our ability to attract and retain highly skilled executive officers and employees.</w:t>
      </w:r>
    </w:p>
    <w:p>
      <w:pPr>
        <w:spacing w:after="0" w:line="104"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particularly Faraz Ali, M.B.A., our Chief Executive Officer. Additionally, the effects of the COVID-19 pandemic may interfere with our ability to hire or retain qualified and key personnel. If we do not succeed in attracting and retaining such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We do not maintain “key person” insurance for any of our executives or other employees. We could in the future have difficulty attracting and retaining experienced personnel and may be required to expend significant financial resources in our employee recruitment and retention efforts.</w:t>
      </w:r>
    </w:p>
    <w:p>
      <w:pPr>
        <w:spacing w:after="0" w:line="81"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231F20"/>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harmed.</w:t>
      </w:r>
    </w:p>
    <w:p>
      <w:pPr>
        <w:spacing w:after="0" w:line="63" w:lineRule="exact"/>
        <w:rPr>
          <w:sz w:val="20"/>
          <w:szCs w:val="20"/>
          <w:color w:val="auto"/>
        </w:rPr>
      </w:pPr>
    </w:p>
    <w:p>
      <w:pPr>
        <w:ind w:right="320" w:firstLine="509"/>
        <w:spacing w:after="0" w:line="256" w:lineRule="auto"/>
        <w:rPr>
          <w:sz w:val="20"/>
          <w:szCs w:val="20"/>
          <w:color w:val="auto"/>
        </w:rPr>
      </w:pPr>
      <w:r>
        <w:rPr>
          <w:rFonts w:ascii="Arial" w:cs="Arial" w:eastAsia="Arial" w:hAnsi="Arial"/>
          <w:sz w:val="18"/>
          <w:szCs w:val="18"/>
          <w:color w:val="231F20"/>
        </w:rPr>
        <w:t>Additionally, we rely on our scientific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6" w:name="page57"/>
    <w:bookmarkEnd w:id="56"/>
    <w:p>
      <w:pPr>
        <w:ind w:right="220"/>
        <w:spacing w:after="0" w:line="249" w:lineRule="auto"/>
        <w:rPr>
          <w:sz w:val="20"/>
          <w:szCs w:val="20"/>
          <w:color w:val="auto"/>
        </w:rPr>
      </w:pPr>
      <w:r>
        <w:rPr>
          <w:rFonts w:ascii="Arial" w:cs="Arial" w:eastAsia="Arial" w:hAnsi="Arial"/>
          <w:sz w:val="18"/>
          <w:szCs w:val="18"/>
          <w:color w:val="231F20"/>
        </w:rPr>
        <w:t>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 consulting relationships with our scientific founders or if they provide services to our competitors, our development and commercialization efforts will be impaired and our business will be significantly harmed.</w:t>
      </w:r>
    </w:p>
    <w:p>
      <w:pPr>
        <w:spacing w:after="0" w:line="182"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In order to successfully implement our plans and strategies, we will need to grow the size of our organization, and we may experience difficulties in managing this growth.</w:t>
      </w:r>
    </w:p>
    <w:p>
      <w:pPr>
        <w:spacing w:after="0" w:line="76" w:lineRule="exact"/>
        <w:rPr>
          <w:sz w:val="20"/>
          <w:szCs w:val="20"/>
          <w:color w:val="auto"/>
        </w:rPr>
      </w:pPr>
    </w:p>
    <w:p>
      <w:pPr>
        <w:ind w:right="120" w:firstLine="509"/>
        <w:spacing w:after="0" w:line="270" w:lineRule="auto"/>
        <w:rPr>
          <w:sz w:val="20"/>
          <w:szCs w:val="20"/>
          <w:color w:val="auto"/>
        </w:rPr>
      </w:pPr>
      <w:r>
        <w:rPr>
          <w:rFonts w:ascii="Arial" w:cs="Arial" w:eastAsia="Arial" w:hAnsi="Arial"/>
          <w:sz w:val="17"/>
          <w:szCs w:val="17"/>
          <w:color w:val="231F20"/>
        </w:rPr>
        <w:t>As of June 30, 2022, we had more than 135 full-time employees. In order to successfully implement our development and commercialization plans and strategies, and as we continue to operate as a public company, we expect to need additional managerial, operational, sales, marketing, financial and other personnel. Future growth would impose significant added responsibilities on members of management, including:</w:t>
      </w:r>
    </w:p>
    <w:p>
      <w:pPr>
        <w:spacing w:after="0" w:line="56" w:lineRule="exact"/>
        <w:rPr>
          <w:sz w:val="20"/>
          <w:szCs w:val="20"/>
          <w:color w:val="auto"/>
        </w:rPr>
      </w:pPr>
    </w:p>
    <w:p>
      <w:pPr>
        <w:ind w:left="900" w:hanging="383"/>
        <w:spacing w:after="0"/>
        <w:tabs>
          <w:tab w:leader="none" w:pos="900" w:val="left"/>
        </w:tabs>
        <w:numPr>
          <w:ilvl w:val="0"/>
          <w:numId w:val="37"/>
        </w:numPr>
        <w:rPr>
          <w:rFonts w:ascii="Arial" w:cs="Arial" w:eastAsia="Arial" w:hAnsi="Arial"/>
          <w:sz w:val="13"/>
          <w:szCs w:val="13"/>
          <w:color w:val="auto"/>
        </w:rPr>
      </w:pPr>
      <w:r>
        <w:rPr>
          <w:rFonts w:ascii="Arial" w:cs="Arial" w:eastAsia="Arial" w:hAnsi="Arial"/>
          <w:sz w:val="18"/>
          <w:szCs w:val="18"/>
          <w:color w:val="231F20"/>
        </w:rPr>
        <w:t>identifying, recruiting, integrating, maintaining and motivating additional employees;</w:t>
      </w:r>
    </w:p>
    <w:p>
      <w:pPr>
        <w:spacing w:after="0" w:line="117" w:lineRule="exact"/>
        <w:rPr>
          <w:rFonts w:ascii="Arial" w:cs="Arial" w:eastAsia="Arial" w:hAnsi="Arial"/>
          <w:sz w:val="13"/>
          <w:szCs w:val="13"/>
          <w:color w:val="auto"/>
        </w:rPr>
      </w:pPr>
    </w:p>
    <w:p>
      <w:pPr>
        <w:ind w:left="900" w:right="220" w:hanging="383"/>
        <w:spacing w:after="0" w:line="248" w:lineRule="auto"/>
        <w:tabs>
          <w:tab w:leader="none" w:pos="900" w:val="left"/>
        </w:tabs>
        <w:numPr>
          <w:ilvl w:val="0"/>
          <w:numId w:val="37"/>
        </w:numPr>
        <w:rPr>
          <w:rFonts w:ascii="Arial" w:cs="Arial" w:eastAsia="Arial" w:hAnsi="Arial"/>
          <w:sz w:val="13"/>
          <w:szCs w:val="13"/>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our product candidates, while complying with any contractual obligations to contractors and other third parties we may have; and</w:t>
      </w:r>
    </w:p>
    <w:p>
      <w:pPr>
        <w:spacing w:after="0" w:line="87" w:lineRule="exact"/>
        <w:rPr>
          <w:rFonts w:ascii="Arial" w:cs="Arial" w:eastAsia="Arial" w:hAnsi="Arial"/>
          <w:sz w:val="13"/>
          <w:szCs w:val="13"/>
          <w:color w:val="auto"/>
        </w:rPr>
      </w:pPr>
    </w:p>
    <w:p>
      <w:pPr>
        <w:ind w:left="900" w:hanging="383"/>
        <w:spacing w:after="0"/>
        <w:tabs>
          <w:tab w:leader="none" w:pos="900" w:val="left"/>
        </w:tabs>
        <w:numPr>
          <w:ilvl w:val="0"/>
          <w:numId w:val="37"/>
        </w:numPr>
        <w:rPr>
          <w:rFonts w:ascii="Arial" w:cs="Arial" w:eastAsia="Arial" w:hAnsi="Arial"/>
          <w:sz w:val="13"/>
          <w:szCs w:val="13"/>
          <w:color w:val="auto"/>
        </w:rPr>
      </w:pPr>
      <w:r>
        <w:rPr>
          <w:rFonts w:ascii="Arial" w:cs="Arial" w:eastAsia="Arial" w:hAnsi="Arial"/>
          <w:sz w:val="18"/>
          <w:szCs w:val="18"/>
          <w:color w:val="231F20"/>
        </w:rPr>
        <w:t>improving our operational, financial and management controls, reporting systems and procedures.</w:t>
      </w:r>
    </w:p>
    <w:p>
      <w:pPr>
        <w:spacing w:after="0" w:line="104"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231F20"/>
        </w:rPr>
        <w:t>Our future financial performance and our ability to successfully develop and, if approved, commercialize our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67"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We currently rely, and for the foreseeable future will continue to rely, in substantial part on certain independent organizations, advisors and consultants to provide certain services, including key aspects of our research and development, clinical development, manufacturing and operations.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preclinical studies and the initiation and conduct of our planned clinical trials may be extended, delayed or terminated, and we may not be able to obtain marketing approval of our product candidates or otherwise advance our programs and business. We cannot assure you that we will be able to manage our existing third-party service providers or find other competent outside contractors and consultants on economically reasonable terms, or at all.</w:t>
      </w:r>
    </w:p>
    <w:p>
      <w:pPr>
        <w:spacing w:after="0" w:line="6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231F20"/>
        </w:rPr>
        <w:t>If we are not able to effectively expand our organization by hiring new employees and/or engaging additional third-party service providers, we may not be able to successfully implement the tasks necessary to develop and commercialize our product candidates and, accordingly, may not achieve our research, development and commercialization goals.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231F20"/>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49" w:lineRule="exact"/>
        <w:rPr>
          <w:sz w:val="20"/>
          <w:szCs w:val="20"/>
          <w:color w:val="auto"/>
        </w:rPr>
      </w:pPr>
    </w:p>
    <w:p>
      <w:pPr>
        <w:ind w:right="140" w:firstLine="509"/>
        <w:spacing w:after="0" w:line="249" w:lineRule="auto"/>
        <w:rPr>
          <w:sz w:val="20"/>
          <w:szCs w:val="20"/>
          <w:color w:val="auto"/>
        </w:rPr>
      </w:pPr>
      <w:r>
        <w:rPr>
          <w:rFonts w:ascii="Arial" w:cs="Arial" w:eastAsia="Arial" w:hAnsi="Arial"/>
          <w:sz w:val="18"/>
          <w:szCs w:val="18"/>
          <w:color w:val="231F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73" w:lineRule="exact"/>
        <w:rPr>
          <w:sz w:val="20"/>
          <w:szCs w:val="20"/>
          <w:color w:val="auto"/>
        </w:rPr>
      </w:pPr>
    </w:p>
    <w:p>
      <w:pPr>
        <w:ind w:right="40" w:firstLine="509"/>
        <w:spacing w:after="0" w:line="275" w:lineRule="auto"/>
        <w:rPr>
          <w:sz w:val="20"/>
          <w:szCs w:val="20"/>
          <w:color w:val="auto"/>
        </w:rPr>
      </w:pPr>
      <w:r>
        <w:rPr>
          <w:rFonts w:ascii="Arial" w:cs="Arial" w:eastAsia="Arial" w:hAnsi="Arial"/>
          <w:sz w:val="16"/>
          <w:szCs w:val="16"/>
          <w:color w:val="231F20"/>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7" w:name="page58"/>
    <w:bookmarkEnd w:id="57"/>
    <w:p>
      <w:pPr>
        <w:ind w:right="60"/>
        <w:spacing w:after="0" w:line="249" w:lineRule="auto"/>
        <w:rPr>
          <w:sz w:val="20"/>
          <w:szCs w:val="20"/>
          <w:color w:val="auto"/>
        </w:rPr>
      </w:pPr>
      <w:r>
        <w:rPr>
          <w:rFonts w:ascii="Arial" w:cs="Arial" w:eastAsia="Arial" w:hAnsi="Arial"/>
          <w:sz w:val="18"/>
          <w:szCs w:val="18"/>
          <w:b w:val="1"/>
          <w:bCs w:val="1"/>
          <w:i w:val="1"/>
          <w:iCs w:val="1"/>
          <w:color w:val="231F20"/>
        </w:rPr>
        <w:t>Our computer systems, or those of any of our CROs, manufacturers, contractors, consultants or other third parties or potential future collaborators, may fail or suffer security incidents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86"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231F20"/>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consultants and other third parties, such systems are vulnerable to breakdown or other damage or interruption from, among other things, service interruptions, system malfunctions, natural disasters, terrorism, war, telecommunication and electrical failures, security breaches and incidents from inadvertent or intentional actions by our employees, contractors, consultants, business partners, and other third parties, cyber-attacks and other hacking attempts by malicious third parties (including supply chain cyber-attacks or attacks by nation-state or nation-state supported actors, or the deployment of harmful malware, ransomware, distributed denial-of-service (DDoS) attacks, phishing attacks, social engineering and other means to affect service reliability and threaten the confidentiality, integrity and availability of information), which may compromise our system infrastructure or lead to the loss, destruction, alteration, prevention of access to, disclosure, dissemination of, or damage or unauthorized access to, our data (including trade secrets or other confidential information, intellectual property, proprietary business information and personal data) or other data that we process or maintain or that is processed or maintained on our behalf, or other assets, which could result in financial, legal, business and reputational harm to us.</w:t>
      </w:r>
    </w:p>
    <w:p>
      <w:pPr>
        <w:spacing w:after="0" w:line="67"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We have in the past and may in the future experience phishing attempts, and companies have, in general, experienced an increase in phishing and social engineering attacks from third parties in connection with the COVID-19 pandemic, and the increase in remote working further increases security threats. To the extent that any data breach, disruption or security incident were to result in any loss, destruction, unavailability, alteration, disclosure, dissemination of, or damage or unauthorized access to, our personal data, applications, assets or any other data processed or maintained on our behalf, or for it to be believed or reported that any of the foregoing occurred, we could incur significant liability, including consequential damages,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breakdowns or breaches in our or their systems or other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also rely on third parties to manufacture our product candidates, and any data breaches or other security events relating to their computer systems could also have a material adverse effect on our business. Controls employed by our information technology department and our CROs, consultants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cyber-attack attributed to our third-party service providers as they relate to the information we share with them.</w:t>
      </w:r>
    </w:p>
    <w:p>
      <w:pPr>
        <w:spacing w:after="0" w:line="70"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231F20"/>
        </w:rPr>
        <w:t>If any data breach or other security incident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disclosure or dissemination of, personal data, including personal data regarding our clinical trial subjects or employees, could harm our reputation directly, compel us to comply with federal and state breach notification laws and foreign law equivalents, subject us to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 Additionally, we do not currently maintain cybersecurity insurance and therefore the successful assertion of one or more large claims against us in connection with a breach or other cybersecurity-related matter could adversely affect our business, financial condition, results of operations and prospects.</w:t>
      </w:r>
    </w:p>
    <w:p>
      <w:pPr>
        <w:spacing w:after="0" w:line="72"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231F20"/>
        </w:rPr>
        <w:t>Notifications and follow-up actions related to a data breach or other security incident could impact our reputation and cause us to incur significant costs, including significant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However, we cannot guarantee that we will be able to detect or prevent any such incidents, or that we can remediate any such incidents in an effective or timely manner. Our efforts to improve security and protect data from compromise may also identify previously undiscovered instances of data breaches or other cybersecurity incidents. To the extent that any data breach, disruption or security incident were to result in any loss, destruction, or alteration of, damage, unauthorized access to or inappropriate or unauthorized disclosure of or dissemination of, our data, including personal data, or other information that is processed or maintained on our behalf, we could be exposed to litigation and governmental investigations and inquiries, the further development and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58" w:name="page59"/>
    <w:bookmarkEnd w:id="58"/>
    <w:p>
      <w:pPr>
        <w:ind w:right="20"/>
        <w:spacing w:after="0" w:line="277" w:lineRule="auto"/>
        <w:rPr>
          <w:sz w:val="20"/>
          <w:szCs w:val="20"/>
          <w:color w:val="auto"/>
        </w:rPr>
      </w:pPr>
      <w:r>
        <w:rPr>
          <w:rFonts w:ascii="Arial" w:cs="Arial" w:eastAsia="Arial" w:hAnsi="Arial"/>
          <w:sz w:val="18"/>
          <w:szCs w:val="18"/>
          <w:color w:val="231F20"/>
        </w:rPr>
        <w:t>commercialization of our product candidates could be delayed, and we could be subject to significant fines or penalties for any noncompliance with certain state, federal and international privacy and security laws, rules, regulations and standards.</w:t>
      </w:r>
    </w:p>
    <w:p>
      <w:pPr>
        <w:spacing w:after="0" w:line="157"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Our operations are vulnerable to interruption by fire, earthquakes, power loss, telecommunications failure, terrorist activity, pandemics and other events beyond our control, which could harm our business.</w:t>
      </w:r>
    </w:p>
    <w:p>
      <w:pPr>
        <w:spacing w:after="0" w:line="76"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Our facilities are located in the San Francisco Bay Area. We have not undertaken a systematic analysis of the potential consequences to our business and financial results from a major flood, blizzard, wildfire, earthquake, power loss, terrorist activity, pandemics or other disasters and do not have a recovery plan for such disasters. In addition, we do not carry sufficient insurance to compensate us for actual losses from interruption of our business that may occur, and any losses or damages incurred by us could harm our business. Also, our CDMOs and suppliers’ facilities are located in multiple locations where other natural disasters or similar events which could severely disrupt our operations, could expose us to liability and could have a material adverse effect on our business. The occurrence of any of these business disruptions could seriously harm our operations and financial condition and increase our costs and expenses.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variety of risks associated with marketing our product candidates internationally could materially adversely affect our business.</w:t>
      </w:r>
    </w:p>
    <w:p>
      <w:pPr>
        <w:spacing w:after="0" w:line="104"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231F20"/>
        </w:rPr>
        <w:t>We may seek regulatory approval of our product candidates outside of the United States and, accordingly, we expect that we will be subject to additional risks related to operating in foreign countries if we obtain the necessary approvals, including:</w:t>
      </w:r>
    </w:p>
    <w:p>
      <w:pPr>
        <w:spacing w:after="0" w:line="76" w:lineRule="exact"/>
        <w:rPr>
          <w:sz w:val="20"/>
          <w:szCs w:val="20"/>
          <w:color w:val="auto"/>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differing regulatory requirements and reimbursement regimes in foreign countries;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unexpected changes in tariffs, trade barriers, price and exchange controls and other regulatory requirements;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economic weakness, including inflation, or political instability in particular foreign economies and markets;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compliance with tax, employment, immigration and labor laws for employees living or traveling abroad;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foreign taxes, including withholding of payroll taxes;</w:t>
      </w:r>
    </w:p>
    <w:p>
      <w:pPr>
        <w:spacing w:after="0" w:line="103" w:lineRule="exact"/>
        <w:rPr>
          <w:rFonts w:ascii="Arial" w:cs="Arial" w:eastAsia="Arial" w:hAnsi="Arial"/>
          <w:sz w:val="13"/>
          <w:szCs w:val="13"/>
          <w:color w:val="231F20"/>
        </w:rPr>
      </w:pPr>
    </w:p>
    <w:p>
      <w:pPr>
        <w:ind w:left="900" w:right="60" w:hanging="383"/>
        <w:spacing w:after="0" w:line="277" w:lineRule="auto"/>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difficulties staffing and managing foreign operations;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workforce uncertainty in countries where labor unrest is more common than in the United States;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potential liability under the FCPA or comparable foreign regulations;</w:t>
      </w:r>
    </w:p>
    <w:p>
      <w:pPr>
        <w:spacing w:after="0" w:line="103" w:lineRule="exact"/>
        <w:rPr>
          <w:rFonts w:ascii="Arial" w:cs="Arial" w:eastAsia="Arial" w:hAnsi="Arial"/>
          <w:sz w:val="13"/>
          <w:szCs w:val="13"/>
          <w:color w:val="231F20"/>
        </w:rPr>
      </w:pPr>
    </w:p>
    <w:p>
      <w:pPr>
        <w:ind w:left="900" w:right="400" w:hanging="383"/>
        <w:spacing w:after="0" w:line="291" w:lineRule="auto"/>
        <w:tabs>
          <w:tab w:leader="none" w:pos="900" w:val="left"/>
        </w:tabs>
        <w:numPr>
          <w:ilvl w:val="0"/>
          <w:numId w:val="38"/>
        </w:numPr>
        <w:rPr>
          <w:rFonts w:ascii="Arial" w:cs="Arial" w:eastAsia="Arial" w:hAnsi="Arial"/>
          <w:sz w:val="12"/>
          <w:szCs w:val="12"/>
          <w:color w:val="231F20"/>
        </w:rPr>
      </w:pPr>
      <w:r>
        <w:rPr>
          <w:rFonts w:ascii="Arial" w:cs="Arial" w:eastAsia="Arial" w:hAnsi="Arial"/>
          <w:sz w:val="17"/>
          <w:szCs w:val="17"/>
          <w:color w:val="231F20"/>
        </w:rPr>
        <w:t>challenges obtaining, maintaining, protecting, defending and enforcing our contractual and intellectual property rights, especially in those foreign countries that do not respect and protect intellectual property rights to the same extent as the United States;</w:t>
      </w:r>
    </w:p>
    <w:p>
      <w:pPr>
        <w:spacing w:after="0" w:line="38" w:lineRule="exact"/>
        <w:rPr>
          <w:rFonts w:ascii="Arial" w:cs="Arial" w:eastAsia="Arial" w:hAnsi="Arial"/>
          <w:sz w:val="12"/>
          <w:szCs w:val="12"/>
          <w:color w:val="231F20"/>
        </w:rPr>
      </w:pPr>
    </w:p>
    <w:p>
      <w:pPr>
        <w:ind w:left="900" w:hanging="383"/>
        <w:spacing w:after="0"/>
        <w:tabs>
          <w:tab w:leader="none" w:pos="900" w:val="left"/>
        </w:tabs>
        <w:numPr>
          <w:ilvl w:val="0"/>
          <w:numId w:val="38"/>
        </w:numPr>
        <w:rPr>
          <w:rFonts w:ascii="Arial" w:cs="Arial" w:eastAsia="Arial" w:hAnsi="Arial"/>
          <w:sz w:val="13"/>
          <w:szCs w:val="13"/>
          <w:color w:val="231F20"/>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17" w:lineRule="exact"/>
        <w:rPr>
          <w:rFonts w:ascii="Arial" w:cs="Arial" w:eastAsia="Arial" w:hAnsi="Arial"/>
          <w:sz w:val="13"/>
          <w:szCs w:val="13"/>
          <w:color w:val="231F20"/>
        </w:rPr>
      </w:pPr>
    </w:p>
    <w:p>
      <w:pPr>
        <w:ind w:right="20" w:firstLine="517"/>
        <w:spacing w:after="0" w:line="499" w:lineRule="auto"/>
        <w:tabs>
          <w:tab w:leader="none" w:pos="884" w:val="left"/>
        </w:tabs>
        <w:numPr>
          <w:ilvl w:val="0"/>
          <w:numId w:val="38"/>
        </w:numPr>
        <w:rPr>
          <w:rFonts w:ascii="Arial" w:cs="Arial" w:eastAsia="Arial" w:hAnsi="Arial"/>
          <w:sz w:val="11"/>
          <w:szCs w:val="11"/>
          <w:color w:val="231F20"/>
        </w:rPr>
      </w:pPr>
      <w:r>
        <w:rPr>
          <w:rFonts w:ascii="Arial" w:cs="Arial" w:eastAsia="Arial" w:hAnsi="Arial"/>
          <w:sz w:val="16"/>
          <w:szCs w:val="16"/>
          <w:color w:val="231F20"/>
        </w:rPr>
        <w:t>business interruptions resulting from geo-political actions, including war and terrorism, including effects of the recent Russia-Ukraine conflict. These and other risks associated with our international operations may materially adversely affect our ability to attain or maintain profitable operations.</w:t>
      </w:r>
    </w:p>
    <w:p>
      <w:pPr>
        <w:spacing w:after="0"/>
        <w:rPr>
          <w:sz w:val="20"/>
          <w:szCs w:val="20"/>
          <w:color w:val="auto"/>
        </w:rPr>
      </w:pPr>
      <w:r>
        <w:rPr>
          <w:rFonts w:ascii="Arial" w:cs="Arial" w:eastAsia="Arial" w:hAnsi="Arial"/>
          <w:sz w:val="18"/>
          <w:szCs w:val="18"/>
          <w:b w:val="1"/>
          <w:bCs w:val="1"/>
          <w:color w:val="231F20"/>
        </w:rPr>
        <w:t>Risks Related to Our Intellectual Property</w:t>
      </w:r>
    </w:p>
    <w:p>
      <w:pPr>
        <w:spacing w:after="0" w:line="216" w:lineRule="exact"/>
        <w:rPr>
          <w:sz w:val="20"/>
          <w:szCs w:val="20"/>
          <w:color w:val="auto"/>
        </w:rPr>
      </w:pPr>
    </w:p>
    <w:p>
      <w:pPr>
        <w:ind w:right="520"/>
        <w:spacing w:after="0" w:line="278" w:lineRule="auto"/>
        <w:rPr>
          <w:sz w:val="20"/>
          <w:szCs w:val="20"/>
          <w:color w:val="auto"/>
        </w:rPr>
      </w:pPr>
      <w:r>
        <w:rPr>
          <w:rFonts w:ascii="Arial" w:cs="Arial" w:eastAsia="Arial" w:hAnsi="Arial"/>
          <w:sz w:val="17"/>
          <w:szCs w:val="17"/>
          <w:b w:val="1"/>
          <w:bCs w:val="1"/>
          <w:i w:val="1"/>
          <w:iCs w:val="1"/>
          <w:color w:val="231F20"/>
        </w:rPr>
        <w:t>If we are unable to obtain, maintain, protect, defend and enforce patent and other intellectual property coverage for our technology and product candidates, our competitors could develop and commercialize technology and product candidates similar or identical to ours, and our ability to commercialize our technology and product candidates may be adversely affected.</w:t>
      </w:r>
    </w:p>
    <w:p>
      <w:pPr>
        <w:spacing w:after="0" w:line="50"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Our commercial success depends in large part on our ability to obtain, maintain, protect, defend and enforce patents, trade secrets and other intellectual property for our product candidates and proprietary technologies and their uses, as well as our ability to operate without infringing, misappropriating or otherwise violating the intellectual property and proprietary rights of others. We rely on patent, copyright, trade secret and trademark laws in the United States and certain other countries to protect our proprietary technology, and we generally seek to protect our proprietary position by filing patent applications in the United States and abroad related to our product candidates, proprietary technologies and their uses that are important to our business. We also seek to protect our proprietary position by acquiring or in-licensing relevant issued patents or pending applications from third parties, but the efforts we and our licensors take to protect our intellectual property may provide only limited protection. In particular, the development of our product candidates and technology is at an early stage and consequently, our patent portfolio is also at an early stage. There can be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59" w:name="page60"/>
    <w:bookmarkEnd w:id="59"/>
    <w:p>
      <w:pPr>
        <w:jc w:val="both"/>
        <w:ind w:right="40"/>
        <w:spacing w:after="0" w:line="256" w:lineRule="auto"/>
        <w:rPr>
          <w:sz w:val="20"/>
          <w:szCs w:val="20"/>
          <w:color w:val="auto"/>
        </w:rPr>
      </w:pPr>
      <w:r>
        <w:rPr>
          <w:rFonts w:ascii="Arial" w:cs="Arial" w:eastAsia="Arial" w:hAnsi="Arial"/>
          <w:sz w:val="18"/>
          <w:szCs w:val="18"/>
          <w:color w:val="231F20"/>
        </w:rPr>
        <w:t>no assurance that we or our licensors will obtain any additional issued patents or that any issued patents we or our licensors obtain will provide us with any competitive advantage. Any failure to obtain adequate patent protection for our product candidates and technology would have a material adverse effect on our business, financial condition, results of operations and prospects.</w:t>
      </w:r>
    </w:p>
    <w:p>
      <w:pPr>
        <w:spacing w:after="0" w:line="67" w:lineRule="exact"/>
        <w:rPr>
          <w:sz w:val="20"/>
          <w:szCs w:val="20"/>
          <w:color w:val="auto"/>
        </w:rPr>
      </w:pPr>
    </w:p>
    <w:p>
      <w:pPr>
        <w:ind w:right="60" w:firstLine="509"/>
        <w:spacing w:after="0" w:line="249" w:lineRule="auto"/>
        <w:rPr>
          <w:sz w:val="20"/>
          <w:szCs w:val="20"/>
          <w:color w:val="auto"/>
        </w:rPr>
      </w:pPr>
      <w:r>
        <w:rPr>
          <w:rFonts w:ascii="Arial" w:cs="Arial" w:eastAsia="Arial" w:hAnsi="Arial"/>
          <w:sz w:val="18"/>
          <w:szCs w:val="18"/>
          <w:color w:val="231F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or the patent applications of our licensors will result in additional patents being issued or that any such issued patents will afford sufficient protection against competitors with similar technology, nor can there be any assurance that the patents issued will not be infringed, designed around, or invalidated by third parties.</w:t>
      </w:r>
    </w:p>
    <w:p>
      <w:pPr>
        <w:spacing w:after="0" w:line="7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231F20"/>
        </w:rPr>
        <w:t>Even issued patents may later be found invalid or unenforceable or may be modified, narrowed in scope, or revoked in proceedings instituted by third parties before various patent offices or in courts in the United States and abroad. The degree of future protection for our and our licensor’s intellectual property and proprietary rights is uncertain. Only limited protection may be available and may not adequately protect our rights or permit us to gain or keep any competitive advantage. These uncertainties and limitations in our ability to properly protect the intellectual property rights relating to our product candidates could have a material adverse effect on our financial condition and results of operations.</w:t>
      </w:r>
    </w:p>
    <w:p>
      <w:pPr>
        <w:spacing w:after="0" w:line="63" w:lineRule="exact"/>
        <w:rPr>
          <w:sz w:val="20"/>
          <w:szCs w:val="20"/>
          <w:color w:val="auto"/>
        </w:rPr>
      </w:pPr>
    </w:p>
    <w:p>
      <w:pPr>
        <w:ind w:right="20" w:firstLine="509"/>
        <w:spacing w:after="0" w:line="273" w:lineRule="auto"/>
        <w:rPr>
          <w:sz w:val="20"/>
          <w:szCs w:val="20"/>
          <w:color w:val="auto"/>
        </w:rPr>
      </w:pPr>
      <w:r>
        <w:rPr>
          <w:rFonts w:ascii="Arial" w:cs="Arial" w:eastAsia="Arial" w:hAnsi="Arial"/>
          <w:sz w:val="16"/>
          <w:szCs w:val="16"/>
          <w:color w:val="231F20"/>
        </w:rPr>
        <w:t>We cannot be certain that the claims in our U.S. pending patent applications, corresponding international patent applications and patent applications in certain foreign jurisdictions, or those of our licensors, will be considered patentable by the United States Patent and Trademark Office (USPTO), courts in the United States or by the patent offices and courts in foreign countries, nor can we be certain that any issued claims will not be found invalid or unenforceable if challenged. Additionally, our provisional applications may never result in issued patents. A U.S. provisional patent application expires twelve months from its filing date, and its subject matter can only be claimed in an issued patent if, among other things, we file a non-provisional patent application making a valid priority claim to that provisional patent application before it expires. If we do not timely file a non-provisional patent application, we may lose the benefit of the priority dates of our provisional patent application, and intervening prior art may jeopardize patent protection on the inventions disclosed in such a provisional patent application. While we intend to timely file non-provisional patent applications claiming the benefit of the priority dates of our provisional patent applications, and otherwise diligently prosecute our patent rights, we cannot predict whether any of our future patent applications for our technology and product candidates will result in the issuance of patents that effectively protect our technology and product candidates. Additionally, our owned pending PCT patent applications are not eligible to become issued patents until, among other things, we file a national stage patent application within 30 months in the countries in which we seek patent protection. If we do not timely file any national stage patent applications, we may lose our priority date with respect to our PCT patent applications and any patent protection on the inventions disclosed in such PCT patent applications. If we or our licensors do not successfully obtain patent protection, or if the scope of the patent protection we or our licensors obtain is not sufficiently broad, valid, and enforceable, we may be unable to prevent others from using our technology, developing or commercializing similar or identical technology and products, or marketing competing products and technologies. Any failure to obtain or maintain patent protection with respect to our technology and product candidates would have a material adverse effect on our business, financial condition, results of operations and prospects.</w:t>
      </w:r>
    </w:p>
    <w:p>
      <w:pPr>
        <w:spacing w:after="0" w:line="74" w:lineRule="exact"/>
        <w:rPr>
          <w:sz w:val="20"/>
          <w:szCs w:val="20"/>
          <w:color w:val="auto"/>
        </w:rPr>
      </w:pPr>
    </w:p>
    <w:p>
      <w:pPr>
        <w:jc w:val="both"/>
        <w:ind w:right="260" w:firstLine="509"/>
        <w:spacing w:after="0" w:line="248" w:lineRule="auto"/>
        <w:rPr>
          <w:sz w:val="20"/>
          <w:szCs w:val="20"/>
          <w:color w:val="auto"/>
        </w:rPr>
      </w:pPr>
      <w:r>
        <w:rPr>
          <w:rFonts w:ascii="Arial" w:cs="Arial" w:eastAsia="Arial" w:hAnsi="Arial"/>
          <w:sz w:val="18"/>
          <w:szCs w:val="18"/>
          <w:color w:val="231F20"/>
        </w:rPr>
        <w:t>The patent application process is subject to numerous risks and uncertainties, and there can be no assurance that we or any of our potential future licensors or collaborators will be successful in protecting our product candidates by obtaining and defending adequate patent coverage. These risks and uncertainties include the following:</w:t>
      </w:r>
    </w:p>
    <w:p>
      <w:pPr>
        <w:spacing w:after="0" w:line="87" w:lineRule="exact"/>
        <w:rPr>
          <w:sz w:val="20"/>
          <w:szCs w:val="20"/>
          <w:color w:val="auto"/>
        </w:rPr>
      </w:pPr>
    </w:p>
    <w:p>
      <w:pPr>
        <w:jc w:val="both"/>
        <w:ind w:left="900" w:right="60" w:hanging="383"/>
        <w:spacing w:after="0" w:line="248"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87" w:lineRule="exact"/>
        <w:rPr>
          <w:rFonts w:ascii="Arial" w:cs="Arial" w:eastAsia="Arial" w:hAnsi="Arial"/>
          <w:sz w:val="13"/>
          <w:szCs w:val="13"/>
          <w:color w:val="231F20"/>
        </w:rPr>
      </w:pPr>
    </w:p>
    <w:p>
      <w:pPr>
        <w:ind w:left="900" w:hanging="383"/>
        <w:spacing w:after="0"/>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patent applications may not result in any patents being issued;</w:t>
      </w:r>
    </w:p>
    <w:p>
      <w:pPr>
        <w:spacing w:after="0" w:line="103" w:lineRule="exact"/>
        <w:rPr>
          <w:rFonts w:ascii="Arial" w:cs="Arial" w:eastAsia="Arial" w:hAnsi="Arial"/>
          <w:sz w:val="13"/>
          <w:szCs w:val="13"/>
          <w:color w:val="231F20"/>
        </w:rPr>
      </w:pPr>
    </w:p>
    <w:p>
      <w:pPr>
        <w:ind w:left="900" w:right="100" w:hanging="383"/>
        <w:spacing w:after="0" w:line="261"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patents may be challenged, invalidated, modified, revoked, circumvented, found to be unenforceable, narrowed in scope or otherwise may not provide any competitive advantage;</w:t>
      </w:r>
    </w:p>
    <w:p>
      <w:pPr>
        <w:spacing w:after="0" w:line="76" w:lineRule="exact"/>
        <w:rPr>
          <w:rFonts w:ascii="Arial" w:cs="Arial" w:eastAsia="Arial" w:hAnsi="Arial"/>
          <w:sz w:val="13"/>
          <w:szCs w:val="13"/>
          <w:color w:val="231F20"/>
        </w:rPr>
      </w:pPr>
    </w:p>
    <w:p>
      <w:pPr>
        <w:ind w:left="900" w:right="80" w:hanging="383"/>
        <w:spacing w:after="0" w:line="248"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p>
      <w:pPr>
        <w:spacing w:after="0" w:line="73" w:lineRule="exact"/>
        <w:rPr>
          <w:rFonts w:ascii="Arial" w:cs="Arial" w:eastAsia="Arial" w:hAnsi="Arial"/>
          <w:sz w:val="13"/>
          <w:szCs w:val="13"/>
          <w:color w:val="231F20"/>
        </w:rPr>
      </w:pPr>
    </w:p>
    <w:p>
      <w:pPr>
        <w:ind w:left="900" w:right="280" w:hanging="383"/>
        <w:spacing w:after="0" w:line="256"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66" w:lineRule="exact"/>
        <w:rPr>
          <w:rFonts w:ascii="Arial" w:cs="Arial" w:eastAsia="Arial" w:hAnsi="Arial"/>
          <w:sz w:val="13"/>
          <w:szCs w:val="13"/>
          <w:color w:val="231F20"/>
        </w:rPr>
      </w:pPr>
    </w:p>
    <w:p>
      <w:pPr>
        <w:ind w:left="900" w:right="420" w:hanging="383"/>
        <w:spacing w:after="0" w:line="256" w:lineRule="auto"/>
        <w:tabs>
          <w:tab w:leader="none" w:pos="900" w:val="left"/>
        </w:tabs>
        <w:numPr>
          <w:ilvl w:val="0"/>
          <w:numId w:val="39"/>
        </w:numPr>
        <w:rPr>
          <w:rFonts w:ascii="Arial" w:cs="Arial" w:eastAsia="Arial" w:hAnsi="Arial"/>
          <w:sz w:val="13"/>
          <w:szCs w:val="13"/>
          <w:color w:val="231F20"/>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 and limiting the scope of our protection in countries outside the United States.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0" w:name="page61"/>
    <w:bookmarkEnd w:id="60"/>
    <w:p>
      <w:pPr>
        <w:ind w:right="140" w:firstLine="509"/>
        <w:spacing w:after="0" w:line="249" w:lineRule="auto"/>
        <w:rPr>
          <w:sz w:val="20"/>
          <w:szCs w:val="20"/>
          <w:color w:val="auto"/>
        </w:rPr>
      </w:pPr>
      <w:r>
        <w:rPr>
          <w:rFonts w:ascii="Arial" w:cs="Arial" w:eastAsia="Arial" w:hAnsi="Arial"/>
          <w:sz w:val="18"/>
          <w:szCs w:val="18"/>
          <w:color w:val="231F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or our licensors will fail to identify patentable aspects of our research and development output before it is too late to obtain patent protection. We may not be able to obtain or maintain patent applications and patents due to the subject matter claimed in such patent applications and patents being in disclosures in the public domain.</w:t>
      </w:r>
    </w:p>
    <w:p>
      <w:pPr>
        <w:spacing w:after="0" w:line="74" w:lineRule="exact"/>
        <w:rPr>
          <w:sz w:val="20"/>
          <w:szCs w:val="20"/>
          <w:color w:val="auto"/>
        </w:rPr>
      </w:pPr>
    </w:p>
    <w:p>
      <w:pPr>
        <w:ind w:right="80" w:firstLine="509"/>
        <w:spacing w:after="0" w:line="263" w:lineRule="auto"/>
        <w:rPr>
          <w:sz w:val="20"/>
          <w:szCs w:val="20"/>
          <w:color w:val="auto"/>
        </w:rPr>
      </w:pPr>
      <w:r>
        <w:rPr>
          <w:rFonts w:ascii="Arial" w:cs="Arial" w:eastAsia="Arial" w:hAnsi="Arial"/>
          <w:sz w:val="17"/>
          <w:szCs w:val="17"/>
          <w:color w:val="231F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Consequently, we may not be able to prevent any third parties, including our competitors, from using any of our technology that is in the public domain to compete with our technology and product candidates.</w:t>
      </w:r>
    </w:p>
    <w:p>
      <w:pPr>
        <w:spacing w:after="0" w:line="63"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231F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231F20"/>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49"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The patent position of biotechnology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 or otherwise provide any commercial advantage.</w:t>
      </w:r>
    </w:p>
    <w:p>
      <w:pPr>
        <w:spacing w:after="0" w:line="58" w:lineRule="exact"/>
        <w:rPr>
          <w:sz w:val="20"/>
          <w:szCs w:val="20"/>
          <w:color w:val="auto"/>
        </w:rPr>
      </w:pPr>
    </w:p>
    <w:p>
      <w:pPr>
        <w:ind w:right="120" w:firstLine="509"/>
        <w:spacing w:after="0" w:line="276" w:lineRule="auto"/>
        <w:rPr>
          <w:sz w:val="20"/>
          <w:szCs w:val="20"/>
          <w:color w:val="auto"/>
        </w:rPr>
      </w:pPr>
      <w:r>
        <w:rPr>
          <w:rFonts w:ascii="Arial" w:cs="Arial" w:eastAsia="Arial" w:hAnsi="Arial"/>
          <w:sz w:val="16"/>
          <w:szCs w:val="16"/>
          <w:color w:val="231F20"/>
        </w:rPr>
        <w:t>Moreover, the coverage claimed in a patent application can be significantly reduced before the patent is issued, and its scope can be reinterpreted after issuance.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Any patents that we may own or in-license may be challenged or circumvented by third parties or may be narrowed, rendered unenforceable, or invalidated as a result of challenges by third parties. Consequently, we do not know whether our product candidates will be protectable or remain protected by valid and enforceable patents. Our competitors or other third parties may be able to circumvent our potential future patents or the patents of our licensors by developing similar or alternative technologies or products in a non-infringing manner which could materially adversely affect our business, financial condition, results of operations and prospects.</w:t>
      </w:r>
    </w:p>
    <w:p>
      <w:pPr>
        <w:spacing w:after="0" w:line="5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231F20"/>
        </w:rPr>
        <w:t>While we believe our intellectual property allows us to pursue our current development programs, several companies and academic institutions are pursuing alternate approaches to gene therapy and have built intellectual property around these approaches and methods. In addition, we may not be aware of all third-party intellectual property rights potentially relating to our technology and product candidates. Publications of discoveries in the scientific literature often lag the actual discoveries, and patent applications in the United States and other jurisdictions are typically not published until 18 months after filing or, in some cases, not at all. Therefore, we cannot be certain that we were the first to make the inventions claimed in any owned or any licensed patents or pending patent applications, or that we were the first to file for patent protection of such inventions, particularly in areas such as gene therapies directed to ARVC, which is an active area of research and development by multiple third parties.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Furthermore, applications filed before November 29, 2000 and certain applications filed after that date that will not be filed outside the United States may remain confidential until a patent issues.</w:t>
      </w:r>
    </w:p>
    <w:p>
      <w:pPr>
        <w:spacing w:after="0" w:line="71"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The issuance of a patent is not conclusive as to its inventorship, scope, validity or enforceability, and the inventorship, scope, validity or enforceability of our potential future patents or the patents of our licensors may be challenged in the courts or patent offices in the United States and abroad. For example, we may be subject to a third-party pre-issuance submission of prior art to the USPTO, or become involved in opposition, derivation, revocation, reexamination, post-grant review (PGR) and inter partes review (IPR), or other similar proceedings challenging any patents that we may own or in-license. Such submissions may also be made prior to a patent’s issuance, precluding the granting of a patent based on one of our owned or licensed pending patent applications. A third party may also claim that our potential future owned patents or licensed patent rights are invalid or unenforceable in a litigation. The outcome following legal assertions of invalidity and unenforceability is unpredictable. An adverse determination in any such submission, proceeding or litigation could reduce the scope of, or invalidate or render unenforceable, our potential future owned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1" w:name="page62"/>
    <w:bookmarkEnd w:id="61"/>
    <w:p>
      <w:pPr>
        <w:spacing w:after="0" w:line="258" w:lineRule="auto"/>
        <w:rPr>
          <w:sz w:val="20"/>
          <w:szCs w:val="20"/>
          <w:color w:val="auto"/>
        </w:rPr>
      </w:pPr>
      <w:r>
        <w:rPr>
          <w:rFonts w:ascii="Arial" w:cs="Arial" w:eastAsia="Arial" w:hAnsi="Arial"/>
          <w:sz w:val="17"/>
          <w:szCs w:val="17"/>
          <w:color w:val="231F20"/>
        </w:rPr>
        <w:t>patents or licensed patent rights, allow third parties to commercialize our product candidates and compete directly with us, without payment to us, or result in our inability to manufacture or commercialize products without infringing third-party patent rights. Moreover, our potential future patents or the patents of our licensors may become subject to post-grant challenge proceedings, such as oppositions in a foreign patent office, that challenge our priority of invention or other features of patentability with respect to our potential future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potential future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Intellectual property rights do not necessarily address all potential threats to our competitive advantage.</w:t>
      </w:r>
    </w:p>
    <w:p>
      <w:pPr>
        <w:spacing w:after="0" w:line="117" w:lineRule="exact"/>
        <w:rPr>
          <w:sz w:val="20"/>
          <w:szCs w:val="20"/>
          <w:color w:val="auto"/>
        </w:rPr>
      </w:pPr>
    </w:p>
    <w:p>
      <w:pPr>
        <w:ind w:right="660" w:firstLine="509"/>
        <w:spacing w:after="0" w:line="291" w:lineRule="auto"/>
        <w:rPr>
          <w:sz w:val="20"/>
          <w:szCs w:val="20"/>
          <w:color w:val="auto"/>
        </w:rPr>
      </w:pPr>
      <w:r>
        <w:rPr>
          <w:rFonts w:ascii="Arial" w:cs="Arial" w:eastAsia="Arial" w:hAnsi="Arial"/>
          <w:sz w:val="17"/>
          <w:szCs w:val="17"/>
          <w:color w:val="231F20"/>
        </w:rPr>
        <w:t>The degree of current and future protection afforded by our intellectual property rights is uncertain because intellectual property rights have limitations and may not adequately protect our business or permit us to maintain our competitive advantage. For example:</w:t>
      </w:r>
    </w:p>
    <w:p>
      <w:pPr>
        <w:spacing w:after="0" w:line="39" w:lineRule="exact"/>
        <w:rPr>
          <w:sz w:val="20"/>
          <w:szCs w:val="20"/>
          <w:color w:val="auto"/>
        </w:rPr>
      </w:pPr>
    </w:p>
    <w:p>
      <w:pPr>
        <w:ind w:left="900" w:right="840" w:hanging="383"/>
        <w:spacing w:after="0" w:line="277"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others may be able to develop products that are similar to our product candidates but that are not covered by the claims of the patent applications that we own or license;</w:t>
      </w:r>
    </w:p>
    <w:p>
      <w:pPr>
        <w:spacing w:after="0" w:line="48" w:lineRule="exact"/>
        <w:rPr>
          <w:rFonts w:ascii="Arial" w:cs="Arial" w:eastAsia="Arial" w:hAnsi="Arial"/>
          <w:sz w:val="13"/>
          <w:szCs w:val="13"/>
          <w:color w:val="231F20"/>
        </w:rPr>
      </w:pPr>
    </w:p>
    <w:p>
      <w:pPr>
        <w:ind w:left="900" w:right="280" w:hanging="383"/>
        <w:spacing w:after="0" w:line="261"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we or our current or future licensors or collaborators might not have been the first to make the inventions covered by the patent applications that we own or license now or may own or license in the future;</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0"/>
        </w:numPr>
        <w:rPr>
          <w:rFonts w:ascii="Arial" w:cs="Arial" w:eastAsia="Arial" w:hAnsi="Arial"/>
          <w:sz w:val="11"/>
          <w:szCs w:val="11"/>
          <w:color w:val="231F20"/>
        </w:rPr>
      </w:pPr>
      <w:r>
        <w:rPr>
          <w:rFonts w:ascii="Arial" w:cs="Arial" w:eastAsia="Arial" w:hAnsi="Arial"/>
          <w:sz w:val="16"/>
          <w:szCs w:val="16"/>
          <w:color w:val="231F20"/>
        </w:rPr>
        <w:t>we or our current or future licensors or collaborators might not have been the first to file patent applications covering certain of our inventions;</w:t>
      </w:r>
    </w:p>
    <w:p>
      <w:pPr>
        <w:spacing w:after="0" w:line="126" w:lineRule="exact"/>
        <w:rPr>
          <w:rFonts w:ascii="Arial" w:cs="Arial" w:eastAsia="Arial" w:hAnsi="Arial"/>
          <w:sz w:val="11"/>
          <w:szCs w:val="11"/>
          <w:color w:val="231F20"/>
        </w:rPr>
      </w:pPr>
    </w:p>
    <w:p>
      <w:pPr>
        <w:ind w:left="900" w:right="260" w:hanging="383"/>
        <w:spacing w:after="0" w:line="261"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it is possible that the pending patent applications we own or license will not lead to issued patents;</w:t>
      </w:r>
    </w:p>
    <w:p>
      <w:pPr>
        <w:spacing w:after="0" w:line="103" w:lineRule="exact"/>
        <w:rPr>
          <w:rFonts w:ascii="Arial" w:cs="Arial" w:eastAsia="Arial" w:hAnsi="Arial"/>
          <w:sz w:val="13"/>
          <w:szCs w:val="13"/>
          <w:color w:val="231F20"/>
        </w:rPr>
      </w:pPr>
    </w:p>
    <w:p>
      <w:pPr>
        <w:ind w:left="900" w:right="160" w:hanging="383"/>
        <w:spacing w:after="0" w:line="261"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issued patents that we may hold rights to may be held invalid or unenforceable, including as a result of legal challenges by our competitors or other third parties;</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others may have access to the same intellectual property rights licensed to us in the future on a nonexclusive basis;</w:t>
      </w:r>
    </w:p>
    <w:p>
      <w:pPr>
        <w:spacing w:after="0" w:line="103" w:lineRule="exact"/>
        <w:rPr>
          <w:rFonts w:ascii="Arial" w:cs="Arial" w:eastAsia="Arial" w:hAnsi="Arial"/>
          <w:sz w:val="13"/>
          <w:szCs w:val="13"/>
          <w:color w:val="231F20"/>
        </w:rPr>
      </w:pPr>
    </w:p>
    <w:p>
      <w:pPr>
        <w:ind w:left="900" w:right="860" w:hanging="383"/>
        <w:spacing w:after="0" w:line="291" w:lineRule="auto"/>
        <w:tabs>
          <w:tab w:leader="none" w:pos="900" w:val="left"/>
        </w:tabs>
        <w:numPr>
          <w:ilvl w:val="0"/>
          <w:numId w:val="40"/>
        </w:numPr>
        <w:rPr>
          <w:rFonts w:ascii="Arial" w:cs="Arial" w:eastAsia="Arial" w:hAnsi="Arial"/>
          <w:sz w:val="12"/>
          <w:szCs w:val="12"/>
          <w:color w:val="231F20"/>
        </w:rPr>
      </w:pPr>
      <w:r>
        <w:rPr>
          <w:rFonts w:ascii="Arial" w:cs="Arial" w:eastAsia="Arial" w:hAnsi="Arial"/>
          <w:sz w:val="17"/>
          <w:szCs w:val="17"/>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2"/>
          <w:szCs w:val="12"/>
          <w:color w:val="231F20"/>
        </w:rPr>
      </w:pPr>
    </w:p>
    <w:p>
      <w:pPr>
        <w:ind w:left="900" w:hanging="383"/>
        <w:spacing w:after="0"/>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we may not develop additional proprietary technologies that are patentable;</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the patents of others may have an adverse effect on our business; and</w:t>
      </w:r>
    </w:p>
    <w:p>
      <w:pPr>
        <w:spacing w:after="0" w:line="103" w:lineRule="exact"/>
        <w:rPr>
          <w:rFonts w:ascii="Arial" w:cs="Arial" w:eastAsia="Arial" w:hAnsi="Arial"/>
          <w:sz w:val="13"/>
          <w:szCs w:val="13"/>
          <w:color w:val="231F20"/>
        </w:rPr>
      </w:pPr>
    </w:p>
    <w:p>
      <w:pPr>
        <w:ind w:left="900" w:right="380" w:hanging="383"/>
        <w:spacing w:after="0" w:line="261" w:lineRule="auto"/>
        <w:tabs>
          <w:tab w:leader="none" w:pos="900" w:val="left"/>
        </w:tabs>
        <w:numPr>
          <w:ilvl w:val="0"/>
          <w:numId w:val="40"/>
        </w:numPr>
        <w:rPr>
          <w:rFonts w:ascii="Arial" w:cs="Arial" w:eastAsia="Arial" w:hAnsi="Arial"/>
          <w:sz w:val="13"/>
          <w:szCs w:val="13"/>
          <w:color w:val="231F20"/>
        </w:rPr>
      </w:pPr>
      <w:r>
        <w:rPr>
          <w:rFonts w:ascii="Arial" w:cs="Arial" w:eastAsia="Arial" w:hAnsi="Arial"/>
          <w:sz w:val="18"/>
          <w:szCs w:val="18"/>
          <w:color w:val="231F20"/>
        </w:rPr>
        <w:t>we may choose not to file a patent in order to maintain certain trade secrets or know-how, and a third- party may subsequently file a patent covering such intellectual property.</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Should any of these events occur, it could significantly harm our business, results of operations and prospects.</w:t>
      </w:r>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b w:val="1"/>
          <w:bCs w:val="1"/>
          <w:i w:val="1"/>
          <w:iCs w:val="1"/>
          <w:color w:val="231F20"/>
        </w:rPr>
        <w:t>Our commercial success depends significantly on our ability to operate without infringing, misappropriating or otherwise violating the patents and other intellectual property and proprietary rights of third parties. Claims by third parties that we infringe, misappropriate or otherwise violate their intellectual property or proprietary rights may result in liability for damages or prevent or delay our developmental and commercialization efforts, and could have a material adverse effect on the success of our business.</w:t>
      </w:r>
    </w:p>
    <w:p>
      <w:pPr>
        <w:spacing w:after="0" w:line="58"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Our commercial success depends in part on avoiding infringement, misappropriation or other violation of the patents, intellectual property and proprietary rights of third parties. However, our research, development and commercialization activities may be subject to claims that we infringe, misappropriate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oppositions, reexaminations, IPR proceedings and PGR proceedings before the USPTO and corresponding foreign patent offices. Numerous third-party U.S. and foreign issued patents and pending patent applications exist in the fields in which we are developing product candidates. There are and in the future may be third-party patents or patent applications with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2" w:name="page63"/>
    <w:bookmarkEnd w:id="62"/>
    <w:p>
      <w:pPr>
        <w:ind w:right="60" w:firstLine="509"/>
        <w:spacing w:after="0" w:line="278" w:lineRule="auto"/>
        <w:rPr>
          <w:sz w:val="20"/>
          <w:szCs w:val="20"/>
          <w:color w:val="auto"/>
        </w:rPr>
      </w:pPr>
      <w:r>
        <w:rPr>
          <w:rFonts w:ascii="Arial" w:cs="Arial" w:eastAsia="Arial" w:hAnsi="Arial"/>
          <w:sz w:val="16"/>
          <w:szCs w:val="16"/>
          <w:color w:val="231F20"/>
        </w:rPr>
        <w:t>For example, we are aware of third-party patent rights that could be construed to cover the use of our TN-201 product candidate. We believe that if these third-party patent rights were to be asserted against us, we would have valid defenses against such assertions, including that such patent rights are invalid and not infringed. However, if such third-party patent rights were asserted against us and found to be valid, enforceable and infringed, we could be liable for damages and be required to obtain a license to such patent rights prior to commercializing TN-201 in the United States, and such license may not be available on commercially reasonable terms or at all. Additionally, we are aware of third-party patent rights related to the use of certain AAV vectors, which have been asserted against others, including in at least one instance against a company for pre-approval activities. If these patent rights were to be asserted against us, we believe we would have valid defenses to such assertions, however such defenses may not be successful and we could be liable for damages and need to secure a license to such patent rights, which may not be available on commercially reasonable terms or at all. In the event any of the foregoing were to occur, we may be prevented from further developing and commercializing any affected product candidates, including TN-201.</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7"/>
          <w:szCs w:val="17"/>
          <w:color w:val="231F20"/>
        </w:rPr>
        <w:t>As the biotechnology industry expands and more patents are issued, the risk increases that our product candidates may be subject to claims of</w:t>
      </w:r>
    </w:p>
    <w:p>
      <w:pPr>
        <w:spacing w:after="0" w:line="23"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231F20"/>
        </w:rPr>
        <w:t>infringement, misappropriation or other violation of the patent or other intellectual property rights of third parties. If any third-party claims that we infringe any of the above-referenced patent rights or any other patent rights, such claims would be time consuming and could:</w:t>
      </w:r>
    </w:p>
    <w:p>
      <w:pPr>
        <w:spacing w:after="0" w:line="65" w:lineRule="exact"/>
        <w:rPr>
          <w:sz w:val="20"/>
          <w:szCs w:val="20"/>
          <w:color w:val="auto"/>
        </w:rPr>
      </w:pPr>
    </w:p>
    <w:p>
      <w:pPr>
        <w:ind w:left="900" w:hanging="383"/>
        <w:spacing w:after="0"/>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result in costly litigation that may cause negative publicity;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divert the time and attention of our technical personnel and management;</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cause development delays;</w:t>
      </w:r>
    </w:p>
    <w:p>
      <w:pPr>
        <w:spacing w:after="0" w:line="103" w:lineRule="exact"/>
        <w:rPr>
          <w:rFonts w:ascii="Arial" w:cs="Arial" w:eastAsia="Arial" w:hAnsi="Arial"/>
          <w:sz w:val="13"/>
          <w:szCs w:val="13"/>
          <w:color w:val="auto"/>
        </w:rPr>
      </w:pPr>
    </w:p>
    <w:p>
      <w:pPr>
        <w:ind w:left="900" w:right="180" w:hanging="383"/>
        <w:spacing w:after="0" w:line="261" w:lineRule="auto"/>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prevent us from commercializing any of our product candidates until the asserted patent expires or is held finally invalid or not infringed in a court of law;</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require us to develop non-infringing technology, which may not be possible on a cost-effective basis;</w:t>
      </w:r>
    </w:p>
    <w:p>
      <w:pPr>
        <w:spacing w:after="0" w:line="103" w:lineRule="exact"/>
        <w:rPr>
          <w:rFonts w:ascii="Arial" w:cs="Arial" w:eastAsia="Arial" w:hAnsi="Arial"/>
          <w:sz w:val="13"/>
          <w:szCs w:val="13"/>
          <w:color w:val="auto"/>
        </w:rPr>
      </w:pPr>
    </w:p>
    <w:p>
      <w:pPr>
        <w:ind w:left="900" w:right="620" w:hanging="383"/>
        <w:spacing w:after="0" w:line="261" w:lineRule="auto"/>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subject us to significant liability and damages to third parties, including treble damages if we are found to willfully infringe third-party intellectual property; or</w:t>
      </w:r>
    </w:p>
    <w:p>
      <w:pPr>
        <w:spacing w:after="0" w:line="76" w:lineRule="exact"/>
        <w:rPr>
          <w:rFonts w:ascii="Arial" w:cs="Arial" w:eastAsia="Arial" w:hAnsi="Arial"/>
          <w:sz w:val="13"/>
          <w:szCs w:val="13"/>
          <w:color w:val="auto"/>
        </w:rPr>
      </w:pPr>
    </w:p>
    <w:p>
      <w:pPr>
        <w:ind w:left="900" w:right="440" w:hanging="383"/>
        <w:spacing w:after="0" w:line="261" w:lineRule="auto"/>
        <w:tabs>
          <w:tab w:leader="none" w:pos="900" w:val="left"/>
        </w:tabs>
        <w:numPr>
          <w:ilvl w:val="0"/>
          <w:numId w:val="41"/>
        </w:numPr>
        <w:rPr>
          <w:rFonts w:ascii="Arial" w:cs="Arial" w:eastAsia="Arial" w:hAnsi="Arial"/>
          <w:sz w:val="13"/>
          <w:szCs w:val="13"/>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6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Although no third party has asserted a claim of patent infringement against us as of the date of this periodic report, there can be no assurance that we will not be subject to claims of patent or other intellectual property infringement in the future that could prevent our product candidates from being marketed. Furthermore, we may fail to identify relevant patents or patent applications or may identify pending patent applications of potential interest but incorrectly predict the likelihood that such patent applications may issue with claims of relevance to our technology. In addition, we may incorrectly conclude that a third-party patent is invalid, unenforceable or not infringed by our activities. Additionally,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w:t>
      </w:r>
    </w:p>
    <w:p>
      <w:pPr>
        <w:spacing w:after="0" w:line="73"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Third parties may assert patent infringement claims against us directed at any of our product candidates based on our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In addition, even if we or our future strategic partners were able to obtain a license, the rights may be nonexclusive, which could result in our competitors gaining access to the same intellectual property. Moreover, we cannot be certain that we could redesign our product candidates, treatment indications, or processes to avoid infringement, if necessary, and we could encounter delays in our product introductions while we attempt to develop alternative technology and product candidates to avoid infringing third-party intellectual property rights. Accordingly, an adverse determination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80"/>
        <w:spacing w:after="0" w:line="303" w:lineRule="auto"/>
        <w:rPr>
          <w:sz w:val="20"/>
          <w:szCs w:val="20"/>
          <w:color w:val="auto"/>
        </w:rPr>
      </w:pPr>
      <w:r>
        <w:rPr>
          <w:rFonts w:ascii="Arial" w:cs="Arial" w:eastAsia="Arial" w:hAnsi="Arial"/>
          <w:sz w:val="16"/>
          <w:szCs w:val="16"/>
          <w:color w:val="231F20"/>
        </w:rPr>
        <w:t>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32" w:lineRule="exact"/>
        <w:rPr>
          <w:sz w:val="20"/>
          <w:szCs w:val="20"/>
          <w:color w:val="auto"/>
        </w:rPr>
      </w:pPr>
    </w:p>
    <w:p>
      <w:pPr>
        <w:ind w:right="40" w:firstLine="509"/>
        <w:spacing w:after="0" w:line="267" w:lineRule="auto"/>
        <w:rPr>
          <w:sz w:val="20"/>
          <w:szCs w:val="20"/>
          <w:color w:val="auto"/>
        </w:rPr>
      </w:pPr>
      <w:r>
        <w:rPr>
          <w:rFonts w:ascii="Arial" w:cs="Arial" w:eastAsia="Arial" w:hAnsi="Arial"/>
          <w:sz w:val="17"/>
          <w:szCs w:val="17"/>
          <w:color w:val="231F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60" w:lineRule="exact"/>
        <w:rPr>
          <w:sz w:val="20"/>
          <w:szCs w:val="20"/>
          <w:color w:val="auto"/>
        </w:rPr>
      </w:pPr>
    </w:p>
    <w:p>
      <w:pPr>
        <w:ind w:right="180" w:firstLine="509"/>
        <w:spacing w:after="0" w:line="258" w:lineRule="auto"/>
        <w:rPr>
          <w:sz w:val="20"/>
          <w:szCs w:val="20"/>
          <w:color w:val="auto"/>
        </w:rPr>
      </w:pPr>
      <w:r>
        <w:rPr>
          <w:rFonts w:ascii="Arial" w:cs="Arial" w:eastAsia="Arial" w:hAnsi="Arial"/>
          <w:sz w:val="17"/>
          <w:szCs w:val="17"/>
          <w:color w:val="231F20"/>
        </w:rPr>
        <w:t>Because of the inevitable uncertainty in intellectual property litigation, we could lose a patent infringement or other action asserted against us regardless of our perception of the merits of the case. Patent and other types of intellectual property litigation can involve complex factual and legal questions, and their outcome is uncertain.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future products we may develop and any other future products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technology did not infringe any such claims. Further, even if we were successful in defending against any such claims, such claims could require us to divert substantial financial and management resources that we would otherwise be able to devote to our business.</w:t>
      </w:r>
    </w:p>
    <w:p>
      <w:pPr>
        <w:spacing w:after="0" w:line="72"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231F20"/>
        </w:rPr>
        <w:t>We may in the future pursue invalidity proceedings with respect to third-party patents. The outcome following legal assertions of invalidity is unpredictable. Even if resolved in our favor, these legal proceedings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proceedings could substantially increase our operating losses and reduce the resources available for development activities or any future sales, marketing or distribution activities. We may not have sufficient financial or other resources to conduct such proceedings adequately. Some of these third parties may be able to sustain the costs of such proceedings more effectively than we can because of their greater financial resources. Uncertainties resulting from the initiation and continuation of patent proceedings could compromise our ability to compete in the marketplace. If we do not prevail in the patent proceedings the third parties may assert a claim of patent infringement directed at our product candidates.</w:t>
      </w:r>
    </w:p>
    <w:p>
      <w:pPr>
        <w:spacing w:after="0" w:line="67"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not be successful in obtaining or maintaining necessary rights to our product candidates through acquisitions and in-licenses.</w:t>
      </w:r>
    </w:p>
    <w:p>
      <w:pPr>
        <w:spacing w:after="0" w:line="12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Many pharmaceutical companies, biotechnology companies, and academic institutions may have patents and patent applications potentially relevant to our business. We may find it necessary or prudent to obtain licenses to such patents from such third-party intellectual property holders, for example, in order to avoid infringing these third-party patents. We may also require licenses from third parties for certain technologies for use with future product candidates.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expect that competition for the in-licensing or acquisition of third-party intellectual property rights for future products that are attractive to us may increase in the future, which may mean fewer suitable opportunities for us as well as higher acquisition or licensing costs. We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4" w:name="page65"/>
    <w:bookmarkEnd w:id="64"/>
    <w:p>
      <w:pPr>
        <w:ind w:right="120"/>
        <w:spacing w:after="0" w:line="366" w:lineRule="auto"/>
        <w:rPr>
          <w:sz w:val="20"/>
          <w:szCs w:val="20"/>
          <w:color w:val="auto"/>
        </w:rPr>
      </w:pPr>
      <w:r>
        <w:rPr>
          <w:rFonts w:ascii="Arial" w:cs="Arial" w:eastAsia="Arial" w:hAnsi="Arial"/>
          <w:sz w:val="15"/>
          <w:szCs w:val="15"/>
          <w:b w:val="1"/>
          <w:bCs w:val="1"/>
          <w:i w:val="1"/>
          <w:iCs w:val="1"/>
          <w:color w:val="231F20"/>
        </w:rPr>
        <w:t>We may be involved in lawsuits to protect or enforce our potential future patents or our licensors’ patents, which could be expensive, time consuming and unsuccessful. Further, our potential future patents or our licensors’ patents could be found invalid or unenforceable if challenged in court.</w:t>
      </w:r>
    </w:p>
    <w:p>
      <w:pPr>
        <w:ind w:right="40" w:firstLine="509"/>
        <w:spacing w:after="0" w:line="257" w:lineRule="auto"/>
        <w:rPr>
          <w:sz w:val="20"/>
          <w:szCs w:val="20"/>
          <w:color w:val="auto"/>
        </w:rPr>
      </w:pPr>
      <w:r>
        <w:rPr>
          <w:rFonts w:ascii="Arial" w:cs="Arial" w:eastAsia="Arial" w:hAnsi="Arial"/>
          <w:sz w:val="17"/>
          <w:szCs w:val="17"/>
          <w:color w:val="231F20"/>
        </w:rPr>
        <w:t>Competitors and other third parties may infringe, misappropriate or otherwise violate our intellectual property rights. To prevent infringement, misappropriation, unauthorized use or other violation, we may be required to file infringement claims, which can be expensive and time-consuming. In addition, our potential future patents also may become involved in inventorship, priority or validity disputes. In a patent infringement proceeding, a court may decide that a patent we may own or in-license is not valid, is unenforceable or is not infringed, or may refuse to stop the other party from using the technology at issue on the grounds that our potential future patents do not cover such technology. If we or any of our potential future collaborators were to initiate legal proceedings against a third party to enforce a patent directed at one of our product candidates, the defendant could counterclaim that our potential future patent or the patent of our licensor is invalid or unenforceable in whole or in part. In patent litigation in the United States, defendant counterclaims alleging invalidity 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231F20"/>
        </w:rPr>
        <w:t>Third parties may also raise similar invalidity claims before the USPTO or patent offices abroad, even outside the context of litigation. Such</w:t>
      </w:r>
    </w:p>
    <w:p>
      <w:pPr>
        <w:spacing w:after="0" w:line="2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231F20"/>
        </w:rPr>
        <w:t>mechanisms include re-examination, PGR, IPR, derivation proceedings, and equivalent proceedings in foreign jurisdictions (e.g., opposition proceedings). Such proceedings could result in the revocation or cancellation of or amendment to our potential future patents in such a way that they no longer cover our technology or product candidates or prevent third parties from competing with our technology or product candidates. The outcome following legal assertions of invalidity and unenforceability is unpredictable. With respect to the validity question, for example, we cannot be certain that there is no invalidating prior art, of which we, our licensor, and the patent examiners are unaware during prosecution. There is also no assurance that there is not prior art of which we are aware, but which we do not believe affects the validity or enforceability of a claim in our potential future patents and patent applications or the patents and patent applications of our licensors, which may, nonetheless, ultimately be found to affect the validity or enforceability of a claim. If a third party were to prevail on a legal assertion of invalidity or unenforceability, we would lose at least part, and perhaps all, of the patent protection on our technology or proprietary drug discovery platform, or any product candidates that we may develop. Such a loss of patent protection would have a material adverse impact on our business, financial condition, results of operations and prospects.</w:t>
      </w:r>
    </w:p>
    <w:p>
      <w:pPr>
        <w:spacing w:after="0" w:line="59" w:lineRule="exact"/>
        <w:rPr>
          <w:sz w:val="20"/>
          <w:szCs w:val="20"/>
          <w:color w:val="auto"/>
        </w:rPr>
      </w:pPr>
    </w:p>
    <w:p>
      <w:pPr>
        <w:ind w:right="380" w:firstLine="509"/>
        <w:spacing w:after="0" w:line="324" w:lineRule="auto"/>
        <w:rPr>
          <w:sz w:val="20"/>
          <w:szCs w:val="20"/>
          <w:color w:val="auto"/>
        </w:rPr>
      </w:pPr>
      <w:r>
        <w:rPr>
          <w:rFonts w:ascii="Arial" w:cs="Arial" w:eastAsia="Arial" w:hAnsi="Arial"/>
          <w:sz w:val="16"/>
          <w:szCs w:val="16"/>
          <w:color w:val="231F20"/>
        </w:rPr>
        <w:t>In addition, if the breadth or strength of protection provided by our patent applications or the patents and patent applications of our licensors is threatened, it could dissuade companies from collaborating with us to license, develop or commercialize current or future product candidates.</w:t>
      </w:r>
    </w:p>
    <w:p>
      <w:pPr>
        <w:spacing w:after="0" w:line="16" w:lineRule="exact"/>
        <w:rPr>
          <w:sz w:val="20"/>
          <w:szCs w:val="20"/>
          <w:color w:val="auto"/>
        </w:rPr>
      </w:pPr>
    </w:p>
    <w:p>
      <w:pPr>
        <w:ind w:firstLine="509"/>
        <w:spacing w:after="0" w:line="280" w:lineRule="auto"/>
        <w:rPr>
          <w:sz w:val="20"/>
          <w:szCs w:val="20"/>
          <w:color w:val="auto"/>
        </w:rPr>
      </w:pPr>
      <w:r>
        <w:rPr>
          <w:rFonts w:ascii="Arial" w:cs="Arial" w:eastAsia="Arial" w:hAnsi="Arial"/>
          <w:sz w:val="16"/>
          <w:szCs w:val="16"/>
          <w:color w:val="231F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51" w:lineRule="exact"/>
        <w:rPr>
          <w:sz w:val="20"/>
          <w:szCs w:val="20"/>
          <w:color w:val="auto"/>
        </w:rPr>
      </w:pPr>
    </w:p>
    <w:p>
      <w:pPr>
        <w:ind w:right="40" w:firstLine="509"/>
        <w:spacing w:after="0" w:line="291" w:lineRule="auto"/>
        <w:rPr>
          <w:sz w:val="20"/>
          <w:szCs w:val="20"/>
          <w:color w:val="auto"/>
        </w:rPr>
      </w:pPr>
      <w:r>
        <w:rPr>
          <w:rFonts w:ascii="Arial" w:cs="Arial" w:eastAsia="Arial" w:hAnsi="Arial"/>
          <w:sz w:val="17"/>
          <w:szCs w:val="17"/>
          <w:color w:val="231F20"/>
        </w:rPr>
        <w:t>In addition, the issuance of a patent does not give us the right to practice the patented invention. Third parties may have blocking patents that could prevent us from marketing our own potential future patented product and practicing our own potential future patented technology.</w:t>
      </w:r>
    </w:p>
    <w:p>
      <w:pPr>
        <w:spacing w:after="0" w:line="16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ind w:right="20" w:firstLine="509"/>
        <w:spacing w:after="0" w:line="245" w:lineRule="auto"/>
        <w:rPr>
          <w:sz w:val="20"/>
          <w:szCs w:val="20"/>
          <w:color w:val="auto"/>
        </w:rPr>
      </w:pPr>
      <w:r>
        <w:rPr>
          <w:rFonts w:ascii="Arial" w:cs="Arial" w:eastAsia="Arial" w:hAnsi="Arial"/>
          <w:sz w:val="18"/>
          <w:szCs w:val="18"/>
          <w:color w:val="231F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44" w:right="419" w:bottom="1440" w:gutter="0" w:footer="0" w:header="0"/>
        </w:sectPr>
      </w:pPr>
    </w:p>
    <w:bookmarkStart w:id="65" w:name="page66"/>
    <w:bookmarkEnd w:id="65"/>
    <w:p>
      <w:pPr>
        <w:ind w:right="240"/>
        <w:spacing w:after="0" w:line="277" w:lineRule="auto"/>
        <w:rPr>
          <w:sz w:val="20"/>
          <w:szCs w:val="20"/>
          <w:color w:val="auto"/>
        </w:rPr>
      </w:pPr>
      <w:r>
        <w:rPr>
          <w:rFonts w:ascii="Arial" w:cs="Arial" w:eastAsia="Arial" w:hAnsi="Arial"/>
          <w:sz w:val="18"/>
          <w:szCs w:val="18"/>
          <w:b w:val="1"/>
          <w:bCs w:val="1"/>
          <w:i w:val="1"/>
          <w:iCs w:val="1"/>
          <w:color w:val="231F20"/>
        </w:rPr>
        <w:t>Derivation proceedings may be necessary to determine priority of inventions, and an unfavorable outcome may require us to cease using the related technology or to attempt to license rights from the prevailing party.</w:t>
      </w:r>
    </w:p>
    <w:p>
      <w:pPr>
        <w:spacing w:after="0" w:line="49" w:lineRule="exact"/>
        <w:rPr>
          <w:sz w:val="20"/>
          <w:szCs w:val="20"/>
          <w:color w:val="auto"/>
        </w:rPr>
      </w:pPr>
    </w:p>
    <w:p>
      <w:pPr>
        <w:ind w:right="80" w:firstLine="509"/>
        <w:spacing w:after="0" w:line="280" w:lineRule="auto"/>
        <w:rPr>
          <w:sz w:val="20"/>
          <w:szCs w:val="20"/>
          <w:color w:val="auto"/>
        </w:rPr>
      </w:pPr>
      <w:r>
        <w:rPr>
          <w:rFonts w:ascii="Arial" w:cs="Arial" w:eastAsia="Arial" w:hAnsi="Arial"/>
          <w:sz w:val="16"/>
          <w:szCs w:val="16"/>
          <w:color w:val="231F20"/>
        </w:rPr>
        <w:t>Derivation proceedings provoked by third parties or brought by us or declared by the USPTO may be necessary to determine the priority of inventions with respect to our patent applications or the patents or patent applications of our licensors. An unfavorable outcome could require us to cease using the related technology or to attempt to license rights to it from the prevailing party. Our business could be harmed if the prevailing party does not offer us a license on commercially reasonable terms or at all.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58"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231F20"/>
        </w:rPr>
        <w:t>Changes in U.S. patent law, or laws in other countries, could diminish the value of patents in general, thereby impairing our ability to protect our product candidates.</w:t>
      </w:r>
    </w:p>
    <w:p>
      <w:pPr>
        <w:spacing w:after="0" w:line="76"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231F20"/>
        </w:rPr>
        <w:t>As is the case with other biotechnology and pharmaceutical companies, our success is heavily dependent on intellectual property, particularly patents. Obtaining and enforcing patents in the biotechnology and pharmaceutical industries involve a high degree of technological and legal complexity. Therefore, obtaining and enforcing biotechnology and 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potential future patents or in third-party patents. In addition, the U.S. Congress or other foreign legislative bodies may pass patent reform legislation that is unfavorable to us.</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Patent reform legislation could increase the uncertainties and costs surrounding the prosecution of patent applications and the enforcement or</w:t>
      </w:r>
    </w:p>
    <w:p>
      <w:pPr>
        <w:spacing w:after="0" w:line="23"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231F20"/>
        </w:rPr>
        <w:t xml:space="preserve">defense of issued patents. In 2011, the Leahy-Smith America Invents Act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 inventor-to-file system, allow third-party submission of prior art to the USPTO during patent prosecution and set forth additional procedures to attack the validity of a patent by the USPTO administered post grant proceedings, including post-grant review, </w:t>
      </w:r>
      <w:r>
        <w:rPr>
          <w:rFonts w:ascii="Arial" w:cs="Arial" w:eastAsia="Arial" w:hAnsi="Arial"/>
          <w:sz w:val="16"/>
          <w:szCs w:val="16"/>
          <w:i w:val="1"/>
          <w:iCs w:val="1"/>
          <w:color w:val="231F20"/>
        </w:rPr>
        <w:t>inter partes</w:t>
      </w:r>
      <w:r>
        <w:rPr>
          <w:rFonts w:ascii="Arial" w:cs="Arial" w:eastAsia="Arial" w:hAnsi="Arial"/>
          <w:sz w:val="16"/>
          <w:szCs w:val="16"/>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first-to-file provisions, became effective in 2013.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 In addition, patent reform legislation may pass in the future that could lead to additional uncertainties and increased costs surrounding the prosecution, enforcement and defense of our patent applications.</w:t>
      </w:r>
    </w:p>
    <w:p>
      <w:pPr>
        <w:spacing w:after="0" w:line="55"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231F20"/>
        </w:rPr>
        <w:t>Furthermore, the U.S. Supreme Court and the U.S. Court of Appeals for the Federal Circuit have made, and will likely continue to make, changes in how patent laws in the United States are interpreted.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17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231F20"/>
        </w:rPr>
        <w:t>We may be subject to claims challenging the inventorship or ownership of our owned patent applications or in-licensed patent rights and other intellectual property.</w:t>
      </w:r>
    </w:p>
    <w:p>
      <w:pPr>
        <w:spacing w:after="0" w:line="63"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231F20"/>
        </w:rPr>
        <w:t>We or our licensors may be subject to claims that former employees or other third parties have an ownership interest in our owned patent applications or in-licensed patents, trade secrets or other intellectual property rights as an inventor or co-inventor. For example, we or our licensors may have inventorship disputes arise from conflicting obligations of employees, consultants or other third parties who are involved in developing our current or future products. Litigation may be necessary to defend against these and other claims challenging inventorship or ownership of our patent applications or our licensors’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6" w:name="page67"/>
    <w:bookmarkEnd w:id="66"/>
    <w:p>
      <w:pPr>
        <w:ind w:right="320"/>
        <w:spacing w:after="0" w:line="249" w:lineRule="auto"/>
        <w:rPr>
          <w:sz w:val="20"/>
          <w:szCs w:val="20"/>
          <w:color w:val="auto"/>
        </w:rPr>
      </w:pPr>
      <w:r>
        <w:rPr>
          <w:rFonts w:ascii="Arial" w:cs="Arial" w:eastAsia="Arial" w:hAnsi="Arial"/>
          <w:sz w:val="18"/>
          <w:szCs w:val="18"/>
          <w:color w:val="231F20"/>
        </w:rPr>
        <w:t>that are important to our current or future product candidates. It may be necessary or we may desire to enter into a license to settle any such claim; however, there can be no assurance that we would be able to obtain a license on commercially reasonable terms, if at all. Such an outcome could have a material adverse effect on our business. Even if we are successful in defending against such claims, litigation could result in substantial costs and distraction to management and other employees, and any litigation or the threat of litigation may adversely our reputation or affect our ability to hire employees or contract with independent contractors.</w:t>
      </w:r>
    </w:p>
    <w:p>
      <w:pPr>
        <w:spacing w:after="0" w:line="74"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In addition, while it is our policy to require our employees, consultants, advisors, contractors and other third parties who may be involved in the conception or development of intellectual property rights to execute agreements assigning such intellectual property rights to us, we or our licensors may be unsuccessful in executing such agreements with each party who, in fact, conceives or develops intellectual property rights that we regard as our own. The assignment of intellectual property rights may not be self-executing or sufficient in scope, or the assignment agreements may be breached, and we or our licensors may be forced to bring claims against third parties, or defend claims that they may bring against us, to determine the ownership of what we regard as our intellectual property rights. Furthermore, individuals executing agreements with us may have preexisting or competing obligations to a third party, such as an academic institution, and thus an agreement with us or our licensors may be ineffective in perfecting ownership of inventions developed by that individual. Such claims could have a material adverse effect on our business, financial condition, results of operations, and prospects.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Patent terms may be inadequate to protect our competitive position on our product candidates for an adequate amount of time.</w:t>
      </w:r>
    </w:p>
    <w:p>
      <w:pPr>
        <w:spacing w:after="0" w:line="117"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do not obtain patent term extension for our product candidates, our business may be materially harmed.</w:t>
      </w:r>
    </w:p>
    <w:p>
      <w:pPr>
        <w:spacing w:after="0" w:line="104" w:lineRule="exact"/>
        <w:rPr>
          <w:sz w:val="20"/>
          <w:szCs w:val="20"/>
          <w:color w:val="auto"/>
        </w:rPr>
      </w:pPr>
    </w:p>
    <w:p>
      <w:pPr>
        <w:ind w:right="40" w:firstLine="509"/>
        <w:spacing w:after="0" w:line="261" w:lineRule="auto"/>
        <w:rPr>
          <w:sz w:val="20"/>
          <w:szCs w:val="20"/>
          <w:color w:val="auto"/>
        </w:rPr>
      </w:pPr>
      <w:r>
        <w:rPr>
          <w:rFonts w:ascii="Arial" w:cs="Arial" w:eastAsia="Arial" w:hAnsi="Arial"/>
          <w:sz w:val="17"/>
          <w:szCs w:val="17"/>
          <w:color w:val="231F20"/>
        </w:rPr>
        <w:t>Depending upon the timing, duration and specifics of FDA marketing approval of our product candidates, one or more of our U.S. patents or those of our licensors may be eligible for limited patent term restoration under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w:t>
      </w:r>
    </w:p>
    <w:p>
      <w:pPr>
        <w:spacing w:after="0" w:line="64" w:lineRule="exact"/>
        <w:rPr>
          <w:sz w:val="20"/>
          <w:szCs w:val="20"/>
          <w:color w:val="auto"/>
        </w:rPr>
      </w:pPr>
    </w:p>
    <w:p>
      <w:pPr>
        <w:ind w:firstLine="509"/>
        <w:spacing w:after="0" w:line="260" w:lineRule="auto"/>
        <w:rPr>
          <w:sz w:val="20"/>
          <w:szCs w:val="20"/>
          <w:color w:val="auto"/>
        </w:rPr>
      </w:pPr>
      <w:r>
        <w:rPr>
          <w:rFonts w:ascii="Arial" w:cs="Arial" w:eastAsia="Arial" w:hAnsi="Arial"/>
          <w:sz w:val="17"/>
          <w:szCs w:val="17"/>
          <w:color w:val="231F20"/>
        </w:rPr>
        <w:t>We may not be granted any extensions for which we apply in the United States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 Any of the foregoing could have a material adverse effect on our business, financial condition, results of operations and prospects.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be able to protect our intellectual property rights throughout the world.</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231F20"/>
        </w:rPr>
        <w:t>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 where we do pursue patent protection. Consequently, we may not be able to prevent third parties from practicing our or our licensors’ inventions in all countries outside the United States, even in jurisdictions where we or our licensors due pursue patent protection,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potential</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231F20"/>
        </w:rPr>
        <w:t>future patents, the patents of our licensors, or other intellectual property rights may not be effective or sufficient to prevent them from competing.</w:t>
      </w:r>
    </w:p>
    <w:p>
      <w:pPr>
        <w:spacing w:after="0" w:line="12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Many companies have encountered significant problems in protecting and defending intellectual property rights in foreign jurisdictions. The legal systems of many foreign countries, particularly certain developing countries, do not favor the enforcement of patents, trade secrets and other intellectual property protection, which could make it difficult for us to stop the infringement of our potential future patents or our licensor’s patents, if pursued and obtained, or marketing of competing products in violation of our proprietary rights generally. Proceedings to enforce our or our licensors’ patent rights in foreign jurisdictions could result in substantial costs and divert our efforts and attention from other aspects of our business, could put our potential future patents or the patents of our licensors at risk of being invalidated or interpreted narrowly and our patent applications or the patent applications of our licensors at risk of not issuing and could provoke third parties to assert claims against us. We or our licensors may not prevail in any lawsuits that we or our licensors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95" w:lineRule="exact"/>
        <w:rPr>
          <w:sz w:val="20"/>
          <w:szCs w:val="20"/>
          <w:color w:val="auto"/>
        </w:rPr>
      </w:pPr>
    </w:p>
    <w:p>
      <w:pPr>
        <w:ind w:right="40" w:firstLine="509"/>
        <w:spacing w:after="0" w:line="245" w:lineRule="auto"/>
        <w:rPr>
          <w:sz w:val="20"/>
          <w:szCs w:val="20"/>
          <w:color w:val="auto"/>
        </w:rPr>
      </w:pPr>
      <w:r>
        <w:rPr>
          <w:rFonts w:ascii="Arial" w:cs="Arial" w:eastAsia="Arial" w:hAnsi="Arial"/>
          <w:sz w:val="18"/>
          <w:szCs w:val="18"/>
          <w:color w:val="231F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4" w:lineRule="exact"/>
        <w:rPr>
          <w:sz w:val="20"/>
          <w:szCs w:val="20"/>
          <w:color w:val="auto"/>
        </w:rPr>
      </w:pPr>
    </w:p>
    <w:p>
      <w:pPr>
        <w:jc w:val="both"/>
        <w:ind w:right="220"/>
        <w:spacing w:after="0" w:line="248" w:lineRule="auto"/>
        <w:rPr>
          <w:sz w:val="20"/>
          <w:szCs w:val="20"/>
          <w:color w:val="auto"/>
        </w:rPr>
      </w:pPr>
      <w:r>
        <w:rPr>
          <w:rFonts w:ascii="Arial" w:cs="Arial" w:eastAsia="Arial" w:hAnsi="Arial"/>
          <w:sz w:val="18"/>
          <w:szCs w:val="18"/>
          <w:color w:val="231F20"/>
        </w:rPr>
        <w:t>In Europe, no earlier than October 1, 2022, European applications will soon have the option, upon grant of a patent, of becoming a Unitary Patent which will be subject to the jurisdiction of the Unitary Patent Court (UPC). This will be a significant change in European patent practice. As the UPC is a new court system, there is no precedent for the court, increasing the uncertainty of any litigation.</w:t>
      </w:r>
    </w:p>
    <w:p>
      <w:pPr>
        <w:spacing w:after="0" w:line="290"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231F20"/>
        </w:rPr>
        <w:t>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397"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231F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87"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Periodic maintenance fees, renewal fees, annuity fees and various other governmental fees on patents and/or patent applications will be due to the USPTO and various foreign patent offices outside of the United States at various points over the lifetime of our potential future patents and patent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are also dependent on our licensors to take the necessary action to comply with these requirements with respect to our licensed intellectual property. An inadvertent lapse or non-compliance with such requirements can sometimes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financial condition and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8" w:name="page69"/>
    <w:bookmarkEnd w:id="68"/>
    <w:p>
      <w:pPr>
        <w:ind w:right="120"/>
        <w:spacing w:after="0" w:line="277" w:lineRule="auto"/>
        <w:rPr>
          <w:sz w:val="20"/>
          <w:szCs w:val="20"/>
          <w:color w:val="auto"/>
        </w:rPr>
      </w:pPr>
      <w:r>
        <w:rPr>
          <w:rFonts w:ascii="Arial" w:cs="Arial" w:eastAsia="Arial" w:hAnsi="Arial"/>
          <w:sz w:val="18"/>
          <w:szCs w:val="18"/>
          <w:b w:val="1"/>
          <w:bCs w:val="1"/>
          <w:i w:val="1"/>
          <w:iCs w:val="1"/>
          <w:color w:val="231F20"/>
        </w:rPr>
        <w:t>If our trademarks and trade names are not adequately protected, then we may not be able to build name recognition in our markets of interest and our business may be adversely affected.</w:t>
      </w:r>
    </w:p>
    <w:p>
      <w:pPr>
        <w:spacing w:after="0" w:line="4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We intend to use registered or unregistered trademarks or trade names to brand and market ourselves and our products, but we do not yet own a U.S. registered trademark for our corporate name, “Tenaya”. Our future trademark applications in the United States and in foreign jurisdictions may not be allowed or may subsequently be opposed. Once filed and registered, our potential future trademarks or trade names may be challenged, infringed, circumvented or declared generic or determined to be infringing on other marks. We may not be able to protect our rights to these potential future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As a means to enforce our potential future trademark rights and prevent infringement, we may be required to file trademark claims against third parties or initiate trademark opposition proceedings, which can be expensive and time-consuming. In addition, there could be potential trade name or trademark infringement claims brought by owners of other registered trademarks or trademarks that incorporate variations of our potential future registered or unregistered trademarks or trade names. Over the long term, if we are unable to establish name recognition based on our trademarks and trade names, then we may not be able to compete effectively, and our business may be adversely affected.</w:t>
      </w:r>
    </w:p>
    <w:p>
      <w:pPr>
        <w:spacing w:after="0" w:line="73" w:lineRule="exact"/>
        <w:rPr>
          <w:sz w:val="20"/>
          <w:szCs w:val="20"/>
          <w:color w:val="auto"/>
        </w:rPr>
      </w:pPr>
    </w:p>
    <w:p>
      <w:pPr>
        <w:ind w:right="160" w:firstLine="509"/>
        <w:spacing w:after="0" w:line="261" w:lineRule="auto"/>
        <w:rPr>
          <w:sz w:val="20"/>
          <w:szCs w:val="20"/>
          <w:color w:val="auto"/>
        </w:rPr>
      </w:pPr>
      <w:r>
        <w:rPr>
          <w:rFonts w:ascii="Arial" w:cs="Arial" w:eastAsia="Arial" w:hAnsi="Arial"/>
          <w:sz w:val="17"/>
          <w:szCs w:val="17"/>
          <w:color w:val="231F20"/>
        </w:rPr>
        <w:t>Additionally, our potential future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potential future trademark applications and registrations, and our potential future trademarks may not survive such proceedings. If we do not secure registrations for our potential future trademarks, we may encounter more difficulty in enforcing them against third parties than we otherwise would. Our efforts to enforce or protect our proprietary rights related to trademarks, domain names or other intellectual property may be ineffective and could result in substantial costs and diversion of resources and could adversely affect our financial condition or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protect the confidentiality of our trade secrets, our business and competitive position would be harmed.</w:t>
      </w:r>
    </w:p>
    <w:p>
      <w:pPr>
        <w:spacing w:after="0" w:line="104"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In addition to seeking patent protection to protect the intellectual property underlying our technology and product candidates, we also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who have access to such information, and confidential information and invention assignment agreements with employees, consultants, advisors and other third parties involved in the development of intellectual property, we cannot guarantee that we and our licensors have entered into such agreements with each party that may have had access to our trade secrets or proprietary information or that has been involved in the development of intellectual property. Additionally, we cannot provide any assurances that all such agreements have been duly executed, and any of these parties may breach such agreements and disclose our proprietary information, including our trade secrets, and we may not be able to obtain adequate remedies for such breaches. We may not be able to prevent the unauthorized disclosure or use of our technical know-how or other trade secrets by the parties to these agreements. Monitoring unauthorized uses and disclosures is difficult and we do not know whether the steps we have taken to protect our proprietary technologies will be effective.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53"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Moreover, third parties may still obtain this information or may come upon this or similar information independently, and we would have no right to prevent them from using that technology or information to compete with us. Furthermore, we expect these trade secrets, know-how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 We also seek to preserve the integrity and confidentiality of our data and trade secrets by maintaining physical security of our premises and physical and electronic security of our information technology systems, but such security measures may be breached, and we may not have adequate remedies for any such breach.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ind w:right="440"/>
        <w:spacing w:after="0" w:line="277" w:lineRule="auto"/>
        <w:rPr>
          <w:sz w:val="20"/>
          <w:szCs w:val="20"/>
          <w:color w:val="auto"/>
        </w:rPr>
      </w:pPr>
      <w:r>
        <w:rPr>
          <w:rFonts w:ascii="Arial" w:cs="Arial" w:eastAsia="Arial" w:hAnsi="Arial"/>
          <w:sz w:val="18"/>
          <w:szCs w:val="18"/>
          <w:b w:val="1"/>
          <w:bCs w:val="1"/>
          <w:i w:val="1"/>
          <w:iCs w:val="1"/>
          <w:color w:val="231F20"/>
        </w:rPr>
        <w:t>We may be subject to claims that we or our employees, consultants, advisors or contractors have wrongfully used or disclosed alleged confidential information or trade secrets.</w:t>
      </w:r>
    </w:p>
    <w:p>
      <w:pPr>
        <w:spacing w:after="0" w:line="49"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72" w:lineRule="exact"/>
        <w:rPr>
          <w:sz w:val="20"/>
          <w:szCs w:val="20"/>
          <w:color w:val="auto"/>
        </w:rPr>
      </w:pPr>
    </w:p>
    <w:p>
      <w:pPr>
        <w:ind w:firstLine="509"/>
        <w:spacing w:after="0" w:line="245" w:lineRule="auto"/>
        <w:rPr>
          <w:sz w:val="20"/>
          <w:szCs w:val="20"/>
          <w:color w:val="auto"/>
        </w:rPr>
      </w:pPr>
      <w:r>
        <w:rPr>
          <w:rFonts w:ascii="Arial" w:cs="Arial" w:eastAsia="Arial" w:hAnsi="Arial"/>
          <w:sz w:val="18"/>
          <w:szCs w:val="18"/>
          <w:color w:val="231F20"/>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9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231F20"/>
        </w:rPr>
        <w:t>We may be subject to claims that we have wrongfully hired an employee from our competitors or that we or our employees have wrongfully used or disclosed alleged confidential information or trade secrets of their former employers.</w:t>
      </w:r>
    </w:p>
    <w:p>
      <w:pPr>
        <w:spacing w:after="0" w:line="63"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As is common in the biotechnology and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biotechnology and pharmaceutical companies including our competitors or potential competitors. We may become subject to claims that we, our employees or consultants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Our rights to develop and commercialize our technology and product candidates may be subject, in part, to the terms and conditions of licenses granted to us by others.</w:t>
      </w:r>
    </w:p>
    <w:p>
      <w:pPr>
        <w:spacing w:after="0" w:line="6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231F20"/>
        </w:rPr>
        <w:t>We have entered into a license agreement with UTSW pursuant to which we have acquired the exclusive right to certain patents and patent applications relating to therapeutics overexpressing the peptide named Dwarf Open Reading Frame, and have entered into various other license agreements with other third parties. We may enter into additional license agreements in the future with other third parties to advance our research or allow commercialization of product candidates. These and other licenses may not provide exclusive rights to use such intellectual property and technology in all relevant fields of use and in all territories in which we may wish to develop or commercialize our technology and products in the future.</w:t>
      </w:r>
    </w:p>
    <w:p>
      <w:pPr>
        <w:spacing w:after="0" w:line="44" w:lineRule="exact"/>
        <w:rPr>
          <w:sz w:val="20"/>
          <w:szCs w:val="20"/>
          <w:color w:val="auto"/>
        </w:rPr>
      </w:pPr>
    </w:p>
    <w:p>
      <w:pPr>
        <w:ind w:right="80" w:firstLine="509"/>
        <w:spacing w:after="0" w:line="246" w:lineRule="auto"/>
        <w:rPr>
          <w:sz w:val="20"/>
          <w:szCs w:val="20"/>
          <w:color w:val="auto"/>
        </w:rPr>
      </w:pPr>
      <w:r>
        <w:rPr>
          <w:rFonts w:ascii="Arial" w:cs="Arial" w:eastAsia="Arial" w:hAnsi="Arial"/>
          <w:sz w:val="18"/>
          <w:szCs w:val="18"/>
          <w:color w:val="231F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w:t>
      </w:r>
    </w:p>
    <w:p>
      <w:pPr>
        <w:spacing w:after="0" w:line="77"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231F20"/>
        </w:rPr>
        <w:t>Our licensors may have relied on third-party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0" w:name="page71"/>
    <w:bookmarkEnd w:id="70"/>
    <w:p>
      <w:pPr>
        <w:ind w:right="100" w:firstLine="509"/>
        <w:spacing w:after="0" w:line="283" w:lineRule="auto"/>
        <w:rPr>
          <w:sz w:val="20"/>
          <w:szCs w:val="20"/>
          <w:color w:val="auto"/>
        </w:rPr>
      </w:pPr>
      <w:r>
        <w:rPr>
          <w:rFonts w:ascii="Arial" w:cs="Arial" w:eastAsia="Arial" w:hAnsi="Arial"/>
          <w:sz w:val="16"/>
          <w:szCs w:val="16"/>
          <w:color w:val="231F20"/>
        </w:rPr>
        <w:t>Additionally, our licenses may be subject to certain rights of third parties, and, as a result, our current and future licenses may not provide us with exclusive rights to use the licensed intellectual property and technology. For example, the intellectual property we license from UTSW is subject to certain non-commercial rights reserved by UTSW and certain rights retained by the U.S. government, including march-in rights.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or other third parties from developing and commercializing competitive products, including in territories covered by our licenses.</w:t>
      </w:r>
    </w:p>
    <w:p>
      <w:pPr>
        <w:spacing w:after="0" w:line="48" w:lineRule="exact"/>
        <w:rPr>
          <w:sz w:val="20"/>
          <w:szCs w:val="20"/>
          <w:color w:val="auto"/>
        </w:rPr>
      </w:pPr>
    </w:p>
    <w:p>
      <w:pPr>
        <w:ind w:firstLine="509"/>
        <w:spacing w:after="0" w:line="277" w:lineRule="auto"/>
        <w:rPr>
          <w:sz w:val="20"/>
          <w:szCs w:val="20"/>
          <w:color w:val="auto"/>
        </w:rPr>
      </w:pPr>
      <w:r>
        <w:rPr>
          <w:rFonts w:ascii="Arial" w:cs="Arial" w:eastAsia="Arial" w:hAnsi="Arial"/>
          <w:sz w:val="16"/>
          <w:szCs w:val="16"/>
          <w:color w:val="231F20"/>
        </w:rPr>
        <w:t>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70"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Our current licenses impose, and 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Furthermore, if any current or future licenses terminate, or if the underlying patents fail to provide the intended exclusivity, competitors or other third parties may gain the freedom to seek regulatory approval of, and to market, products identical to ours.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w:t>
      </w:r>
    </w:p>
    <w:p>
      <w:pPr>
        <w:spacing w:after="0" w:line="72" w:lineRule="exact"/>
        <w:rPr>
          <w:sz w:val="20"/>
          <w:szCs w:val="20"/>
          <w:color w:val="auto"/>
        </w:rPr>
      </w:pPr>
    </w:p>
    <w:p>
      <w:pPr>
        <w:ind w:right="140" w:firstLine="509"/>
        <w:spacing w:after="0" w:line="283" w:lineRule="auto"/>
        <w:rPr>
          <w:sz w:val="20"/>
          <w:szCs w:val="20"/>
          <w:color w:val="auto"/>
        </w:rPr>
      </w:pPr>
      <w:r>
        <w:rPr>
          <w:rFonts w:ascii="Arial" w:cs="Arial" w:eastAsia="Arial" w:hAnsi="Arial"/>
          <w:sz w:val="16"/>
          <w:szCs w:val="16"/>
          <w:color w:val="231F20"/>
        </w:rPr>
        <w:t>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w:t>
      </w:r>
    </w:p>
    <w:p>
      <w:pPr>
        <w:spacing w:after="0" w:line="157" w:lineRule="exact"/>
        <w:rPr>
          <w:sz w:val="20"/>
          <w:szCs w:val="20"/>
          <w:color w:val="auto"/>
        </w:rPr>
      </w:pPr>
    </w:p>
    <w:p>
      <w:pPr>
        <w:ind w:right="800"/>
        <w:spacing w:after="0" w:line="366" w:lineRule="auto"/>
        <w:rPr>
          <w:sz w:val="20"/>
          <w:szCs w:val="20"/>
          <w:color w:val="auto"/>
        </w:rPr>
      </w:pPr>
      <w:r>
        <w:rPr>
          <w:rFonts w:ascii="Arial" w:cs="Arial" w:eastAsia="Arial" w:hAnsi="Arial"/>
          <w:sz w:val="15"/>
          <w:szCs w:val="15"/>
          <w:b w:val="1"/>
          <w:bCs w:val="1"/>
          <w:i w:val="1"/>
          <w:iCs w:val="1"/>
          <w:color w:val="231F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ind w:left="520"/>
        <w:spacing w:after="0"/>
        <w:rPr>
          <w:sz w:val="20"/>
          <w:szCs w:val="20"/>
          <w:color w:val="auto"/>
        </w:rPr>
      </w:pPr>
      <w:r>
        <w:rPr>
          <w:rFonts w:ascii="Arial" w:cs="Arial" w:eastAsia="Arial" w:hAnsi="Arial"/>
          <w:sz w:val="17"/>
          <w:szCs w:val="17"/>
          <w:color w:val="231F20"/>
        </w:rPr>
        <w:t>Disputes may arise between us and our current or future licensors regarding intellectual property subject to a license agreement, including:</w:t>
      </w:r>
    </w:p>
    <w:p>
      <w:pPr>
        <w:spacing w:after="0" w:line="115" w:lineRule="exact"/>
        <w:rPr>
          <w:sz w:val="20"/>
          <w:szCs w:val="20"/>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the scope of rights granted under the license agreement and other interpretation-related issues;</w:t>
      </w:r>
    </w:p>
    <w:p>
      <w:pPr>
        <w:spacing w:after="0" w:line="117" w:lineRule="exact"/>
        <w:rPr>
          <w:rFonts w:ascii="Arial" w:cs="Arial" w:eastAsia="Arial" w:hAnsi="Arial"/>
          <w:sz w:val="13"/>
          <w:szCs w:val="13"/>
          <w:color w:val="auto"/>
        </w:rPr>
      </w:pPr>
    </w:p>
    <w:p>
      <w:pPr>
        <w:ind w:left="900" w:right="20" w:hanging="383"/>
        <w:spacing w:after="0" w:line="261"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our right to sublicense patents and other rights to third parties;</w:t>
      </w:r>
    </w:p>
    <w:p>
      <w:pPr>
        <w:spacing w:after="0" w:line="117" w:lineRule="exact"/>
        <w:rPr>
          <w:rFonts w:ascii="Arial" w:cs="Arial" w:eastAsia="Arial" w:hAnsi="Arial"/>
          <w:sz w:val="13"/>
          <w:szCs w:val="13"/>
          <w:color w:val="auto"/>
        </w:rPr>
      </w:pPr>
    </w:p>
    <w:p>
      <w:pPr>
        <w:ind w:left="900" w:right="580" w:hanging="383"/>
        <w:spacing w:after="0" w:line="261"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whether third parties are entitled to compensation or equitable relief, such as an injunction, for our use of the intellectual property rights without their authorization;</w:t>
      </w:r>
    </w:p>
    <w:p>
      <w:pPr>
        <w:spacing w:after="0" w:line="62" w:lineRule="exact"/>
        <w:rPr>
          <w:rFonts w:ascii="Arial" w:cs="Arial" w:eastAsia="Arial" w:hAnsi="Arial"/>
          <w:sz w:val="13"/>
          <w:szCs w:val="13"/>
          <w:color w:val="auto"/>
        </w:rPr>
      </w:pPr>
    </w:p>
    <w:p>
      <w:pPr>
        <w:ind w:left="900" w:right="480" w:hanging="383"/>
        <w:spacing w:after="0" w:line="277" w:lineRule="auto"/>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our involvement or lack of involvement in the prosecution, defense, and enforcement of licensed patents and our licensors’ overall patent enforcement strategy;</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the amounts of royalties, milestones or other payments due under the license agreement;</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2"/>
        </w:numPr>
        <w:rPr>
          <w:rFonts w:ascii="Arial" w:cs="Arial" w:eastAsia="Arial" w:hAnsi="Arial"/>
          <w:sz w:val="13"/>
          <w:szCs w:val="13"/>
          <w:color w:val="auto"/>
        </w:rPr>
      </w:pPr>
      <w:r>
        <w:rPr>
          <w:rFonts w:ascii="Arial" w:cs="Arial" w:eastAsia="Arial" w:hAnsi="Arial"/>
          <w:sz w:val="18"/>
          <w:szCs w:val="18"/>
          <w:color w:val="231F20"/>
        </w:rPr>
        <w:t>our right to transfer or assign the license;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1" w:name="page72"/>
    <w:bookmarkEnd w:id="71"/>
    <w:p>
      <w:pPr>
        <w:ind w:left="900" w:right="260" w:hanging="383"/>
        <w:spacing w:after="0" w:line="277" w:lineRule="auto"/>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3"/>
        </w:numPr>
        <w:rPr>
          <w:rFonts w:ascii="Arial" w:cs="Arial" w:eastAsia="Arial" w:hAnsi="Arial"/>
          <w:sz w:val="13"/>
          <w:szCs w:val="13"/>
          <w:color w:val="auto"/>
        </w:rPr>
      </w:pPr>
      <w:r>
        <w:rPr>
          <w:rFonts w:ascii="Arial" w:cs="Arial" w:eastAsia="Arial" w:hAnsi="Arial"/>
          <w:sz w:val="18"/>
          <w:szCs w:val="18"/>
          <w:color w:val="231F20"/>
        </w:rPr>
        <w:t>the priority of invention of patented technology.</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spacing w:after="0" w:line="92" w:lineRule="exact"/>
        <w:rPr>
          <w:sz w:val="20"/>
          <w:szCs w:val="20"/>
          <w:color w:val="auto"/>
        </w:rPr>
      </w:pPr>
    </w:p>
    <w:p>
      <w:pPr>
        <w:ind w:right="240" w:firstLine="509"/>
        <w:spacing w:after="0" w:line="263" w:lineRule="auto"/>
        <w:rPr>
          <w:sz w:val="20"/>
          <w:szCs w:val="20"/>
          <w:color w:val="auto"/>
        </w:rPr>
      </w:pPr>
      <w:r>
        <w:rPr>
          <w:rFonts w:ascii="Arial" w:cs="Arial" w:eastAsia="Arial" w:hAnsi="Arial"/>
          <w:sz w:val="17"/>
          <w:szCs w:val="17"/>
          <w:color w:val="231F20"/>
        </w:rPr>
        <w:t>In spite of our efforts, our current and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patent protection and patent prosecution for some of our product candidates may be dependent on third parties.</w:t>
      </w:r>
    </w:p>
    <w:p>
      <w:pPr>
        <w:spacing w:after="0" w:line="117"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231F20"/>
        </w:rPr>
        <w:t>While we normally seek to obtain the right to control prosecution, maintenance and enforcement of the patents relating to our product candidates, there may be times when the filing and prosecution activities for patents relating to our product candidates are controlled by our licensor, potential licensors or collaboration partners. If any of our licensor, potential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to and from third parties, we may still be adversely affected or prejudiced by actions or inactions of our licensees, our licensors and their counsel that took place prior to the date upon which we assumed control over patent prosecution.</w:t>
      </w:r>
    </w:p>
    <w:p>
      <w:pPr>
        <w:spacing w:after="0" w:line="174"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b w:val="1"/>
          <w:bCs w:val="1"/>
          <w:i w:val="1"/>
          <w:iCs w:val="1"/>
          <w:color w:val="231F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67" w:lineRule="exact"/>
        <w:rPr>
          <w:sz w:val="20"/>
          <w:szCs w:val="20"/>
          <w:color w:val="auto"/>
        </w:rPr>
      </w:pPr>
    </w:p>
    <w:p>
      <w:pPr>
        <w:ind w:firstLine="509"/>
        <w:spacing w:after="0" w:line="273" w:lineRule="auto"/>
        <w:rPr>
          <w:sz w:val="20"/>
          <w:szCs w:val="20"/>
          <w:color w:val="auto"/>
        </w:rPr>
      </w:pPr>
      <w:r>
        <w:rPr>
          <w:rFonts w:ascii="Arial" w:cs="Arial" w:eastAsia="Arial" w:hAnsi="Arial"/>
          <w:sz w:val="16"/>
          <w:szCs w:val="16"/>
          <w:color w:val="231F20"/>
        </w:rPr>
        <w:t>We have in-licensed certain patents and patent applications that were generated through the use of U.S. government funding or grants,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For example, the intellectual property we license from UTSW is subject to certain rights retained by the U.S. government, including march-in rights. If the U.S. government exercises its march-in rights in our current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failure by us to</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2" w:name="page73"/>
    <w:bookmarkEnd w:id="72"/>
    <w:p>
      <w:pPr>
        <w:ind w:right="580"/>
        <w:spacing w:after="0" w:line="277" w:lineRule="auto"/>
        <w:rPr>
          <w:sz w:val="20"/>
          <w:szCs w:val="20"/>
          <w:color w:val="auto"/>
        </w:rPr>
      </w:pPr>
      <w:r>
        <w:rPr>
          <w:rFonts w:ascii="Arial" w:cs="Arial" w:eastAsia="Arial" w:hAnsi="Arial"/>
          <w:sz w:val="18"/>
          <w:szCs w:val="18"/>
          <w:color w:val="231F20"/>
        </w:rPr>
        <w:t>comply with federal regulations regarding intellectual property rights that were developed through the use of U.S. government funding could have a material adverse effect on our business, financial condition, results of operations, and prospects.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Dependence on Third Parties</w:t>
      </w:r>
    </w:p>
    <w:p>
      <w:pPr>
        <w:spacing w:after="0" w:line="216"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231F20"/>
        </w:rPr>
        <w:t>We rely on third parties to conduct our preclinical studies, and plan to rely on third parties to conduct clinical trials, and those third parties may not perform satisfactorily, including failing to meet deadlines for the completion of such trials, research and studies or to comply with applicable regulatory requirements, which may harm our business.</w:t>
      </w:r>
    </w:p>
    <w:p>
      <w:pPr>
        <w:spacing w:after="0" w:line="67" w:lineRule="exact"/>
        <w:rPr>
          <w:sz w:val="20"/>
          <w:szCs w:val="20"/>
          <w:color w:val="auto"/>
        </w:rPr>
      </w:pPr>
    </w:p>
    <w:p>
      <w:pPr>
        <w:ind w:right="20" w:firstLine="509"/>
        <w:spacing w:after="0" w:line="278" w:lineRule="auto"/>
        <w:rPr>
          <w:sz w:val="20"/>
          <w:szCs w:val="20"/>
          <w:color w:val="auto"/>
        </w:rPr>
      </w:pPr>
      <w:r>
        <w:rPr>
          <w:rFonts w:ascii="Arial" w:cs="Arial" w:eastAsia="Arial" w:hAnsi="Arial"/>
          <w:sz w:val="17"/>
          <w:szCs w:val="17"/>
          <w:color w:val="231F20"/>
        </w:rPr>
        <w:t>We utilize and depend upon independent investigators and collaborators, such as medical institutions, CROs and strategic partners to conduct and support our preclinical studies and plan to continue to do so for our future clinical trials. These third parties have had and will continue to have a significant role in the conduct of our preclinical studies and planned clinical trials and the subsequent collection and analysis of data.</w:t>
      </w:r>
    </w:p>
    <w:p>
      <w:pPr>
        <w:spacing w:after="0" w:line="50" w:lineRule="exact"/>
        <w:rPr>
          <w:sz w:val="20"/>
          <w:szCs w:val="20"/>
          <w:color w:val="auto"/>
        </w:rPr>
      </w:pPr>
    </w:p>
    <w:p>
      <w:pPr>
        <w:ind w:right="60" w:firstLine="509"/>
        <w:spacing w:after="0" w:line="260" w:lineRule="auto"/>
        <w:rPr>
          <w:sz w:val="20"/>
          <w:szCs w:val="20"/>
          <w:color w:val="auto"/>
        </w:rPr>
      </w:pPr>
      <w:r>
        <w:rPr>
          <w:rFonts w:ascii="Arial" w:cs="Arial" w:eastAsia="Arial" w:hAnsi="Arial"/>
          <w:sz w:val="17"/>
          <w:szCs w:val="17"/>
          <w:color w:val="231F20"/>
        </w:rPr>
        <w:t>These third parties are not our employees, and except for remedies available to us under our agreements with such third parties, we have limited ability to control the amount or timing of resources that any such third party will devote to our preclinical studies or our planned clinical trials. Furthermore, the competition for third parties has increased as a result of the COVID-19 pandemic. The third parties we rely on for these services may also have relationships with other entities, some of which may be our competitors, for whom they may also be conducting clinical trials or other drug development activities, which could affect their performance on our behalf. Some of these third parties may terminate their engagements with us at any time. We also expect to have to negotiate budgets and contracts with CROs and clinical trial sites and we may not be able to do so on favorable terms, which may result in delays to our development timelines and increased costs. If we need to enter into alternative arrangements with, or replace or add any third parties, it would involve substantial cost and require extensive management time and focus, or involve a transition period, and may delay our drug development activities, as well as materially impact our ability to meet our desired clinical development timelines.</w:t>
      </w:r>
    </w:p>
    <w:p>
      <w:pPr>
        <w:spacing w:after="0" w:line="65"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231F20"/>
        </w:rPr>
        <w:t>Our heavy reliance on these third parties for such drug development activities will reduce our control over these activities. As a result, we will have less direct control over the conduct, timing and completion of preclinical studies and clinical trials and the management of data developed through preclinical studies and clinical trials than would be the case if we were relying entirely upon our own staff. Nevertheless, we are responsible for ensuring that each of our studies and trials is conducted in accordance with applicable protocol, legal and regulatory requirements and scientific standards, and our reliance on third parties does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reliable and accurate and that the rights, integrity and confidentiality of trial participants are protected. EMA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EMA or comparable foreign regulatory authorities may require us to perform additional clinical trials before approving our marketing applications. There can be no assurance that upon inspection by a given regulatory authority, such regulatory authority will determine that any of our clinical trials substantially comply with GCP regulations. In addition, our clinical trials must be conducted with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55" w:lineRule="exact"/>
        <w:rPr>
          <w:sz w:val="20"/>
          <w:szCs w:val="20"/>
          <w:color w:val="auto"/>
        </w:rPr>
      </w:pPr>
    </w:p>
    <w:p>
      <w:pPr>
        <w:ind w:right="140" w:firstLine="509"/>
        <w:spacing w:after="0" w:line="278" w:lineRule="auto"/>
        <w:rPr>
          <w:sz w:val="20"/>
          <w:szCs w:val="20"/>
          <w:color w:val="auto"/>
        </w:rPr>
      </w:pPr>
      <w:r>
        <w:rPr>
          <w:rFonts w:ascii="Arial" w:cs="Arial" w:eastAsia="Arial" w:hAnsi="Arial"/>
          <w:sz w:val="17"/>
          <w:szCs w:val="17"/>
          <w:color w:val="231F20"/>
        </w:rPr>
        <w:t>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ind w:right="180"/>
        <w:spacing w:after="0" w:line="249" w:lineRule="auto"/>
        <w:rPr>
          <w:sz w:val="20"/>
          <w:szCs w:val="20"/>
          <w:color w:val="auto"/>
        </w:rPr>
      </w:pPr>
      <w:r>
        <w:rPr>
          <w:rFonts w:ascii="Arial" w:cs="Arial" w:eastAsia="Arial" w:hAnsi="Arial"/>
          <w:sz w:val="18"/>
          <w:szCs w:val="18"/>
          <w:b w:val="1"/>
          <w:bCs w:val="1"/>
          <w:i w:val="1"/>
          <w:iCs w:val="1"/>
          <w:color w:val="231F20"/>
        </w:rPr>
        <w:t>We rely on third parties for the production of our product candidates for preclinical studies and expect to continue to do so for additional preclinical studies, clinical trials and ultimately for commercialization for certain of our product candidates. This reliance on third parties increases the risk that we will not have sufficient quality and quantities of our product candidates or such quantities at an acceptable cost, which could delay, prevent or impair our development or commercialization efforts.</w:t>
      </w:r>
    </w:p>
    <w:p>
      <w:pPr>
        <w:spacing w:after="0" w:line="86" w:lineRule="exact"/>
        <w:rPr>
          <w:sz w:val="20"/>
          <w:szCs w:val="20"/>
          <w:color w:val="auto"/>
        </w:rPr>
      </w:pPr>
    </w:p>
    <w:p>
      <w:pPr>
        <w:ind w:right="360" w:firstLine="509"/>
        <w:spacing w:after="0" w:line="268" w:lineRule="auto"/>
        <w:rPr>
          <w:sz w:val="20"/>
          <w:szCs w:val="20"/>
          <w:color w:val="auto"/>
        </w:rPr>
      </w:pPr>
      <w:r>
        <w:rPr>
          <w:rFonts w:ascii="Arial" w:cs="Arial" w:eastAsia="Arial" w:hAnsi="Arial"/>
          <w:sz w:val="17"/>
          <w:szCs w:val="17"/>
          <w:color w:val="231F20"/>
        </w:rPr>
        <w:t>We completed the build-out and operational launch of our cGMP manufacturing facility in June 2022 and have established end-to-end in-house AAV manufacturing capabilities to support our Gene Therapy and Cellular Regeneration platforms. Notwithstanding our strategy to fully-integrate and internalize AAV manufacturing capabilities, in order to optimize our use of resources and utilize extensive third-party experience in small molecule manufacturing, we intend to continue to rely on third-party manufacturers for our small molecule programs.</w:t>
      </w:r>
    </w:p>
    <w:p>
      <w:pPr>
        <w:spacing w:after="0" w:line="58"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231F20"/>
        </w:rPr>
        <w:t>Competition for third-party manufacturers and supplies has increased as a result of the COVID-19 pandemic and we have experienced delays in supply chain activities as a result. Changing third-party manufacturers could result in delays in our manufacturing supply chain which could delay or otherwise impact development of our programs and result in increased costs.</w:t>
      </w:r>
    </w:p>
    <w:p>
      <w:pPr>
        <w:spacing w:after="0" w:line="87" w:lineRule="exact"/>
        <w:rPr>
          <w:sz w:val="20"/>
          <w:szCs w:val="20"/>
          <w:color w:val="auto"/>
        </w:rPr>
      </w:pPr>
    </w:p>
    <w:p>
      <w:pPr>
        <w:ind w:right="220" w:firstLine="509"/>
        <w:spacing w:after="0" w:line="245" w:lineRule="auto"/>
        <w:rPr>
          <w:sz w:val="20"/>
          <w:szCs w:val="20"/>
          <w:color w:val="auto"/>
        </w:rPr>
      </w:pPr>
      <w:r>
        <w:rPr>
          <w:rFonts w:ascii="Arial" w:cs="Arial" w:eastAsia="Arial" w:hAnsi="Arial"/>
          <w:sz w:val="18"/>
          <w:szCs w:val="18"/>
          <w:color w:val="231F20"/>
        </w:rPr>
        <w:t>We do not have long-term supply agreements, and we purchase our required drug product on a purchase order basis, which means that aside from any binding purchase orders we have from time to time, our supplier could cease supplying to us or change the terms on which it is willing to continue supplying to us at any time. If we were to experience an unexpected loss of supply of our product candidates for any reason, whether as a result of manufacturing, supply or storage issues or otherwise, we could experience delays, disruptions, suspensions or terminations of, or be required to restart or repeat, any pending or ongoing preclinical studies or clinical trials.</w:t>
      </w:r>
    </w:p>
    <w:p>
      <w:pPr>
        <w:spacing w:after="0" w:line="78" w:lineRule="exact"/>
        <w:rPr>
          <w:sz w:val="20"/>
          <w:szCs w:val="20"/>
          <w:color w:val="auto"/>
        </w:rPr>
      </w:pPr>
    </w:p>
    <w:p>
      <w:pPr>
        <w:ind w:right="140" w:firstLine="509"/>
        <w:spacing w:after="0" w:line="308" w:lineRule="auto"/>
        <w:rPr>
          <w:sz w:val="20"/>
          <w:szCs w:val="20"/>
          <w:color w:val="auto"/>
        </w:rPr>
      </w:pPr>
      <w:r>
        <w:rPr>
          <w:rFonts w:ascii="Arial" w:cs="Arial" w:eastAsia="Arial" w:hAnsi="Arial"/>
          <w:sz w:val="17"/>
          <w:szCs w:val="17"/>
          <w:color w:val="231F20"/>
        </w:rPr>
        <w:t>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5" w:lineRule="exact"/>
        <w:rPr>
          <w:sz w:val="20"/>
          <w:szCs w:val="20"/>
          <w:color w:val="auto"/>
        </w:rPr>
      </w:pPr>
    </w:p>
    <w:p>
      <w:pPr>
        <w:ind w:left="900" w:right="20" w:hanging="383"/>
        <w:spacing w:after="0" w:line="256"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schedule and specifications, or at all, including if our third-party contractors give greater priority to the supply of other products over our product candidates or otherwise do not satisfactorily perform according to the terms of the agreements between us and them;</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2"/>
          <w:szCs w:val="12"/>
          <w:color w:val="auto"/>
        </w:rPr>
      </w:pPr>
      <w:r>
        <w:rPr>
          <w:rFonts w:ascii="Arial" w:cs="Arial" w:eastAsia="Arial" w:hAnsi="Arial"/>
          <w:sz w:val="17"/>
          <w:szCs w:val="17"/>
          <w:color w:val="231F20"/>
        </w:rPr>
        <w:t>the termination or nonrenewal of arrangements or agreements by our third-party contractors at a time that is costly or inconvenient for us;</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breach by the third-party contractors of our agreements with them;</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third-party contractors to comply with applicable regulatory requirements, including cGMPs;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failure of the third party to manufacture our product candidates according to our specifications;</w:t>
      </w:r>
    </w:p>
    <w:p>
      <w:pPr>
        <w:spacing w:after="0" w:line="103" w:lineRule="exact"/>
        <w:rPr>
          <w:rFonts w:ascii="Arial" w:cs="Arial" w:eastAsia="Arial" w:hAnsi="Arial"/>
          <w:sz w:val="13"/>
          <w:szCs w:val="13"/>
          <w:color w:val="auto"/>
        </w:rPr>
      </w:pPr>
    </w:p>
    <w:p>
      <w:pPr>
        <w:ind w:left="900" w:hanging="383"/>
        <w:spacing w:after="0" w:line="261"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76" w:lineRule="exact"/>
        <w:rPr>
          <w:rFonts w:ascii="Arial" w:cs="Arial" w:eastAsia="Arial" w:hAnsi="Arial"/>
          <w:sz w:val="13"/>
          <w:szCs w:val="13"/>
          <w:color w:val="auto"/>
        </w:rPr>
      </w:pPr>
    </w:p>
    <w:p>
      <w:pPr>
        <w:ind w:left="900" w:right="200" w:hanging="383"/>
        <w:spacing w:after="0" w:line="261"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62" w:lineRule="exact"/>
        <w:rPr>
          <w:rFonts w:ascii="Arial" w:cs="Arial" w:eastAsia="Arial" w:hAnsi="Arial"/>
          <w:sz w:val="13"/>
          <w:szCs w:val="13"/>
          <w:color w:val="auto"/>
        </w:rPr>
      </w:pPr>
    </w:p>
    <w:p>
      <w:pPr>
        <w:ind w:left="900" w:right="340" w:hanging="383"/>
        <w:spacing w:after="0" w:line="277" w:lineRule="auto"/>
        <w:tabs>
          <w:tab w:leader="none" w:pos="900" w:val="left"/>
        </w:tabs>
        <w:numPr>
          <w:ilvl w:val="0"/>
          <w:numId w:val="44"/>
        </w:numPr>
        <w:rPr>
          <w:rFonts w:ascii="Arial" w:cs="Arial" w:eastAsia="Arial" w:hAnsi="Arial"/>
          <w:sz w:val="13"/>
          <w:szCs w:val="13"/>
          <w:color w:val="auto"/>
        </w:rPr>
      </w:pPr>
      <w:r>
        <w:rPr>
          <w:rFonts w:ascii="Arial" w:cs="Arial" w:eastAsia="Arial" w:hAnsi="Arial"/>
          <w:sz w:val="18"/>
          <w:szCs w:val="18"/>
          <w:color w:val="231F20"/>
        </w:rPr>
        <w:t>the infringement, misappropriation or other violation of our intellectual property or proprietary information, including our trade secrets and know-how.</w:t>
      </w:r>
    </w:p>
    <w:p>
      <w:pPr>
        <w:spacing w:after="0" w:line="49"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231F20"/>
        </w:rPr>
        <w:t>We do not have complete control over all aspects of the manufacturing process of our CDMOs and are dependent on these CDMOs for compliance with cGMP regulations for manufacturing active pharmaceutical ingredients (API), drug substance and finished drug products. We are in the process of developing our supply chain for each of our product candidates and intend to put in place framework agreements under which CDMOs will generally provide us with necessary quantities of API, drug substance and drug product on a project-by-project basis based on our development needs. As we advance our product candidates through development, we will consider our lack of redundant supply for the API, drug substance and drug product for each of our product candidates to protect against any potential supply disruptions. However, we may be unsuccessful in putting in place such framework agreements or protecting against potential supply disruptions.</w:t>
      </w:r>
    </w:p>
    <w:p>
      <w:pPr>
        <w:spacing w:after="0" w:line="64" w:lineRule="exact"/>
        <w:rPr>
          <w:sz w:val="20"/>
          <w:szCs w:val="20"/>
          <w:color w:val="auto"/>
        </w:rPr>
      </w:pPr>
    </w:p>
    <w:p>
      <w:pPr>
        <w:ind w:right="100" w:firstLine="509"/>
        <w:spacing w:after="0" w:line="259" w:lineRule="auto"/>
        <w:rPr>
          <w:sz w:val="20"/>
          <w:szCs w:val="20"/>
          <w:color w:val="auto"/>
        </w:rPr>
      </w:pPr>
      <w:r>
        <w:rPr>
          <w:rFonts w:ascii="Arial" w:cs="Arial" w:eastAsia="Arial" w:hAnsi="Arial"/>
          <w:sz w:val="17"/>
          <w:szCs w:val="17"/>
          <w:color w:val="231F20"/>
        </w:rPr>
        <w:t>Third-party manufacturers may not be able to comply with cGMP regulations or similar regulatory requirements outside of the United States. If our CDMOs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CDMOs to maintain adequate QC, QA, facilities, equipment and qualified personnel. If the FDA, EMA or a comparable foreign regulatory authority does not approve these facilities for the manufacture of our product candidates or if it withdraws any such approval in the future, we will need to find alternative manufacturing facilities, and those new facilities would need to be inspected and approved by FDA, EMA or comparable regulatory authority prior to commencing manufacturing, which would significantly impact our ability to develop, obtain marketing approval for or market our product candidates, if approved. Our failure, or the failure of our third-party manufacturers, to comply with applicable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4" w:name="page75"/>
    <w:bookmarkEnd w:id="74"/>
    <w:p>
      <w:pPr>
        <w:ind w:right="40"/>
        <w:spacing w:after="0" w:line="256" w:lineRule="auto"/>
        <w:rPr>
          <w:sz w:val="20"/>
          <w:szCs w:val="20"/>
          <w:color w:val="auto"/>
        </w:rPr>
      </w:pPr>
      <w:r>
        <w:rPr>
          <w:rFonts w:ascii="Arial" w:cs="Arial" w:eastAsia="Arial" w:hAnsi="Arial"/>
          <w:sz w:val="18"/>
          <w:szCs w:val="18"/>
          <w:color w:val="231F20"/>
        </w:rPr>
        <w:t>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67"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We rely on third-party suppliers for the raw materials required for the production of our product candidates for all of our programs. Our dependence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especially in light of the supply chain issues caused by the effects of the COVID-19 pandemic, that we require or satisfy our anticipated specifications and quality requirements. Any interruption in supply of raw materials could materially harm our ability to manufacture our product candidates until a new source of supply, if any, could be identified and qualified. We may be unable to find a sufficient alternative supplier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seriously harm our business.</w:t>
      </w:r>
    </w:p>
    <w:p>
      <w:pPr>
        <w:spacing w:after="0" w:line="78" w:lineRule="exact"/>
        <w:rPr>
          <w:sz w:val="20"/>
          <w:szCs w:val="20"/>
          <w:color w:val="auto"/>
        </w:rPr>
      </w:pPr>
    </w:p>
    <w:p>
      <w:pPr>
        <w:ind w:right="360" w:firstLine="509"/>
        <w:spacing w:after="0" w:line="308" w:lineRule="auto"/>
        <w:rPr>
          <w:sz w:val="20"/>
          <w:szCs w:val="20"/>
          <w:color w:val="auto"/>
        </w:rPr>
      </w:pPr>
      <w:r>
        <w:rPr>
          <w:rFonts w:ascii="Arial" w:cs="Arial" w:eastAsia="Arial" w:hAnsi="Arial"/>
          <w:sz w:val="17"/>
          <w:szCs w:val="17"/>
          <w:color w:val="231F20"/>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133"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i w:val="1"/>
          <w:iCs w:val="1"/>
          <w:color w:val="231F20"/>
        </w:rPr>
        <w:t>Our reliance on third parties may require us to share our trade secrets, which increases the possibility that our competitors will discover them or that our trade secrets will be misappropriated or disclosed.</w:t>
      </w:r>
    </w:p>
    <w:p>
      <w:pPr>
        <w:spacing w:after="0" w:line="76"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Because we currently rely on third parties in the course of our business, we may share our proprietary technology and confidential information, including trade secrets, with them. We seek to protect our proprietary technology, in part, by entering into confidentiality agreements, and, if applicable, material transfer agreements, collaborative research agreements, consulting agreements, invention assignment or other similar agreements with our collaborators, advisors, employees, consultants and other third parties prior to beginning research or disclosing trade secrets or proprietary information. These agreements typically limit the rights of the third parties to use or disclose our trade secrets and confidential information. Despite the contractual provisions employed when working with third parties, the need to share trade secrets and other confidential information increases the risk that such trade secrets become known by our competitors, are intentionally or inadvertently incorporated into the technology of others or are disclosed or used in violation of these agreements. Given that our proprietary position is based, in part, on our know-how and trade secrets and despite our efforts to protect our trade secrets, our competitors’ discovery of our proprietary technology, trade secrets or confidential information or other unauthorized use or disclosure of such information would impair our competitive position and may have a material adverse effect on our business, financial condition, results of operations and prospects.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231F20"/>
        </w:rPr>
        <w:t>If we engage in future acquisitions or strategic partnerships, this may increase our capital requirements, dilute our stockholders, cause us to incur debt or assume contingent liabilities, and subject us to other risks.</w:t>
      </w:r>
    </w:p>
    <w:p>
      <w:pPr>
        <w:spacing w:after="0" w:line="76" w:lineRule="exact"/>
        <w:rPr>
          <w:sz w:val="20"/>
          <w:szCs w:val="20"/>
          <w:color w:val="auto"/>
        </w:rPr>
      </w:pPr>
    </w:p>
    <w:p>
      <w:pPr>
        <w:ind w:right="200" w:firstLine="509"/>
        <w:spacing w:after="0" w:line="324" w:lineRule="auto"/>
        <w:rPr>
          <w:sz w:val="20"/>
          <w:szCs w:val="20"/>
          <w:color w:val="auto"/>
        </w:rPr>
      </w:pPr>
      <w:r>
        <w:rPr>
          <w:rFonts w:ascii="Arial" w:cs="Arial" w:eastAsia="Arial" w:hAnsi="Arial"/>
          <w:sz w:val="16"/>
          <w:szCs w:val="16"/>
          <w:color w:val="231F20"/>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6" w:lineRule="exact"/>
        <w:rPr>
          <w:sz w:val="20"/>
          <w:szCs w:val="20"/>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increased operating expenses and cash requirements;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the assumption of additional indebtedness or contingent liabilities;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the issuance of our equity securities;</w:t>
      </w:r>
    </w:p>
    <w:p>
      <w:pPr>
        <w:spacing w:after="0" w:line="103" w:lineRule="exact"/>
        <w:rPr>
          <w:rFonts w:ascii="Arial" w:cs="Arial" w:eastAsia="Arial" w:hAnsi="Arial"/>
          <w:sz w:val="13"/>
          <w:szCs w:val="13"/>
          <w:color w:val="auto"/>
        </w:rPr>
      </w:pPr>
    </w:p>
    <w:p>
      <w:pPr>
        <w:ind w:left="900" w:right="260" w:hanging="383"/>
        <w:spacing w:after="0" w:line="277"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2"/>
          <w:szCs w:val="12"/>
          <w:color w:val="auto"/>
        </w:rPr>
      </w:pPr>
      <w:r>
        <w:rPr>
          <w:rFonts w:ascii="Arial" w:cs="Arial" w:eastAsia="Arial" w:hAnsi="Arial"/>
          <w:sz w:val="17"/>
          <w:szCs w:val="17"/>
          <w:color w:val="231F20"/>
        </w:rPr>
        <w:t>the diversion of our management’s attention from our existing programs and initiatives in pursuing such a strategic merger or acquisition;</w:t>
      </w:r>
    </w:p>
    <w:p>
      <w:pPr>
        <w:spacing w:after="0" w:line="115" w:lineRule="exact"/>
        <w:rPr>
          <w:rFonts w:ascii="Arial" w:cs="Arial" w:eastAsia="Arial" w:hAnsi="Arial"/>
          <w:sz w:val="12"/>
          <w:szCs w:val="12"/>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17" w:lineRule="exact"/>
        <w:rPr>
          <w:rFonts w:ascii="Arial" w:cs="Arial" w:eastAsia="Arial" w:hAnsi="Arial"/>
          <w:sz w:val="13"/>
          <w:szCs w:val="13"/>
          <w:color w:val="auto"/>
        </w:rPr>
      </w:pPr>
    </w:p>
    <w:p>
      <w:pPr>
        <w:ind w:left="900" w:right="100" w:hanging="383"/>
        <w:spacing w:after="0" w:line="261"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w:t>
      </w:r>
    </w:p>
    <w:p>
      <w:pPr>
        <w:spacing w:after="0" w:line="62" w:lineRule="exact"/>
        <w:rPr>
          <w:rFonts w:ascii="Arial" w:cs="Arial" w:eastAsia="Arial" w:hAnsi="Arial"/>
          <w:sz w:val="13"/>
          <w:szCs w:val="13"/>
          <w:color w:val="auto"/>
        </w:rPr>
      </w:pPr>
    </w:p>
    <w:p>
      <w:pPr>
        <w:ind w:left="900" w:right="160" w:hanging="383"/>
        <w:spacing w:after="0" w:line="261" w:lineRule="auto"/>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 and</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45"/>
        </w:numPr>
        <w:rPr>
          <w:rFonts w:ascii="Arial" w:cs="Arial" w:eastAsia="Arial" w:hAnsi="Arial"/>
          <w:sz w:val="13"/>
          <w:szCs w:val="13"/>
          <w:color w:val="auto"/>
        </w:rPr>
      </w:pPr>
      <w:r>
        <w:rPr>
          <w:rFonts w:ascii="Arial" w:cs="Arial" w:eastAsia="Arial" w:hAnsi="Arial"/>
          <w:sz w:val="18"/>
          <w:szCs w:val="18"/>
          <w:color w:val="231F20"/>
        </w:rPr>
        <w:t>our inability to realize anticipated efficiencies and strategic benefits from such acquisitions or strategic partnerships.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75" w:name="page76"/>
    <w:bookmarkEnd w:id="75"/>
    <w:p>
      <w:pPr>
        <w:ind w:right="380" w:firstLine="509"/>
        <w:spacing w:after="0" w:line="277" w:lineRule="auto"/>
        <w:rPr>
          <w:sz w:val="20"/>
          <w:szCs w:val="20"/>
          <w:color w:val="auto"/>
        </w:rPr>
      </w:pPr>
      <w:r>
        <w:rPr>
          <w:rFonts w:ascii="Arial" w:cs="Arial" w:eastAsia="Arial" w:hAnsi="Arial"/>
          <w:sz w:val="18"/>
          <w:szCs w:val="18"/>
          <w:color w:val="231F20"/>
        </w:rPr>
        <w:t>In addition, if we undertake acquisitions or pursue partnerships in the future, we may issue dilutive securities, assume or incur debt obligations, incur large one-time expenses and acquire intangible assets that could result in significant future amortization expense.</w:t>
      </w:r>
    </w:p>
    <w:p>
      <w:pPr>
        <w:spacing w:after="0" w:line="1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231F20"/>
        </w:rPr>
        <w:t>If we decide to establish collaborations, but are not able to establish those collaborations on commercially reasonable terms, we may have to alter our development and commercialization plans.</w:t>
      </w:r>
    </w:p>
    <w:p>
      <w:pPr>
        <w:spacing w:after="0" w:line="76" w:lineRule="exact"/>
        <w:rPr>
          <w:sz w:val="20"/>
          <w:szCs w:val="20"/>
          <w:color w:val="auto"/>
        </w:rPr>
      </w:pPr>
    </w:p>
    <w:p>
      <w:pPr>
        <w:ind w:right="380" w:firstLine="509"/>
        <w:spacing w:after="0" w:line="263" w:lineRule="auto"/>
        <w:rPr>
          <w:sz w:val="20"/>
          <w:szCs w:val="20"/>
          <w:color w:val="auto"/>
        </w:rPr>
      </w:pPr>
      <w:r>
        <w:rPr>
          <w:rFonts w:ascii="Arial" w:cs="Arial" w:eastAsia="Arial" w:hAnsi="Arial"/>
          <w:sz w:val="17"/>
          <w:szCs w:val="17"/>
          <w:color w:val="231F20"/>
        </w:rPr>
        <w:t>Our drug development programs and the potential commercialization of our product candidates will require substantial additional cash to fund expenses. We strategically evaluate collaborations and partnerships with biopharmaceutical companies that may have more robust and complementary capabilities and resources to accelerate the development and maximize the availability and potential of our product candidates, particularly for more prevalent indications. The relationships may require us to incur non-recurring and other charges, increase our near- and long-term expenditures, issue securities that dilute our existing stockholders, or disrupt our management and business.</w:t>
      </w:r>
    </w:p>
    <w:p>
      <w:pPr>
        <w:spacing w:after="0" w:line="63"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We would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58"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231F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67" w:lineRule="exact"/>
        <w:rPr>
          <w:sz w:val="20"/>
          <w:szCs w:val="20"/>
          <w:color w:val="auto"/>
        </w:rPr>
      </w:pPr>
    </w:p>
    <w:p>
      <w:pPr>
        <w:ind w:right="80" w:firstLine="509"/>
        <w:spacing w:after="0" w:line="283" w:lineRule="auto"/>
        <w:rPr>
          <w:sz w:val="20"/>
          <w:szCs w:val="20"/>
          <w:color w:val="auto"/>
        </w:rPr>
      </w:pPr>
      <w:r>
        <w:rPr>
          <w:rFonts w:ascii="Arial" w:cs="Arial" w:eastAsia="Arial" w:hAnsi="Arial"/>
          <w:sz w:val="16"/>
          <w:szCs w:val="16"/>
          <w:color w:val="231F20"/>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56"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231F20"/>
        </w:rPr>
        <w:t>We may enter into collaborations with third parties for the development and commercialization of product candidates. If those collaborations are not successful, we may not be able to capitalize on the market potential of these product candidates.</w:t>
      </w:r>
    </w:p>
    <w:p>
      <w:pPr>
        <w:spacing w:after="0" w:line="76" w:lineRule="exact"/>
        <w:rPr>
          <w:sz w:val="20"/>
          <w:szCs w:val="20"/>
          <w:color w:val="auto"/>
        </w:rPr>
      </w:pPr>
    </w:p>
    <w:p>
      <w:pPr>
        <w:ind w:right="180" w:firstLine="509"/>
        <w:spacing w:after="0" w:line="249" w:lineRule="auto"/>
        <w:rPr>
          <w:sz w:val="20"/>
          <w:szCs w:val="20"/>
          <w:color w:val="auto"/>
        </w:rPr>
      </w:pPr>
      <w:r>
        <w:rPr>
          <w:rFonts w:ascii="Arial" w:cs="Arial" w:eastAsia="Arial" w:hAnsi="Arial"/>
          <w:sz w:val="18"/>
          <w:szCs w:val="18"/>
          <w:color w:val="231F20"/>
        </w:rPr>
        <w:t>If we enter into any collaboration arrangements with any third parties,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would pose numerous risks to us, including the following:</w:t>
      </w:r>
    </w:p>
    <w:p>
      <w:pPr>
        <w:spacing w:after="0" w:line="73" w:lineRule="exact"/>
        <w:rPr>
          <w:sz w:val="20"/>
          <w:szCs w:val="20"/>
          <w:color w:val="auto"/>
        </w:rPr>
      </w:pPr>
    </w:p>
    <w:p>
      <w:pPr>
        <w:ind w:left="900" w:right="60" w:hanging="383"/>
        <w:spacing w:after="0" w:line="261"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have significant discretion in determining the efforts and resources that they will apply to, and the manner in which they perform their obligations under, these collaborations and may not</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perform their obligations as expected;</w:t>
      </w:r>
    </w:p>
    <w:p>
      <w:pPr>
        <w:spacing w:after="0" w:line="103" w:lineRule="exact"/>
        <w:rPr>
          <w:rFonts w:ascii="Arial" w:cs="Arial" w:eastAsia="Arial" w:hAnsi="Arial"/>
          <w:sz w:val="13"/>
          <w:szCs w:val="13"/>
          <w:color w:val="231F20"/>
        </w:rPr>
      </w:pPr>
    </w:p>
    <w:p>
      <w:pPr>
        <w:ind w:left="900" w:right="80" w:hanging="383"/>
        <w:spacing w:after="0" w:line="249" w:lineRule="auto"/>
        <w:tabs>
          <w:tab w:leader="none" w:pos="900" w:val="left"/>
        </w:tabs>
        <w:numPr>
          <w:ilvl w:val="0"/>
          <w:numId w:val="46"/>
        </w:numPr>
        <w:rPr>
          <w:rFonts w:ascii="Arial" w:cs="Arial" w:eastAsia="Arial" w:hAnsi="Arial"/>
          <w:sz w:val="13"/>
          <w:szCs w:val="13"/>
          <w:color w:val="231F20"/>
        </w:rPr>
      </w:pPr>
      <w:r>
        <w:rPr>
          <w:rFonts w:ascii="Arial" w:cs="Arial" w:eastAsia="Arial" w:hAnsi="Arial"/>
          <w:sz w:val="18"/>
          <w:szCs w:val="18"/>
          <w:color w:val="231F20"/>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business combination or sale or disposition of a business unit or development function, or available funding or external factors such as an acquisition that diverts resources or creates competing priorities;</w:t>
      </w:r>
    </w:p>
    <w:p>
      <w:pPr>
        <w:spacing w:after="0" w:line="72" w:lineRule="exact"/>
        <w:rPr>
          <w:rFonts w:ascii="Arial" w:cs="Arial" w:eastAsia="Arial" w:hAnsi="Arial"/>
          <w:sz w:val="13"/>
          <w:szCs w:val="13"/>
          <w:color w:val="231F20"/>
        </w:rPr>
      </w:pPr>
    </w:p>
    <w:p>
      <w:pPr>
        <w:ind w:left="900" w:right="580" w:hanging="383"/>
        <w:spacing w:after="0" w:line="291" w:lineRule="auto"/>
        <w:tabs>
          <w:tab w:leader="none" w:pos="900" w:val="left"/>
        </w:tabs>
        <w:numPr>
          <w:ilvl w:val="0"/>
          <w:numId w:val="46"/>
        </w:numPr>
        <w:rPr>
          <w:rFonts w:ascii="Arial" w:cs="Arial" w:eastAsia="Arial" w:hAnsi="Arial"/>
          <w:sz w:val="12"/>
          <w:szCs w:val="12"/>
          <w:color w:val="231F20"/>
        </w:rPr>
      </w:pPr>
      <w:r>
        <w:rPr>
          <w:rFonts w:ascii="Arial" w:cs="Arial" w:eastAsia="Arial" w:hAnsi="Arial"/>
          <w:sz w:val="17"/>
          <w:szCs w:val="17"/>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6" w:name="page77"/>
    <w:bookmarkEnd w:id="76"/>
    <w:p>
      <w:pPr>
        <w:ind w:left="900" w:right="160" w:hanging="383"/>
        <w:spacing w:after="0" w:line="256"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6" w:lineRule="exact"/>
        <w:rPr>
          <w:rFonts w:ascii="Arial" w:cs="Arial" w:eastAsia="Arial" w:hAnsi="Arial"/>
          <w:sz w:val="13"/>
          <w:szCs w:val="13"/>
          <w:color w:val="231F20"/>
        </w:rPr>
      </w:pPr>
    </w:p>
    <w:p>
      <w:pPr>
        <w:ind w:left="900" w:right="20" w:hanging="383"/>
        <w:spacing w:after="0" w:line="277"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we may grant exclusive rights to our collaborators that would prevent us from collaborating with others;</w:t>
      </w:r>
    </w:p>
    <w:p>
      <w:pPr>
        <w:spacing w:after="0" w:line="103" w:lineRule="exact"/>
        <w:rPr>
          <w:rFonts w:ascii="Arial" w:cs="Arial" w:eastAsia="Arial" w:hAnsi="Arial"/>
          <w:sz w:val="13"/>
          <w:szCs w:val="13"/>
          <w:color w:val="231F20"/>
        </w:rPr>
      </w:pPr>
    </w:p>
    <w:p>
      <w:pPr>
        <w:ind w:left="900" w:right="20" w:hanging="383"/>
        <w:spacing w:after="0" w:line="249"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may not properly obtain, maintain, defend, protect or enforce our intellectual property rights or may use our proprietary information and intellectual property in such a way as to invite litigation or other intellectual property-related proceedings that could jeopardize or invalidate our proprietary information and intellectual property or expose us to potential litigation or other intellectual property related proceedings;</w:t>
      </w:r>
    </w:p>
    <w:p>
      <w:pPr>
        <w:spacing w:after="0" w:line="72" w:lineRule="exact"/>
        <w:rPr>
          <w:rFonts w:ascii="Arial" w:cs="Arial" w:eastAsia="Arial" w:hAnsi="Arial"/>
          <w:sz w:val="13"/>
          <w:szCs w:val="13"/>
          <w:color w:val="231F20"/>
        </w:rPr>
      </w:pPr>
    </w:p>
    <w:p>
      <w:pPr>
        <w:ind w:left="900" w:hanging="383"/>
        <w:spacing w:after="0" w:line="342" w:lineRule="auto"/>
        <w:tabs>
          <w:tab w:leader="none" w:pos="900" w:val="left"/>
        </w:tabs>
        <w:numPr>
          <w:ilvl w:val="0"/>
          <w:numId w:val="47"/>
        </w:numPr>
        <w:rPr>
          <w:rFonts w:ascii="Arial" w:cs="Arial" w:eastAsia="Arial" w:hAnsi="Arial"/>
          <w:sz w:val="11"/>
          <w:szCs w:val="11"/>
          <w:color w:val="231F20"/>
        </w:rPr>
      </w:pPr>
      <w:r>
        <w:rPr>
          <w:rFonts w:ascii="Arial" w:cs="Arial" w:eastAsia="Arial" w:hAnsi="Arial"/>
          <w:sz w:val="16"/>
          <w:szCs w:val="16"/>
          <w:color w:val="231F20"/>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2" w:lineRule="exact"/>
        <w:rPr>
          <w:rFonts w:ascii="Arial" w:cs="Arial" w:eastAsia="Arial" w:hAnsi="Arial"/>
          <w:sz w:val="11"/>
          <w:szCs w:val="11"/>
          <w:color w:val="231F20"/>
        </w:rPr>
      </w:pPr>
    </w:p>
    <w:p>
      <w:pPr>
        <w:ind w:left="900" w:right="1140" w:hanging="383"/>
        <w:spacing w:after="0" w:line="261"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76" w:lineRule="exact"/>
        <w:rPr>
          <w:rFonts w:ascii="Arial" w:cs="Arial" w:eastAsia="Arial" w:hAnsi="Arial"/>
          <w:sz w:val="13"/>
          <w:szCs w:val="13"/>
          <w:color w:val="231F20"/>
        </w:rPr>
      </w:pPr>
    </w:p>
    <w:p>
      <w:pPr>
        <w:ind w:left="900" w:hanging="383"/>
        <w:spacing w:after="0"/>
        <w:tabs>
          <w:tab w:leader="none" w:pos="900" w:val="left"/>
        </w:tabs>
        <w:numPr>
          <w:ilvl w:val="0"/>
          <w:numId w:val="47"/>
        </w:numPr>
        <w:rPr>
          <w:rFonts w:ascii="Arial" w:cs="Arial" w:eastAsia="Arial" w:hAnsi="Arial"/>
          <w:sz w:val="12"/>
          <w:szCs w:val="12"/>
          <w:color w:val="231F20"/>
        </w:rPr>
      </w:pPr>
      <w:r>
        <w:rPr>
          <w:rFonts w:ascii="Arial" w:cs="Arial" w:eastAsia="Arial" w:hAnsi="Arial"/>
          <w:sz w:val="17"/>
          <w:szCs w:val="17"/>
          <w:color w:val="231F20"/>
        </w:rPr>
        <w:t>collaboration agreements may not lead to development or commercialization of product candidates in the most efficient manner or at all;</w:t>
      </w:r>
    </w:p>
    <w:p>
      <w:pPr>
        <w:spacing w:after="0" w:line="115" w:lineRule="exact"/>
        <w:rPr>
          <w:rFonts w:ascii="Arial" w:cs="Arial" w:eastAsia="Arial" w:hAnsi="Arial"/>
          <w:sz w:val="12"/>
          <w:szCs w:val="12"/>
          <w:color w:val="231F20"/>
        </w:rPr>
      </w:pPr>
    </w:p>
    <w:p>
      <w:pPr>
        <w:jc w:val="both"/>
        <w:ind w:left="900" w:right="200" w:hanging="383"/>
        <w:spacing w:after="0" w:line="256"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may not provide us with timely and accurate information regarding development progress and activities under the collaboration or may limit our ability to share such information, which could adversely impact our ability to report progress to our investors and otherwise plan our own development of our product candidates;</w:t>
      </w:r>
    </w:p>
    <w:p>
      <w:pPr>
        <w:spacing w:after="0" w:line="66" w:lineRule="exact"/>
        <w:rPr>
          <w:rFonts w:ascii="Arial" w:cs="Arial" w:eastAsia="Arial" w:hAnsi="Arial"/>
          <w:sz w:val="13"/>
          <w:szCs w:val="13"/>
          <w:color w:val="231F20"/>
        </w:rPr>
      </w:pPr>
    </w:p>
    <w:p>
      <w:pPr>
        <w:ind w:left="900" w:right="140" w:hanging="383"/>
        <w:spacing w:after="0" w:line="261"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collaborators may own or co-own intellectual property covering our products that results from our collaborating with them, and in such cases, we would not have the exclusive right to develop or commercialize such intellectual property; and</w:t>
      </w:r>
    </w:p>
    <w:p>
      <w:pPr>
        <w:spacing w:after="0" w:line="76" w:lineRule="exact"/>
        <w:rPr>
          <w:rFonts w:ascii="Arial" w:cs="Arial" w:eastAsia="Arial" w:hAnsi="Arial"/>
          <w:sz w:val="13"/>
          <w:szCs w:val="13"/>
          <w:color w:val="231F20"/>
        </w:rPr>
      </w:pPr>
    </w:p>
    <w:p>
      <w:pPr>
        <w:ind w:left="900" w:right="160" w:hanging="383"/>
        <w:spacing w:after="0" w:line="261" w:lineRule="auto"/>
        <w:tabs>
          <w:tab w:leader="none" w:pos="900" w:val="left"/>
        </w:tabs>
        <w:numPr>
          <w:ilvl w:val="0"/>
          <w:numId w:val="47"/>
        </w:numPr>
        <w:rPr>
          <w:rFonts w:ascii="Arial" w:cs="Arial" w:eastAsia="Arial" w:hAnsi="Arial"/>
          <w:sz w:val="13"/>
          <w:szCs w:val="13"/>
          <w:color w:val="231F20"/>
        </w:rPr>
      </w:pPr>
      <w:r>
        <w:rPr>
          <w:rFonts w:ascii="Arial" w:cs="Arial" w:eastAsia="Arial" w:hAnsi="Arial"/>
          <w:sz w:val="18"/>
          <w:szCs w:val="18"/>
          <w:color w:val="231F20"/>
        </w:rPr>
        <w:t>a collaborator’s sales and marketing activities or other operations may not be in compliance with applicable laws resulting in civil or criminal proceedings.</w:t>
      </w:r>
    </w:p>
    <w:p>
      <w:pPr>
        <w:spacing w:after="0" w:line="63" w:lineRule="exact"/>
        <w:rPr>
          <w:sz w:val="20"/>
          <w:szCs w:val="20"/>
          <w:color w:val="auto"/>
        </w:rPr>
      </w:pPr>
    </w:p>
    <w:p>
      <w:pPr>
        <w:ind w:right="120" w:firstLine="509"/>
        <w:spacing w:after="0" w:line="260" w:lineRule="auto"/>
        <w:rPr>
          <w:sz w:val="20"/>
          <w:szCs w:val="20"/>
          <w:color w:val="auto"/>
        </w:rPr>
      </w:pPr>
      <w:r>
        <w:rPr>
          <w:rFonts w:ascii="Arial" w:cs="Arial" w:eastAsia="Arial" w:hAnsi="Arial"/>
          <w:sz w:val="17"/>
          <w:szCs w:val="17"/>
          <w:color w:val="231F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173" w:lineRule="exact"/>
        <w:rPr>
          <w:sz w:val="20"/>
          <w:szCs w:val="20"/>
          <w:color w:val="auto"/>
        </w:rPr>
      </w:pPr>
    </w:p>
    <w:p>
      <w:pPr>
        <w:ind w:right="180"/>
        <w:spacing w:after="0" w:line="324" w:lineRule="auto"/>
        <w:rPr>
          <w:sz w:val="20"/>
          <w:szCs w:val="20"/>
          <w:color w:val="auto"/>
        </w:rPr>
      </w:pPr>
      <w:r>
        <w:rPr>
          <w:rFonts w:ascii="Arial" w:cs="Arial" w:eastAsia="Arial" w:hAnsi="Arial"/>
          <w:sz w:val="16"/>
          <w:szCs w:val="16"/>
          <w:b w:val="1"/>
          <w:bCs w:val="1"/>
          <w:i w:val="1"/>
          <w:iCs w:val="1"/>
          <w:color w:val="231F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p>
    <w:p>
      <w:pPr>
        <w:spacing w:after="0" w:line="30" w:lineRule="exact"/>
        <w:rPr>
          <w:sz w:val="20"/>
          <w:szCs w:val="20"/>
          <w:color w:val="auto"/>
        </w:rPr>
      </w:pPr>
    </w:p>
    <w:p>
      <w:pPr>
        <w:ind w:right="420" w:firstLine="509"/>
        <w:spacing w:after="0" w:line="290" w:lineRule="auto"/>
        <w:rPr>
          <w:sz w:val="20"/>
          <w:szCs w:val="20"/>
          <w:color w:val="auto"/>
        </w:rPr>
      </w:pPr>
      <w:r>
        <w:rPr>
          <w:rFonts w:ascii="Arial" w:cs="Arial" w:eastAsia="Arial" w:hAnsi="Arial"/>
          <w:sz w:val="16"/>
          <w:szCs w:val="16"/>
          <w:color w:val="231F20"/>
        </w:rPr>
        <w:t>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collaborators for, some of our product candidates if and when they are approved.</w:t>
      </w:r>
    </w:p>
    <w:p>
      <w:pPr>
        <w:spacing w:after="0" w:line="42"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231F20"/>
        </w:rPr>
        <w:t>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Factors that may inhibit our efforts to commercialize any approved product on our own include:</w:t>
      </w:r>
    </w:p>
    <w:p>
      <w:pPr>
        <w:spacing w:after="0" w:line="117" w:lineRule="exact"/>
        <w:rPr>
          <w:sz w:val="20"/>
          <w:szCs w:val="20"/>
          <w:color w:val="auto"/>
        </w:rPr>
      </w:pPr>
    </w:p>
    <w:p>
      <w:pPr>
        <w:ind w:left="900" w:right="20" w:hanging="383"/>
        <w:spacing w:after="0" w:line="261" w:lineRule="auto"/>
        <w:tabs>
          <w:tab w:leader="none" w:pos="900" w:val="left"/>
        </w:tabs>
        <w:numPr>
          <w:ilvl w:val="0"/>
          <w:numId w:val="48"/>
        </w:numPr>
        <w:rPr>
          <w:rFonts w:ascii="Arial" w:cs="Arial" w:eastAsia="Arial" w:hAnsi="Arial"/>
          <w:sz w:val="13"/>
          <w:szCs w:val="13"/>
          <w:color w:val="auto"/>
        </w:rPr>
      </w:pPr>
      <w:r>
        <w:rPr>
          <w:rFonts w:ascii="Arial" w:cs="Arial" w:eastAsia="Arial" w:hAnsi="Arial"/>
          <w:sz w:val="18"/>
          <w:szCs w:val="18"/>
          <w:color w:val="231F20"/>
        </w:rPr>
        <w:t>our inability to recruit and retain adequate numbers of effective sales, marketing, reimbursement, compliance, customer service, medical affairs and other support personnel;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7" w:name="page78"/>
    <w:bookmarkEnd w:id="77"/>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our inability to recruit and build a commercial infrastructure due to the impacts of the COVID-19 pandemic;</w:t>
      </w:r>
    </w:p>
    <w:p>
      <w:pPr>
        <w:spacing w:after="0" w:line="117" w:lineRule="exact"/>
        <w:rPr>
          <w:rFonts w:ascii="Arial" w:cs="Arial" w:eastAsia="Arial" w:hAnsi="Arial"/>
          <w:sz w:val="13"/>
          <w:szCs w:val="13"/>
          <w:color w:val="auto"/>
        </w:rPr>
      </w:pPr>
    </w:p>
    <w:p>
      <w:pPr>
        <w:ind w:left="900" w:right="340" w:hanging="383"/>
        <w:spacing w:after="0" w:line="261"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the inability of sales personnel to obtain access to physicians or persuade adequate numbers of physicians to prescribe any future approved products;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1"/>
          <w:szCs w:val="11"/>
          <w:color w:val="auto"/>
        </w:rPr>
      </w:pPr>
      <w:r>
        <w:rPr>
          <w:rFonts w:ascii="Arial" w:cs="Arial" w:eastAsia="Arial" w:hAnsi="Arial"/>
          <w:sz w:val="16"/>
          <w:szCs w:val="16"/>
          <w:color w:val="231F20"/>
        </w:rPr>
        <w:t>the inability of reimbursement professionals to negotiate arrangements for formulary access, reimbursement, and other acceptance by payors;</w:t>
      </w:r>
    </w:p>
    <w:p>
      <w:pPr>
        <w:spacing w:after="0" w:line="140" w:lineRule="exact"/>
        <w:rPr>
          <w:rFonts w:ascii="Arial" w:cs="Arial" w:eastAsia="Arial" w:hAnsi="Arial"/>
          <w:sz w:val="11"/>
          <w:szCs w:val="11"/>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the inability to price our products at a sufficient price point to ensure an adequate and attractive level of profitability;</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restricted or closed distribution channels that make it difficult to distribute our products to segments of the patient population;</w:t>
      </w:r>
    </w:p>
    <w:p>
      <w:pPr>
        <w:spacing w:after="0" w:line="103" w:lineRule="exact"/>
        <w:rPr>
          <w:rFonts w:ascii="Arial" w:cs="Arial" w:eastAsia="Arial" w:hAnsi="Arial"/>
          <w:sz w:val="13"/>
          <w:szCs w:val="13"/>
          <w:color w:val="auto"/>
        </w:rPr>
      </w:pPr>
    </w:p>
    <w:p>
      <w:pPr>
        <w:ind w:left="900" w:right="280" w:hanging="383"/>
        <w:spacing w:after="0" w:line="277" w:lineRule="auto"/>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the lack of complementary products to be offered by sales personnel, which may put us at a competitive disadvantage relative to companies with more extensive product lines; and</w:t>
      </w:r>
    </w:p>
    <w:p>
      <w:pPr>
        <w:spacing w:after="0" w:line="48" w:lineRule="exact"/>
        <w:rPr>
          <w:rFonts w:ascii="Arial" w:cs="Arial" w:eastAsia="Arial" w:hAnsi="Arial"/>
          <w:sz w:val="13"/>
          <w:szCs w:val="13"/>
          <w:color w:val="auto"/>
        </w:rPr>
      </w:pPr>
    </w:p>
    <w:p>
      <w:pPr>
        <w:ind w:left="900" w:hanging="383"/>
        <w:spacing w:after="0"/>
        <w:tabs>
          <w:tab w:leader="none" w:pos="900" w:val="left"/>
        </w:tabs>
        <w:numPr>
          <w:ilvl w:val="0"/>
          <w:numId w:val="49"/>
        </w:numPr>
        <w:rPr>
          <w:rFonts w:ascii="Arial" w:cs="Arial" w:eastAsia="Arial" w:hAnsi="Arial"/>
          <w:sz w:val="13"/>
          <w:szCs w:val="13"/>
          <w:color w:val="auto"/>
        </w:rPr>
      </w:pPr>
      <w:r>
        <w:rPr>
          <w:rFonts w:ascii="Arial" w:cs="Arial" w:eastAsia="Arial" w:hAnsi="Arial"/>
          <w:sz w:val="18"/>
          <w:szCs w:val="18"/>
          <w:color w:val="231F20"/>
        </w:rPr>
        <w:t>unforeseen costs and expenses associated with creating an independent commercialization organization.</w:t>
      </w:r>
    </w:p>
    <w:p>
      <w:pPr>
        <w:spacing w:after="0" w:line="104" w:lineRule="exact"/>
        <w:rPr>
          <w:sz w:val="20"/>
          <w:szCs w:val="20"/>
          <w:color w:val="auto"/>
        </w:rPr>
      </w:pPr>
    </w:p>
    <w:p>
      <w:pPr>
        <w:ind w:firstLine="509"/>
        <w:spacing w:after="0" w:line="263" w:lineRule="auto"/>
        <w:rPr>
          <w:sz w:val="20"/>
          <w:szCs w:val="20"/>
          <w:color w:val="auto"/>
        </w:rPr>
      </w:pPr>
      <w:r>
        <w:rPr>
          <w:rFonts w:ascii="Arial" w:cs="Arial" w:eastAsia="Arial" w:hAnsi="Arial"/>
          <w:sz w:val="17"/>
          <w:szCs w:val="17"/>
          <w:color w:val="231F20"/>
        </w:rPr>
        <w:t>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and our business would be seriously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the Securities Market and Ownership of Our Common Stock</w:t>
      </w:r>
    </w:p>
    <w:p>
      <w:pPr>
        <w:spacing w:after="0" w:line="2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231F20"/>
        </w:rPr>
        <w:t>An active, liquid and orderly trading market may not continue to be developed or sustained for our common stock and as a result it may be difficult for you to sell your shares of our common stock.</w:t>
      </w:r>
    </w:p>
    <w:p>
      <w:pPr>
        <w:spacing w:after="0" w:line="49" w:lineRule="exact"/>
        <w:rPr>
          <w:sz w:val="20"/>
          <w:szCs w:val="20"/>
          <w:color w:val="auto"/>
        </w:rPr>
      </w:pPr>
    </w:p>
    <w:p>
      <w:pPr>
        <w:ind w:right="140" w:firstLine="509"/>
        <w:spacing w:after="0" w:line="245" w:lineRule="auto"/>
        <w:rPr>
          <w:sz w:val="20"/>
          <w:szCs w:val="20"/>
          <w:color w:val="auto"/>
        </w:rPr>
      </w:pPr>
      <w:r>
        <w:rPr>
          <w:rFonts w:ascii="Arial" w:cs="Arial" w:eastAsia="Arial" w:hAnsi="Arial"/>
          <w:sz w:val="18"/>
          <w:szCs w:val="18"/>
          <w:color w:val="231F20"/>
        </w:rPr>
        <w:t xml:space="preserve">Prior to our initial public offering, no market for shares of our common stock existed. </w:t>
      </w:r>
      <w:r>
        <w:rPr>
          <w:rFonts w:ascii="Arial" w:cs="Arial" w:eastAsia="Arial" w:hAnsi="Arial"/>
          <w:sz w:val="18"/>
          <w:szCs w:val="18"/>
          <w:color w:val="000000"/>
        </w:rPr>
        <w:t>The trading market for our common stock on the Nasdaq</w:t>
      </w:r>
      <w:r>
        <w:rPr>
          <w:rFonts w:ascii="Arial" w:cs="Arial" w:eastAsia="Arial" w:hAnsi="Arial"/>
          <w:sz w:val="18"/>
          <w:szCs w:val="18"/>
          <w:color w:val="231F20"/>
        </w:rPr>
        <w:t xml:space="preserve"> </w:t>
      </w:r>
      <w:r>
        <w:rPr>
          <w:rFonts w:ascii="Arial" w:cs="Arial" w:eastAsia="Arial" w:hAnsi="Arial"/>
          <w:sz w:val="18"/>
          <w:szCs w:val="18"/>
          <w:color w:val="000000"/>
        </w:rPr>
        <w:t xml:space="preserve">Global Select Market has been limited </w:t>
      </w:r>
      <w:r>
        <w:rPr>
          <w:rFonts w:ascii="Arial" w:cs="Arial" w:eastAsia="Arial" w:hAnsi="Arial"/>
          <w:sz w:val="18"/>
          <w:szCs w:val="18"/>
          <w:color w:val="231F20"/>
        </w:rPr>
        <w:t>and an active trading market for our shares may not be sustained. The lack of an active market may also reduce the</w:t>
      </w:r>
      <w:r>
        <w:rPr>
          <w:rFonts w:ascii="Arial" w:cs="Arial" w:eastAsia="Arial" w:hAnsi="Arial"/>
          <w:sz w:val="18"/>
          <w:szCs w:val="18"/>
          <w:color w:val="000000"/>
        </w:rPr>
        <w:t xml:space="preserve"> </w:t>
      </w:r>
      <w:r>
        <w:rPr>
          <w:rFonts w:ascii="Arial" w:cs="Arial" w:eastAsia="Arial" w:hAnsi="Arial"/>
          <w:sz w:val="18"/>
          <w:szCs w:val="18"/>
          <w:color w:val="231F20"/>
        </w:rPr>
        <w:t>fair market value of your shares of common stock.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price of our stock may be volatile, and you could lose all or part of your investment.</w:t>
      </w:r>
    </w:p>
    <w:p>
      <w:pPr>
        <w:spacing w:after="0" w:line="104" w:lineRule="exact"/>
        <w:rPr>
          <w:sz w:val="20"/>
          <w:szCs w:val="20"/>
          <w:color w:val="auto"/>
        </w:rPr>
      </w:pPr>
    </w:p>
    <w:p>
      <w:pPr>
        <w:ind w:right="220" w:firstLine="509"/>
        <w:spacing w:after="0" w:line="270" w:lineRule="auto"/>
        <w:rPr>
          <w:sz w:val="20"/>
          <w:szCs w:val="20"/>
          <w:color w:val="auto"/>
        </w:rPr>
      </w:pPr>
      <w:r>
        <w:rPr>
          <w:rFonts w:ascii="Arial" w:cs="Arial" w:eastAsia="Arial" w:hAnsi="Arial"/>
          <w:sz w:val="17"/>
          <w:szCs w:val="17"/>
          <w:color w:val="231F20"/>
        </w:rPr>
        <w:t>The trading price of our common stock is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69"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231F20"/>
        </w:rPr>
        <w:t>Broad market and industry factors may negatively affect the market price of our common stock, regardless of our actual operating performance. In addition to the factors discussed in this “Risk Factors” section and elsewhere in this periodic report, these factors include:</w:t>
      </w:r>
    </w:p>
    <w:p>
      <w:pPr>
        <w:spacing w:after="0" w:line="63" w:lineRule="exact"/>
        <w:rPr>
          <w:sz w:val="20"/>
          <w:szCs w:val="20"/>
          <w:color w:val="auto"/>
        </w:rPr>
      </w:pPr>
    </w:p>
    <w:p>
      <w:pPr>
        <w:ind w:left="900" w:right="580" w:hanging="383"/>
        <w:spacing w:after="0" w:line="277" w:lineRule="auto"/>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the timing and results of preclinical studies and clinical trials of our product candidates, those conducted by third parties or those of our competitors;</w:t>
      </w:r>
    </w:p>
    <w:p>
      <w:pPr>
        <w:spacing w:after="0" w:line="48"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the success of competitive products or announcements by potential competitors of their product development efforts;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regulatory actions with respect to our products or our competitors’ products;</w:t>
      </w:r>
    </w:p>
    <w:p>
      <w:pPr>
        <w:spacing w:after="0" w:line="117"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actual or anticipated changes in our growth rate relative to our competitors;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regulatory or legal developments in the United States and other countries;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developments or disputes concerning patent applications, issued patents or other intellectual property or proprietary rights;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the recruitment or departure of key personnel;</w:t>
      </w:r>
    </w:p>
    <w:p>
      <w:pPr>
        <w:spacing w:after="0" w:line="103" w:lineRule="exact"/>
        <w:rPr>
          <w:rFonts w:ascii="Arial" w:cs="Arial" w:eastAsia="Arial" w:hAnsi="Arial"/>
          <w:sz w:val="13"/>
          <w:szCs w:val="13"/>
          <w:color w:val="231F20"/>
        </w:rPr>
      </w:pPr>
    </w:p>
    <w:p>
      <w:pPr>
        <w:ind w:left="900" w:right="840" w:hanging="383"/>
        <w:spacing w:after="0" w:line="246" w:lineRule="auto"/>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75" w:lineRule="exact"/>
        <w:rPr>
          <w:rFonts w:ascii="Arial" w:cs="Arial" w:eastAsia="Arial" w:hAnsi="Arial"/>
          <w:sz w:val="13"/>
          <w:szCs w:val="13"/>
          <w:color w:val="231F20"/>
        </w:rPr>
      </w:pPr>
    </w:p>
    <w:p>
      <w:pPr>
        <w:ind w:left="900" w:right="380" w:hanging="383"/>
        <w:spacing w:after="0" w:line="261" w:lineRule="auto"/>
        <w:tabs>
          <w:tab w:leader="none" w:pos="900" w:val="left"/>
        </w:tabs>
        <w:numPr>
          <w:ilvl w:val="0"/>
          <w:numId w:val="50"/>
        </w:numPr>
        <w:rPr>
          <w:rFonts w:ascii="Arial" w:cs="Arial" w:eastAsia="Arial" w:hAnsi="Arial"/>
          <w:sz w:val="13"/>
          <w:szCs w:val="13"/>
          <w:color w:val="231F20"/>
        </w:rPr>
      </w:pPr>
      <w:r>
        <w:rPr>
          <w:rFonts w:ascii="Arial" w:cs="Arial" w:eastAsia="Arial" w:hAnsi="Arial"/>
          <w:sz w:val="18"/>
          <w:szCs w:val="18"/>
          <w:color w:val="231F20"/>
        </w:rPr>
        <w:t>actual or anticipated changes in estimates as to financial results, development timelines or coverage and/or recommendations by securities analysts;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8" w:name="page79"/>
    <w:bookmarkEnd w:id="78"/>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fluctuations in the valuation of companies perceived by investors to be comparable to us;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market conditions in the pharmaceutical and biotechnology sector;</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changes in the structure of healthcare payment systems;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share price and volume fluctuations attributable to inconsistent trading volume levels of our shares;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announcement or expectation of additional financing efforts;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sales of our common stock by us, our insiders or our other stockholders;</w:t>
      </w:r>
    </w:p>
    <w:p>
      <w:pPr>
        <w:spacing w:after="0" w:line="90"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expiration of market stand-off or lock-up agreements;</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the impact of any natural disasters or public health emergencies, such as the COVID-19 pandemic;</w:t>
      </w:r>
    </w:p>
    <w:p>
      <w:pPr>
        <w:spacing w:after="0" w:line="103" w:lineRule="exact"/>
        <w:rPr>
          <w:rFonts w:ascii="Arial" w:cs="Arial" w:eastAsia="Arial" w:hAnsi="Arial"/>
          <w:sz w:val="13"/>
          <w:szCs w:val="13"/>
          <w:color w:val="231F20"/>
        </w:rPr>
      </w:pPr>
    </w:p>
    <w:p>
      <w:pPr>
        <w:ind w:left="900" w:right="40" w:hanging="383"/>
        <w:spacing w:after="0" w:line="261" w:lineRule="auto"/>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the availability of fiscal and monetary stimulus measures to counteract the impact of natural disasters or public health emergencies, such as the COVID-19 pandemic;</w:t>
      </w:r>
    </w:p>
    <w:p>
      <w:pPr>
        <w:spacing w:after="0" w:line="49"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fluctuations in interest rates and inflation rates; and</w:t>
      </w:r>
    </w:p>
    <w:p>
      <w:pPr>
        <w:spacing w:after="0" w:line="103" w:lineRule="exact"/>
        <w:rPr>
          <w:rFonts w:ascii="Arial" w:cs="Arial" w:eastAsia="Arial" w:hAnsi="Arial"/>
          <w:sz w:val="13"/>
          <w:szCs w:val="13"/>
          <w:color w:val="231F20"/>
        </w:rPr>
      </w:pPr>
    </w:p>
    <w:p>
      <w:pPr>
        <w:ind w:left="900" w:hanging="383"/>
        <w:spacing w:after="0"/>
        <w:tabs>
          <w:tab w:leader="none" w:pos="900" w:val="left"/>
        </w:tabs>
        <w:numPr>
          <w:ilvl w:val="0"/>
          <w:numId w:val="51"/>
        </w:numPr>
        <w:rPr>
          <w:rFonts w:ascii="Arial" w:cs="Arial" w:eastAsia="Arial" w:hAnsi="Arial"/>
          <w:sz w:val="13"/>
          <w:szCs w:val="13"/>
          <w:color w:val="231F20"/>
        </w:rPr>
      </w:pPr>
      <w:r>
        <w:rPr>
          <w:rFonts w:ascii="Arial" w:cs="Arial" w:eastAsia="Arial" w:hAnsi="Arial"/>
          <w:sz w:val="18"/>
          <w:szCs w:val="18"/>
          <w:color w:val="231F20"/>
        </w:rPr>
        <w:t>general economic, political, industry and market conditions.</w:t>
      </w:r>
    </w:p>
    <w:p>
      <w:pPr>
        <w:spacing w:after="0" w:line="104" w:lineRule="exact"/>
        <w:rPr>
          <w:sz w:val="20"/>
          <w:szCs w:val="20"/>
          <w:color w:val="auto"/>
        </w:rPr>
      </w:pPr>
    </w:p>
    <w:p>
      <w:pPr>
        <w:ind w:firstLine="509"/>
        <w:spacing w:after="0" w:line="246" w:lineRule="auto"/>
        <w:rPr>
          <w:sz w:val="20"/>
          <w:szCs w:val="20"/>
          <w:color w:val="auto"/>
        </w:rPr>
      </w:pPr>
      <w:r>
        <w:rPr>
          <w:rFonts w:ascii="Arial" w:cs="Arial" w:eastAsia="Arial" w:hAnsi="Arial"/>
          <w:sz w:val="18"/>
          <w:szCs w:val="18"/>
          <w:color w:val="231F20"/>
        </w:rPr>
        <w:t>The realization of any of the above risks or any of a broad range of other risks, including those described in this “Risk Factors” section, could have a dramatic and adverse impact on the market price of our common stock.</w:t>
      </w:r>
    </w:p>
    <w:p>
      <w:pPr>
        <w:spacing w:after="0" w:line="18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Our operating results may fluctuate significantly, which makes our future operating results difficult to predict and could cause our operating results to fall below expectations or our guidance.</w:t>
      </w:r>
    </w:p>
    <w:p>
      <w:pPr>
        <w:spacing w:after="0" w:line="4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231F20"/>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81" w:lineRule="exact"/>
        <w:rPr>
          <w:sz w:val="20"/>
          <w:szCs w:val="20"/>
          <w:color w:val="auto"/>
        </w:rPr>
      </w:pPr>
    </w:p>
    <w:p>
      <w:pPr>
        <w:jc w:val="both"/>
        <w:ind w:right="80" w:firstLine="509"/>
        <w:spacing w:after="0" w:line="238" w:lineRule="auto"/>
        <w:rPr>
          <w:sz w:val="20"/>
          <w:szCs w:val="20"/>
          <w:color w:val="auto"/>
        </w:rPr>
      </w:pPr>
      <w:r>
        <w:rPr>
          <w:rFonts w:ascii="Arial" w:cs="Arial" w:eastAsia="Arial" w:hAnsi="Arial"/>
          <w:sz w:val="18"/>
          <w:szCs w:val="18"/>
          <w:color w:val="231F20"/>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w:t>
      </w:r>
    </w:p>
    <w:p>
      <w:pPr>
        <w:spacing w:after="0" w:line="97"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231F20"/>
        </w:rPr>
        <w:t>Furthermore, our operating results may fluctuate due to a variety of other factors, many of which are outside of our control and may be difficult to predict, including the following:</w:t>
      </w:r>
    </w:p>
    <w:p>
      <w:pPr>
        <w:spacing w:after="0" w:line="63" w:lineRule="exact"/>
        <w:rPr>
          <w:sz w:val="20"/>
          <w:szCs w:val="20"/>
          <w:color w:val="auto"/>
        </w:rPr>
      </w:pPr>
    </w:p>
    <w:p>
      <w:pPr>
        <w:ind w:left="900" w:right="300" w:hanging="383"/>
        <w:spacing w:after="0" w:line="261"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timing and cost of, and level of investment in, research and development activities relating to our programs, product candidates and any future programs and product candidates, which will change from time to time;</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our ability to enroll patients in clinical trials and the timing of enrollment;</w:t>
      </w:r>
    </w:p>
    <w:p>
      <w:pPr>
        <w:spacing w:after="0" w:line="103" w:lineRule="exact"/>
        <w:rPr>
          <w:rFonts w:ascii="Arial" w:cs="Arial" w:eastAsia="Arial" w:hAnsi="Arial"/>
          <w:sz w:val="13"/>
          <w:szCs w:val="13"/>
          <w:color w:val="auto"/>
        </w:rPr>
      </w:pPr>
    </w:p>
    <w:p>
      <w:pPr>
        <w:jc w:val="both"/>
        <w:ind w:left="900" w:right="260" w:hanging="383"/>
        <w:spacing w:after="0" w:line="256"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cost of operating a manufacturing facility and manufacturing our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66"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expenditures that we will or may incur to acquire or develop additional product candidates and technologies or other assets;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timing and outcomes of clinical trials for our product candidates, or competing product candidates;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need to conduct unanticipated clinical trials or trials that are larger or more complex than anticipated;</w:t>
      </w:r>
    </w:p>
    <w:p>
      <w:pPr>
        <w:spacing w:after="0" w:line="103" w:lineRule="exact"/>
        <w:rPr>
          <w:rFonts w:ascii="Arial" w:cs="Arial" w:eastAsia="Arial" w:hAnsi="Arial"/>
          <w:sz w:val="13"/>
          <w:szCs w:val="13"/>
          <w:color w:val="auto"/>
        </w:rPr>
      </w:pPr>
    </w:p>
    <w:p>
      <w:pPr>
        <w:ind w:left="900" w:right="860" w:hanging="383"/>
        <w:spacing w:after="0" w:line="261"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competition from existing and potential future products that compete with our programs and product candidates, and changes in the competitive landscape of our industry, including consolidation among our competitors or partners;</w:t>
      </w:r>
    </w:p>
    <w:p>
      <w:pPr>
        <w:spacing w:after="0" w:line="76"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any delays in regulatory review or approval of our product candidates;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level of demand for our product candidates, if approved, which may fluctuate significantly and be difficult to predict;</w:t>
      </w:r>
    </w:p>
    <w:p>
      <w:pPr>
        <w:spacing w:after="0" w:line="103" w:lineRule="exact"/>
        <w:rPr>
          <w:rFonts w:ascii="Arial" w:cs="Arial" w:eastAsia="Arial" w:hAnsi="Arial"/>
          <w:sz w:val="13"/>
          <w:szCs w:val="13"/>
          <w:color w:val="auto"/>
        </w:rPr>
      </w:pPr>
    </w:p>
    <w:p>
      <w:pPr>
        <w:ind w:left="900" w:right="180" w:hanging="383"/>
        <w:spacing w:after="0" w:line="277"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the risk/benefit profile, cost and reimbursement policies with respect to our product candidates, if approved, and existing and potential future products that compete with any of our product candidates;</w:t>
      </w:r>
    </w:p>
    <w:p>
      <w:pPr>
        <w:spacing w:after="0" w:line="48" w:lineRule="exact"/>
        <w:rPr>
          <w:rFonts w:ascii="Arial" w:cs="Arial" w:eastAsia="Arial" w:hAnsi="Arial"/>
          <w:sz w:val="13"/>
          <w:szCs w:val="13"/>
          <w:color w:val="auto"/>
        </w:rPr>
      </w:pPr>
    </w:p>
    <w:p>
      <w:pPr>
        <w:ind w:left="900" w:right="580" w:hanging="383"/>
        <w:spacing w:after="0" w:line="261" w:lineRule="auto"/>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our ability to commercialize any of our product candidates, if approved, inside and outside of the United States, either independently or working with third parties;</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2"/>
        </w:numPr>
        <w:rPr>
          <w:rFonts w:ascii="Arial" w:cs="Arial" w:eastAsia="Arial" w:hAnsi="Arial"/>
          <w:sz w:val="13"/>
          <w:szCs w:val="13"/>
          <w:color w:val="auto"/>
        </w:rPr>
      </w:pPr>
      <w:r>
        <w:rPr>
          <w:rFonts w:ascii="Arial" w:cs="Arial" w:eastAsia="Arial" w:hAnsi="Arial"/>
          <w:sz w:val="18"/>
          <w:szCs w:val="18"/>
          <w:color w:val="231F20"/>
        </w:rPr>
        <w:t>our ability to establish and maintain collaborations, licensing or other arrangements;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79" w:name="page80"/>
    <w:bookmarkEnd w:id="79"/>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our ability to adequately support future growth;</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potential unforeseen business disruptions that increase our costs or expenses;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future accounting pronouncements or changes in our accounting policies;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the changing and volatile global economic and political environment; and</w:t>
      </w:r>
    </w:p>
    <w:p>
      <w:pPr>
        <w:spacing w:after="0" w:line="117" w:lineRule="exact"/>
        <w:rPr>
          <w:rFonts w:ascii="Arial" w:cs="Arial" w:eastAsia="Arial" w:hAnsi="Arial"/>
          <w:sz w:val="13"/>
          <w:szCs w:val="13"/>
          <w:color w:val="auto"/>
        </w:rPr>
      </w:pPr>
    </w:p>
    <w:p>
      <w:pPr>
        <w:ind w:left="900" w:right="500" w:hanging="383"/>
        <w:spacing w:after="0" w:line="261" w:lineRule="auto"/>
        <w:tabs>
          <w:tab w:leader="none" w:pos="900" w:val="left"/>
        </w:tabs>
        <w:numPr>
          <w:ilvl w:val="0"/>
          <w:numId w:val="53"/>
        </w:numPr>
        <w:rPr>
          <w:rFonts w:ascii="Arial" w:cs="Arial" w:eastAsia="Arial" w:hAnsi="Arial"/>
          <w:sz w:val="13"/>
          <w:szCs w:val="13"/>
          <w:color w:val="auto"/>
        </w:rPr>
      </w:pPr>
      <w:r>
        <w:rPr>
          <w:rFonts w:ascii="Arial" w:cs="Arial" w:eastAsia="Arial" w:hAnsi="Arial"/>
          <w:sz w:val="18"/>
          <w:szCs w:val="18"/>
          <w:color w:val="231F20"/>
        </w:rPr>
        <w:t>increased impact from the COVID-19 pandemic on the costs and timing associated with the conduct of our clinical trial and other related business activities.</w:t>
      </w:r>
    </w:p>
    <w:p>
      <w:pPr>
        <w:spacing w:after="0" w:line="63" w:lineRule="exact"/>
        <w:rPr>
          <w:sz w:val="20"/>
          <w:szCs w:val="20"/>
          <w:color w:val="auto"/>
        </w:rPr>
      </w:pPr>
    </w:p>
    <w:p>
      <w:pPr>
        <w:ind w:firstLine="509"/>
        <w:spacing w:after="0" w:line="283" w:lineRule="auto"/>
        <w:rPr>
          <w:sz w:val="20"/>
          <w:szCs w:val="20"/>
          <w:color w:val="auto"/>
        </w:rPr>
      </w:pPr>
      <w:r>
        <w:rPr>
          <w:rFonts w:ascii="Arial" w:cs="Arial" w:eastAsia="Arial" w:hAnsi="Arial"/>
          <w:sz w:val="16"/>
          <w:szCs w:val="16"/>
          <w:color w:val="231F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5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Our principal stockholders and management own a significant percentage of our stock and will be able to exert significant control over matters subject to stockholder approval.</w:t>
      </w:r>
    </w:p>
    <w:p>
      <w:pPr>
        <w:spacing w:after="0" w:line="76" w:lineRule="exact"/>
        <w:rPr>
          <w:sz w:val="20"/>
          <w:szCs w:val="20"/>
          <w:color w:val="auto"/>
        </w:rPr>
      </w:pPr>
    </w:p>
    <w:p>
      <w:pPr>
        <w:ind w:right="40" w:firstLine="509"/>
        <w:spacing w:after="0" w:line="258" w:lineRule="auto"/>
        <w:rPr>
          <w:sz w:val="20"/>
          <w:szCs w:val="20"/>
          <w:color w:val="auto"/>
        </w:rPr>
      </w:pPr>
      <w:r>
        <w:rPr>
          <w:rFonts w:ascii="Arial" w:cs="Arial" w:eastAsia="Arial" w:hAnsi="Arial"/>
          <w:sz w:val="17"/>
          <w:szCs w:val="17"/>
          <w:color w:val="231F20"/>
        </w:rPr>
        <w:t>As of June 30, 2022, our executive officers, directors, holders of 5% or more of our capital stock and their respective affiliates beneficially owned approximately 75% of our common stock. These stockholders, acting together, may be able to control matters requiring stockholder approval. For example, they may be able to control elections of directors, amendments of our organizational documents or approval of any merger, sale of assets or other major corporate transactions. This concentration of ownership control may delay, discourage or prevent a change of control, including unsolicited acquisition proposals or offers for our common stock that you may feel are in your best interest as one of our stockholders, entrench our management and board of directors or delay or prevent a merger, consolidation, takeover or other business combination involving us that other stockholders may desire.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of a substantial number of shares of our common stock in the public market could cause our stock price to fall.</w:t>
      </w:r>
    </w:p>
    <w:p>
      <w:pPr>
        <w:spacing w:after="0" w:line="104" w:lineRule="exact"/>
        <w:rPr>
          <w:sz w:val="20"/>
          <w:szCs w:val="20"/>
          <w:color w:val="auto"/>
        </w:rPr>
      </w:pPr>
    </w:p>
    <w:p>
      <w:pPr>
        <w:ind w:right="440" w:firstLine="509"/>
        <w:spacing w:after="0" w:line="291" w:lineRule="auto"/>
        <w:rPr>
          <w:sz w:val="20"/>
          <w:szCs w:val="20"/>
          <w:color w:val="auto"/>
        </w:rPr>
      </w:pPr>
      <w:r>
        <w:rPr>
          <w:rFonts w:ascii="Arial" w:cs="Arial" w:eastAsia="Arial" w:hAnsi="Arial"/>
          <w:sz w:val="17"/>
          <w:szCs w:val="17"/>
          <w:color w:val="231F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39" w:lineRule="exact"/>
        <w:rPr>
          <w:sz w:val="20"/>
          <w:szCs w:val="20"/>
          <w:color w:val="auto"/>
        </w:rPr>
      </w:pPr>
    </w:p>
    <w:p>
      <w:pPr>
        <w:ind w:right="40" w:firstLine="509"/>
        <w:spacing w:after="0" w:line="249" w:lineRule="auto"/>
        <w:rPr>
          <w:sz w:val="20"/>
          <w:szCs w:val="20"/>
          <w:color w:val="auto"/>
        </w:rPr>
      </w:pPr>
      <w:r>
        <w:rPr>
          <w:rFonts w:ascii="Arial" w:cs="Arial" w:eastAsia="Arial" w:hAnsi="Arial"/>
          <w:sz w:val="18"/>
          <w:szCs w:val="18"/>
          <w:color w:val="auto"/>
        </w:rPr>
        <w:t>Certain holders of our common stock have rights, subject to certain conditions, to require us to file registration statements covering their shares or to include their shares in registration statements that we may file for ourselves or other stockholders. Registration of these shares under the Securities Act of 1933, as amended (Securities Act), would result in the shares becoming freely tradeable in the public market, subject to the restrictions of Rule 144 in the case of our affiliates. If these shares are sold, or if it is perceived that they will be sold, in the public market, the trading price of our common stock could decline.</w:t>
      </w:r>
    </w:p>
    <w:p>
      <w:pPr>
        <w:spacing w:after="0" w:line="182"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i w:val="1"/>
          <w:iCs w:val="1"/>
          <w:color w:val="231F20"/>
        </w:rPr>
        <w:t>We will incur increased costs as a result of operating as a public company, and our management will devote substantial time to related compliance initiatives. Additionally, if we fail to maintain proper and effective internal controls, our ability to produce accurate financial statements on a timely basis could be impaired.</w:t>
      </w:r>
    </w:p>
    <w:p>
      <w:pPr>
        <w:spacing w:after="0" w:line="67"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As a public company, we incur significant legal, accounting and other expenses that we did not incur as a private company, and these expenses may increase even more after we are no longer an “emerging growth company.” We are subject to the reporting requirements of the Exchange Act, the Sarbanes-Oxley Act, the Dodd-Frank Wall Street Reform and Protection Act, as well as rules adopted, and to be adopted, by the SEC and the Nasdaq Stock Market LLC (Nasdaq).</w:t>
      </w:r>
    </w:p>
    <w:p>
      <w:pPr>
        <w:spacing w:after="0" w:line="7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231F20"/>
        </w:rPr>
        <w:t>Our management and other personnel need to devote a substantial amount of time to these compliance initiatives. Moreover, these rules, regulations and standards substantially increase our legal and financial compliance costs and to make some activities more time-consuming and costly, which will increase our operating expenses. For example, we expect these rules, regulations and standards to make it more difficult and more expensive for us to obtain director and officer liability insurance and we may be required to incur substantial costs to maintain sufficient coverage, particularly in light of recent cost increases related to coverage. We cannot accurately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ind w:right="60" w:firstLine="509"/>
        <w:spacing w:after="0" w:line="278" w:lineRule="auto"/>
        <w:rPr>
          <w:sz w:val="20"/>
          <w:szCs w:val="20"/>
          <w:color w:val="auto"/>
        </w:rPr>
      </w:pPr>
      <w:r>
        <w:rPr>
          <w:rFonts w:ascii="Arial" w:cs="Arial" w:eastAsia="Arial" w:hAnsi="Arial"/>
          <w:sz w:val="16"/>
          <w:szCs w:val="16"/>
          <w:color w:val="231F20"/>
        </w:rPr>
        <w:t>In addition, as a public company we are required to incur additional costs and obligations in order to comply with SEC rules that implement Section 404 of the Sarbanes-Oxley Act. Under these rules,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53" w:lineRule="exact"/>
        <w:rPr>
          <w:sz w:val="20"/>
          <w:szCs w:val="20"/>
          <w:color w:val="auto"/>
        </w:rPr>
      </w:pPr>
    </w:p>
    <w:p>
      <w:pPr>
        <w:ind w:right="40" w:firstLine="509"/>
        <w:spacing w:after="0" w:line="303" w:lineRule="auto"/>
        <w:rPr>
          <w:sz w:val="20"/>
          <w:szCs w:val="20"/>
          <w:color w:val="auto"/>
        </w:rPr>
      </w:pPr>
      <w:r>
        <w:rPr>
          <w:rFonts w:ascii="Arial" w:cs="Arial" w:eastAsia="Arial" w:hAnsi="Arial"/>
          <w:sz w:val="16"/>
          <w:szCs w:val="16"/>
          <w:color w:val="231F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w:t>
      </w:r>
    </w:p>
    <w:p>
      <w:pPr>
        <w:spacing w:after="0" w:line="32" w:lineRule="exact"/>
        <w:rPr>
          <w:sz w:val="20"/>
          <w:szCs w:val="20"/>
          <w:color w:val="auto"/>
        </w:rPr>
      </w:pPr>
    </w:p>
    <w:p>
      <w:pPr>
        <w:ind w:right="180" w:firstLine="509"/>
        <w:spacing w:after="0" w:line="268" w:lineRule="auto"/>
        <w:rPr>
          <w:sz w:val="20"/>
          <w:szCs w:val="20"/>
          <w:color w:val="auto"/>
        </w:rPr>
      </w:pPr>
      <w:r>
        <w:rPr>
          <w:rFonts w:ascii="Arial" w:cs="Arial" w:eastAsia="Arial" w:hAnsi="Arial"/>
          <w:sz w:val="17"/>
          <w:szCs w:val="17"/>
          <w:color w:val="231F20"/>
        </w:rPr>
        <w:t>Our internal control over financial reporting will not prevent or detect all errors and all fraud or prevent material weaknesses from being identified in such reporting.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58" w:lineRule="exact"/>
        <w:rPr>
          <w:sz w:val="20"/>
          <w:szCs w:val="20"/>
          <w:color w:val="auto"/>
        </w:rPr>
      </w:pPr>
    </w:p>
    <w:p>
      <w:pPr>
        <w:ind w:right="20" w:firstLine="509"/>
        <w:spacing w:after="0" w:line="249" w:lineRule="auto"/>
        <w:rPr>
          <w:sz w:val="20"/>
          <w:szCs w:val="20"/>
          <w:color w:val="auto"/>
        </w:rPr>
      </w:pPr>
      <w:r>
        <w:rPr>
          <w:rFonts w:ascii="Arial" w:cs="Arial" w:eastAsia="Arial" w:hAnsi="Arial"/>
          <w:sz w:val="18"/>
          <w:szCs w:val="18"/>
          <w:color w:val="231F20"/>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be subject to securities litigation, which is expensive and could divert management attention.</w:t>
      </w:r>
    </w:p>
    <w:p>
      <w:pPr>
        <w:spacing w:after="0" w:line="104" w:lineRule="exact"/>
        <w:rPr>
          <w:sz w:val="20"/>
          <w:szCs w:val="20"/>
          <w:color w:val="auto"/>
        </w:rPr>
      </w:pPr>
    </w:p>
    <w:p>
      <w:pPr>
        <w:ind w:firstLine="509"/>
        <w:spacing w:after="0" w:line="268" w:lineRule="auto"/>
        <w:rPr>
          <w:sz w:val="20"/>
          <w:szCs w:val="20"/>
          <w:color w:val="auto"/>
        </w:rPr>
      </w:pPr>
      <w:r>
        <w:rPr>
          <w:rFonts w:ascii="Arial" w:cs="Arial" w:eastAsia="Arial" w:hAnsi="Arial"/>
          <w:sz w:val="17"/>
          <w:szCs w:val="17"/>
          <w:color w:val="231F20"/>
        </w:rPr>
        <w:t>The market price of our common stock may be volatile and, in the past, companies that have experienced volatility in the market price of their stock have been subject to securities class action litigation. This risk is especially relevant for us because biotechnology companies have experienced significant stock price volatility in recent years and we may be the target of this type of litigation in the future. Securities litigation against us could result in substantial costs and divert our management’s attention from other business concerns, which could seriously harm our business.</w:t>
      </w:r>
    </w:p>
    <w:p>
      <w:pPr>
        <w:spacing w:after="0" w:line="166" w:lineRule="exact"/>
        <w:rPr>
          <w:sz w:val="20"/>
          <w:szCs w:val="20"/>
          <w:color w:val="auto"/>
        </w:rPr>
      </w:pPr>
    </w:p>
    <w:p>
      <w:pPr>
        <w:spacing w:after="0" w:line="324" w:lineRule="auto"/>
        <w:rPr>
          <w:sz w:val="20"/>
          <w:szCs w:val="20"/>
          <w:color w:val="auto"/>
        </w:rPr>
      </w:pPr>
      <w:r>
        <w:rPr>
          <w:rFonts w:ascii="Arial" w:cs="Arial" w:eastAsia="Arial" w:hAnsi="Arial"/>
          <w:sz w:val="16"/>
          <w:szCs w:val="16"/>
          <w:b w:val="1"/>
          <w:bCs w:val="1"/>
          <w:i w:val="1"/>
          <w:iCs w:val="1"/>
          <w:color w:val="231F20"/>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30" w:lineRule="exact"/>
        <w:rPr>
          <w:sz w:val="20"/>
          <w:szCs w:val="20"/>
          <w:color w:val="auto"/>
        </w:rPr>
      </w:pPr>
    </w:p>
    <w:p>
      <w:pPr>
        <w:ind w:right="40" w:firstLine="509"/>
        <w:spacing w:after="0" w:line="263" w:lineRule="auto"/>
        <w:rPr>
          <w:sz w:val="20"/>
          <w:szCs w:val="20"/>
          <w:color w:val="auto"/>
        </w:rPr>
      </w:pPr>
      <w:r>
        <w:rPr>
          <w:rFonts w:ascii="Arial" w:cs="Arial" w:eastAsia="Arial" w:hAnsi="Arial"/>
          <w:sz w:val="17"/>
          <w:szCs w:val="17"/>
          <w:color w:val="231F20"/>
        </w:rPr>
        <w:t>Our amended and restated certificate of incorporation and amended and restated bylaws contain provisions that could depress the market price of our common stock by acting to discourage, delay or prevent a change in control of our company or changes in our management that the stockholders of our company may deem advantageous.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These provisions, among other things:</w:t>
      </w:r>
    </w:p>
    <w:p>
      <w:pPr>
        <w:spacing w:after="0" w:line="171" w:lineRule="exact"/>
        <w:rPr>
          <w:sz w:val="20"/>
          <w:szCs w:val="20"/>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establish a classified board of directors so that not all members of our board are elected at one time;</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permit only the board of directors to establish the number of directors and fill vacancies on the board;</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provide that directors may only be removed “for cause” and only with the approval of two-thirds of our stockholders;</w:t>
      </w:r>
    </w:p>
    <w:p>
      <w:pPr>
        <w:spacing w:after="0" w:line="117" w:lineRule="exact"/>
        <w:rPr>
          <w:rFonts w:ascii="Arial" w:cs="Arial" w:eastAsia="Arial" w:hAnsi="Arial"/>
          <w:sz w:val="13"/>
          <w:szCs w:val="13"/>
          <w:color w:val="auto"/>
        </w:rPr>
      </w:pPr>
    </w:p>
    <w:p>
      <w:pPr>
        <w:ind w:left="900" w:right="520" w:hanging="383"/>
        <w:spacing w:after="0" w:line="261"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authorize the issuance of “blank check” preferred stock that our board could use to implement a stockholder rights plan (also known as a poison pill);</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eliminate the ability of our stockholders to call special meetings of stockholders;</w:t>
      </w:r>
    </w:p>
    <w:p>
      <w:pPr>
        <w:spacing w:after="0" w:line="117"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prohibit stockholder action by written consent, which requires all stockholder actions to be taken at a meeting of our stockholders;</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prohibit cumulative voting;</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authorize our board of directors to amend the bylaws;</w:t>
      </w:r>
    </w:p>
    <w:p>
      <w:pPr>
        <w:spacing w:after="0" w:line="103" w:lineRule="exact"/>
        <w:rPr>
          <w:rFonts w:ascii="Arial" w:cs="Arial" w:eastAsia="Arial" w:hAnsi="Arial"/>
          <w:sz w:val="13"/>
          <w:szCs w:val="13"/>
          <w:color w:val="auto"/>
        </w:rPr>
      </w:pPr>
    </w:p>
    <w:p>
      <w:pPr>
        <w:ind w:left="900" w:right="20" w:hanging="383"/>
        <w:spacing w:after="0" w:line="277" w:lineRule="auto"/>
        <w:tabs>
          <w:tab w:leader="none" w:pos="900" w:val="left"/>
        </w:tabs>
        <w:numPr>
          <w:ilvl w:val="0"/>
          <w:numId w:val="54"/>
        </w:numPr>
        <w:rPr>
          <w:rFonts w:ascii="Arial" w:cs="Arial" w:eastAsia="Arial" w:hAnsi="Arial"/>
          <w:sz w:val="13"/>
          <w:szCs w:val="13"/>
          <w:color w:val="auto"/>
        </w:rPr>
      </w:pPr>
      <w:r>
        <w:rPr>
          <w:rFonts w:ascii="Arial" w:cs="Arial" w:eastAsia="Arial" w:hAnsi="Arial"/>
          <w:sz w:val="18"/>
          <w:szCs w:val="18"/>
          <w:color w:val="231F20"/>
        </w:rPr>
        <w:t>establish advance notice requirements for nominations for election to our board or for proposing matters that can be acted upon by stockholders at annual stockholder meetings;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1" w:name="page82"/>
    <w:bookmarkEnd w:id="81"/>
    <w:p>
      <w:pPr>
        <w:ind w:left="900" w:right="160" w:hanging="383"/>
        <w:spacing w:after="0" w:line="277" w:lineRule="auto"/>
        <w:tabs>
          <w:tab w:leader="none" w:pos="900" w:val="left"/>
        </w:tabs>
        <w:numPr>
          <w:ilvl w:val="0"/>
          <w:numId w:val="55"/>
        </w:numPr>
        <w:rPr>
          <w:rFonts w:ascii="Arial" w:cs="Arial" w:eastAsia="Arial" w:hAnsi="Arial"/>
          <w:sz w:val="13"/>
          <w:szCs w:val="13"/>
          <w:color w:val="auto"/>
        </w:rPr>
      </w:pPr>
      <w:r>
        <w:rPr>
          <w:rFonts w:ascii="Arial" w:cs="Arial" w:eastAsia="Arial" w:hAnsi="Arial"/>
          <w:sz w:val="18"/>
          <w:szCs w:val="18"/>
          <w:color w:val="231F20"/>
        </w:rPr>
        <w:t>require a super-majority vote of stockholders to amend or repeal specified provisions of our amended and restated certificate of incorporation and amended and restated bylaws.</w:t>
      </w:r>
    </w:p>
    <w:p>
      <w:pPr>
        <w:spacing w:after="0" w:line="49" w:lineRule="exact"/>
        <w:rPr>
          <w:sz w:val="20"/>
          <w:szCs w:val="20"/>
          <w:color w:val="auto"/>
        </w:rPr>
      </w:pPr>
    </w:p>
    <w:p>
      <w:pPr>
        <w:ind w:right="100" w:firstLine="509"/>
        <w:spacing w:after="0" w:line="249" w:lineRule="auto"/>
        <w:rPr>
          <w:sz w:val="20"/>
          <w:szCs w:val="20"/>
          <w:color w:val="auto"/>
        </w:rPr>
      </w:pPr>
      <w:r>
        <w:rPr>
          <w:rFonts w:ascii="Arial" w:cs="Arial" w:eastAsia="Arial" w:hAnsi="Arial"/>
          <w:sz w:val="18"/>
          <w:szCs w:val="18"/>
          <w:color w:val="231F20"/>
        </w:rPr>
        <w:t>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73"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231F20"/>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75"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b w:val="1"/>
          <w:bCs w:val="1"/>
          <w:i w:val="1"/>
          <w:iCs w:val="1"/>
          <w:color w:val="231F20"/>
        </w:rPr>
        <w:t>Our amended and restated bylaws provide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p>
    <w:p>
      <w:pPr>
        <w:spacing w:after="0" w:line="50" w:lineRule="exact"/>
        <w:rPr>
          <w:sz w:val="20"/>
          <w:szCs w:val="20"/>
          <w:color w:val="auto"/>
        </w:rPr>
      </w:pPr>
    </w:p>
    <w:p>
      <w:pPr>
        <w:ind w:right="180" w:firstLine="509"/>
        <w:spacing w:after="0" w:line="263" w:lineRule="auto"/>
        <w:rPr>
          <w:sz w:val="20"/>
          <w:szCs w:val="20"/>
          <w:color w:val="auto"/>
        </w:rPr>
      </w:pPr>
      <w:r>
        <w:rPr>
          <w:rFonts w:ascii="Arial" w:cs="Arial" w:eastAsia="Arial" w:hAnsi="Arial"/>
          <w:sz w:val="17"/>
          <w:szCs w:val="17"/>
          <w:color w:val="231F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71" w:lineRule="exact"/>
        <w:rPr>
          <w:sz w:val="20"/>
          <w:szCs w:val="20"/>
          <w:color w:val="auto"/>
        </w:rPr>
      </w:pPr>
    </w:p>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any derivative action or proceeding brought on our behalf;</w:t>
      </w:r>
    </w:p>
    <w:p>
      <w:pPr>
        <w:spacing w:after="0" w:line="103" w:lineRule="exact"/>
        <w:rPr>
          <w:rFonts w:ascii="Arial" w:cs="Arial" w:eastAsia="Arial" w:hAnsi="Arial"/>
          <w:sz w:val="13"/>
          <w:szCs w:val="13"/>
          <w:color w:val="auto"/>
        </w:rPr>
      </w:pPr>
    </w:p>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any action asserting a claim of breach of fiduciary duty;</w:t>
      </w:r>
    </w:p>
    <w:p>
      <w:pPr>
        <w:spacing w:after="0" w:line="117" w:lineRule="exact"/>
        <w:rPr>
          <w:rFonts w:ascii="Arial" w:cs="Arial" w:eastAsia="Arial" w:hAnsi="Arial"/>
          <w:sz w:val="13"/>
          <w:szCs w:val="13"/>
          <w:color w:val="auto"/>
        </w:rPr>
      </w:pPr>
    </w:p>
    <w:p>
      <w:pPr>
        <w:ind w:left="900" w:right="400" w:hanging="383"/>
        <w:spacing w:after="0" w:line="261" w:lineRule="auto"/>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any action asserting a claim against us arising under the DGCL, our amended and restated certificate of incorporation or our amended and restated bylaws; and</w:t>
      </w:r>
    </w:p>
    <w:p>
      <w:pPr>
        <w:spacing w:after="0" w:line="62" w:lineRule="exact"/>
        <w:rPr>
          <w:rFonts w:ascii="Arial" w:cs="Arial" w:eastAsia="Arial" w:hAnsi="Arial"/>
          <w:sz w:val="13"/>
          <w:szCs w:val="13"/>
          <w:color w:val="auto"/>
        </w:rPr>
      </w:pPr>
    </w:p>
    <w:p>
      <w:pPr>
        <w:ind w:left="900" w:hanging="383"/>
        <w:spacing w:after="0"/>
        <w:tabs>
          <w:tab w:leader="none" w:pos="900" w:val="left"/>
        </w:tabs>
        <w:numPr>
          <w:ilvl w:val="0"/>
          <w:numId w:val="56"/>
        </w:numPr>
        <w:rPr>
          <w:rFonts w:ascii="Arial" w:cs="Arial" w:eastAsia="Arial" w:hAnsi="Arial"/>
          <w:sz w:val="13"/>
          <w:szCs w:val="13"/>
          <w:color w:val="auto"/>
        </w:rPr>
      </w:pPr>
      <w:r>
        <w:rPr>
          <w:rFonts w:ascii="Arial" w:cs="Arial" w:eastAsia="Arial" w:hAnsi="Arial"/>
          <w:sz w:val="18"/>
          <w:szCs w:val="18"/>
          <w:color w:val="231F20"/>
        </w:rPr>
        <w:t>any action asserting a claim against us that is governed by the internal-affairs doctrine.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231F20"/>
        </w:rPr>
        <w:t>This provision would not apply to suits brought to enforce a duty or liability created by the Exchange Act or any other claim for which the 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231F20"/>
        </w:rPr>
        <w:t>federal courts have exclusive jurisdiction.</w:t>
      </w:r>
    </w:p>
    <w:p>
      <w:pPr>
        <w:spacing w:after="0" w:line="88"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Our amended and restated bylaws further provide that the federal district courts of the United States of America will be the exclusive forum for resolving any complaint asserting a cause of action arising under the Securities Act.</w:t>
      </w:r>
    </w:p>
    <w:p>
      <w:pPr>
        <w:spacing w:after="0" w:line="76"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231F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In addition, these exclusive-forum provisions may impose additional litigation costs for stockholders who determine to pursue any such lawsuits against us.</w:t>
      </w:r>
    </w:p>
    <w:p>
      <w:pPr>
        <w:spacing w:after="0" w:line="69" w:lineRule="exact"/>
        <w:rPr>
          <w:sz w:val="20"/>
          <w:szCs w:val="20"/>
          <w:color w:val="auto"/>
        </w:rPr>
      </w:pPr>
    </w:p>
    <w:p>
      <w:pPr>
        <w:ind w:right="20" w:firstLine="509"/>
        <w:spacing w:after="0" w:line="283" w:lineRule="auto"/>
        <w:rPr>
          <w:sz w:val="20"/>
          <w:szCs w:val="20"/>
          <w:color w:val="auto"/>
        </w:rPr>
      </w:pPr>
      <w:r>
        <w:rPr>
          <w:rFonts w:ascii="Arial" w:cs="Arial" w:eastAsia="Arial" w:hAnsi="Arial"/>
          <w:sz w:val="16"/>
          <w:szCs w:val="16"/>
          <w:color w:val="231F20"/>
        </w:rPr>
        <w:t>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20" w:right="8280" w:hanging="612"/>
        <w:spacing w:after="0" w:line="391" w:lineRule="auto"/>
        <w:tabs>
          <w:tab w:leader="none" w:pos="517"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w:t>
      </w:r>
      <w:r>
        <w:rPr>
          <w:rFonts w:ascii="Arial" w:cs="Arial" w:eastAsia="Arial" w:hAnsi="Arial"/>
          <w:sz w:val="18"/>
          <w:szCs w:val="18"/>
          <w:color w:val="auto"/>
        </w:rPr>
        <w:t>None.</w:t>
      </w:r>
    </w:p>
    <w:p>
      <w:pPr>
        <w:spacing w:after="0" w:line="54" w:lineRule="exact"/>
        <w:rPr>
          <w:rFonts w:ascii="Arial" w:cs="Arial" w:eastAsia="Arial" w:hAnsi="Arial"/>
          <w:sz w:val="18"/>
          <w:szCs w:val="18"/>
          <w:b w:val="1"/>
          <w:bCs w:val="1"/>
          <w:color w:val="auto"/>
        </w:rPr>
      </w:pPr>
    </w:p>
    <w:p>
      <w:pPr>
        <w:ind w:left="520" w:hanging="512"/>
        <w:spacing w:after="0"/>
        <w:tabs>
          <w:tab w:leader="none" w:pos="5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 from Public Offering of Common Stock</w:t>
      </w:r>
    </w:p>
    <w:p>
      <w:pPr>
        <w:spacing w:after="0" w:line="121"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The Registration Statement on Form S-1 (File No. 333-257820) was declared effective by the SEC for our IPO of common stock on July 29, 2021. There has been no material change in the planned use of proceeds from our public offering as described in our final prospectus filed with the SEC pursuant to Rule 424(b)(4) on July 30, 2021.</w:t>
      </w:r>
    </w:p>
    <w:p>
      <w:pPr>
        <w:spacing w:after="0" w:line="178" w:lineRule="exact"/>
        <w:rPr>
          <w:sz w:val="20"/>
          <w:szCs w:val="20"/>
          <w:color w:val="auto"/>
        </w:rPr>
      </w:pPr>
    </w:p>
    <w:p>
      <w:pPr>
        <w:ind w:left="520" w:right="7860" w:hanging="512"/>
        <w:spacing w:after="0" w:line="407" w:lineRule="auto"/>
        <w:tabs>
          <w:tab w:leader="none" w:pos="5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None.</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0"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920" w:type="dxa"/>
            <w:vAlign w:val="bottom"/>
          </w:tcPr>
          <w:p>
            <w:pPr>
              <w:ind w:left="620"/>
              <w:spacing w:after="0"/>
              <w:rPr>
                <w:sz w:val="20"/>
                <w:szCs w:val="20"/>
                <w:color w:val="auto"/>
              </w:rPr>
            </w:pPr>
            <w:r>
              <w:rPr>
                <w:rFonts w:ascii="Arial" w:cs="Arial" w:eastAsia="Arial" w:hAnsi="Arial"/>
                <w:sz w:val="18"/>
                <w:szCs w:val="18"/>
                <w:b w:val="1"/>
                <w:bCs w:val="1"/>
                <w:color w:val="auto"/>
              </w:rPr>
              <w:t>Exhibit</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gridSpan w:val="10"/>
            <w:vMerge w:val="restart"/>
          </w:tcPr>
          <w:p>
            <w:pPr>
              <w:ind w:left="400"/>
              <w:spacing w:after="0"/>
              <w:rPr>
                <w:sz w:val="20"/>
                <w:szCs w:val="20"/>
                <w:color w:val="auto"/>
              </w:rPr>
            </w:pPr>
            <w:r>
              <w:rPr>
                <w:rFonts w:ascii="Arial" w:cs="Arial" w:eastAsia="Arial" w:hAnsi="Arial"/>
                <w:sz w:val="18"/>
                <w:szCs w:val="18"/>
                <w:b w:val="1"/>
                <w:bCs w:val="1"/>
                <w:color w:val="auto"/>
              </w:rPr>
              <w:t>Description</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980" w:type="dxa"/>
            <w:vAlign w:val="bottom"/>
          </w:tcPr>
          <w:p>
            <w:pPr>
              <w:jc w:val="center"/>
              <w:ind w:left="114"/>
              <w:spacing w:after="0"/>
              <w:rPr>
                <w:sz w:val="20"/>
                <w:szCs w:val="20"/>
                <w:color w:val="auto"/>
              </w:rPr>
            </w:pPr>
            <w:r>
              <w:rPr>
                <w:rFonts w:ascii="Arial" w:cs="Arial" w:eastAsia="Arial" w:hAnsi="Arial"/>
                <w:sz w:val="18"/>
                <w:szCs w:val="18"/>
                <w:b w:val="1"/>
                <w:bCs w:val="1"/>
                <w:color w:val="auto"/>
                <w:w w:val="96"/>
              </w:rPr>
              <w:t>Exhibit</w:t>
            </w:r>
          </w:p>
        </w:tc>
        <w:tc>
          <w:tcPr>
            <w:tcW w:w="1220" w:type="dxa"/>
            <w:vAlign w:val="bottom"/>
          </w:tcPr>
          <w:p>
            <w:pPr>
              <w:jc w:val="right"/>
              <w:ind w:right="174"/>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Number</w:t>
            </w: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10"/>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920" w:type="dxa"/>
            <w:vAlign w:val="bottom"/>
          </w:tcPr>
          <w:p>
            <w:pPr>
              <w:ind w:left="20"/>
              <w:spacing w:after="0" w:line="142" w:lineRule="exact"/>
              <w:rPr>
                <w:sz w:val="20"/>
                <w:szCs w:val="20"/>
                <w:color w:val="auto"/>
              </w:rPr>
            </w:pPr>
            <w:r>
              <w:rPr>
                <w:rFonts w:ascii="Arial" w:cs="Arial" w:eastAsia="Arial" w:hAnsi="Arial"/>
                <w:sz w:val="16"/>
                <w:szCs w:val="16"/>
                <w:color w:val="auto"/>
              </w:rPr>
              <w:t>3.1</w:t>
            </w:r>
          </w:p>
        </w:tc>
        <w:tc>
          <w:tcPr>
            <w:tcW w:w="4560" w:type="dxa"/>
            <w:vAlign w:val="bottom"/>
            <w:gridSpan w:val="16"/>
          </w:tcPr>
          <w:p>
            <w:pPr>
              <w:spacing w:after="0" w:line="142" w:lineRule="exact"/>
              <w:rPr>
                <w:rFonts w:ascii="Arial" w:cs="Arial" w:eastAsia="Arial" w:hAnsi="Arial"/>
                <w:sz w:val="16"/>
                <w:szCs w:val="16"/>
                <w:color w:val="0000FF"/>
              </w:rPr>
            </w:pPr>
            <w:hyperlink r:id="rId257">
              <w:r>
                <w:rPr>
                  <w:rFonts w:ascii="Arial" w:cs="Arial" w:eastAsia="Arial" w:hAnsi="Arial"/>
                  <w:sz w:val="16"/>
                  <w:szCs w:val="16"/>
                  <w:color w:val="0000FF"/>
                </w:rPr>
                <w:t>Amended and Restated Certificate of Incorporation of Tenaya</w:t>
              </w:r>
            </w:hyperlink>
          </w:p>
        </w:tc>
        <w:tc>
          <w:tcPr>
            <w:tcW w:w="1100" w:type="dxa"/>
            <w:vAlign w:val="bottom"/>
          </w:tcPr>
          <w:p>
            <w:pPr>
              <w:jc w:val="center"/>
              <w:spacing w:after="0" w:line="142" w:lineRule="exact"/>
              <w:rPr>
                <w:sz w:val="20"/>
                <w:szCs w:val="20"/>
                <w:color w:val="auto"/>
              </w:rPr>
            </w:pPr>
            <w:r>
              <w:rPr>
                <w:rFonts w:ascii="Arial" w:cs="Arial" w:eastAsia="Arial" w:hAnsi="Arial"/>
                <w:sz w:val="16"/>
                <w:szCs w:val="16"/>
                <w:color w:val="auto"/>
              </w:rPr>
              <w:t>8-K</w:t>
            </w:r>
          </w:p>
        </w:tc>
        <w:tc>
          <w:tcPr>
            <w:tcW w:w="1460" w:type="dxa"/>
            <w:vAlign w:val="bottom"/>
          </w:tcPr>
          <w:p>
            <w:pPr>
              <w:jc w:val="center"/>
              <w:spacing w:after="0" w:line="142" w:lineRule="exact"/>
              <w:rPr>
                <w:sz w:val="20"/>
                <w:szCs w:val="20"/>
                <w:color w:val="auto"/>
              </w:rPr>
            </w:pPr>
            <w:r>
              <w:rPr>
                <w:rFonts w:ascii="Arial" w:cs="Arial" w:eastAsia="Arial" w:hAnsi="Arial"/>
                <w:sz w:val="16"/>
                <w:szCs w:val="16"/>
                <w:color w:val="auto"/>
              </w:rPr>
              <w:t>001-40656</w:t>
            </w:r>
          </w:p>
        </w:tc>
        <w:tc>
          <w:tcPr>
            <w:tcW w:w="980" w:type="dxa"/>
            <w:vAlign w:val="bottom"/>
          </w:tcPr>
          <w:p>
            <w:pPr>
              <w:jc w:val="center"/>
              <w:ind w:left="114"/>
              <w:spacing w:after="0" w:line="142" w:lineRule="exact"/>
              <w:rPr>
                <w:sz w:val="20"/>
                <w:szCs w:val="20"/>
                <w:color w:val="auto"/>
              </w:rPr>
            </w:pPr>
            <w:r>
              <w:rPr>
                <w:rFonts w:ascii="Arial" w:cs="Arial" w:eastAsia="Arial" w:hAnsi="Arial"/>
                <w:sz w:val="16"/>
                <w:szCs w:val="16"/>
                <w:color w:val="auto"/>
                <w:w w:val="98"/>
              </w:rPr>
              <w:t>3.1</w:t>
            </w:r>
          </w:p>
        </w:tc>
        <w:tc>
          <w:tcPr>
            <w:tcW w:w="1220" w:type="dxa"/>
            <w:vAlign w:val="bottom"/>
          </w:tcPr>
          <w:p>
            <w:pPr>
              <w:jc w:val="right"/>
              <w:ind w:right="154"/>
              <w:spacing w:after="0" w:line="142" w:lineRule="exact"/>
              <w:rPr>
                <w:sz w:val="20"/>
                <w:szCs w:val="20"/>
                <w:color w:val="auto"/>
              </w:rPr>
            </w:pPr>
            <w:r>
              <w:rPr>
                <w:rFonts w:ascii="Arial" w:cs="Arial" w:eastAsia="Arial" w:hAnsi="Arial"/>
                <w:sz w:val="16"/>
                <w:szCs w:val="16"/>
                <w:color w:val="auto"/>
              </w:rPr>
              <w:t>8-3-2021</w:t>
            </w: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30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89"/>
              </w:rPr>
            </w:pPr>
            <w:hyperlink r:id="rId257">
              <w:r>
                <w:rPr>
                  <w:rFonts w:ascii="Arial" w:cs="Arial" w:eastAsia="Arial" w:hAnsi="Arial"/>
                  <w:sz w:val="18"/>
                  <w:szCs w:val="18"/>
                  <w:color w:val="0000FF"/>
                  <w:w w:val="89"/>
                </w:rPr>
                <w:t>Therapeutics, Inc.</w:t>
              </w:r>
            </w:hyperlink>
          </w:p>
        </w:tc>
        <w:tc>
          <w:tcPr>
            <w:tcW w:w="20" w:type="dxa"/>
            <w:vAlign w:val="bottom"/>
            <w:tcBorders>
              <w:top w:val="single" w:sz="8" w:color="0000FF"/>
              <w:bottom w:val="single" w:sz="8" w:color="0000EE"/>
            </w:tcBorders>
          </w:tcPr>
          <w:p>
            <w:pPr>
              <w:spacing w:after="0"/>
              <w:rPr>
                <w:sz w:val="14"/>
                <w:szCs w:val="14"/>
                <w:color w:val="auto"/>
              </w:rPr>
            </w:pPr>
          </w:p>
        </w:tc>
        <w:tc>
          <w:tcPr>
            <w:tcW w:w="318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920" w:type="dxa"/>
            <w:vAlign w:val="bottom"/>
          </w:tcPr>
          <w:p>
            <w:pPr>
              <w:ind w:left="20"/>
              <w:spacing w:after="0"/>
              <w:rPr>
                <w:sz w:val="20"/>
                <w:szCs w:val="20"/>
                <w:color w:val="auto"/>
              </w:rPr>
            </w:pPr>
            <w:r>
              <w:rPr>
                <w:rFonts w:ascii="Arial" w:cs="Arial" w:eastAsia="Arial" w:hAnsi="Arial"/>
                <w:sz w:val="18"/>
                <w:szCs w:val="18"/>
                <w:color w:val="auto"/>
              </w:rPr>
              <w:t>3.2</w:t>
            </w:r>
          </w:p>
        </w:tc>
        <w:tc>
          <w:tcPr>
            <w:tcW w:w="4360" w:type="dxa"/>
            <w:vAlign w:val="bottom"/>
            <w:tcBorders>
              <w:bottom w:val="single" w:sz="8" w:color="0000FF"/>
            </w:tcBorders>
            <w:gridSpan w:val="10"/>
          </w:tcPr>
          <w:p>
            <w:pPr>
              <w:spacing w:after="0"/>
              <w:rPr>
                <w:rFonts w:ascii="Arial" w:cs="Arial" w:eastAsia="Arial" w:hAnsi="Arial"/>
                <w:sz w:val="18"/>
                <w:szCs w:val="18"/>
                <w:color w:val="0000FF"/>
                <w:w w:val="89"/>
              </w:rPr>
            </w:pPr>
            <w:hyperlink r:id="rId258">
              <w:r>
                <w:rPr>
                  <w:rFonts w:ascii="Arial" w:cs="Arial" w:eastAsia="Arial" w:hAnsi="Arial"/>
                  <w:sz w:val="18"/>
                  <w:szCs w:val="18"/>
                  <w:color w:val="0000FF"/>
                  <w:w w:val="89"/>
                </w:rPr>
                <w:t>Amended and Restated Bylaws of Tenaya Therapeutics, Inc.</w:t>
              </w:r>
            </w:hyperlink>
          </w:p>
        </w:tc>
        <w:tc>
          <w:tcPr>
            <w:tcW w:w="20" w:type="dxa"/>
            <w:vAlign w:val="bottom"/>
            <w:tcBorders>
              <w:bottom w:val="single" w:sz="8" w:color="0000EE"/>
            </w:tcBorders>
          </w:tcPr>
          <w:p>
            <w:pPr>
              <w:spacing w:after="0"/>
              <w:rPr>
                <w:sz w:val="24"/>
                <w:szCs w:val="24"/>
                <w:color w:val="auto"/>
              </w:rPr>
            </w:pPr>
          </w:p>
        </w:tc>
        <w:tc>
          <w:tcPr>
            <w:tcW w:w="180" w:type="dxa"/>
            <w:vAlign w:val="bottom"/>
            <w:gridSpan w:val="5"/>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001-40656</w:t>
            </w:r>
          </w:p>
        </w:tc>
        <w:tc>
          <w:tcPr>
            <w:tcW w:w="980" w:type="dxa"/>
            <w:vAlign w:val="bottom"/>
          </w:tcPr>
          <w:p>
            <w:pPr>
              <w:jc w:val="center"/>
              <w:ind w:left="114"/>
              <w:spacing w:after="0"/>
              <w:rPr>
                <w:sz w:val="20"/>
                <w:szCs w:val="20"/>
                <w:color w:val="auto"/>
              </w:rPr>
            </w:pPr>
            <w:r>
              <w:rPr>
                <w:rFonts w:ascii="Arial" w:cs="Arial" w:eastAsia="Arial" w:hAnsi="Arial"/>
                <w:sz w:val="18"/>
                <w:szCs w:val="18"/>
                <w:color w:val="auto"/>
                <w:w w:val="87"/>
              </w:rPr>
              <w:t>3.2</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8-3-2021</w:t>
            </w:r>
          </w:p>
        </w:tc>
        <w:tc>
          <w:tcPr>
            <w:tcW w:w="0" w:type="dxa"/>
            <w:vAlign w:val="bottom"/>
          </w:tcPr>
          <w:p>
            <w:pPr>
              <w:spacing w:after="0"/>
              <w:rPr>
                <w:sz w:val="1"/>
                <w:szCs w:val="1"/>
                <w:color w:val="auto"/>
              </w:rPr>
            </w:pPr>
          </w:p>
        </w:tc>
      </w:tr>
      <w:tr>
        <w:trPr>
          <w:trHeight w:val="304"/>
        </w:trPr>
        <w:tc>
          <w:tcPr>
            <w:tcW w:w="1920" w:type="dxa"/>
            <w:vAlign w:val="bottom"/>
          </w:tcPr>
          <w:p>
            <w:pPr>
              <w:ind w:left="20"/>
              <w:spacing w:after="0"/>
              <w:rPr>
                <w:sz w:val="20"/>
                <w:szCs w:val="20"/>
                <w:color w:val="auto"/>
              </w:rPr>
            </w:pPr>
            <w:r>
              <w:rPr>
                <w:rFonts w:ascii="Arial" w:cs="Arial" w:eastAsia="Arial" w:hAnsi="Arial"/>
                <w:sz w:val="18"/>
                <w:szCs w:val="18"/>
                <w:color w:val="auto"/>
              </w:rPr>
              <w:t>31.1*</w:t>
            </w:r>
          </w:p>
        </w:tc>
        <w:tc>
          <w:tcPr>
            <w:tcW w:w="4560" w:type="dxa"/>
            <w:vAlign w:val="bottom"/>
            <w:gridSpan w:val="16"/>
          </w:tcPr>
          <w:p>
            <w:pPr>
              <w:spacing w:after="0"/>
              <w:rPr>
                <w:sz w:val="20"/>
                <w:szCs w:val="20"/>
                <w:color w:val="auto"/>
              </w:rPr>
            </w:pPr>
            <w:r>
              <w:rPr>
                <w:rFonts w:ascii="Arial" w:cs="Arial" w:eastAsia="Arial" w:hAnsi="Arial"/>
                <w:sz w:val="18"/>
                <w:szCs w:val="18"/>
                <w:color w:val="0000FF"/>
                <w:w w:val="94"/>
              </w:rPr>
              <w:t>Certification of Principal Executive Officer Pursuant to Rules</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480" w:type="dxa"/>
            <w:vAlign w:val="bottom"/>
            <w:tcBorders>
              <w:top w:val="single" w:sz="8" w:color="0000FF"/>
              <w:bottom w:val="single" w:sz="8" w:color="0000FF"/>
            </w:tcBorders>
            <w:gridSpan w:val="13"/>
          </w:tcPr>
          <w:p>
            <w:pPr>
              <w:spacing w:after="0" w:line="169" w:lineRule="exact"/>
              <w:rPr>
                <w:sz w:val="20"/>
                <w:szCs w:val="20"/>
                <w:color w:val="auto"/>
              </w:rPr>
            </w:pPr>
            <w:r>
              <w:rPr>
                <w:rFonts w:ascii="Arial" w:cs="Arial" w:eastAsia="Arial" w:hAnsi="Arial"/>
                <w:sz w:val="18"/>
                <w:szCs w:val="18"/>
                <w:color w:val="0000FF"/>
                <w:w w:val="89"/>
              </w:rPr>
              <w:t>13a-14(a) and 15d-14(a) under the Securities Exchange Act of</w:t>
            </w:r>
          </w:p>
        </w:tc>
        <w:tc>
          <w:tcPr>
            <w:tcW w:w="6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540" w:type="dxa"/>
            <w:vAlign w:val="bottom"/>
            <w:gridSpan w:val="15"/>
          </w:tcPr>
          <w:p>
            <w:pPr>
              <w:spacing w:after="0" w:line="169" w:lineRule="exact"/>
              <w:rPr>
                <w:sz w:val="20"/>
                <w:szCs w:val="20"/>
                <w:color w:val="auto"/>
              </w:rPr>
            </w:pPr>
            <w:r>
              <w:rPr>
                <w:rFonts w:ascii="Arial" w:cs="Arial" w:eastAsia="Arial" w:hAnsi="Arial"/>
                <w:sz w:val="18"/>
                <w:szCs w:val="18"/>
                <w:color w:val="0000FF"/>
                <w:w w:val="94"/>
              </w:rPr>
              <w:t>1934, as Adopted Pursuant to Section 302 of the Sarbanes-</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20" w:type="dxa"/>
            <w:vAlign w:val="bottom"/>
            <w:tcBorders>
              <w:top w:val="single" w:sz="8" w:color="0000FF"/>
            </w:tcBorders>
            <w:gridSpan w:val="3"/>
          </w:tcPr>
          <w:p>
            <w:pPr>
              <w:spacing w:after="0"/>
              <w:rPr>
                <w:sz w:val="14"/>
                <w:szCs w:val="14"/>
                <w:color w:val="auto"/>
              </w:rPr>
            </w:pPr>
          </w:p>
        </w:tc>
        <w:tc>
          <w:tcPr>
            <w:tcW w:w="200" w:type="dxa"/>
            <w:vAlign w:val="bottom"/>
            <w:gridSpan w:val="3"/>
          </w:tcPr>
          <w:p>
            <w:pPr>
              <w:spacing w:after="0"/>
              <w:rPr>
                <w:sz w:val="14"/>
                <w:szCs w:val="14"/>
                <w:color w:val="auto"/>
              </w:rPr>
            </w:pPr>
          </w:p>
        </w:tc>
        <w:tc>
          <w:tcPr>
            <w:tcW w:w="120" w:type="dxa"/>
            <w:vAlign w:val="bottom"/>
            <w:gridSpan w:val="4"/>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920" w:type="dxa"/>
            <w:vAlign w:val="bottom"/>
          </w:tcPr>
          <w:p>
            <w:pPr>
              <w:ind w:left="20"/>
              <w:spacing w:after="0"/>
              <w:rPr>
                <w:sz w:val="20"/>
                <w:szCs w:val="20"/>
                <w:color w:val="auto"/>
              </w:rPr>
            </w:pPr>
            <w:r>
              <w:rPr>
                <w:rFonts w:ascii="Arial" w:cs="Arial" w:eastAsia="Arial" w:hAnsi="Arial"/>
                <w:sz w:val="18"/>
                <w:szCs w:val="18"/>
                <w:color w:val="auto"/>
              </w:rPr>
              <w:t>31.2*</w:t>
            </w:r>
          </w:p>
        </w:tc>
        <w:tc>
          <w:tcPr>
            <w:tcW w:w="44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3"/>
              </w:rPr>
              <w:t>Certification of Principal Financial Officer Pursuant to Rules</w:t>
            </w:r>
          </w:p>
        </w:tc>
        <w:tc>
          <w:tcPr>
            <w:tcW w:w="120" w:type="dxa"/>
            <w:vAlign w:val="bottom"/>
            <w:gridSpan w:val="4"/>
          </w:tcPr>
          <w:p>
            <w:pPr>
              <w:spacing w:after="0"/>
              <w:rPr>
                <w:sz w:val="24"/>
                <w:szCs w:val="24"/>
                <w:color w:val="auto"/>
              </w:rPr>
            </w:pP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560" w:type="dxa"/>
            <w:vAlign w:val="bottom"/>
            <w:gridSpan w:val="16"/>
          </w:tcPr>
          <w:p>
            <w:pPr>
              <w:spacing w:after="0" w:line="169" w:lineRule="exact"/>
              <w:rPr>
                <w:sz w:val="20"/>
                <w:szCs w:val="20"/>
                <w:color w:val="auto"/>
              </w:rPr>
            </w:pPr>
            <w:r>
              <w:rPr>
                <w:rFonts w:ascii="Arial" w:cs="Arial" w:eastAsia="Arial" w:hAnsi="Arial"/>
                <w:sz w:val="18"/>
                <w:szCs w:val="18"/>
                <w:color w:val="0000FF"/>
                <w:w w:val="91"/>
              </w:rPr>
              <w:t>13a-14(a) and 15d-14(a) under the Securities Exchange Act of</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54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w w:val="94"/>
              </w:rPr>
              <w:t>1934, as Adopted Pursuant to Section 302 of the Sarbanes-</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0" w:type="dxa"/>
            <w:vAlign w:val="bottom"/>
            <w:tcBorders>
              <w:top w:val="single" w:sz="8" w:color="0000FF"/>
              <w:bottom w:val="single" w:sz="8" w:color="0000FF"/>
            </w:tcBorders>
            <w:gridSpan w:val="5"/>
          </w:tcPr>
          <w:p>
            <w:pPr>
              <w:spacing w:after="0" w:line="169" w:lineRule="exact"/>
              <w:rPr>
                <w:sz w:val="20"/>
                <w:szCs w:val="20"/>
                <w:color w:val="auto"/>
              </w:rPr>
            </w:pPr>
            <w:r>
              <w:rPr>
                <w:rFonts w:ascii="Arial" w:cs="Arial" w:eastAsia="Arial" w:hAnsi="Arial"/>
                <w:sz w:val="18"/>
                <w:szCs w:val="18"/>
                <w:color w:val="0000FF"/>
                <w:w w:val="93"/>
              </w:rPr>
              <w:t>Oxley Act of 2002.</w:t>
            </w:r>
          </w:p>
        </w:tc>
        <w:tc>
          <w:tcPr>
            <w:tcW w:w="20" w:type="dxa"/>
            <w:vAlign w:val="bottom"/>
            <w:tcBorders>
              <w:top w:val="single" w:sz="8" w:color="0000FF"/>
              <w:bottom w:val="single" w:sz="8" w:color="0000EE"/>
            </w:tcBorders>
          </w:tcPr>
          <w:p>
            <w:pPr>
              <w:spacing w:after="0"/>
              <w:rPr>
                <w:sz w:val="14"/>
                <w:szCs w:val="14"/>
                <w:color w:val="auto"/>
              </w:rPr>
            </w:pPr>
          </w:p>
        </w:tc>
        <w:tc>
          <w:tcPr>
            <w:tcW w:w="2820" w:type="dxa"/>
            <w:vAlign w:val="bottom"/>
            <w:tcBorders>
              <w:top w:val="single" w:sz="8" w:color="0000FF"/>
            </w:tcBorders>
            <w:gridSpan w:val="3"/>
          </w:tcPr>
          <w:p>
            <w:pPr>
              <w:spacing w:after="0"/>
              <w:rPr>
                <w:sz w:val="14"/>
                <w:szCs w:val="14"/>
                <w:color w:val="auto"/>
              </w:rPr>
            </w:pPr>
          </w:p>
        </w:tc>
        <w:tc>
          <w:tcPr>
            <w:tcW w:w="320" w:type="dxa"/>
            <w:vAlign w:val="bottom"/>
            <w:gridSpan w:val="7"/>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920" w:type="dxa"/>
            <w:vAlign w:val="bottom"/>
          </w:tcPr>
          <w:p>
            <w:pPr>
              <w:ind w:left="20"/>
              <w:spacing w:after="0"/>
              <w:rPr>
                <w:sz w:val="20"/>
                <w:szCs w:val="20"/>
                <w:color w:val="auto"/>
              </w:rPr>
            </w:pPr>
            <w:r>
              <w:rPr>
                <w:rFonts w:ascii="Arial" w:cs="Arial" w:eastAsia="Arial" w:hAnsi="Arial"/>
                <w:sz w:val="18"/>
                <w:szCs w:val="18"/>
                <w:color w:val="auto"/>
              </w:rPr>
              <w:t>32.1†</w:t>
            </w:r>
          </w:p>
        </w:tc>
        <w:tc>
          <w:tcPr>
            <w:tcW w:w="4560" w:type="dxa"/>
            <w:vAlign w:val="bottom"/>
            <w:gridSpan w:val="16"/>
          </w:tcPr>
          <w:p>
            <w:pPr>
              <w:spacing w:after="0"/>
              <w:rPr>
                <w:sz w:val="20"/>
                <w:szCs w:val="20"/>
                <w:color w:val="auto"/>
              </w:rPr>
            </w:pPr>
            <w:r>
              <w:rPr>
                <w:rFonts w:ascii="Arial" w:cs="Arial" w:eastAsia="Arial" w:hAnsi="Arial"/>
                <w:sz w:val="18"/>
                <w:szCs w:val="18"/>
                <w:color w:val="0000FF"/>
              </w:rPr>
              <w:t>Certification of Principal Executive Officer and Principal</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18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8"/>
                <w:szCs w:val="18"/>
                <w:color w:val="0000FF"/>
                <w:w w:val="92"/>
              </w:rPr>
              <w:t>Financial Officer Pursuant to 18 U.S.C. Section 1350, as</w:t>
            </w:r>
          </w:p>
        </w:tc>
        <w:tc>
          <w:tcPr>
            <w:tcW w:w="380" w:type="dxa"/>
            <w:vAlign w:val="bottom"/>
            <w:gridSpan w:val="8"/>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12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1"/>
              </w:rPr>
              <w:t>Adopted Pursuant to Section 906 of the Sarbanes-Oxley</w:t>
            </w:r>
          </w:p>
        </w:tc>
        <w:tc>
          <w:tcPr>
            <w:tcW w:w="440" w:type="dxa"/>
            <w:vAlign w:val="bottom"/>
            <w:tcBorders>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1"/>
              </w:rPr>
              <w:t>Act of</w:t>
            </w: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2002.</w:t>
            </w:r>
          </w:p>
        </w:tc>
        <w:tc>
          <w:tcPr>
            <w:tcW w:w="20" w:type="dxa"/>
            <w:vAlign w:val="bottom"/>
            <w:tcBorders>
              <w:bottom w:val="single" w:sz="8" w:color="0000EE"/>
            </w:tcBorders>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1920" w:type="dxa"/>
            <w:vAlign w:val="bottom"/>
          </w:tcPr>
          <w:p>
            <w:pPr>
              <w:ind w:left="20"/>
              <w:spacing w:after="0"/>
              <w:rPr>
                <w:sz w:val="20"/>
                <w:szCs w:val="20"/>
                <w:color w:val="auto"/>
              </w:rPr>
            </w:pPr>
            <w:r>
              <w:rPr>
                <w:rFonts w:ascii="Arial" w:cs="Arial" w:eastAsia="Arial" w:hAnsi="Arial"/>
                <w:sz w:val="18"/>
                <w:szCs w:val="18"/>
                <w:color w:val="auto"/>
              </w:rPr>
              <w:t>101.INS*</w:t>
            </w:r>
          </w:p>
        </w:tc>
        <w:tc>
          <w:tcPr>
            <w:tcW w:w="4560" w:type="dxa"/>
            <w:vAlign w:val="bottom"/>
            <w:gridSpan w:val="16"/>
          </w:tcPr>
          <w:p>
            <w:pPr>
              <w:spacing w:after="0"/>
              <w:rPr>
                <w:sz w:val="20"/>
                <w:szCs w:val="20"/>
                <w:color w:val="auto"/>
              </w:rPr>
            </w:pPr>
            <w:r>
              <w:rPr>
                <w:rFonts w:ascii="Arial" w:cs="Arial" w:eastAsia="Arial" w:hAnsi="Arial"/>
                <w:sz w:val="18"/>
                <w:szCs w:val="18"/>
                <w:color w:val="auto"/>
                <w:w w:val="99"/>
              </w:rPr>
              <w:t>Inline XBRL Instance Document – the instance document</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4560" w:type="dxa"/>
            <w:vAlign w:val="bottom"/>
            <w:gridSpan w:val="16"/>
          </w:tcPr>
          <w:p>
            <w:pPr>
              <w:spacing w:after="0" w:line="189" w:lineRule="exact"/>
              <w:rPr>
                <w:sz w:val="20"/>
                <w:szCs w:val="20"/>
                <w:color w:val="auto"/>
              </w:rPr>
            </w:pPr>
            <w:r>
              <w:rPr>
                <w:rFonts w:ascii="Arial" w:cs="Arial" w:eastAsia="Arial" w:hAnsi="Arial"/>
                <w:sz w:val="18"/>
                <w:szCs w:val="18"/>
                <w:color w:val="auto"/>
                <w:w w:val="96"/>
              </w:rPr>
              <w:t>does not appear in the Interactive Data File because XBRL</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60" w:type="dxa"/>
            <w:vAlign w:val="bottom"/>
            <w:gridSpan w:val="16"/>
          </w:tcPr>
          <w:p>
            <w:pPr>
              <w:spacing w:after="0"/>
              <w:rPr>
                <w:sz w:val="20"/>
                <w:szCs w:val="20"/>
                <w:color w:val="auto"/>
              </w:rPr>
            </w:pPr>
            <w:r>
              <w:rPr>
                <w:rFonts w:ascii="Arial" w:cs="Arial" w:eastAsia="Arial" w:hAnsi="Arial"/>
                <w:sz w:val="18"/>
                <w:szCs w:val="18"/>
                <w:color w:val="auto"/>
              </w:rPr>
              <w:t>tags are embedded within the Inline XBRL document.</w:t>
            </w: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20" w:type="dxa"/>
            <w:vAlign w:val="bottom"/>
          </w:tcPr>
          <w:p>
            <w:pPr>
              <w:ind w:left="20"/>
              <w:spacing w:after="0"/>
              <w:rPr>
                <w:sz w:val="20"/>
                <w:szCs w:val="20"/>
                <w:color w:val="auto"/>
              </w:rPr>
            </w:pPr>
            <w:r>
              <w:rPr>
                <w:rFonts w:ascii="Arial" w:cs="Arial" w:eastAsia="Arial" w:hAnsi="Arial"/>
                <w:sz w:val="18"/>
                <w:szCs w:val="18"/>
                <w:color w:val="auto"/>
              </w:rPr>
              <w:t>101.SCH*</w:t>
            </w:r>
          </w:p>
        </w:tc>
        <w:tc>
          <w:tcPr>
            <w:tcW w:w="45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ind w:left="20"/>
              <w:spacing w:after="0"/>
              <w:rPr>
                <w:sz w:val="20"/>
                <w:szCs w:val="20"/>
                <w:color w:val="auto"/>
              </w:rPr>
            </w:pPr>
            <w:r>
              <w:rPr>
                <w:rFonts w:ascii="Arial" w:cs="Arial" w:eastAsia="Arial" w:hAnsi="Arial"/>
                <w:sz w:val="18"/>
                <w:szCs w:val="18"/>
                <w:color w:val="auto"/>
              </w:rPr>
              <w:t>101.CAL*</w:t>
            </w:r>
          </w:p>
        </w:tc>
        <w:tc>
          <w:tcPr>
            <w:tcW w:w="45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920" w:type="dxa"/>
            <w:vAlign w:val="bottom"/>
          </w:tcPr>
          <w:p>
            <w:pPr>
              <w:ind w:left="20"/>
              <w:spacing w:after="0"/>
              <w:rPr>
                <w:sz w:val="20"/>
                <w:szCs w:val="20"/>
                <w:color w:val="auto"/>
              </w:rPr>
            </w:pPr>
            <w:r>
              <w:rPr>
                <w:rFonts w:ascii="Arial" w:cs="Arial" w:eastAsia="Arial" w:hAnsi="Arial"/>
                <w:sz w:val="18"/>
                <w:szCs w:val="18"/>
                <w:color w:val="auto"/>
              </w:rPr>
              <w:t>101.DEF*</w:t>
            </w:r>
          </w:p>
        </w:tc>
        <w:tc>
          <w:tcPr>
            <w:tcW w:w="45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w:t>
            </w:r>
          </w:p>
        </w:tc>
        <w:tc>
          <w:tcPr>
            <w:tcW w:w="1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920" w:type="dxa"/>
            <w:vAlign w:val="bottom"/>
          </w:tcPr>
          <w:p>
            <w:pPr>
              <w:ind w:left="20"/>
              <w:spacing w:after="0"/>
              <w:rPr>
                <w:sz w:val="20"/>
                <w:szCs w:val="20"/>
                <w:color w:val="auto"/>
              </w:rPr>
            </w:pPr>
            <w:r>
              <w:rPr>
                <w:rFonts w:ascii="Arial" w:cs="Arial" w:eastAsia="Arial" w:hAnsi="Arial"/>
                <w:sz w:val="18"/>
                <w:szCs w:val="18"/>
                <w:color w:val="auto"/>
              </w:rPr>
              <w:t>101.LAB*</w:t>
            </w:r>
          </w:p>
        </w:tc>
        <w:tc>
          <w:tcPr>
            <w:tcW w:w="4560" w:type="dxa"/>
            <w:vAlign w:val="bottom"/>
            <w:gridSpan w:val="16"/>
          </w:tcPr>
          <w:p>
            <w:pPr>
              <w:spacing w:after="0"/>
              <w:rPr>
                <w:sz w:val="20"/>
                <w:szCs w:val="20"/>
                <w:color w:val="auto"/>
              </w:rPr>
            </w:pPr>
            <w:r>
              <w:rPr>
                <w:rFonts w:ascii="Arial" w:cs="Arial" w:eastAsia="Arial" w:hAnsi="Arial"/>
                <w:sz w:val="18"/>
                <w:szCs w:val="18"/>
                <w:color w:val="auto"/>
                <w:w w:val="94"/>
              </w:rPr>
              <w:t>Inline XBRL Taxonomy Extension Label Linkbase Document</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20" w:type="dxa"/>
            <w:vAlign w:val="bottom"/>
          </w:tcPr>
          <w:p>
            <w:pPr>
              <w:ind w:left="20"/>
              <w:spacing w:after="0"/>
              <w:rPr>
                <w:sz w:val="20"/>
                <w:szCs w:val="20"/>
                <w:color w:val="auto"/>
              </w:rPr>
            </w:pPr>
            <w:r>
              <w:rPr>
                <w:rFonts w:ascii="Arial" w:cs="Arial" w:eastAsia="Arial" w:hAnsi="Arial"/>
                <w:sz w:val="18"/>
                <w:szCs w:val="18"/>
                <w:color w:val="auto"/>
              </w:rPr>
              <w:t>101.PRE*</w:t>
            </w:r>
          </w:p>
        </w:tc>
        <w:tc>
          <w:tcPr>
            <w:tcW w:w="45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1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60" w:type="dxa"/>
            <w:vAlign w:val="bottom"/>
            <w:gridSpan w:val="16"/>
          </w:tcPr>
          <w:p>
            <w:pPr>
              <w:spacing w:after="0"/>
              <w:rPr>
                <w:sz w:val="20"/>
                <w:szCs w:val="20"/>
                <w:color w:val="auto"/>
              </w:rPr>
            </w:pPr>
            <w:r>
              <w:rPr>
                <w:rFonts w:ascii="Arial" w:cs="Arial" w:eastAsia="Arial" w:hAnsi="Arial"/>
                <w:sz w:val="18"/>
                <w:szCs w:val="18"/>
                <w:color w:val="auto"/>
              </w:rPr>
              <w:t>Document</w:t>
            </w: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1920" w:type="dxa"/>
            <w:vAlign w:val="bottom"/>
          </w:tcPr>
          <w:p>
            <w:pPr>
              <w:ind w:left="20"/>
              <w:spacing w:after="0"/>
              <w:rPr>
                <w:sz w:val="20"/>
                <w:szCs w:val="20"/>
                <w:color w:val="auto"/>
              </w:rPr>
            </w:pPr>
            <w:r>
              <w:rPr>
                <w:rFonts w:ascii="Arial" w:cs="Arial" w:eastAsia="Arial" w:hAnsi="Arial"/>
                <w:sz w:val="18"/>
                <w:szCs w:val="18"/>
                <w:color w:val="auto"/>
              </w:rPr>
              <w:t>104*</w:t>
            </w:r>
          </w:p>
        </w:tc>
        <w:tc>
          <w:tcPr>
            <w:tcW w:w="4560" w:type="dxa"/>
            <w:vAlign w:val="bottom"/>
            <w:gridSpan w:val="16"/>
          </w:tcPr>
          <w:p>
            <w:pPr>
              <w:spacing w:after="0"/>
              <w:rPr>
                <w:sz w:val="20"/>
                <w:szCs w:val="20"/>
                <w:color w:val="auto"/>
              </w:rPr>
            </w:pPr>
            <w:r>
              <w:rPr>
                <w:rFonts w:ascii="Arial" w:cs="Arial" w:eastAsia="Arial" w:hAnsi="Arial"/>
                <w:sz w:val="18"/>
                <w:szCs w:val="18"/>
                <w:color w:val="auto"/>
                <w:w w:val="96"/>
              </w:rPr>
              <w:t>Cover Page Interactive Data File (formatted as inline XBRL</w:t>
            </w:r>
          </w:p>
        </w:tc>
        <w:tc>
          <w:tcPr>
            <w:tcW w:w="1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920" w:type="dxa"/>
            <w:vAlign w:val="bottom"/>
          </w:tcPr>
          <w:p>
            <w:pPr>
              <w:spacing w:after="0"/>
              <w:rPr>
                <w:sz w:val="16"/>
                <w:szCs w:val="16"/>
                <w:color w:val="auto"/>
              </w:rPr>
            </w:pPr>
          </w:p>
        </w:tc>
        <w:tc>
          <w:tcPr>
            <w:tcW w:w="4560" w:type="dxa"/>
            <w:vAlign w:val="bottom"/>
            <w:gridSpan w:val="16"/>
          </w:tcPr>
          <w:p>
            <w:pPr>
              <w:spacing w:after="0" w:line="189" w:lineRule="exact"/>
              <w:rPr>
                <w:sz w:val="20"/>
                <w:szCs w:val="20"/>
                <w:color w:val="auto"/>
              </w:rPr>
            </w:pPr>
            <w:r>
              <w:rPr>
                <w:rFonts w:ascii="Arial" w:cs="Arial" w:eastAsia="Arial" w:hAnsi="Arial"/>
                <w:sz w:val="18"/>
                <w:szCs w:val="18"/>
                <w:color w:val="auto"/>
                <w:w w:val="94"/>
              </w:rPr>
              <w:t>with applicable taxonomy extension information contained in</w:t>
            </w:r>
          </w:p>
        </w:tc>
        <w:tc>
          <w:tcPr>
            <w:tcW w:w="1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20"/>
                <w:szCs w:val="20"/>
                <w:color w:val="auto"/>
              </w:rPr>
            </w:pPr>
          </w:p>
        </w:tc>
        <w:tc>
          <w:tcPr>
            <w:tcW w:w="4560" w:type="dxa"/>
            <w:vAlign w:val="bottom"/>
            <w:gridSpan w:val="16"/>
          </w:tcPr>
          <w:p>
            <w:pPr>
              <w:spacing w:after="0"/>
              <w:rPr>
                <w:sz w:val="20"/>
                <w:szCs w:val="20"/>
                <w:color w:val="auto"/>
              </w:rPr>
            </w:pPr>
            <w:r>
              <w:rPr>
                <w:rFonts w:ascii="Arial" w:cs="Arial" w:eastAsia="Arial" w:hAnsi="Arial"/>
                <w:sz w:val="18"/>
                <w:szCs w:val="18"/>
                <w:color w:val="auto"/>
              </w:rPr>
              <w:t>Exhibits 101)</w:t>
            </w:r>
          </w:p>
        </w:tc>
        <w:tc>
          <w:tcPr>
            <w:tcW w:w="1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right="1560" w:firstLine="8"/>
        <w:spacing w:after="0" w:line="262" w:lineRule="auto"/>
        <w:tabs>
          <w:tab w:leader="none" w:pos="13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certifications attached as Exhibit 32.1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580" w:type="dxa"/>
            <w:vAlign w:val="bottom"/>
            <w:gridSpan w:val="2"/>
          </w:tcPr>
          <w:p>
            <w:pPr>
              <w:ind w:left="2000"/>
              <w:spacing w:after="0"/>
              <w:rPr>
                <w:sz w:val="20"/>
                <w:szCs w:val="20"/>
                <w:color w:val="auto"/>
              </w:rPr>
            </w:pPr>
            <w:r>
              <w:rPr>
                <w:rFonts w:ascii="Arial" w:cs="Arial" w:eastAsia="Arial" w:hAnsi="Arial"/>
                <w:sz w:val="18"/>
                <w:szCs w:val="18"/>
                <w:color w:val="auto"/>
              </w:rPr>
              <w:t>Tenaya Therapeutics, Inc.</w:t>
            </w:r>
          </w:p>
        </w:tc>
      </w:tr>
      <w:tr>
        <w:trPr>
          <w:trHeight w:val="405"/>
        </w:trPr>
        <w:tc>
          <w:tcPr>
            <w:tcW w:w="3640" w:type="dxa"/>
            <w:vAlign w:val="bottom"/>
          </w:tcPr>
          <w:p>
            <w:pPr>
              <w:spacing w:after="0"/>
              <w:rPr>
                <w:sz w:val="20"/>
                <w:szCs w:val="20"/>
                <w:color w:val="auto"/>
              </w:rPr>
            </w:pPr>
            <w:r>
              <w:rPr>
                <w:rFonts w:ascii="Arial" w:cs="Arial" w:eastAsia="Arial" w:hAnsi="Arial"/>
                <w:sz w:val="18"/>
                <w:szCs w:val="18"/>
                <w:color w:val="auto"/>
              </w:rPr>
              <w:t>Date: August 10, 2022</w:t>
            </w:r>
          </w:p>
        </w:tc>
        <w:tc>
          <w:tcPr>
            <w:tcW w:w="2300" w:type="dxa"/>
            <w:vAlign w:val="bottom"/>
          </w:tcPr>
          <w:p>
            <w:pPr>
              <w:ind w:left="20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Faraz Ali, M.B.A.</w:t>
            </w:r>
          </w:p>
        </w:tc>
      </w:tr>
      <w:tr>
        <w:trPr>
          <w:trHeight w:val="168"/>
        </w:trPr>
        <w:tc>
          <w:tcPr>
            <w:tcW w:w="3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280" w:type="dxa"/>
            <w:vAlign w:val="bottom"/>
          </w:tcPr>
          <w:p>
            <w:pPr>
              <w:jc w:val="center"/>
              <w:spacing w:after="0" w:line="168" w:lineRule="exact"/>
              <w:rPr>
                <w:sz w:val="20"/>
                <w:szCs w:val="20"/>
                <w:color w:val="auto"/>
              </w:rPr>
            </w:pPr>
            <w:r>
              <w:rPr>
                <w:rFonts w:ascii="Arial" w:cs="Arial" w:eastAsia="Arial" w:hAnsi="Arial"/>
                <w:sz w:val="18"/>
                <w:szCs w:val="18"/>
                <w:color w:val="auto"/>
                <w:w w:val="97"/>
              </w:rPr>
              <w:t>Faraz Ali, M.B.A.</w:t>
            </w:r>
          </w:p>
        </w:tc>
      </w:tr>
      <w:tr>
        <w:trPr>
          <w:trHeight w:val="189"/>
        </w:trPr>
        <w:tc>
          <w:tcPr>
            <w:tcW w:w="36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Pr>
          <w:p>
            <w:pPr>
              <w:jc w:val="center"/>
              <w:spacing w:after="0" w:line="189" w:lineRule="exact"/>
              <w:rPr>
                <w:sz w:val="20"/>
                <w:szCs w:val="20"/>
                <w:color w:val="auto"/>
              </w:rPr>
            </w:pPr>
            <w:r>
              <w:rPr>
                <w:rFonts w:ascii="Arial" w:cs="Arial" w:eastAsia="Arial" w:hAnsi="Arial"/>
                <w:sz w:val="18"/>
                <w:szCs w:val="18"/>
                <w:color w:val="auto"/>
                <w:w w:val="93"/>
              </w:rPr>
              <w:t>Chief Executive Officer and Director</w:t>
            </w:r>
          </w:p>
        </w:tc>
      </w:tr>
      <w:tr>
        <w:trPr>
          <w:trHeight w:val="230"/>
        </w:trPr>
        <w:tc>
          <w:tcPr>
            <w:tcW w:w="36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405"/>
        </w:trPr>
        <w:tc>
          <w:tcPr>
            <w:tcW w:w="3640" w:type="dxa"/>
            <w:vAlign w:val="bottom"/>
          </w:tcPr>
          <w:p>
            <w:pPr>
              <w:spacing w:after="0"/>
              <w:rPr>
                <w:sz w:val="20"/>
                <w:szCs w:val="20"/>
                <w:color w:val="auto"/>
              </w:rPr>
            </w:pPr>
            <w:r>
              <w:rPr>
                <w:rFonts w:ascii="Arial" w:cs="Arial" w:eastAsia="Arial" w:hAnsi="Arial"/>
                <w:sz w:val="18"/>
                <w:szCs w:val="18"/>
                <w:color w:val="auto"/>
              </w:rPr>
              <w:t>Date: August 10, 2022</w:t>
            </w:r>
          </w:p>
        </w:tc>
        <w:tc>
          <w:tcPr>
            <w:tcW w:w="2300" w:type="dxa"/>
            <w:vAlign w:val="bottom"/>
          </w:tcPr>
          <w:p>
            <w:pPr>
              <w:ind w:left="2000"/>
              <w:spacing w:after="0"/>
              <w:rPr>
                <w:sz w:val="20"/>
                <w:szCs w:val="20"/>
                <w:color w:val="auto"/>
              </w:rPr>
            </w:pPr>
            <w:r>
              <w:rPr>
                <w:rFonts w:ascii="Arial" w:cs="Arial" w:eastAsia="Arial" w:hAnsi="Arial"/>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Leone D. Patterson, M.B.A.</w:t>
            </w:r>
          </w:p>
        </w:tc>
      </w:tr>
      <w:tr>
        <w:trPr>
          <w:trHeight w:val="168"/>
        </w:trPr>
        <w:tc>
          <w:tcPr>
            <w:tcW w:w="36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280" w:type="dxa"/>
            <w:vAlign w:val="bottom"/>
          </w:tcPr>
          <w:p>
            <w:pPr>
              <w:jc w:val="center"/>
              <w:spacing w:after="0" w:line="168" w:lineRule="exact"/>
              <w:rPr>
                <w:sz w:val="20"/>
                <w:szCs w:val="20"/>
                <w:color w:val="auto"/>
              </w:rPr>
            </w:pPr>
            <w:r>
              <w:rPr>
                <w:rFonts w:ascii="Arial" w:cs="Arial" w:eastAsia="Arial" w:hAnsi="Arial"/>
                <w:sz w:val="18"/>
                <w:szCs w:val="18"/>
                <w:color w:val="auto"/>
                <w:w w:val="92"/>
              </w:rPr>
              <w:t>Leone D. Patterson, M.B.A.</w:t>
            </w:r>
          </w:p>
        </w:tc>
      </w:tr>
      <w:tr>
        <w:trPr>
          <w:trHeight w:val="205"/>
        </w:trPr>
        <w:tc>
          <w:tcPr>
            <w:tcW w:w="36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5280" w:type="dxa"/>
            <w:vAlign w:val="bottom"/>
          </w:tcPr>
          <w:p>
            <w:pPr>
              <w:jc w:val="center"/>
              <w:spacing w:after="0" w:line="205" w:lineRule="exact"/>
              <w:rPr>
                <w:sz w:val="20"/>
                <w:szCs w:val="20"/>
                <w:color w:val="auto"/>
              </w:rPr>
            </w:pPr>
            <w:r>
              <w:rPr>
                <w:rFonts w:ascii="Arial" w:cs="Arial" w:eastAsia="Arial" w:hAnsi="Arial"/>
                <w:sz w:val="18"/>
                <w:szCs w:val="18"/>
                <w:color w:val="auto"/>
                <w:w w:val="92"/>
              </w:rPr>
              <w:t>Chief Financial and Business Officer</w:t>
            </w:r>
          </w:p>
        </w:tc>
      </w:tr>
    </w:tbl>
    <w:p>
      <w:pPr>
        <w:ind w:left="69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Faraz Ali, M.B.A., certify that:</w:t>
      </w:r>
    </w:p>
    <w:p>
      <w:pPr>
        <w:spacing w:after="0" w:line="225" w:lineRule="exact"/>
        <w:rPr>
          <w:sz w:val="20"/>
          <w:szCs w:val="20"/>
          <w:color w:val="auto"/>
        </w:rPr>
      </w:pPr>
    </w:p>
    <w:p>
      <w:pPr>
        <w:ind w:left="380" w:hanging="372"/>
        <w:spacing w:after="0"/>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11" w:lineRule="exact"/>
        <w:rPr>
          <w:rFonts w:ascii="Arial" w:cs="Arial" w:eastAsia="Arial" w:hAnsi="Arial"/>
          <w:sz w:val="18"/>
          <w:szCs w:val="18"/>
          <w:color w:val="auto"/>
        </w:rPr>
      </w:pPr>
    </w:p>
    <w:p>
      <w:pPr>
        <w:jc w:val="both"/>
        <w:ind w:left="380" w:right="360" w:hanging="372"/>
        <w:spacing w:after="0" w:line="248"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380" w:right="320" w:hanging="372"/>
        <w:spacing w:after="0" w:line="291"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60" w:hanging="372"/>
        <w:spacing w:after="0" w:line="277"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ind w:left="760" w:right="240" w:hanging="378"/>
        <w:spacing w:after="0" w:line="256"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60" w:right="720" w:hanging="378"/>
        <w:spacing w:after="0" w:line="324" w:lineRule="auto"/>
        <w:tabs>
          <w:tab w:leader="none" w:pos="760" w:val="left"/>
        </w:tabs>
        <w:numPr>
          <w:ilvl w:val="1"/>
          <w:numId w:val="6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240" w:hanging="378"/>
        <w:spacing w:after="0" w:line="248"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380" w:right="40" w:hanging="372"/>
        <w:spacing w:after="0" w:line="291" w:lineRule="auto"/>
        <w:tabs>
          <w:tab w:leader="none" w:pos="3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40" w:hanging="378"/>
        <w:spacing w:after="0" w:line="261"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760" w:right="100" w:hanging="378"/>
        <w:spacing w:after="0" w:line="261" w:lineRule="auto"/>
        <w:tabs>
          <w:tab w:leader="none" w:pos="7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6" w:name="page87"/>
    <w:bookmarkEnd w:id="86"/>
    <w:p>
      <w:pPr>
        <w:ind w:left="5980"/>
        <w:spacing w:after="0"/>
        <w:rPr>
          <w:sz w:val="20"/>
          <w:szCs w:val="20"/>
          <w:color w:val="auto"/>
        </w:rPr>
      </w:pPr>
      <w:r>
        <w:rPr>
          <w:rFonts w:ascii="Arial" w:cs="Arial" w:eastAsia="Arial" w:hAnsi="Arial"/>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ind w:left="59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Faraz Ali, M.B.A.</w:t>
            </w:r>
          </w:p>
        </w:tc>
      </w:tr>
      <w:tr>
        <w:trPr>
          <w:trHeight w:val="250"/>
        </w:trPr>
        <w:tc>
          <w:tcPr>
            <w:tcW w:w="6700" w:type="dxa"/>
            <w:vAlign w:val="bottom"/>
          </w:tcPr>
          <w:p>
            <w:pPr>
              <w:ind w:left="5980"/>
              <w:spacing w:after="0"/>
              <w:rPr>
                <w:sz w:val="20"/>
                <w:szCs w:val="20"/>
                <w:color w:val="auto"/>
              </w:rPr>
            </w:pPr>
            <w:r>
              <w:rPr>
                <w:rFonts w:ascii="Arial" w:cs="Arial" w:eastAsia="Arial" w:hAnsi="Arial"/>
                <w:sz w:val="18"/>
                <w:szCs w:val="18"/>
                <w:color w:val="auto"/>
              </w:rPr>
              <w:t>Name:</w:t>
            </w:r>
          </w:p>
        </w:tc>
        <w:tc>
          <w:tcPr>
            <w:tcW w:w="4540" w:type="dxa"/>
            <w:vAlign w:val="bottom"/>
          </w:tcPr>
          <w:p>
            <w:pPr>
              <w:ind w:left="40"/>
              <w:spacing w:after="0"/>
              <w:rPr>
                <w:sz w:val="20"/>
                <w:szCs w:val="20"/>
                <w:color w:val="auto"/>
              </w:rPr>
            </w:pPr>
            <w:r>
              <w:rPr>
                <w:rFonts w:ascii="Arial" w:cs="Arial" w:eastAsia="Arial" w:hAnsi="Arial"/>
                <w:sz w:val="18"/>
                <w:szCs w:val="18"/>
                <w:color w:val="auto"/>
              </w:rPr>
              <w:t>Faraz Ali, M.B.A.</w:t>
            </w:r>
          </w:p>
        </w:tc>
      </w:tr>
      <w:tr>
        <w:trPr>
          <w:trHeight w:val="229"/>
        </w:trPr>
        <w:tc>
          <w:tcPr>
            <w:tcW w:w="6700" w:type="dxa"/>
            <w:vAlign w:val="bottom"/>
          </w:tcPr>
          <w:p>
            <w:pPr>
              <w:ind w:left="59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w w:val="99"/>
              </w:rPr>
              <w:t xml:space="preserve">Chief Executive Officer and Director </w:t>
            </w:r>
            <w:r>
              <w:rPr>
                <w:rFonts w:ascii="Arial" w:cs="Arial" w:eastAsia="Arial" w:hAnsi="Arial"/>
                <w:sz w:val="18"/>
                <w:szCs w:val="18"/>
                <w:i w:val="1"/>
                <w:iCs w:val="1"/>
                <w:color w:val="auto"/>
                <w:w w:val="99"/>
              </w:rPr>
              <w:t>(Principal Executive</w:t>
            </w:r>
          </w:p>
        </w:tc>
      </w:tr>
      <w:tr>
        <w:trPr>
          <w:trHeight w:val="230"/>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Officer)</w:t>
            </w:r>
          </w:p>
        </w:tc>
      </w:tr>
      <w:tr>
        <w:trPr>
          <w:trHeight w:val="547"/>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w:t>
      </w:r>
    </w:p>
    <w:p>
      <w:pPr>
        <w:jc w:val="center"/>
        <w:ind w:right="-59"/>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jc w:val="center"/>
        <w:ind w:right="-5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Leone D. Patterson, M.B.A., certify that:</w:t>
      </w:r>
    </w:p>
    <w:p>
      <w:pPr>
        <w:spacing w:after="0" w:line="225" w:lineRule="exact"/>
        <w:rPr>
          <w:sz w:val="20"/>
          <w:szCs w:val="20"/>
          <w:color w:val="auto"/>
        </w:rPr>
      </w:pPr>
    </w:p>
    <w:p>
      <w:pPr>
        <w:ind w:left="380" w:hanging="372"/>
        <w:spacing w:after="0"/>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Tenaya Therapeutics, Inc.;</w:t>
      </w:r>
    </w:p>
    <w:p>
      <w:pPr>
        <w:spacing w:after="0" w:line="211" w:lineRule="exact"/>
        <w:rPr>
          <w:rFonts w:ascii="Arial" w:cs="Arial" w:eastAsia="Arial" w:hAnsi="Arial"/>
          <w:sz w:val="18"/>
          <w:szCs w:val="18"/>
          <w:color w:val="auto"/>
        </w:rPr>
      </w:pPr>
    </w:p>
    <w:p>
      <w:pPr>
        <w:jc w:val="both"/>
        <w:ind w:left="380" w:right="360" w:hanging="372"/>
        <w:spacing w:after="0" w:line="248"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left="380" w:right="320" w:hanging="372"/>
        <w:spacing w:after="0" w:line="291" w:lineRule="auto"/>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right="360" w:hanging="372"/>
        <w:spacing w:after="0" w:line="277" w:lineRule="auto"/>
        <w:tabs>
          <w:tab w:leader="none" w:pos="3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56" w:lineRule="exact"/>
        <w:rPr>
          <w:rFonts w:ascii="Arial" w:cs="Arial" w:eastAsia="Arial" w:hAnsi="Arial"/>
          <w:sz w:val="18"/>
          <w:szCs w:val="18"/>
          <w:color w:val="auto"/>
        </w:rPr>
      </w:pPr>
    </w:p>
    <w:p>
      <w:pPr>
        <w:ind w:left="760" w:right="240" w:hanging="378"/>
        <w:spacing w:after="0" w:line="256" w:lineRule="auto"/>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jc w:val="both"/>
        <w:ind w:left="760" w:right="720" w:hanging="378"/>
        <w:spacing w:after="0" w:line="324" w:lineRule="auto"/>
        <w:tabs>
          <w:tab w:leader="none" w:pos="760"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760" w:right="240" w:hanging="378"/>
        <w:spacing w:after="0" w:line="248" w:lineRule="auto"/>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5" w:lineRule="exact"/>
        <w:rPr>
          <w:rFonts w:ascii="Arial" w:cs="Arial" w:eastAsia="Arial" w:hAnsi="Arial"/>
          <w:sz w:val="18"/>
          <w:szCs w:val="18"/>
          <w:color w:val="auto"/>
        </w:rPr>
      </w:pPr>
    </w:p>
    <w:p>
      <w:pPr>
        <w:ind w:left="380" w:right="40" w:hanging="372"/>
        <w:spacing w:after="0" w:line="291" w:lineRule="auto"/>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60" w:right="140" w:hanging="378"/>
        <w:spacing w:after="0" w:line="261" w:lineRule="auto"/>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4" w:lineRule="exact"/>
        <w:rPr>
          <w:rFonts w:ascii="Arial" w:cs="Arial" w:eastAsia="Arial" w:hAnsi="Arial"/>
          <w:sz w:val="18"/>
          <w:szCs w:val="18"/>
          <w:color w:val="auto"/>
        </w:rPr>
      </w:pPr>
    </w:p>
    <w:p>
      <w:pPr>
        <w:ind w:left="760" w:right="100" w:hanging="378"/>
        <w:spacing w:after="0" w:line="261" w:lineRule="auto"/>
        <w:tabs>
          <w:tab w:leader="none" w:pos="76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88" w:name="page89"/>
    <w:bookmarkEnd w:id="88"/>
    <w:p>
      <w:pPr>
        <w:ind w:left="5980"/>
        <w:spacing w:after="0"/>
        <w:rPr>
          <w:sz w:val="20"/>
          <w:szCs w:val="20"/>
          <w:color w:val="auto"/>
        </w:rPr>
      </w:pPr>
      <w:r>
        <w:rPr>
          <w:rFonts w:ascii="Arial" w:cs="Arial" w:eastAsia="Arial" w:hAnsi="Arial"/>
          <w:sz w:val="18"/>
          <w:szCs w:val="18"/>
          <w:color w:val="auto"/>
        </w:rPr>
        <w:t>TENAYA THERAPEUTICS, INC.</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ind w:left="598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Leone D. Patterson, M.B.A.</w:t>
            </w:r>
          </w:p>
        </w:tc>
      </w:tr>
      <w:tr>
        <w:trPr>
          <w:trHeight w:val="250"/>
        </w:trPr>
        <w:tc>
          <w:tcPr>
            <w:tcW w:w="6700" w:type="dxa"/>
            <w:vAlign w:val="bottom"/>
          </w:tcPr>
          <w:p>
            <w:pPr>
              <w:ind w:left="5980"/>
              <w:spacing w:after="0"/>
              <w:rPr>
                <w:sz w:val="20"/>
                <w:szCs w:val="20"/>
                <w:color w:val="auto"/>
              </w:rPr>
            </w:pPr>
            <w:r>
              <w:rPr>
                <w:rFonts w:ascii="Arial" w:cs="Arial" w:eastAsia="Arial" w:hAnsi="Arial"/>
                <w:sz w:val="18"/>
                <w:szCs w:val="18"/>
                <w:color w:val="auto"/>
              </w:rPr>
              <w:t>Name:</w:t>
            </w:r>
          </w:p>
        </w:tc>
        <w:tc>
          <w:tcPr>
            <w:tcW w:w="4540" w:type="dxa"/>
            <w:vAlign w:val="bottom"/>
          </w:tcPr>
          <w:p>
            <w:pPr>
              <w:ind w:left="40"/>
              <w:spacing w:after="0"/>
              <w:rPr>
                <w:sz w:val="20"/>
                <w:szCs w:val="20"/>
                <w:color w:val="auto"/>
              </w:rPr>
            </w:pPr>
            <w:r>
              <w:rPr>
                <w:rFonts w:ascii="Arial" w:cs="Arial" w:eastAsia="Arial" w:hAnsi="Arial"/>
                <w:sz w:val="18"/>
                <w:szCs w:val="18"/>
                <w:color w:val="auto"/>
              </w:rPr>
              <w:t>Leone D. Patterson, M.B.A.</w:t>
            </w:r>
          </w:p>
        </w:tc>
      </w:tr>
      <w:tr>
        <w:trPr>
          <w:trHeight w:val="229"/>
        </w:trPr>
        <w:tc>
          <w:tcPr>
            <w:tcW w:w="6700" w:type="dxa"/>
            <w:vAlign w:val="bottom"/>
          </w:tcPr>
          <w:p>
            <w:pPr>
              <w:ind w:left="5980"/>
              <w:spacing w:after="0"/>
              <w:rPr>
                <w:sz w:val="20"/>
                <w:szCs w:val="20"/>
                <w:color w:val="auto"/>
              </w:rPr>
            </w:pPr>
            <w:r>
              <w:rPr>
                <w:rFonts w:ascii="Arial" w:cs="Arial" w:eastAsia="Arial" w:hAnsi="Arial"/>
                <w:sz w:val="18"/>
                <w:szCs w:val="18"/>
                <w:color w:val="auto"/>
              </w:rPr>
              <w:t>Title:</w:t>
            </w:r>
          </w:p>
        </w:tc>
        <w:tc>
          <w:tcPr>
            <w:tcW w:w="4540" w:type="dxa"/>
            <w:vAlign w:val="bottom"/>
          </w:tcPr>
          <w:p>
            <w:pPr>
              <w:ind w:left="40"/>
              <w:spacing w:after="0"/>
              <w:rPr>
                <w:sz w:val="20"/>
                <w:szCs w:val="20"/>
                <w:color w:val="auto"/>
              </w:rPr>
            </w:pPr>
            <w:r>
              <w:rPr>
                <w:rFonts w:ascii="Arial" w:cs="Arial" w:eastAsia="Arial" w:hAnsi="Arial"/>
                <w:sz w:val="18"/>
                <w:szCs w:val="18"/>
                <w:color w:val="auto"/>
              </w:rPr>
              <w:t>Chief Financial and Business Officer</w:t>
            </w:r>
          </w:p>
        </w:tc>
      </w:tr>
      <w:tr>
        <w:trPr>
          <w:trHeight w:val="230"/>
        </w:trPr>
        <w:tc>
          <w:tcPr>
            <w:tcW w:w="6700" w:type="dxa"/>
            <w:vAlign w:val="bottom"/>
          </w:tcPr>
          <w:p>
            <w:pPr>
              <w:spacing w:after="0"/>
              <w:rPr>
                <w:sz w:val="20"/>
                <w:szCs w:val="20"/>
                <w:color w:val="auto"/>
              </w:rPr>
            </w:pPr>
          </w:p>
        </w:tc>
        <w:tc>
          <w:tcPr>
            <w:tcW w:w="454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r>
        <w:trPr>
          <w:trHeight w:val="547"/>
        </w:trPr>
        <w:tc>
          <w:tcPr>
            <w:tcW w:w="670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32.1</w:t>
      </w:r>
    </w:p>
    <w:p>
      <w:pPr>
        <w:spacing w:after="0" w:line="203" w:lineRule="exact"/>
        <w:rPr>
          <w:sz w:val="20"/>
          <w:szCs w:val="20"/>
          <w:color w:val="auto"/>
        </w:rPr>
      </w:pPr>
    </w:p>
    <w:p>
      <w:pPr>
        <w:ind w:left="1920"/>
        <w:spacing w:after="0"/>
        <w:rPr>
          <w:sz w:val="20"/>
          <w:szCs w:val="20"/>
          <w:color w:val="auto"/>
        </w:rPr>
      </w:pPr>
      <w:r>
        <w:rPr>
          <w:rFonts w:ascii="Arial" w:cs="Arial" w:eastAsia="Arial" w:hAnsi="Arial"/>
          <w:sz w:val="16"/>
          <w:szCs w:val="16"/>
          <w:b w:val="1"/>
          <w:bCs w:val="1"/>
          <w:color w:val="auto"/>
        </w:rPr>
        <w:t>CERTIFICATIONS OF PRINCIPAL EXECUTIVE OFFICER AND PRINCIPAL FINANCIAL OFFICER</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6"/>
          <w:szCs w:val="16"/>
          <w:b w:val="1"/>
          <w:bCs w:val="1"/>
          <w:color w:val="auto"/>
        </w:rPr>
        <w:t>PURSUANT TO</w:t>
      </w:r>
    </w:p>
    <w:p>
      <w:pPr>
        <w:ind w:left="4720"/>
        <w:spacing w:after="0" w:line="235" w:lineRule="auto"/>
        <w:rPr>
          <w:sz w:val="20"/>
          <w:szCs w:val="20"/>
          <w:color w:val="auto"/>
        </w:rPr>
      </w:pPr>
      <w:r>
        <w:rPr>
          <w:rFonts w:ascii="Arial" w:cs="Arial" w:eastAsia="Arial" w:hAnsi="Arial"/>
          <w:sz w:val="16"/>
          <w:szCs w:val="16"/>
          <w:b w:val="1"/>
          <w:bCs w:val="1"/>
          <w:color w:val="auto"/>
        </w:rPr>
        <w:t>18 U.S.C. SECTION 1350,</w:t>
      </w: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 Faraz Ali, M.B.A., certify, pursuant to 18 U.S.C. Section 1350 as adopted pursuant to Section 906 of the Sarbanes-Oxley Act of 2002, that, (1) the Quarterly Report on Form 10-Q of Tenaya Therapeutics, Inc. for the quarterly period ended June 30, 2022, as filed with the Securities and Exchange Commission on the date hereof (the “Report”), fully complies with the requirements of Section 13(a) or 15(d) of the Securities Exchange Act of 1934 and</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(2) the information contained in the Report fairly presents, in all material respects, the financial condition and results of operations of the Company.</w:t>
      </w:r>
    </w:p>
    <w:p>
      <w:pPr>
        <w:spacing w:after="0" w:line="194"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Faraz Ali,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Faraz Ali, M.B.A.</w:t>
      </w:r>
    </w:p>
    <w:p>
      <w:pPr>
        <w:spacing w:after="0" w:line="3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Executive Officer and Director</w:t>
      </w:r>
    </w:p>
    <w:p>
      <w:pPr>
        <w:spacing w:after="0" w:line="21"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Executive Officer)</w:t>
      </w:r>
    </w:p>
    <w:p>
      <w:pPr>
        <w:ind w:left="6320"/>
        <w:spacing w:after="0"/>
        <w:rPr>
          <w:sz w:val="20"/>
          <w:szCs w:val="20"/>
          <w:color w:val="auto"/>
        </w:rPr>
      </w:pPr>
      <w:r>
        <w:rPr>
          <w:rFonts w:ascii="Arial" w:cs="Arial" w:eastAsia="Arial" w:hAnsi="Arial"/>
          <w:sz w:val="18"/>
          <w:szCs w:val="18"/>
          <w:color w:val="auto"/>
        </w:rPr>
        <w:t>Date: August 10, 2022</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 Leone D. Patterson, M.B.A., certify, pursuant to 18 U.S.C. Section 1350 as adopted pursuant to Section 906 of the Sarbanes-Oxley Act of 2002, that, (1) the Quarterly Report on Form 10-Q of Tenaya Therapeutics, Inc. for the quarterly period ended June 30, 2022, as filed with the Securities and Exchange Commission on the date hereof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150"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/s/ Leone D. Patterson,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Leone D. Patterson, M.B.A.</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and Business Officer</w:t>
      </w:r>
    </w:p>
    <w:p>
      <w:pPr>
        <w:spacing w:after="0" w:line="12"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Date: August 10,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1."/>
      <w:numFmt w:val="decimal"/>
      <w:start w:val="1"/>
    </w:lvl>
  </w:abstractNum>
  <w:abstractNum w:abstractNumId="4">
    <w:nsid w:val="4516DDE9"/>
    <w:multiLevelType w:val="hybridMultilevel"/>
    <w:lvl w:ilvl="0">
      <w:lvlJc w:val="left"/>
      <w:lvlText w:val="%1."/>
      <w:numFmt w:val="decimal"/>
      <w:start w:val="2"/>
    </w:lvl>
  </w:abstractNum>
  <w:abstractNum w:abstractNumId="5">
    <w:nsid w:val="3006C83E"/>
    <w:multiLevelType w:val="hybridMultilevel"/>
    <w:lvl w:ilvl="0">
      <w:lvlJc w:val="left"/>
      <w:lvlText w:val="%1."/>
      <w:numFmt w:val="decimal"/>
      <w:start w:val="3"/>
    </w:lvl>
  </w:abstractNum>
  <w:abstractNum w:abstractNumId="6">
    <w:nsid w:val="614FD4A1"/>
    <w:multiLevelType w:val="hybridMultilevel"/>
    <w:lvl w:ilvl="0">
      <w:lvlJc w:val="left"/>
      <w:lvlText w:val="%1."/>
      <w:numFmt w:val="decimal"/>
      <w:start w:val="5"/>
    </w:lvl>
  </w:abstractNum>
  <w:abstractNum w:abstractNumId="7">
    <w:nsid w:val="419AC241"/>
    <w:multiLevelType w:val="hybridMultilevel"/>
    <w:lvl w:ilvl="0">
      <w:lvlJc w:val="left"/>
      <w:lvlText w:val="%1."/>
      <w:numFmt w:val="decimal"/>
      <w:start w:val="6"/>
    </w:lvl>
  </w:abstractNum>
  <w:abstractNum w:abstractNumId="8">
    <w:nsid w:val="5577F8E1"/>
    <w:multiLevelType w:val="hybridMultilevel"/>
    <w:lvl w:ilvl="0">
      <w:lvlJc w:val="left"/>
      <w:lvlText w:val="%1."/>
      <w:numFmt w:val="decimal"/>
      <w:start w:val="7"/>
    </w:lvl>
  </w:abstractNum>
  <w:abstractNum w:abstractNumId="9">
    <w:nsid w:val="440BADFC"/>
    <w:multiLevelType w:val="hybridMultilevel"/>
    <w:lvl w:ilvl="0">
      <w:lvlJc w:val="left"/>
      <w:lvlText w:val="%1."/>
      <w:numFmt w:val="decimal"/>
      <w:start w:val="8"/>
    </w:lvl>
  </w:abstractNum>
  <w:abstractNum w:abstractNumId="10">
    <w:nsid w:val="5072367"/>
    <w:multiLevelType w:val="hybridMultilevel"/>
    <w:lvl w:ilvl="0">
      <w:lvlJc w:val="left"/>
      <w:lvlText w:val="%1."/>
      <w:numFmt w:val="decimal"/>
      <w:start w:val="9"/>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lvl w:ilvl="1">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
      <w:numFmt w:val="bullet"/>
      <w:start w:val="1"/>
    </w:lvl>
  </w:abstractNum>
  <w:abstractNum w:abstractNumId="51">
    <w:nsid w:val="39386575"/>
    <w:multiLevelType w:val="hybridMultilevel"/>
    <w:lvl w:ilvl="0">
      <w:lvlJc w:val="left"/>
      <w:lvlText w:val="•"/>
      <w:numFmt w:val="bullet"/>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lowerLetter"/>
      <w:start w:val="1"/>
    </w:lvl>
  </w:abstractNum>
  <w:abstractNum w:abstractNumId="57">
    <w:nsid w:val="15B5AF5C"/>
    <w:multiLevelType w:val="hybridMultilevel"/>
    <w:lvl w:ilvl="0">
      <w:lvlJc w:val="left"/>
      <w:lvlText w:val="(%1)"/>
      <w:numFmt w:val="lowerLetter"/>
      <w:start w:val="3"/>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1."/>
      <w:numFmt w:val="decimal"/>
      <w:start w:val="1"/>
    </w:lvl>
    <w:lvl w:ilvl="1">
      <w:lvlJc w:val="left"/>
      <w:lvlText w:val="(%2)"/>
      <w:numFmt w:val="lowerLetter"/>
      <w:start w:val="1"/>
    </w:lvl>
  </w:abstractNum>
  <w:abstractNum w:abstractNumId="60">
    <w:nsid w:val="10233C9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57" Type="http://schemas.openxmlformats.org/officeDocument/2006/relationships/hyperlink" Target="https://www.sec.gov/Archives/edgar/data/1858848/000119312521235079/d193163dex31.htm" TargetMode="External"/><Relationship Id="rId258" Type="http://schemas.openxmlformats.org/officeDocument/2006/relationships/hyperlink" Target="https://www.sec.gov/Archives/edgar/data/1858848/000119312521235079/d19316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2022-08-10T15:57:48Z</dcterms:created>
  <dcterms:modified xsi:type="dcterms:W3CDTF">2022-08-10T15:57:48Z</dcterms:modified>
</cp:coreProperties>
</file>