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ya-20231231.htm"/>
      <w:bookmarkStart w:id="1" w:name="kstnya20231231"/>
      <w:bookmarkEnd w:id="0"/>
      <w:bookmarkEnd w:id="1"/>
      <w:r>
        <w:rPr/>
        <w:t> </w:t>
      </w:r>
    </w:p>
    <w:p>
      <w:pPr>
        <w:pStyle w:val="TextBody"/>
        <w:pBdr>
          <w:top w:val="double" w:sz="6" w:space="1" w:color="000000"/>
        </w:pBdr>
        <w:bidi w:val="0"/>
        <w:jc w:val="left"/>
        <w:rPr>
          <w:rFonts w:ascii="Times New Roman" w:hAnsi="Times New Roman"/>
          <w:sz w:val="20"/>
        </w:rPr>
      </w:pPr>
      <w:r>
        <w:rPr>
          <w:rFonts w:ascii="Times New Roman" w:hAnsi="Times New Roman"/>
          <w:color w:val="000000"/>
          <w:sz w:val="6"/>
        </w:rPr>
        <w:t>A</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FROM___________TO___________</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001-40656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TENAYA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277" w:type="dxa"/>
        <w:jc w:val="left"/>
        <w:tblInd w:w="0" w:type="dxa"/>
        <w:tblLayout w:type="fixed"/>
        <w:tblCellMar>
          <w:top w:w="28" w:type="dxa"/>
          <w:left w:w="28" w:type="dxa"/>
          <w:bottom w:w="28" w:type="dxa"/>
          <w:right w:w="28" w:type="dxa"/>
        </w:tblCellMar>
      </w:tblPr>
      <w:tblGrid>
        <w:gridCol w:w="3031"/>
        <w:gridCol w:w="124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81-3789973</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171 Oyster Point Boulevard, Suite 500</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Registrant’s telephone number, including area code: (650) 825-6990</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2611"/>
        <w:gridCol w:w="146"/>
        <w:gridCol w:w="706"/>
        <w:gridCol w:w="146"/>
        <w:gridCol w:w="270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611"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$0.0001 par value per share</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TNYA</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000000"/>
          <w:sz w:val="14"/>
        </w:rPr>
        <w:br/>
      </w:r>
      <w:r>
        <w:rPr>
          <w:rFonts w:ascii="Times New Roman" w:hAnsi="Times New Roman"/>
          <w:color w:val="000000"/>
          <w:sz w:val="20"/>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b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voting and non-voting common equity held by non-affiliates of the Registrant, based on the closing price of the shares of common stock on the Nasdaq Global Select Stock Market on June 30, 2023 was approximately $271.5</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number of shares of Registrant’s Common Stock outstanding as of March 1, 2024 was 78,516,142.</w:t>
      </w:r>
      <w:r>
        <w:rPr>
          <w:rFonts w:ascii="Times New Roman" w:hAnsi="Times New Roman"/>
          <w:color w:val="000000"/>
          <w:sz w:val="20"/>
        </w:rPr>
        <w:t xml:space="preserve"> </w:t>
      </w:r>
    </w:p>
    <w:p>
      <w:pPr>
        <w:pStyle w:val="TextBody"/>
        <w:bidi w:val="0"/>
        <w:spacing w:before="60" w:after="283"/>
        <w:jc w:val="center"/>
        <w:rPr>
          <w:rFonts w:ascii="Times New Roman" w:hAnsi="Times New Roman"/>
          <w:color w:val="000000"/>
          <w:sz w:val="14"/>
        </w:rPr>
      </w:pPr>
      <w:r>
        <w:rPr>
          <w:rFonts w:ascii="Times New Roman" w:hAnsi="Times New Roman"/>
          <w:color w:val="000000"/>
          <w:sz w:val="14"/>
        </w:rPr>
        <w:t>DOCUMENTS INCORPORATED BY REFERENCE</w:t>
      </w:r>
    </w:p>
    <w:p>
      <w:pPr>
        <w:pStyle w:val="TextBody"/>
        <w:bidi w:val="0"/>
        <w:jc w:val="left"/>
        <w:rPr>
          <w:rFonts w:ascii="Times New Roman" w:hAnsi="Times New Roman"/>
          <w:sz w:val="20"/>
        </w:rPr>
      </w:pPr>
      <w:r>
        <w:rPr>
          <w:rFonts w:ascii="Times New Roman" w:hAnsi="Times New Roman"/>
          <w:color w:val="000000"/>
          <w:sz w:val="14"/>
        </w:rPr>
        <w:t>Portions of the definitive proxy statement for the Registrant’s 2023 Annual Meeting of Stockholders are incorporated by reference in Part III of this Form 10-K. Such definitive proxy statement</w:t>
      </w:r>
      <w:r>
        <w:rPr>
          <w:rFonts w:ascii="Times New Roman" w:hAnsi="Times New Roman"/>
          <w:color w:val="000000"/>
          <w:sz w:val="20"/>
        </w:rPr>
        <w:t xml:space="preserve"> </w:t>
      </w:r>
      <w:r>
        <w:rPr>
          <w:rFonts w:ascii="Times New Roman" w:hAnsi="Times New Roman"/>
          <w:color w:val="000000"/>
          <w:sz w:val="14"/>
        </w:rPr>
        <w:t>will be filed with the Securities and Exchange Commission within 120 days after the end of the Registrant’s 2023 fiscal year ended December 31, 2023.</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1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36"/>
        <w:gridCol w:w="8658"/>
        <w:gridCol w:w="611"/>
      </w:tblGrid>
      <w:tr>
        <w:trPr/>
        <w:tc>
          <w:tcPr>
            <w:tcW w:w="936"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1_1">
              <w:r>
                <w:rPr>
                  <w:rStyle w:val="InternetLink"/>
                  <w:rFonts w:ascii="Times New Roman" w:hAnsi="Times New Roman"/>
                  <w:color w:val="0000FF"/>
                  <w:sz w:val="20"/>
                  <w:u w:val="single"/>
                </w:rPr>
                <w:t>Business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
              <w:r>
                <w:rPr>
                  <w:rStyle w:val="InternetLink"/>
                  <w:rFonts w:ascii="Times New Roman" w:hAnsi="Times New Roman"/>
                  <w:color w:val="0000FF"/>
                  <w:sz w:val="20"/>
                  <w:u w:val="single"/>
                </w:rPr>
                <w:t>Unresolved Staff Comments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c">
              <w:r>
                <w:rPr>
                  <w:rStyle w:val="InternetLink"/>
                  <w:rFonts w:ascii="Times New Roman" w:hAnsi="Times New Roman"/>
                  <w:color w:val="0000FF"/>
                  <w:sz w:val="20"/>
                  <w:u w:val="single"/>
                </w:rPr>
                <w:t>Cybersecurity</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
              <w:r>
                <w:rPr>
                  <w:rStyle w:val="InternetLink"/>
                  <w:rFonts w:ascii="Times New Roman" w:hAnsi="Times New Roman"/>
                  <w:color w:val="0000FF"/>
                  <w:sz w:val="20"/>
                  <w:u w:val="single"/>
                </w:rPr>
                <w:t>Properties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
              <w:r>
                <w:rPr>
                  <w:rStyle w:val="InternetLink"/>
                  <w:rFonts w:ascii="Times New Roman" w:hAnsi="Times New Roman"/>
                  <w:color w:val="0000FF"/>
                  <w:sz w:val="20"/>
                  <w:u w:val="single"/>
                </w:rPr>
                <w:t>Legal Proceedings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
              <w:r>
                <w:rPr>
                  <w:rStyle w:val="InternetLink"/>
                  <w:rFonts w:ascii="Times New Roman" w:hAnsi="Times New Roman"/>
                  <w:color w:val="0000FF"/>
                  <w:sz w:val="20"/>
                  <w:u w:val="single"/>
                </w:rPr>
                <w:t>Mine Safety Disclosures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
              <w:r>
                <w:rPr>
                  <w:rStyle w:val="InternetLink"/>
                  <w:rFonts w:ascii="Times New Roman" w:hAnsi="Times New Roman"/>
                  <w:b/>
                  <w:color w:val="0000FF"/>
                  <w:sz w:val="20"/>
                  <w:u w:val="single"/>
                </w:rPr>
                <w:t>PART II</w:t>
              </w:r>
            </w:hyperlink>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_">
              <w:r>
                <w:rPr>
                  <w:rStyle w:val="InternetLink"/>
                  <w:rFonts w:ascii="Times New Roman" w:hAnsi="Times New Roman"/>
                  <w:color w:val="0000FF"/>
                  <w:sz w:val="20"/>
                  <w:u w:val="single"/>
                </w:rPr>
                <w:t>Reserved</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
              <w:r>
                <w:rPr>
                  <w:rStyle w:val="InternetLink"/>
                  <w:rFonts w:ascii="Times New Roman" w:hAnsi="Times New Roman"/>
                  <w:color w:val="0000FF"/>
                  <w:sz w:val="20"/>
                  <w:u w:val="single"/>
                </w:rPr>
                <w:t>Management’s Discussion and Analysis of Financial Condition and Results of Operations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a">
              <w:r>
                <w:rPr>
                  <w:rStyle w:val="InternetLink"/>
                  <w:rFonts w:ascii="Times New Roman" w:hAnsi="Times New Roman"/>
                  <w:color w:val="0000FF"/>
                  <w:sz w:val="20"/>
                  <w:u w:val="single"/>
                </w:rPr>
                <w:t>Quantitative and Qualitative Disclosures About Market Risk</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8">
              <w:r>
                <w:rPr>
                  <w:rStyle w:val="InternetLink"/>
                  <w:rFonts w:ascii="Times New Roman" w:hAnsi="Times New Roman"/>
                  <w:color w:val="0000FF"/>
                  <w:sz w:val="20"/>
                  <w:u w:val="single"/>
                </w:rPr>
                <w:t>Financial Statements and Supplementary Data</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disagreements_account_financial_">
              <w:r>
                <w:rPr>
                  <w:rStyle w:val="InternetLink"/>
                  <w:rFonts w:ascii="Times New Roman" w:hAnsi="Times New Roman"/>
                  <w:color w:val="0000FF"/>
                  <w:sz w:val="20"/>
                  <w:u w:val="single"/>
                </w:rPr>
                <w:t>Changes in and Disagreements with Accountants on Accounting and Financial Disclosure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_and_procedure_">
              <w:r>
                <w:rPr>
                  <w:rStyle w:val="InternetLink"/>
                  <w:rFonts w:ascii="Times New Roman" w:hAnsi="Times New Roman"/>
                  <w:color w:val="0000FF"/>
                  <w:sz w:val="20"/>
                  <w:u w:val="single"/>
                </w:rPr>
                <w:t>Controls and Procedures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_">
              <w:r>
                <w:rPr>
                  <w:rStyle w:val="InternetLink"/>
                  <w:rFonts w:ascii="Times New Roman" w:hAnsi="Times New Roman"/>
                  <w:color w:val="0000FF"/>
                  <w:sz w:val="20"/>
                  <w:u w:val="single"/>
                </w:rPr>
                <w:t>Other Information</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120</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Item 9C.</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
              <w:r>
                <w:rPr>
                  <w:rStyle w:val="InternetLink"/>
                  <w:rFonts w:ascii="Times New Roman" w:hAnsi="Times New Roman"/>
                  <w:color w:val="0000FF"/>
                  <w:sz w:val="20"/>
                  <w:u w:val="single"/>
                </w:rPr>
                <w:t>Disclosure Regarding Foreign Jurisdictions that Prevent Inspections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_">
              <w:r>
                <w:rPr>
                  <w:rStyle w:val="InternetLink"/>
                  <w:rFonts w:ascii="Times New Roman" w:hAnsi="Times New Roman"/>
                  <w:b/>
                  <w:color w:val="0000FF"/>
                  <w:sz w:val="20"/>
                  <w:u w:val="single"/>
                </w:rPr>
                <w:t>PART III</w:t>
              </w:r>
            </w:hyperlink>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ectors_executive_officers_">
              <w:r>
                <w:rPr>
                  <w:rStyle w:val="InternetLink"/>
                  <w:rFonts w:ascii="Times New Roman" w:hAnsi="Times New Roman"/>
                  <w:color w:val="0000FF"/>
                  <w:sz w:val="20"/>
                  <w:u w:val="single"/>
                </w:rPr>
                <w:t>Directors, Executive Officers and Corporate Governance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_">
              <w:r>
                <w:rPr>
                  <w:rStyle w:val="InternetLink"/>
                  <w:rFonts w:ascii="Times New Roman" w:hAnsi="Times New Roman"/>
                  <w:color w:val="0000FF"/>
                  <w:sz w:val="20"/>
                  <w:u w:val="single"/>
                </w:rPr>
                <w:t>Executive Compensation</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_certain_beneficial_owner_">
              <w:r>
                <w:rPr>
                  <w:rStyle w:val="InternetLink"/>
                  <w:rFonts w:ascii="Times New Roman" w:hAnsi="Times New Roman"/>
                  <w:color w:val="0000FF"/>
                  <w:sz w:val="20"/>
                  <w:u w:val="single"/>
                </w:rPr>
                <w:t>Security Ownership of Certain Beneficial Owners and Management and Related Stockholder Matters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ertain_relationship_related_trans_">
              <w:r>
                <w:rPr>
                  <w:rStyle w:val="InternetLink"/>
                  <w:rFonts w:ascii="Times New Roman" w:hAnsi="Times New Roman"/>
                  <w:color w:val="0000FF"/>
                  <w:sz w:val="20"/>
                  <w:u w:val="single"/>
                </w:rPr>
                <w:t>Certain Relationships and Related Transactions, and Director Independence</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incipal_accounting_fees_">
              <w:r>
                <w:rPr>
                  <w:rStyle w:val="InternetLink"/>
                  <w:rFonts w:ascii="Times New Roman" w:hAnsi="Times New Roman"/>
                  <w:color w:val="0000FF"/>
                  <w:sz w:val="20"/>
                  <w:u w:val="single"/>
                </w:rPr>
                <w:t>Principal Accounting Fees and Services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
              <w:r>
                <w:rPr>
                  <w:rStyle w:val="InternetLink"/>
                  <w:rFonts w:ascii="Times New Roman" w:hAnsi="Times New Roman"/>
                  <w:b/>
                  <w:color w:val="0000FF"/>
                  <w:sz w:val="20"/>
                  <w:u w:val="single"/>
                </w:rPr>
                <w:t>PART IV</w:t>
              </w:r>
            </w:hyperlink>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_financial_statement_schedule_">
              <w:r>
                <w:rPr>
                  <w:rStyle w:val="InternetLink"/>
                  <w:rFonts w:ascii="Times New Roman" w:hAnsi="Times New Roman"/>
                  <w:color w:val="0000FF"/>
                  <w:sz w:val="20"/>
                  <w:u w:val="single"/>
                </w:rPr>
                <w:t>Exhibits, Financial Statement Schedules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m_summary_">
              <w:r>
                <w:rPr>
                  <w:rStyle w:val="InternetLink"/>
                  <w:rFonts w:ascii="Times New Roman" w:hAnsi="Times New Roman"/>
                  <w:color w:val="0000FF"/>
                  <w:sz w:val="20"/>
                  <w:u w:val="single"/>
                </w:rPr>
                <w:t>Form 10-K Summary</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594" w:type="dxa"/>
            <w:gridSpan w:val="2"/>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hyperlink w:anchor="signatures">
              <w:r>
                <w:rPr>
                  <w:rStyle w:val="InternetLink"/>
                  <w:rFonts w:ascii="Times New Roman" w:hAnsi="Times New Roman"/>
                  <w:color w:val="0000FF"/>
                  <w:sz w:val="20"/>
                  <w:u w:val="single"/>
                </w:rPr>
                <w:t>Signatures</w:t>
              </w:r>
            </w:hyperlink>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This Annual Report on Form 10-K, or Annual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“vision,” or “continue” or the negative of these terms or other similar expressions. These forward-looking statements include, but are not limited to, statements about: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and the number of patients of the market opportunities we address with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competitive position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plans relating to the further development of our product candidates, including additional indications and targets we may pursue;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existing laws and regulations and regulatory developments in the United States,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expectations regarding the period during which we will remain an emerging growth company under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360" w:after="283"/>
        <w:jc w:val="left"/>
        <w:rPr>
          <w:rFonts w:ascii="Times New Roman" w:hAnsi="Times New Roman"/>
          <w:sz w:val="20"/>
        </w:rPr>
      </w:pPr>
      <w:bookmarkStart w:id="3" w:name="item1_1_1"/>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committed to a bold mission: to discover, develop and deliver potentially curative therapies that address the underlying drivers of heart disease. Heart disease is the leading cause of death in the world, representing an estimated 32% of all global fatalities. In the United States (U.S.), one in every five deaths is attributable to heart disease, and an estimated 40,000 infants are born each year with congenital heart conditions. While there is a clear need for improved treatments, the rate of cardiovascular drug product approvals has declined in recent years and few of the approved treatments address the underlying cause of such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collective understanding of the links between heart disease and genetic factors is increasing exponentially, creating new opportunities for the advancement of novel disease-modifying therapeutics that target the underlying cause of disease. Roughly one-third to one-half of all heart diseases are linked to genetic risks, regardless of major racial and ethnic backgrounds, and there are over 250 known genetically defined disorders where the primary source of morbidity and mortality involves the heart. Leveraging this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 is to build a leading fully-integrated biopharmaceutical company focused on precision medicines for heart disease. We believe that our drug development efforts benefit from a deep understanding of the underlying causes of disease for specific subpopulations of patients within both rare and prevalent forms of heart disease. We have invested in differentiated capabilities that enable target identification, target validation, and drug discovery that is anchored in human genetics and the use of human disease models. These capabilities, and the insights they enable, allow us to generate promising leads for drug development in a modality agnostic manner, and help us to prioritize the best approaches to address the underlying disease biology using a range of methods, including but not restricted to gene therapy, gene editing, small molecules, gene silencing, and regenerative medicine approaches. We have to date made a deliberate effort to internalize and integrate the capabilities necessary to design, develop, and manufacture medicines that are based on the use of AAVs as the method of delivery to the heart, which are most relevant for our efforts in gene therapy, gene editing, or cardiac regeneration. For programs addressing relatively rare conditions – for example, potentially curative genetic medicines for genetic cardiomyopathies – our strategy is to develop, manufacture, and commercialize at least some of these programs on our own, although we may selectively consider partnerships to access technology, accelerate our progress, or improve our global reach to patients. Where our discovery efforts lead to product candidates intended for relatively prevalent indications – for example, small molecules or genetic medicines for heart failure with preserved ejection fraction (HFpEF) – our strategy is to out-license or partner such programs earlier during preclinical or clinical development.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advancing a deep and diverse pipeline of product candidates intended to target the underlying causes of rare and highly prevalent forms of heart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5438775"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38775" cy="26384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our most advanced product candidates, TN-201, TN-401, and TN-301, emerged from an initial examination of the genetic underpinnings of heart conditions and has progressed to clinical stage with the support of our proprietary internal capabilities.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TN-201 gene therapy for hypertrophic cardiomyopathy (HCM) caused by variants in the Myosin Binding Protein C3 (MYBPC3) gene: </w:t>
      </w:r>
      <w:r>
        <w:rPr>
          <w:rFonts w:ascii="Times New Roman" w:hAnsi="Times New Roman"/>
          <w:color w:val="000000"/>
          <w:sz w:val="20"/>
        </w:rPr>
        <w:t xml:space="preserve">TN-201 is our adeno-associated virus serotype 9 (AAV9)-based gene therapy being developed to treat the underlying cause of </w:t>
      </w:r>
      <w:r>
        <w:rPr>
          <w:rFonts w:ascii="Times New Roman" w:hAnsi="Times New Roman"/>
          <w:i/>
          <w:color w:val="000000"/>
          <w:sz w:val="20"/>
        </w:rPr>
        <w:t>MYBPC3</w:t>
      </w:r>
      <w:r>
        <w:rPr>
          <w:rFonts w:ascii="Times New Roman" w:hAnsi="Times New Roman"/>
          <w:color w:val="000000"/>
          <w:sz w:val="20"/>
        </w:rPr>
        <w:t xml:space="preserve">-associated HCM by delivering a working </w:t>
      </w:r>
      <w:r>
        <w:rPr>
          <w:rFonts w:ascii="Times New Roman" w:hAnsi="Times New Roman"/>
          <w:i/>
          <w:color w:val="000000"/>
          <w:sz w:val="20"/>
        </w:rPr>
        <w:t>MYBPC3</w:t>
      </w:r>
      <w:r>
        <w:rPr>
          <w:color w:val="000000"/>
        </w:rPr>
        <w:t xml:space="preserve"> </w:t>
      </w:r>
      <w:r>
        <w:rPr>
          <w:rFonts w:ascii="Times New Roman" w:hAnsi="Times New Roman"/>
          <w:color w:val="000000"/>
          <w:sz w:val="20"/>
        </w:rPr>
        <w:t xml:space="preserve">gene to specific cells of the heart via a single infusion. </w:t>
      </w:r>
      <w:r>
        <w:rPr>
          <w:rFonts w:ascii="Times New Roman" w:hAnsi="Times New Roman"/>
          <w:i/>
          <w:color w:val="000000"/>
          <w:sz w:val="20"/>
        </w:rPr>
        <w:t xml:space="preserve">MYBPC3 </w:t>
      </w:r>
      <w:r>
        <w:rPr>
          <w:rFonts w:ascii="Times New Roman" w:hAnsi="Times New Roman"/>
          <w:color w:val="000000"/>
          <w:sz w:val="20"/>
        </w:rPr>
        <w:t>mutations are the most common genetic cause of HCM, accounting for approximately 20% of the overall HCM population or more than 115,000 people in the U.S. alone. Patients may experience serious complications such as shortness of breath, fainting and palpitations, significant impairment in overall quality of life, heart failure, and sudden cardiac death. We are currently conducting the Phase 1b MyPeak</w:t>
      </w:r>
      <w:r>
        <w:rPr>
          <w:rFonts w:ascii="Times New Roman" w:hAnsi="Times New Roman"/>
          <w:color w:val="000000"/>
          <w:sz w:val="13"/>
        </w:rPr>
        <w:t>TM</w:t>
      </w:r>
      <w:r>
        <w:rPr>
          <w:rFonts w:ascii="Times New Roman" w:hAnsi="Times New Roman"/>
          <w:color w:val="000000"/>
          <w:sz w:val="20"/>
        </w:rPr>
        <w:t xml:space="preserve">-1 clinical trial in symptomatic adults diagnosed with </w:t>
      </w:r>
      <w:r>
        <w:rPr>
          <w:rFonts w:ascii="Times New Roman" w:hAnsi="Times New Roman"/>
          <w:i/>
          <w:color w:val="000000"/>
          <w:sz w:val="20"/>
        </w:rPr>
        <w:t>MYBPC3</w:t>
      </w:r>
      <w:r>
        <w:rPr>
          <w:rFonts w:ascii="Times New Roman" w:hAnsi="Times New Roman"/>
          <w:color w:val="000000"/>
          <w:sz w:val="20"/>
        </w:rPr>
        <w:t>-associated nonobstructive HCM, for which the first subject was dosed in October 2023 and initial data are anticipated in the second half of 2024. TN-201 has received orphan drug designation from the FDA and orphan medicinal product designation from the European Commission (EC), as well as Fast Track Designation from the FDA.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TN-401 gene therapy for arrhythmogenic right ventricular cardiomyopathy (ARVC) caused by variants in the Plakophilin-2 (PKP2) gene: </w:t>
      </w:r>
      <w:r>
        <w:rPr>
          <w:rFonts w:ascii="Times New Roman" w:hAnsi="Times New Roman"/>
          <w:color w:val="000000"/>
          <w:sz w:val="20"/>
        </w:rPr>
        <w:t xml:space="preserve">TN-401 is our AAV9-based gene therapy being developed for the treatment of ARVC due to disease-causing variants in the </w:t>
      </w:r>
      <w:r>
        <w:rPr>
          <w:rFonts w:ascii="Times New Roman" w:hAnsi="Times New Roman"/>
          <w:i/>
          <w:color w:val="000000"/>
          <w:sz w:val="20"/>
        </w:rPr>
        <w:t>PKP2</w:t>
      </w:r>
      <w:r>
        <w:rPr>
          <w:color w:val="000000"/>
        </w:rPr>
        <w:t xml:space="preserve"> </w:t>
      </w:r>
      <w:r>
        <w:rPr>
          <w:rFonts w:ascii="Times New Roman" w:hAnsi="Times New Roman"/>
          <w:color w:val="000000"/>
          <w:sz w:val="20"/>
        </w:rPr>
        <w:t xml:space="preserve">gene. </w:t>
      </w:r>
      <w:r>
        <w:rPr>
          <w:rFonts w:ascii="Times New Roman" w:hAnsi="Times New Roman"/>
          <w:i/>
          <w:color w:val="000000"/>
          <w:sz w:val="20"/>
        </w:rPr>
        <w:t>PKP2</w:t>
      </w:r>
      <w:r>
        <w:rPr>
          <w:color w:val="000000"/>
        </w:rPr>
        <w:t xml:space="preserve"> </w:t>
      </w:r>
      <w:r>
        <w:rPr>
          <w:rFonts w:ascii="Times New Roman" w:hAnsi="Times New Roman"/>
          <w:color w:val="000000"/>
          <w:sz w:val="20"/>
        </w:rPr>
        <w:t xml:space="preserve">mutations are the most common genetic cause of ARVC, also known as arrhythmogenic cardiomyopathy (ACM), a condition characterized by arrhythmias, palpitations, lightheadedness, dizziness and fainting that typically strikes before age 40. The prevalence of </w:t>
      </w:r>
      <w:r>
        <w:rPr>
          <w:rFonts w:ascii="Times New Roman" w:hAnsi="Times New Roman"/>
          <w:i/>
          <w:color w:val="000000"/>
          <w:sz w:val="20"/>
        </w:rPr>
        <w:t>PKP2</w:t>
      </w:r>
      <w:r>
        <w:rPr>
          <w:rFonts w:ascii="Times New Roman" w:hAnsi="Times New Roman"/>
          <w:color w:val="000000"/>
          <w:sz w:val="20"/>
        </w:rPr>
        <w:t>-associated ARVC is estimated at more than 70,000 people in the U.S. alone, though it frequently goes undiagnosed as sudden cardiac death is the first sign of disease in nearly one quarter of known cases. We received clearance of our IND application for TN-401 in October 2023 from the FDA and expect to commence patient dosing in the Phase 1b RIDGE</w:t>
      </w:r>
      <w:r>
        <w:rPr>
          <w:rFonts w:ascii="Times New Roman" w:hAnsi="Times New Roman"/>
          <w:color w:val="000000"/>
          <w:sz w:val="13"/>
        </w:rPr>
        <w:t>TM</w:t>
      </w:r>
      <w:r>
        <w:rPr>
          <w:rFonts w:ascii="Times New Roman" w:hAnsi="Times New Roman"/>
          <w:color w:val="000000"/>
          <w:sz w:val="20"/>
        </w:rPr>
        <w:t>-1 clinical trial of TN-401 in the second half of 2024. TN-401 has received orphan drug designation from the FDA and orphan medicinal product designation from the EC, as well as Fast Track Designation from the FDA.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TN-301 small molecule histone deacetylase-6 (HDAC6) inhibitor for the potential treatment of HFpEF:</w:t>
      </w:r>
      <w:r>
        <w:rPr>
          <w:color w:val="000000"/>
        </w:rPr>
        <w:t xml:space="preserve"> </w:t>
      </w:r>
      <w:r>
        <w:rPr>
          <w:rFonts w:ascii="Times New Roman" w:hAnsi="Times New Roman"/>
          <w:color w:val="000000"/>
          <w:sz w:val="20"/>
        </w:rPr>
        <w:t xml:space="preserve">HFpEF accounts for approximately 50 percent of all heart failure, or an estimated 3 million patients in the U.S. alone. We initially discovered the cardioprotective qualities of selective HDAC6 inhibition in a genetic model of dilated cardiomyopathy. In preclinical studies, TN-301 was subsequently shown to reverse many of the signs and symptoms of HFpEF, with evidence of improved cardiac function and glucose tolerance and reduced inflammation and fibrosis. In 2023, we completed Phase 1 clinical testing of TN-301 in healthy volunteers, observing an encouraging safety profile,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suitability for once-daily dosing, and dose-dependent target engagement. Due to the large HFpEF patient population, we believe that TN-301’s late-stage development and commercialization would best be led by a strategic pharmaceutical partner with the global resources to explore the full potential of the molecule and are currently evaluating opportunities to partner TN-301.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 Today, our pipeline consists of programs to which we have exclusive worldwide rights and that have emerged from our internal efforts, with select product candidates originating based on intellectual property licensed from academic institutions.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Integrated Capabilities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distinct suite of integrated capabilities broadly enable target identification and validation, design of AAV-based genetic medicines and in-house manufacturing to support our efforts to discover and develop disease-modifying treatments focused on heart disease. We have invested in our interrelated capabilities, including the use of human-induced Pluripotent Stem Cell (iPSC) and engineered heart tissue disease models, machine learning and phenotypic screening, capsid engineering and novel promoter constructs, to enable the discovery, design, delivery and development of therapeutics that are best suited to a given cardiovascular condition. We have also chosen to have complete ownership of process development, analytical development, and quality control for our gene therapy product candidates and produce our AAV-based gene therapy candidates at our Good Manufacturing Practice (cGMP)-certified Genetic Medicines Manufacturing Center (GMMC) in Union City, California. We continue to invest in complementary new technologies and the optimization of our existing proprietary capabilities with the aim of increasing the safety and efficacy of genetic medicines, accelerating early-stage discovery and preclinical optimization and, reducing the overall cost of goods by increasing manufacturing productivity.</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Heart Disease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Heart disease is the leading cause of death in the world, representing an estimated 32% of all global fatalities. The heart is a complex organ due to its biological structure as well as its tightly regulated and coordinated electrophysiological and biomechanical properties. Heart disease comes in many forms, affects individuals at many ages, and is a result of many factors. In each case, the underlying cause could be genetic or due to normal aging or due to environmental factors. Our initial research and development focus has been on the genetics associated with conditions affecting the heart muscle, also known as cardiomyopathies, that can lead to heart failure. Heart failure occurs when the heart cannot pump enough blood to meet the body’s demands. Rates of heart failure are on the rise, and a recent study places the lifetime risk of heart failure at 24%. In spite of recent advancements in heart failure treatment, the five-year mortality rate remains 50%, highlighting the need for improved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the most common treatments for heart disease have been aimed at broadly addressing symptoms and the development of novel treatments has been stymied by the need for lengthy studies primarily focused on survival and hospitalization outcomes. Such studies required enrolling large, heterogeneous patient populations in an effort to achieve statistically significant signals of efficacy. Consequently, innovation in heart disease drug development has lagged in comparison to therapeutic areas such as oncology and rare diseases where more targeted approaches have achieved clinical and regulatory success.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Growing Momentum for Precision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several years, increasing clinical and regulatory validation for more targeted approaches have emerged for precision approaches to heart disease and AAV-based gene therapies. These include FDA draft guidance supporting smaller clinical studies that emphasize the use of clinically meaningful endpoints of “feel and function” and a small but growing number of examples of clinical success and regulatory approvals for disease-modifying treatments geared toward targeted disease populations, including in genetic cardiomyopathies, that have followed similar development and regulatory paths.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combination of increasing insights into the genetic causes of heart disease and recognition of the importance of genetic testing support the discovery, development and commercial opportunities for precision medicines that target the underlying genetic cause of heart conditions. More than 250 genetically defined disorders are now known where the primary source of morbidity and mortality involves the heart, providing numerous potentially druggable targets for characterization. Updated clinical practice guidelines from the American College of Cardiology,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American Heart Association and European Society of Cardiology recommending genetic testing and family counseling, and the push for mandatory screening of young athletes, are all leading to improved access to genetic testing, patient diagnosis and disease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same time, the field of gene therapy drug development has matured. The safety and efficacy of genetic medicines, and AAV9-based gene therapies in particular, continues to grow with multiple new regulatory approvals in recent years resulting in thousands of patients dosed worldwide. A study by the Association for Regenerative Medicine found that gene therapies for rare disease have a 2 to 3.5-fold higher likelihood of achieving regulatory approval as compared to other modalities. This report is bolstered by FDA actions with gene therapy sponsors indicating a willingness to consider surrogate markers of efficacy and expedited regulatory review, as well as the FDA’s issuance of important guidance to help streamline the development of gene therapies and mitigate safety and tolerability concerns that can delay development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with the evolving understanding of heart disease, and the genetic underpinnings of disease in particular, there are significant opportunities where our proprietary capabilities and singular focus will enable us to benefit from and support the evolution towards more precise diagnosis, drug development, and treatment for heart disease.</w:t>
      </w:r>
    </w:p>
    <w:p>
      <w:pPr>
        <w:pStyle w:val="TextBody"/>
        <w:bidi w:val="0"/>
        <w:spacing w:before="24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become a leading, fully integrated biotechnology company delivering next-generation therapies that address the underlying causes of heart disease.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Focus exclusively on heart disease</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Heart disease remains a leading cause of death globally, and the 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Develop disease-modifying therapies</w:t>
      </w:r>
      <w:r>
        <w:rPr>
          <w:rFonts w:ascii="Times New Roman" w:hAnsi="Times New Roman"/>
          <w:b/>
          <w:color w:val="000000"/>
          <w:sz w:val="20"/>
        </w:rPr>
        <w:t xml:space="preserve">. </w:t>
      </w:r>
      <w:r>
        <w:rPr>
          <w:rFonts w:ascii="Times New Roman" w:hAnsi="Times New Roman"/>
          <w:color w:val="000000"/>
          <w:sz w:val="20"/>
        </w:rPr>
        <w:t xml:space="preserve">We are focused on developing disease-modifying and potentially life-saving novel therapies that 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therapy candidates for genetically defined conditions have the potential to be curative after a single dose.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Target defined sub-populations of patients most likely to respond to our therapies</w:t>
      </w:r>
      <w:r>
        <w:rPr>
          <w:rFonts w:ascii="Times New Roman" w:hAnsi="Times New Roman"/>
          <w:b/>
          <w:color w:val="000000"/>
          <w:sz w:val="20"/>
        </w:rPr>
        <w:t xml:space="preserve">. </w:t>
      </w:r>
      <w:r>
        <w:rPr>
          <w:rFonts w:ascii="Times New Roman" w:hAnsi="Times New Roman"/>
          <w:color w:val="000000"/>
          <w:sz w:val="20"/>
        </w:rPr>
        <w:t>We seek to focus on patient populations where the genetic cause of the disease is well-established, including genetic cardiomyopathies and other monogenic disorders. We also seek to use different strategies to sub-segment larger heart failure populations through the use of genetics or biomarkers to improve selection of patients with attributes that are more suited to the specific mechanism of action of a given product candidate. We believe this strategy can accelerate clinical development, reduce overall development costs, and improve the probability of clinical and regulatory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Internalize and integrate core capabilities to support our innovation</w:t>
      </w:r>
      <w:r>
        <w:rPr>
          <w:rFonts w:ascii="Times New Roman" w:hAnsi="Times New Roman"/>
          <w:b/>
          <w:color w:val="000000"/>
          <w:sz w:val="20"/>
        </w:rPr>
        <w:t xml:space="preserve">. </w:t>
      </w:r>
      <w:r>
        <w:rPr>
          <w:rFonts w:ascii="Times New Roman" w:hAnsi="Times New Roman"/>
          <w:color w:val="000000"/>
          <w:sz w:val="20"/>
        </w:rPr>
        <w:t xml:space="preserve">Powering our drug discovery engine are genetic insights into cardiac biology, coupled with a suite of core capabilities centered on modality agnostic target discovery and validation and design, production and delivery know-how for AAV-based genetic medicines.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contract research organizations (CROs), or contract development and manufacturing organizations (CDMOs)—providing us better control of our timelines and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Advance a deep and diverse pipeline of therapies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diversity of our programs illustrates the ambition of our vision and the versatility and depth of our scientific approach. Our pipeline includes therapeutics for both rare and prevalent heart diseases across multiple treatment modalities. Our most advanced rare disease programs include two AAV-based gene therapy candidates in early clinical development: TN-201, our product candidate for </w:t>
      </w:r>
      <w:r>
        <w:rPr>
          <w:rFonts w:ascii="Times New Roman" w:hAnsi="Times New Roman"/>
          <w:i/>
          <w:color w:val="000000"/>
          <w:sz w:val="20"/>
        </w:rPr>
        <w:t>MYBPC3</w:t>
      </w:r>
      <w:r>
        <w:rPr>
          <w:rFonts w:ascii="Times New Roman" w:hAnsi="Times New Roman"/>
          <w:color w:val="000000"/>
          <w:sz w:val="20"/>
        </w:rPr>
        <w:t xml:space="preserve">-associated HCM and TN-401, our product candidate for </w:t>
      </w:r>
      <w:r>
        <w:rPr>
          <w:rFonts w:ascii="Times New Roman" w:hAnsi="Times New Roman"/>
          <w:i/>
          <w:color w:val="000000"/>
          <w:sz w:val="20"/>
        </w:rPr>
        <w:t>PKP2</w:t>
      </w:r>
      <w:r>
        <w:rPr>
          <w:rFonts w:ascii="Times New Roman" w:hAnsi="Times New Roman"/>
          <w:color w:val="000000"/>
          <w:sz w:val="20"/>
        </w:rPr>
        <w:t xml:space="preserve">-associated ARVC. TN-301, a small molecule inhibitor of HDAC6 intended to address HFpEF has successfully completed a Phase 1 clinical trial. We are also working on several other early-stage programs, that we believe will add to our future pipeline opportunities.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Seek partnerships that can expand our reach and accelerate our efforts. </w:t>
      </w:r>
      <w:r>
        <w:rPr>
          <w:rFonts w:ascii="Times New Roman" w:hAnsi="Times New Roman"/>
          <w:color w:val="000000"/>
          <w:sz w:val="20"/>
        </w:rPr>
        <w:t>We believe our singular focus on heart disease and extensive platform and 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Become a fully integrated biopharmaceutical company with commercial capabilities. </w:t>
      </w:r>
      <w:r>
        <w:rPr>
          <w:rFonts w:ascii="Times New Roman" w:hAnsi="Times New Roman"/>
          <w:color w:val="000000"/>
          <w:sz w:val="20"/>
        </w:rPr>
        <w:t xml:space="preserve">We aim to discover, develop, manufacture, and eventually commercialize therapies, with an initial focus on those therapies for rare disease populations that could be marketed by a relatively small salesforce. </w:t>
      </w:r>
    </w:p>
    <w:p>
      <w:pPr>
        <w:pStyle w:val="TextBody"/>
        <w:bidi w:val="0"/>
        <w:spacing w:before="240" w:after="283"/>
        <w:jc w:val="left"/>
        <w:rPr>
          <w:rFonts w:ascii="Times New Roman" w:hAnsi="Times New Roman"/>
          <w:sz w:val="20"/>
        </w:rPr>
      </w:pPr>
      <w:r>
        <w:rPr>
          <w:rFonts w:ascii="Times New Roman" w:hAnsi="Times New Roman"/>
          <w:b/>
          <w:color w:val="000000"/>
          <w:sz w:val="20"/>
        </w:rPr>
        <w:t>Our Gene Therapy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therapy is a way of treating or preventing diseases or medical conditions caused by genetic mutations. Our initial programs target loss-of-function mutations that affect that gene’s ability to make a protein where the resulting protein deficiency is pathogenic. Gene therapy replaces the mutated gene by delivering a working gene to target cells in order to restore healthy function and thereby address the underlying cause of a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utilize AAVs, and specifically AAV9, to deliver the therapeutic working gene to target cells of the heart muscle. AAVs are naturally occurring viruses that are not known to cause diseases in people and are the most common viral vectors used in gene therapy. Viral DNA is removed and the resulting viral shell, or capsid, is loaded with a working gene and regulatory elements to ensure preferential delivery to target tissues and successful transduction. AAV9 is the most widely studied and clinically validated capsid and has been proven to transduce human cardiomyocytes.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TN-201: Gene Therapy for MYBPC3-associated HCM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developing TN-201, an investigational and potential first-in-class and best-in-class AAV-based gene therapy for </w:t>
      </w:r>
      <w:r>
        <w:rPr>
          <w:rFonts w:ascii="Times New Roman" w:hAnsi="Times New Roman"/>
          <w:i/>
          <w:color w:val="000000"/>
          <w:sz w:val="20"/>
        </w:rPr>
        <w:t>MYBPC3</w:t>
      </w:r>
      <w:r>
        <w:rPr>
          <w:rFonts w:ascii="Times New Roman" w:hAnsi="Times New Roman"/>
          <w:color w:val="000000"/>
          <w:sz w:val="20"/>
        </w:rPr>
        <w:t xml:space="preserve">-associated HCM. </w:t>
      </w:r>
      <w:r>
        <w:rPr>
          <w:rFonts w:ascii="Times New Roman" w:hAnsi="Times New Roman"/>
          <w:i/>
          <w:color w:val="000000"/>
          <w:sz w:val="20"/>
        </w:rPr>
        <w:t>MYBPC3</w:t>
      </w:r>
      <w:r>
        <w:rPr>
          <w:rFonts w:ascii="Times New Roman" w:hAnsi="Times New Roman"/>
          <w:color w:val="000000"/>
          <w:sz w:val="20"/>
        </w:rPr>
        <w:t xml:space="preserve"> genetic mutations are the most common cause of familial HCM. These mutations can cause the heart walls of affected individuals to become significantly thickened, leading to fibrosis, abnormal heart rhythms, cardiac dysfunction, heart failure, and increased risk of sudden cardiac death. There are currently no approved therapies that address the underlying cause of </w:t>
      </w:r>
      <w:r>
        <w:rPr>
          <w:rFonts w:ascii="Times New Roman" w:hAnsi="Times New Roman"/>
          <w:i/>
          <w:color w:val="000000"/>
          <w:sz w:val="20"/>
        </w:rPr>
        <w:t>MYBPC3</w:t>
      </w:r>
      <w:r>
        <w:rPr>
          <w:rFonts w:ascii="Times New Roman" w:hAnsi="Times New Roman"/>
          <w:color w:val="000000"/>
          <w:sz w:val="20"/>
        </w:rPr>
        <w:t>-associated HCM.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Overview of HCM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HCM is a condition in which the heart walls become thickened (hypertrophy), resulting in a reduced ability of the left ventricle (LV) to relax and fill (diastole) and pump (systole) blood effectively with each contraction.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disease course is typically more aggressive and prognosis is worse than that observed in older patients. While a relatively rare occurrence, HCM is the leading cause of sudden cardiac death in young adults.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HCM is estimated to affect one in every 500 people, approximating more than 600,000 people in the U.S. A majority of HCM patients are currently undiagnosed, with diagnosis typically starting with the onset of symptoms,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 The genetic causes of HCM may be diverse, but approximately 60% of patients with HCM have clearly identifiable familial disease with an autosomal dominant pattern of inheritance. Mutations in the </w:t>
      </w:r>
      <w:r>
        <w:rPr>
          <w:rFonts w:ascii="Times New Roman" w:hAnsi="Times New Roman"/>
          <w:i/>
          <w:color w:val="000000"/>
          <w:sz w:val="20"/>
        </w:rPr>
        <w:t>MYBPC3</w:t>
      </w:r>
      <w:r>
        <w:rPr>
          <w:rFonts w:ascii="Times New Roman" w:hAnsi="Times New Roman"/>
          <w:color w:val="000000"/>
          <w:sz w:val="20"/>
        </w:rPr>
        <w:t xml:space="preserve"> are estimated to represent approximately 20% of the overall HCM population and to affect approximately 115,000 patients in the U.S. </w:t>
      </w:r>
      <w:r>
        <w:rPr>
          <w:rFonts w:ascii="Times New Roman" w:hAnsi="Times New Roman"/>
          <w:i/>
          <w:color w:val="000000"/>
          <w:sz w:val="20"/>
        </w:rPr>
        <w:t>MYBPC3</w:t>
      </w:r>
      <w:r>
        <w:rPr>
          <w:rFonts w:ascii="Times New Roman" w:hAnsi="Times New Roman"/>
          <w:color w:val="000000"/>
          <w:sz w:val="20"/>
        </w:rPr>
        <w:t xml:space="preserve"> gene mutations result in both oHCM and nHCM, with one study involving a series of more than 1000 patients finding that 69% of patients with truncating </w:t>
      </w:r>
      <w:r>
        <w:rPr>
          <w:rFonts w:ascii="Times New Roman" w:hAnsi="Times New Roman"/>
          <w:i/>
          <w:color w:val="000000"/>
          <w:sz w:val="20"/>
        </w:rPr>
        <w:t>MYBPC3</w:t>
      </w:r>
      <w:r>
        <w:rPr>
          <w:rFonts w:ascii="Times New Roman" w:hAnsi="Times New Roman"/>
          <w:color w:val="000000"/>
          <w:sz w:val="20"/>
        </w:rPr>
        <w:t xml:space="preserve"> mutations had nHCM, while 31% presented with LVOT characteristic of oHCM.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Infants with homozygous </w:t>
      </w:r>
      <w:r>
        <w:rPr>
          <w:rFonts w:ascii="Times New Roman" w:hAnsi="Times New Roman"/>
          <w:i/>
          <w:color w:val="000000"/>
          <w:sz w:val="20"/>
        </w:rPr>
        <w:t>MYBPC3</w:t>
      </w:r>
      <w:r>
        <w:rPr>
          <w:rFonts w:ascii="Times New Roman" w:hAnsi="Times New Roman"/>
          <w:color w:val="000000"/>
          <w:sz w:val="20"/>
        </w:rPr>
        <w:t xml:space="preserve"> gene mutations represent a particularly severe patient group with high risk of death within a year after birth without heart transplantation. With no ability to produce MyBP-C protein and no available treatment to address the underlying genetic mutation, the only option for this young patient population is a heart transplant. HCM patients who are heterozygous for </w:t>
      </w:r>
      <w:r>
        <w:rPr>
          <w:rFonts w:ascii="Times New Roman" w:hAnsi="Times New Roman"/>
          <w:i/>
          <w:color w:val="000000"/>
          <w:sz w:val="20"/>
        </w:rPr>
        <w:t>MYBPC3</w:t>
      </w:r>
      <w:r>
        <w:rPr>
          <w:rFonts w:ascii="Times New Roman" w:hAnsi="Times New Roman"/>
          <w:color w:val="000000"/>
          <w:sz w:val="20"/>
        </w:rPr>
        <w:t xml:space="preserve"> gene mutations are typically diagnosed earlier in life and have more severe disease associated with increases in arrhythmia, sudden cardiac death and cardiovascular mortality as compared to genotype negative HCM patients.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MYBPC3</w:t>
      </w:r>
      <w:r>
        <w:rPr>
          <w:rFonts w:ascii="Times New Roman" w:hAnsi="Times New Roman"/>
          <w:color w:val="000000"/>
          <w:sz w:val="20"/>
        </w:rPr>
        <w:t xml:space="preserve"> gene encodes the MyBP-C protein, which forms a key component of the cardiac sarcomere, the fundamental contractile unit of the cardiomyocyte. MyBP-C protein is central to regulation of both contraction and relaxation of the cardiac muscle. Reduced MyBP-C protein levels associated with heterozygous mutations in the </w:t>
      </w:r>
      <w:r>
        <w:rPr>
          <w:rFonts w:ascii="Times New Roman" w:hAnsi="Times New Roman"/>
          <w:i/>
          <w:color w:val="000000"/>
          <w:sz w:val="20"/>
        </w:rPr>
        <w:t>MYBPC3</w:t>
      </w:r>
      <w:r>
        <w:rPr>
          <w:rFonts w:ascii="Times New Roman" w:hAnsi="Times New Roman"/>
          <w:color w:val="000000"/>
          <w:sz w:val="20"/>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Analysis of the hearts of patients who carry truncation mutations of the </w:t>
      </w:r>
      <w:r>
        <w:rPr>
          <w:rFonts w:ascii="Times New Roman" w:hAnsi="Times New Roman"/>
          <w:i/>
          <w:color w:val="000000"/>
          <w:sz w:val="20"/>
        </w:rPr>
        <w:t>MYBPC3</w:t>
      </w:r>
      <w:r>
        <w:rPr>
          <w:rFonts w:ascii="Times New Roman" w:hAnsi="Times New Roman"/>
          <w:color w:val="000000"/>
          <w:sz w:val="20"/>
        </w:rPr>
        <w:t xml:space="preserve"> gene show on average an approximately 40% reduction in the level of functional MyBP-C protein. In the most severe cases in which both copies of the gene are affected, there is a complete lack of functional MyBP-C protein expression. We believe these findings support the idea that mutations of the </w:t>
      </w:r>
      <w:r>
        <w:rPr>
          <w:rFonts w:ascii="Times New Roman" w:hAnsi="Times New Roman"/>
          <w:i/>
          <w:color w:val="000000"/>
          <w:sz w:val="20"/>
        </w:rPr>
        <w:t>MYBPC3</w:t>
      </w:r>
      <w:r>
        <w:rPr>
          <w:rFonts w:ascii="Times New Roman" w:hAnsi="Times New Roman"/>
          <w:color w:val="000000"/>
          <w:sz w:val="20"/>
        </w:rPr>
        <w:t xml:space="preserve"> gene cause human disease through haploinsufficiency, and also support the hypothesis that gene replacement may address the underlying cause of disease by increasing the levels of functional MyBP-C protein.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recent years, a class of agents known as myosin inhibitors have emerged as potential treatments for oHCM and nHCM. One of these agents, mavacamten, was approved by the FDA in April 2022 for the treatment of oHCM. Other agents continue to be evaluated in clinical studies. However, there are no therapies approved specifically for HCM patients with </w:t>
      </w:r>
      <w:r>
        <w:rPr>
          <w:rFonts w:ascii="Times New Roman" w:hAnsi="Times New Roman"/>
          <w:i/>
          <w:color w:val="000000"/>
          <w:sz w:val="20"/>
        </w:rPr>
        <w:t>MYBPC3</w:t>
      </w:r>
      <w:r>
        <w:rPr>
          <w:rFonts w:ascii="Times New Roman" w:hAnsi="Times New Roman"/>
          <w:color w:val="000000"/>
          <w:sz w:val="20"/>
        </w:rPr>
        <w:t xml:space="preserve"> gene mutations that address the underlying cause of the disease.</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TN-201 has the potential to address the underlying biological basis of disease in adult and pediatric HCM patients with homozygous or heterozygous </w:t>
      </w:r>
      <w:r>
        <w:rPr>
          <w:rFonts w:ascii="Times New Roman" w:hAnsi="Times New Roman"/>
          <w:i/>
          <w:color w:val="000000"/>
          <w:sz w:val="20"/>
        </w:rPr>
        <w:t>MYBPC3</w:t>
      </w:r>
      <w:r>
        <w:rPr>
          <w:rFonts w:ascii="Times New Roman" w:hAnsi="Times New Roman"/>
          <w:color w:val="000000"/>
          <w:sz w:val="20"/>
        </w:rPr>
        <w:t xml:space="preserve"> gene mutations. Based on our preclinical data, TN-201 gene therapy has the potential to achieve highly selective and robust expression of the </w:t>
      </w:r>
      <w:r>
        <w:rPr>
          <w:rFonts w:ascii="Times New Roman" w:hAnsi="Times New Roman"/>
          <w:i/>
          <w:color w:val="000000"/>
          <w:sz w:val="20"/>
        </w:rPr>
        <w:t xml:space="preserve">MYBPC3 </w:t>
      </w:r>
      <w:r>
        <w:rPr>
          <w:rFonts w:ascii="Times New Roman" w:hAnsi="Times New Roman"/>
          <w:color w:val="000000"/>
          <w:sz w:val="20"/>
        </w:rPr>
        <w:t xml:space="preserve">gene and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slow or even reverse the course of </w:t>
      </w:r>
      <w:r>
        <w:rPr>
          <w:rFonts w:ascii="Times New Roman" w:hAnsi="Times New Roman"/>
          <w:i/>
          <w:color w:val="000000"/>
          <w:sz w:val="20"/>
        </w:rPr>
        <w:t>MYBPC3</w:t>
      </w:r>
      <w:r>
        <w:rPr>
          <w:rFonts w:ascii="Times New Roman" w:hAnsi="Times New Roman"/>
          <w:color w:val="000000"/>
          <w:sz w:val="20"/>
        </w:rPr>
        <w:t xml:space="preserve">-associated HCM, including LV hypertrophy, outflow tract obstruction, heart failure, atrial fibrillation, and malignant arrhythmias. By improving upon these aspects of disease, TN-201 may improve heart functional capacity, stabilize or reverse disease symptoms, reduce the need for invasive treatments and improve survival. As with other AAV-based gene therapies, benefits are expected to be durable and a one-time dose may be sufficient to halt or even reverse disease.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TN-201 Clinical Development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2023, we dosed our first patient in MyPeak-1, our Phase 1b clinical trial of TN-201 in symptomatic adults with the nonobstructive form of </w:t>
      </w:r>
      <w:r>
        <w:rPr>
          <w:rFonts w:ascii="Times New Roman" w:hAnsi="Times New Roman"/>
          <w:i/>
          <w:color w:val="000000"/>
          <w:sz w:val="20"/>
        </w:rPr>
        <w:t>MYBPC3</w:t>
      </w:r>
      <w:r>
        <w:rPr>
          <w:rFonts w:ascii="Times New Roman" w:hAnsi="Times New Roman"/>
          <w:color w:val="000000"/>
          <w:sz w:val="20"/>
        </w:rPr>
        <w:t xml:space="preserve">-associated HCM. MyPeak-1 is a multi-center, open-label clinical trial designed to assess the safety, tolerability and efficacy of a one-time intravenous infusion of TN-201. The trial will seek to enroll up to fifteen symptomatic (New York Heart Association class II or III) adults (ages 18-65) with low titers of AAV9 neutralizing antibodies who have been diagnosed with </w:t>
      </w:r>
      <w:r>
        <w:rPr>
          <w:rFonts w:ascii="Times New Roman" w:hAnsi="Times New Roman"/>
          <w:i/>
          <w:color w:val="000000"/>
          <w:sz w:val="20"/>
        </w:rPr>
        <w:t>MYBPC3</w:t>
      </w:r>
      <w:r>
        <w:rPr>
          <w:rFonts w:ascii="Times New Roman" w:hAnsi="Times New Roman"/>
          <w:color w:val="000000"/>
          <w:sz w:val="20"/>
        </w:rPr>
        <w:t>-associated nHCM and have an implantable cardioverter defibrillator (ICD). Endpoints for the trial include safety and tolerability, pharmacokinetic (PK) (as measured by transgene and mRNA expression via cardiac biopsies), pharmacodynamic (PD) (as measured by imaging and plasma biomarkers), exercise capacity (as measured by a six-minute walk test and cardiopulmonary exercise testing (CPET)) and patient-reported outcomes (as measured by a Kansas City Cardiomyopathy Questionnaire). The trial will include a preventative immunosuppressive regimen and close safety monitoring, as well as a 5-year follow-up to evaluate long-term safety and efficacy. We plan to assess two dose levels of TN-201 in the trial, starting with 3×10</w:t>
      </w:r>
      <w:r>
        <w:rPr>
          <w:rFonts w:ascii="Times New Roman" w:hAnsi="Times New Roman"/>
          <w:color w:val="000000"/>
          <w:sz w:val="11"/>
        </w:rPr>
        <w:t>13</w:t>
      </w:r>
      <w:r>
        <w:rPr>
          <w:rFonts w:ascii="Times New Roman" w:hAnsi="Times New Roman"/>
          <w:color w:val="000000"/>
          <w:sz w:val="20"/>
        </w:rPr>
        <w:t xml:space="preserve"> vg/kg, a dose associated with near-maximal efficacy in preclinical studies. Three patients are expected to be enrolled in the first dose cohort and will be dosed sequentially, with a pause between patient doses to monitor for safety. An independent safety review following the initial cohort will inform plans for dose escalation to 6×10</w:t>
      </w:r>
      <w:r>
        <w:rPr>
          <w:rFonts w:ascii="Times New Roman" w:hAnsi="Times New Roman"/>
          <w:color w:val="000000"/>
          <w:sz w:val="11"/>
        </w:rPr>
        <w:t>13</w:t>
      </w:r>
      <w:r>
        <w:rPr>
          <w:rFonts w:ascii="Times New Roman" w:hAnsi="Times New Roman"/>
          <w:color w:val="000000"/>
          <w:sz w:val="20"/>
        </w:rPr>
        <w:t xml:space="preserve"> vg/kg, as needed, and/or enrollment of additional patients in the initial cohort. TN-201 has received orphan drug designation from the FDA and orphan medicinal product designation from the EC, as well as Fast Track Designation from the FDA. Initial data from the trial is anticipated in the second half of 2024.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order to support our development efforts for TN-201, we have initiated two noninterventional studies: a study evaluating seroprevalence to AAV9 antibodies among adults with </w:t>
      </w:r>
      <w:r>
        <w:rPr>
          <w:rFonts w:ascii="Times New Roman" w:hAnsi="Times New Roman"/>
          <w:i/>
          <w:color w:val="000000"/>
          <w:sz w:val="20"/>
        </w:rPr>
        <w:t>MYBPC3</w:t>
      </w:r>
      <w:r>
        <w:rPr>
          <w:rFonts w:ascii="Times New Roman" w:hAnsi="Times New Roman"/>
          <w:color w:val="000000"/>
          <w:sz w:val="20"/>
        </w:rPr>
        <w:t xml:space="preserve">-associated HCM and MyClimb, a prospective and retrospective global natural history study focused on pediatric patients with </w:t>
      </w:r>
      <w:r>
        <w:rPr>
          <w:rFonts w:ascii="Times New Roman" w:hAnsi="Times New Roman"/>
          <w:i/>
          <w:color w:val="000000"/>
          <w:sz w:val="20"/>
        </w:rPr>
        <w:t>MYBPC3</w:t>
      </w:r>
      <w:r>
        <w:rPr>
          <w:rFonts w:ascii="Times New Roman" w:hAnsi="Times New Roman"/>
          <w:color w:val="000000"/>
          <w:sz w:val="20"/>
        </w:rPr>
        <w:t xml:space="preserve"> 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Times New Roman" w:hAnsi="Times New Roman"/>
          <w:i/>
          <w:color w:val="000000"/>
          <w:sz w:val="20"/>
        </w:rPr>
        <w:t xml:space="preserve">MYBPC3 </w:t>
      </w:r>
      <w:r>
        <w:rPr>
          <w:rFonts w:ascii="Times New Roman" w:hAnsi="Times New Roman"/>
          <w:color w:val="000000"/>
          <w:sz w:val="20"/>
        </w:rPr>
        <w:t>gene mutations, as well as treatments and procedures. This study complements existing disease registries focused primarily on adult patient HCM populations and may support and expedite the development of TN-201 in the pediatric patient population. To date, we have activated more than 40 sites in the U.S. and Europe in connection with these noninterventional studies.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 Evidence Supporting TN-201 Clinical Development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preclinical studies, we systemically administered a mouse surrogate of TN-201 (AAV:mMybpc3 or mTN-201) in two-week-old </w:t>
      </w:r>
      <w:r>
        <w:rPr>
          <w:rFonts w:ascii="Times New Roman" w:hAnsi="Times New Roman"/>
          <w:i/>
          <w:color w:val="000000"/>
          <w:sz w:val="20"/>
        </w:rPr>
        <w:t>Mybpc3</w:t>
      </w:r>
      <w:r>
        <w:rPr>
          <w:rFonts w:ascii="Times New Roman" w:hAnsi="Times New Roman"/>
          <w:color w:val="000000"/>
          <w:sz w:val="20"/>
        </w:rPr>
        <w:t xml:space="preserve"> knockout (KO) mice. The </w:t>
      </w:r>
      <w:r>
        <w:rPr>
          <w:rFonts w:ascii="Times New Roman" w:hAnsi="Times New Roman"/>
          <w:i/>
          <w:color w:val="000000"/>
          <w:sz w:val="20"/>
        </w:rPr>
        <w:t>Mybpc3</w:t>
      </w:r>
      <w:r>
        <w:rPr>
          <w:rFonts w:ascii="Times New Roman" w:hAnsi="Times New Roman"/>
          <w:color w:val="000000"/>
          <w:sz w:val="20"/>
        </w:rPr>
        <w:t xml:space="preserve"> KO model develops marked LV hypertrophy, poor cardiac function, and dilation at two-weeks of age, comparable to HCM patients with truncating or null mutations. Due to the severe phenotype of the </w:t>
      </w:r>
      <w:r>
        <w:rPr>
          <w:rFonts w:ascii="Times New Roman" w:hAnsi="Times New Roman"/>
          <w:i/>
          <w:color w:val="000000"/>
          <w:sz w:val="20"/>
        </w:rPr>
        <w:t xml:space="preserve">Mybpc3 </w:t>
      </w:r>
      <w:r>
        <w:rPr>
          <w:rFonts w:ascii="Times New Roman" w:hAnsi="Times New Roman"/>
          <w:color w:val="000000"/>
          <w:sz w:val="20"/>
        </w:rPr>
        <w:t xml:space="preserve">KO mice and the lack of any MyBP-C protein, this is considered a demanding model to demonstrate efficacy particularly for modeling heterozygous patients, who lack only 35% to 40% of normal sarcomeric MyBP-C protein levels. Treatment with mTN-201 improved LV hypertrophy and cardiac function compared to their pre-treatment baseline levels, indicating partial reversal of the disease and dramatically extended lifespan. Treated mice exhibited an absolute improvement of ejection fraction (EF) of more than 20% versus untreated controls that eventually increases to more than 30% at 13 months the last echocardiography measurement. EF and LV hypertrophy (LV mass normalized to body weight) improvements did not diminish over time, suggesting that a single systemic dose may be sufficient for a durable reversal of </w:t>
      </w:r>
      <w:r>
        <w:rPr>
          <w:rFonts w:ascii="Times New Roman" w:hAnsi="Times New Roman"/>
          <w:i/>
          <w:color w:val="000000"/>
          <w:sz w:val="20"/>
        </w:rPr>
        <w:t xml:space="preserve">MYBPC3-associated </w:t>
      </w:r>
      <w:r>
        <w:rPr>
          <w:rFonts w:ascii="Times New Roman" w:hAnsi="Times New Roman"/>
          <w:color w:val="000000"/>
          <w:sz w:val="20"/>
        </w:rPr>
        <w:t xml:space="preserve">HCM. Additionally, we observed improvements in LV diameter and ECG measurements. There is also a clear survival benefit with 100% survival in the mTN-201 arm and 100% mortality in the untreated control arm out to 18 months following dosing.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a dose-response relationship has been demonstrated with mTN-201. Weight-based doses, 1×10</w:t>
      </w:r>
      <w:r>
        <w:rPr>
          <w:rFonts w:ascii="Times New Roman" w:hAnsi="Times New Roman"/>
          <w:color w:val="000000"/>
          <w:sz w:val="11"/>
        </w:rPr>
        <w:t>13</w:t>
      </w:r>
      <w:r>
        <w:rPr>
          <w:rFonts w:ascii="Times New Roman" w:hAnsi="Times New Roman"/>
          <w:color w:val="000000"/>
          <w:sz w:val="20"/>
        </w:rPr>
        <w:t xml:space="preserve"> vg/kg, 3×10</w:t>
      </w:r>
      <w:r>
        <w:rPr>
          <w:rFonts w:ascii="Times New Roman" w:hAnsi="Times New Roman"/>
          <w:color w:val="000000"/>
          <w:sz w:val="11"/>
        </w:rPr>
        <w:t>13</w:t>
      </w:r>
      <w:r>
        <w:rPr>
          <w:rFonts w:ascii="Times New Roman" w:hAnsi="Times New Roman"/>
          <w:color w:val="000000"/>
          <w:sz w:val="20"/>
        </w:rPr>
        <w:t xml:space="preserve"> vg/kg and 1×10</w:t>
      </w:r>
      <w:r>
        <w:rPr>
          <w:rFonts w:ascii="Times New Roman" w:hAnsi="Times New Roman"/>
          <w:color w:val="000000"/>
          <w:sz w:val="11"/>
        </w:rPr>
        <w:t>14</w:t>
      </w:r>
      <w:r>
        <w:rPr>
          <w:rFonts w:ascii="Times New Roman" w:hAnsi="Times New Roman"/>
          <w:color w:val="000000"/>
          <w:sz w:val="20"/>
        </w:rPr>
        <w:t xml:space="preserve"> vg/kg, all produced significant improvements in EF, LV hypertrophy, and measures of electrophysiological function (QT interval) at eight months post-injection in the </w:t>
      </w:r>
      <w:r>
        <w:rPr>
          <w:rFonts w:ascii="Times New Roman" w:hAnsi="Times New Roman"/>
          <w:i/>
          <w:color w:val="000000"/>
          <w:sz w:val="20"/>
        </w:rPr>
        <w:t>Mybpc3</w:t>
      </w:r>
      <w:r>
        <w:rPr>
          <w:rFonts w:ascii="Times New Roman" w:hAnsi="Times New Roman"/>
          <w:color w:val="000000"/>
          <w:sz w:val="20"/>
        </w:rPr>
        <w:t xml:space="preserve"> KO HCM mouse model. The 1×10</w:t>
      </w:r>
      <w:r>
        <w:rPr>
          <w:rFonts w:ascii="Times New Roman" w:hAnsi="Times New Roman"/>
          <w:color w:val="000000"/>
          <w:sz w:val="11"/>
        </w:rPr>
        <w:t>13</w:t>
      </w:r>
      <w:r>
        <w:rPr>
          <w:rFonts w:ascii="Times New Roman" w:hAnsi="Times New Roman"/>
          <w:color w:val="000000"/>
          <w:sz w:val="20"/>
        </w:rPr>
        <w:t xml:space="preserve"> vg/kg dose had the lowest levels of efficacy, while the 3×10</w:t>
      </w:r>
      <w:r>
        <w:rPr>
          <w:rFonts w:ascii="Times New Roman" w:hAnsi="Times New Roman"/>
          <w:color w:val="000000"/>
          <w:sz w:val="11"/>
        </w:rPr>
        <w:t>13</w:t>
      </w:r>
      <w:r>
        <w:rPr>
          <w:rFonts w:ascii="Times New Roman" w:hAnsi="Times New Roman"/>
          <w:color w:val="000000"/>
          <w:sz w:val="20"/>
        </w:rPr>
        <w:t xml:space="preserve"> vg/kg had high improvement with a mean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decrease of hypertrophy of more 5.3 mg/g LV Mass (± 1.3) and a mean improvement of EF of 26% (± 3.7%), similar to the 1×10</w:t>
      </w:r>
      <w:r>
        <w:rPr>
          <w:rFonts w:ascii="Times New Roman" w:hAnsi="Times New Roman"/>
          <w:color w:val="000000"/>
          <w:sz w:val="11"/>
        </w:rPr>
        <w:t>14</w:t>
      </w:r>
      <w:r>
        <w:rPr>
          <w:rFonts w:ascii="Times New Roman" w:hAnsi="Times New Roman"/>
          <w:color w:val="000000"/>
          <w:sz w:val="20"/>
        </w:rPr>
        <w:t xml:space="preserve"> vg/kg dose, suggesting a plateau in the dose-response curve.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our preclinical studies with the </w:t>
      </w:r>
      <w:r>
        <w:rPr>
          <w:rFonts w:ascii="Times New Roman" w:hAnsi="Times New Roman"/>
          <w:i/>
          <w:color w:val="000000"/>
          <w:sz w:val="20"/>
        </w:rPr>
        <w:t>Mybpc3</w:t>
      </w:r>
      <w:r>
        <w:rPr>
          <w:rFonts w:ascii="Times New Roman" w:hAnsi="Times New Roman"/>
          <w:color w:val="000000"/>
          <w:sz w:val="20"/>
        </w:rPr>
        <w:t xml:space="preserve"> KO model, we have not observed MyBP-C protein levels substantially above normal levels, suggesting that protein accumulation does not occur and lowers the potential concern of overexpression-related toxicities. In addition, histological assessments of mTN-201 treated </w:t>
      </w:r>
      <w:r>
        <w:rPr>
          <w:rFonts w:ascii="Times New Roman" w:hAnsi="Times New Roman"/>
          <w:i/>
          <w:color w:val="000000"/>
          <w:sz w:val="20"/>
        </w:rPr>
        <w:t>Mybpc3</w:t>
      </w:r>
      <w:r>
        <w:rPr>
          <w:rFonts w:ascii="Times New Roman" w:hAnsi="Times New Roman"/>
          <w:color w:val="000000"/>
          <w:sz w:val="20"/>
        </w:rPr>
        <w:t xml:space="preserve"> KO model murine hearts support the uniform and robust distribution of expression following mTN-201 infusion, suggesting gene therapy may be able to replace the missing </w:t>
      </w:r>
      <w:r>
        <w:rPr>
          <w:rFonts w:ascii="Times New Roman" w:hAnsi="Times New Roman"/>
          <w:i/>
          <w:color w:val="000000"/>
          <w:sz w:val="20"/>
        </w:rPr>
        <w:t>MYBPC3</w:t>
      </w:r>
      <w:r>
        <w:rPr>
          <w:rFonts w:ascii="Times New Roman" w:hAnsi="Times New Roman"/>
          <w:color w:val="000000"/>
          <w:sz w:val="20"/>
        </w:rPr>
        <w:t xml:space="preserve"> gene uniformly across the heart. This observation is consistent with heart biopsy samples from patients treated with other AAV9-based gene therapies in development. Consistent with observed therapeutic benefit, treatment of the </w:t>
      </w:r>
      <w:r>
        <w:rPr>
          <w:rFonts w:ascii="Times New Roman" w:hAnsi="Times New Roman"/>
          <w:i/>
          <w:color w:val="000000"/>
          <w:sz w:val="20"/>
        </w:rPr>
        <w:t>Mybpc3</w:t>
      </w:r>
      <w:r>
        <w:rPr>
          <w:rFonts w:ascii="Times New Roman" w:hAnsi="Times New Roman"/>
          <w:color w:val="000000"/>
          <w:sz w:val="20"/>
        </w:rPr>
        <w:t xml:space="preserve"> KO mice with mTN-201 is also associated with a substantial reduction of expression of genes associated with fibrosis and B-type natriuretic peptide (BNP), a circulating factor associated with cardiac wall stress.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Differentiating Characteristics for TN-201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optimization of our </w:t>
      </w:r>
      <w:r>
        <w:rPr>
          <w:rFonts w:ascii="Times New Roman" w:hAnsi="Times New Roman"/>
          <w:i/>
          <w:color w:val="000000"/>
          <w:sz w:val="20"/>
        </w:rPr>
        <w:t>MYBPC3</w:t>
      </w:r>
      <w:r>
        <w:rPr>
          <w:rFonts w:ascii="Times New Roman" w:hAnsi="Times New Roman"/>
          <w:color w:val="000000"/>
          <w:sz w:val="20"/>
        </w:rPr>
        <w:t xml:space="preserve"> gene therapies, we discovered a cardiomyocyte-specific promoter, TNP-CM1, with improved performance attributes as compared to the standard cardiac troponin T (cTnT) promoter.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analyses confirmed that TNP-CM1 significantly increased expression of the </w:t>
      </w:r>
      <w:r>
        <w:rPr>
          <w:rFonts w:ascii="Times New Roman" w:hAnsi="Times New Roman"/>
          <w:i/>
          <w:color w:val="000000"/>
          <w:sz w:val="20"/>
        </w:rPr>
        <w:t>MYBPC3</w:t>
      </w:r>
      <w:r>
        <w:rPr>
          <w:rFonts w:ascii="Times New Roman" w:hAnsi="Times New Roman"/>
          <w:color w:val="000000"/>
          <w:sz w:val="20"/>
        </w:rPr>
        <w:t xml:space="preserve"> gene compared to what can be achieved with the standard cTnT promoter. </w:t>
      </w:r>
    </w:p>
    <w:p>
      <w:pPr>
        <w:pStyle w:val="TextBody"/>
        <w:bidi w:val="0"/>
        <w:spacing w:before="240" w:after="283"/>
        <w:jc w:val="left"/>
        <w:rPr>
          <w:rFonts w:ascii="Times New Roman" w:hAnsi="Times New Roman"/>
          <w:sz w:val="20"/>
        </w:rPr>
      </w:pPr>
      <w:r>
        <w:rPr>
          <w:rFonts w:ascii="Times New Roman" w:hAnsi="Times New Roman"/>
          <w:b/>
          <w:i/>
          <w:color w:val="000000"/>
          <w:sz w:val="20"/>
        </w:rPr>
        <w:t>TN-401: Gene Therapy for PKP2-associated ARVC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developing TN-401, an investigational and potential first-in-class and best-in-class AAV-based gene therapy for the potential treatment of ARVC, also known as arrhythmogenic cardiomyopathy or ACM, caused by mutations to the </w:t>
      </w:r>
      <w:r>
        <w:rPr>
          <w:rFonts w:ascii="Times New Roman" w:hAnsi="Times New Roman"/>
          <w:i/>
          <w:color w:val="000000"/>
          <w:sz w:val="20"/>
        </w:rPr>
        <w:t>PKP2</w:t>
      </w:r>
      <w:r>
        <w:rPr>
          <w:rFonts w:ascii="Times New Roman" w:hAnsi="Times New Roman"/>
          <w:color w:val="000000"/>
          <w:sz w:val="20"/>
        </w:rPr>
        <w:t xml:space="preserve"> gene. Such mutations are estimated to affect more than 70,000 patients in the U.S. </w:t>
      </w:r>
      <w:r>
        <w:rPr>
          <w:rFonts w:ascii="Times New Roman" w:hAnsi="Times New Roman"/>
          <w:i/>
          <w:color w:val="000000"/>
          <w:sz w:val="20"/>
        </w:rPr>
        <w:t>PKP2</w:t>
      </w:r>
      <w:r>
        <w:rPr>
          <w:rFonts w:ascii="Times New Roman" w:hAnsi="Times New Roman"/>
          <w:color w:val="000000"/>
          <w:sz w:val="20"/>
        </w:rPr>
        <w:t xml:space="preserve"> mutations result in insufficient expression of a protein needed for the proper functioning of the desmosomal complex that maintains physical connections and electrical signaling between heart muscle cells. As the desmosome structure is impaired, cardiac muscle cells are progressively replaced by fibrofatty tissue and electrical pulses in the heart become unstable, resulting in adverse remodeling and irregular heart rhythms. TN-401 is designed to deliver a working </w:t>
      </w:r>
      <w:r>
        <w:rPr>
          <w:rFonts w:ascii="Times New Roman" w:hAnsi="Times New Roman"/>
          <w:i/>
          <w:color w:val="000000"/>
          <w:sz w:val="20"/>
        </w:rPr>
        <w:t>PKP2</w:t>
      </w:r>
      <w:r>
        <w:rPr>
          <w:rFonts w:ascii="Times New Roman" w:hAnsi="Times New Roman"/>
          <w:color w:val="000000"/>
          <w:sz w:val="20"/>
        </w:rPr>
        <w:t xml:space="preserve"> gene to cardiomyocytes to restore function and reverse or slow progression of disease by addressing the genetic mutation most frequently underlying ARVC.</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Overview of ARVC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ARVC is a chronic, progressive disease with an estimated prevalence in the general population of approximately 1:1000 to 1:5000. It occurs when the structure and electrical signals of cardiomyocytes are disrupted, resulting in irregular heart rhythms and a gradual replacement of heart muscle cells with fatty deposits and fibrotic tissue which can lead to heart failure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ARVC most commonly present with symptoms related to VAs, particularly abnormally high heart rates known as ventricular tachycardia and premature ventricular contractions (PVCs). These dangerous rhythm abnormalities place patients at increased risk for sudden cardiac arrest or sudden cardiac death. In an effort to reduce the risk of sudden cardiac death, patients with ARVC are typically discouraged from competitive or endurance sports activities and physical exercise may be limited. The mean age of diagnosis in patients occurs before the age of 40. ARVC is a common cause of sudden cardiac arrest in young patients, and particularly in athletes. In an estimated 23% of ARVC cases, the first sign of disease is sudden cardiac death. ARVC patients may also grapple with additional symptoms, including palpitations, lightheadedness, dizziness, and fainting.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Mutations in the </w:t>
      </w:r>
      <w:r>
        <w:rPr>
          <w:rFonts w:ascii="Times New Roman" w:hAnsi="Times New Roman"/>
          <w:i/>
          <w:color w:val="000000"/>
          <w:sz w:val="20"/>
        </w:rPr>
        <w:t xml:space="preserve">PKP2 </w:t>
      </w:r>
      <w:r>
        <w:rPr>
          <w:rFonts w:ascii="Times New Roman" w:hAnsi="Times New Roman"/>
          <w:color w:val="000000"/>
          <w:sz w:val="20"/>
        </w:rPr>
        <w:t xml:space="preserve">gene are the most common genetic cause of ARVC, with more than 40% of ARVC patients carrying pathogenic variants. PKP2 protein is an integral component of cell adhesion protein complexes known as desmosomes which connect adjacent cardiomyocytes in the heart. Desmosomes are responsible for maintaining the heart tissue integrity and for stabilizing channels called gap junctions that allow for cellular communication among heart cells, which in turn is important to proper synchronization of cardiomyocyte contractions across the myocardium contributing to each heartbeat. When the </w:t>
      </w:r>
      <w:r>
        <w:rPr>
          <w:rFonts w:ascii="Times New Roman" w:hAnsi="Times New Roman"/>
          <w:i/>
          <w:color w:val="000000"/>
          <w:sz w:val="20"/>
        </w:rPr>
        <w:t xml:space="preserve">PKP2 </w:t>
      </w:r>
      <w:r>
        <w:rPr>
          <w:rFonts w:ascii="Times New Roman" w:hAnsi="Times New Roman"/>
          <w:color w:val="000000"/>
          <w:sz w:val="20"/>
        </w:rPr>
        <w:t xml:space="preserve">gene is mutated, reduction of PKP2 protein disrupts structure and function of desmosomes and gap junctions. As a result of these disruptions, cardiomyocytes become more sensitive to the normal mechanical stress of the beating heart, leading to progressive cell loss, inflammation, scar formation, and fat deposition, illustrating the crucial role the PKP2 protein plays in maintaining the structural and functional integrity of heart tissue.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Mutations in the </w:t>
      </w:r>
      <w:r>
        <w:rPr>
          <w:rFonts w:ascii="Times New Roman" w:hAnsi="Times New Roman"/>
          <w:i/>
          <w:color w:val="000000"/>
          <w:sz w:val="20"/>
        </w:rPr>
        <w:t xml:space="preserve">PKP2 </w:t>
      </w:r>
      <w:r>
        <w:rPr>
          <w:rFonts w:ascii="Times New Roman" w:hAnsi="Times New Roman"/>
          <w:color w:val="000000"/>
          <w:sz w:val="20"/>
        </w:rPr>
        <w:t xml:space="preserve">gene are commonly heterozygous and inherited in an autosomal dominant fashion, i.e., a mutation in one gene is sufficient to cause the disease. Most of these mutations lead to a reduction of wild-type protein level of less than or equal to 50%. We believe these findings support the idea that mutations of the </w:t>
      </w:r>
      <w:r>
        <w:rPr>
          <w:rFonts w:ascii="Times New Roman" w:hAnsi="Times New Roman"/>
          <w:i/>
          <w:color w:val="000000"/>
          <w:sz w:val="20"/>
        </w:rPr>
        <w:t>PKP2</w:t>
      </w:r>
      <w:r>
        <w:rPr>
          <w:rFonts w:ascii="Times New Roman" w:hAnsi="Times New Roman"/>
          <w:color w:val="000000"/>
          <w:sz w:val="20"/>
        </w:rPr>
        <w:t xml:space="preserve"> gene cause human disease through haploinsufficiency, and also support the hypothesis that gene replacement may address the underlying cause of disease by increasing the levels of functional PKP2 protein.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 diagnosis, ARVC patients are typically implanted with an ICD to control arrhythmias and prevent sudden cardiac death. ICD implantation is currently the only proven effective treatment for preventing sudden cardiac death in ARVC patients, but ICDs are also associated with complications, including inappropriate interventions. Patients may progress to catheter ablation procedures which have a high rate of recurrence of VA and have not been shown to reduce risk of sudden cardiac death or improve survival. ARVC treatment options may also include beta blockers and other anti-arrhythmic or heart failure medications, intended to reduce VAs. However, studies comparing the efficacy of such treatments have not been conducted. Despite the availability of these treatments, clinical heart failure has been documented in up to 40% of ARVC patients and there remains no approved therapies that address the underlying genetic causes of the disease. </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developing a potential first-in-class and best-in-class AAV-based gene therapy to deliver a fully functional copy of the human </w:t>
      </w:r>
      <w:r>
        <w:rPr>
          <w:rFonts w:ascii="Times New Roman" w:hAnsi="Times New Roman"/>
          <w:i/>
          <w:color w:val="000000"/>
          <w:sz w:val="20"/>
        </w:rPr>
        <w:t>PKP2</w:t>
      </w:r>
      <w:r>
        <w:rPr>
          <w:rFonts w:ascii="Times New Roman" w:hAnsi="Times New Roman"/>
          <w:color w:val="000000"/>
          <w:sz w:val="20"/>
        </w:rPr>
        <w:t xml:space="preserve"> gene to the hearts of ARVC patients carrying </w:t>
      </w:r>
      <w:r>
        <w:rPr>
          <w:rFonts w:ascii="Times New Roman" w:hAnsi="Times New Roman"/>
          <w:i/>
          <w:color w:val="000000"/>
          <w:sz w:val="20"/>
        </w:rPr>
        <w:t>PKP2</w:t>
      </w:r>
      <w:r>
        <w:rPr>
          <w:rFonts w:ascii="Times New Roman" w:hAnsi="Times New Roman"/>
          <w:color w:val="000000"/>
          <w:sz w:val="20"/>
        </w:rPr>
        <w:t xml:space="preserve"> mutations. We believe that delivery of a working </w:t>
      </w:r>
      <w:r>
        <w:rPr>
          <w:rFonts w:ascii="Times New Roman" w:hAnsi="Times New Roman"/>
          <w:i/>
          <w:color w:val="000000"/>
          <w:sz w:val="20"/>
        </w:rPr>
        <w:t>PKP2</w:t>
      </w:r>
      <w:r>
        <w:rPr>
          <w:rFonts w:ascii="Times New Roman" w:hAnsi="Times New Roman"/>
          <w:color w:val="000000"/>
          <w:sz w:val="20"/>
        </w:rPr>
        <w:t xml:space="preserve"> gene to cardiomyocytes represents a promising treatment that can address the underlying genetic cause of this disease. As the disease is most often caused by haploinsufficiency, expression of a functional </w:t>
      </w:r>
      <w:r>
        <w:rPr>
          <w:rFonts w:ascii="Times New Roman" w:hAnsi="Times New Roman"/>
          <w:i/>
          <w:color w:val="000000"/>
          <w:sz w:val="20"/>
        </w:rPr>
        <w:t>PKP2</w:t>
      </w:r>
      <w:r>
        <w:rPr>
          <w:rFonts w:ascii="Times New Roman" w:hAnsi="Times New Roman"/>
          <w:color w:val="000000"/>
          <w:sz w:val="20"/>
        </w:rPr>
        <w:t xml:space="preserve"> gene to replace the missing PKP2 protein in cardiomyocytes is expected to restore proper structure and function of the desmosome. This in turn has the potential to slow and even reverse the progression of disease in patients. The </w:t>
      </w:r>
      <w:r>
        <w:rPr>
          <w:rFonts w:ascii="Times New Roman" w:hAnsi="Times New Roman"/>
          <w:i/>
          <w:color w:val="000000"/>
          <w:sz w:val="20"/>
        </w:rPr>
        <w:t>PKP2</w:t>
      </w:r>
      <w:r>
        <w:rPr>
          <w:rFonts w:ascii="Times New Roman" w:hAnsi="Times New Roman"/>
          <w:color w:val="000000"/>
          <w:sz w:val="20"/>
        </w:rPr>
        <w:t xml:space="preserve"> gene will be delivered using AAV9 capsid with well-established tropism for the heart and expression of the PKP2 protein will be targeted to the heart through use of a cardiomyocyte-specific promoter.</w:t>
      </w:r>
    </w:p>
    <w:p>
      <w:pPr>
        <w:pStyle w:val="TextBody"/>
        <w:bidi w:val="0"/>
        <w:spacing w:before="240" w:after="283"/>
        <w:jc w:val="left"/>
        <w:rPr>
          <w:rFonts w:ascii="Times New Roman" w:hAnsi="Times New Roman"/>
          <w:sz w:val="20"/>
        </w:rPr>
      </w:pPr>
      <w:r>
        <w:rPr>
          <w:rFonts w:ascii="Times New Roman" w:hAnsi="Times New Roman"/>
          <w:i/>
          <w:color w:val="000000"/>
          <w:sz w:val="20"/>
        </w:rPr>
        <w:t>TN-401 Clinical Development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2023, we received clearance of our IND from the FDA to conduct a Phase 1b clinical trial of TN-401 in patients with </w:t>
      </w:r>
      <w:r>
        <w:rPr>
          <w:rFonts w:ascii="Times New Roman" w:hAnsi="Times New Roman"/>
          <w:i/>
          <w:color w:val="000000"/>
          <w:sz w:val="20"/>
        </w:rPr>
        <w:t>PKP2</w:t>
      </w:r>
      <w:r>
        <w:rPr>
          <w:rFonts w:ascii="Times New Roman" w:hAnsi="Times New Roman"/>
          <w:color w:val="000000"/>
          <w:sz w:val="20"/>
        </w:rPr>
        <w:t xml:space="preserve"> mutation-associated ARVC. We expect to commence patient dosing in RIDGE-1 in the second half of 2024 and have completed all necessary manufacturing of TN-401 to supply the clinical trial.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RIDGE-1 is a multi-center, open-label clinical trial designed to assess the safety, tolerability and efficacy of a one-time intravenous infusion of TN-401. The trial will seek to enroll at least six symptomatic (New York Heart Association class I, II or III) adults (ages 18-65) with low titers of AAV9 neutralizing antibodies who have been diagnosed with </w:t>
      </w:r>
      <w:r>
        <w:rPr>
          <w:rFonts w:ascii="Times New Roman" w:hAnsi="Times New Roman"/>
          <w:i/>
          <w:color w:val="000000"/>
          <w:sz w:val="20"/>
        </w:rPr>
        <w:t>PKP2</w:t>
      </w:r>
      <w:r>
        <w:rPr>
          <w:rFonts w:ascii="Times New Roman" w:hAnsi="Times New Roman"/>
          <w:color w:val="000000"/>
          <w:sz w:val="20"/>
        </w:rPr>
        <w:t xml:space="preserve">-associated ARVC and have an ICD. The primary endpoints for the trial include safety and tolerability, PK (as measured by transgene and mRNA expression via cardiac biopsies at 8 weeks and 52 weeks) and PD (as measured by changes in daily PVCs and non-sustained ventricular tachycardia). </w:t>
      </w:r>
    </w:p>
    <w:p>
      <w:pPr>
        <w:pStyle w:val="TextBody"/>
        <w:bidi w:val="0"/>
        <w:spacing w:before="120" w:after="283"/>
        <w:jc w:val="left"/>
        <w:rPr>
          <w:rFonts w:ascii="Times New Roman" w:hAnsi="Times New Roman"/>
          <w:sz w:val="20"/>
        </w:rPr>
      </w:pPr>
      <w:r>
        <w:rPr>
          <w:rFonts w:ascii="Times New Roman" w:hAnsi="Times New Roman"/>
          <w:color w:val="000000"/>
          <w:sz w:val="20"/>
        </w:rPr>
        <w:t>Additional endpoints include frequency of ICD shocks or pacing, frequency of ventricular tachycardia, changes in premature ventricular contractions, imaging biomarkers by echo evaluating structural/hemodynamic changes, plasma biomarkers and patient-reported outcomes. The trial will include a preventative immunosuppressive regimen and close safety monitoring, as well as a 5-year follow-up on safety and efficacy. We expect to assess two dose levels of TN-401 in the trial, starting with 3×10</w:t>
      </w:r>
      <w:r>
        <w:rPr>
          <w:rFonts w:ascii="Times New Roman" w:hAnsi="Times New Roman"/>
          <w:color w:val="000000"/>
          <w:sz w:val="11"/>
        </w:rPr>
        <w:t>13</w:t>
      </w:r>
      <w:r>
        <w:rPr>
          <w:rFonts w:ascii="Times New Roman" w:hAnsi="Times New Roman"/>
          <w:color w:val="000000"/>
          <w:sz w:val="20"/>
        </w:rPr>
        <w:t xml:space="preserve"> vg/kg, a dose associated with near-maximal efficacy in preclinical studies. Three patients are expected to be enrolled in the first dose cohort and will be dosed sequentially, with a pause between patient doses to monitor for safety. An independent safety review following the initial cohort will inform plans for dose escalation to 6×10</w:t>
      </w:r>
      <w:r>
        <w:rPr>
          <w:rFonts w:ascii="Times New Roman" w:hAnsi="Times New Roman"/>
          <w:color w:val="000000"/>
          <w:sz w:val="11"/>
        </w:rPr>
        <w:t>13</w:t>
      </w:r>
      <w:r>
        <w:rPr>
          <w:rFonts w:ascii="Times New Roman" w:hAnsi="Times New Roman"/>
          <w:color w:val="000000"/>
          <w:sz w:val="20"/>
        </w:rPr>
        <w:t xml:space="preserve"> vg/kg, as needed, and/or enrollment of additional patients in the initial cohort. In order to support our development efforts for TN-401, we have initiated RIDGE-1 a global noninterventional study to collect treatment history and seroprevalence to AAV9 antibodies data among ARVC patients who carry pathogenic or likely pathogenic </w:t>
      </w:r>
      <w:r>
        <w:rPr>
          <w:rFonts w:ascii="Times New Roman" w:hAnsi="Times New Roman"/>
          <w:i/>
          <w:color w:val="000000"/>
          <w:sz w:val="20"/>
        </w:rPr>
        <w:t xml:space="preserve">PKP2 </w:t>
      </w:r>
      <w:r>
        <w:rPr>
          <w:rFonts w:ascii="Times New Roman" w:hAnsi="Times New Roman"/>
          <w:color w:val="000000"/>
          <w:sz w:val="20"/>
        </w:rPr>
        <w:t>gene mutations.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TN-401 has received orphan drug designation from the FDA and orphan medicinal product designation from the EC, and in November 2023, received Fast Track Designation from the FDA.</w:t>
      </w:r>
    </w:p>
    <w:p>
      <w:pPr>
        <w:pStyle w:val="TextBody"/>
        <w:bidi w:val="0"/>
        <w:spacing w:before="240" w:after="283"/>
        <w:jc w:val="left"/>
        <w:rPr>
          <w:rFonts w:ascii="Times New Roman" w:hAnsi="Times New Roman"/>
          <w:sz w:val="20"/>
        </w:rPr>
      </w:pPr>
      <w:r>
        <w:rPr>
          <w:rFonts w:ascii="Times New Roman" w:hAnsi="Times New Roman"/>
          <w:i/>
          <w:color w:val="000000"/>
          <w:sz w:val="20"/>
        </w:rPr>
        <w:t>Preclinical Evidence Supporting TN-401 Clinical Development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developed a </w:t>
      </w:r>
      <w:r>
        <w:rPr>
          <w:rFonts w:ascii="Times New Roman" w:hAnsi="Times New Roman"/>
          <w:i/>
          <w:color w:val="000000"/>
          <w:sz w:val="20"/>
        </w:rPr>
        <w:t xml:space="preserve">Pkp2 </w:t>
      </w:r>
      <w:r>
        <w:rPr>
          <w:rFonts w:ascii="Times New Roman" w:hAnsi="Times New Roman"/>
          <w:color w:val="000000"/>
          <w:sz w:val="20"/>
        </w:rPr>
        <w:t>cardiac conditional knockout (</w:t>
      </w:r>
      <w:r>
        <w:rPr>
          <w:rFonts w:ascii="Times New Roman" w:hAnsi="Times New Roman"/>
          <w:i/>
          <w:color w:val="000000"/>
          <w:sz w:val="20"/>
        </w:rPr>
        <w:t>Pkp2-cKO</w:t>
      </w:r>
      <w:r>
        <w:rPr>
          <w:rFonts w:ascii="Times New Roman" w:hAnsi="Times New Roman"/>
          <w:color w:val="000000"/>
          <w:sz w:val="20"/>
        </w:rPr>
        <w:t xml:space="preserve">) mouse model that simulates key aspects of ARVC including dilation of the right ventricle (RV) and LV, decline in LV heart function, severe ventricular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arrhythmia, and early mortality. The onset of symptoms in this model is very rapid and occurs within three weeks after induction of the gene deletion. It is important to note that this </w:t>
      </w:r>
      <w:r>
        <w:rPr>
          <w:rFonts w:ascii="Times New Roman" w:hAnsi="Times New Roman"/>
          <w:i/>
          <w:color w:val="000000"/>
          <w:sz w:val="20"/>
        </w:rPr>
        <w:t>Pkp2-cKO</w:t>
      </w:r>
      <w:r>
        <w:rPr>
          <w:rFonts w:ascii="Times New Roman" w:hAnsi="Times New Roman"/>
          <w:color w:val="000000"/>
          <w:sz w:val="20"/>
        </w:rPr>
        <w:t xml:space="preserve"> model is homozygous with no production of PKP2 protein in cardiomyocytes, resulting in a severity of disease and rate of disease progression that is greater than what is normally observed in most </w:t>
      </w:r>
      <w:r>
        <w:rPr>
          <w:rFonts w:ascii="Times New Roman" w:hAnsi="Times New Roman"/>
          <w:i/>
          <w:color w:val="000000"/>
          <w:sz w:val="20"/>
        </w:rPr>
        <w:t>PKP2</w:t>
      </w:r>
      <w:r>
        <w:rPr>
          <w:rFonts w:ascii="Times New Roman" w:hAnsi="Times New Roman"/>
          <w:color w:val="000000"/>
          <w:sz w:val="20"/>
        </w:rPr>
        <w:t xml:space="preserve"> patients who are almost all heterozygous for </w:t>
      </w:r>
      <w:r>
        <w:rPr>
          <w:rFonts w:ascii="Times New Roman" w:hAnsi="Times New Roman"/>
          <w:i/>
          <w:color w:val="000000"/>
          <w:sz w:val="20"/>
        </w:rPr>
        <w:t>PKP2</w:t>
      </w:r>
      <w:r>
        <w:rPr>
          <w:rFonts w:ascii="Times New Roman" w:hAnsi="Times New Roman"/>
          <w:color w:val="000000"/>
          <w:sz w:val="20"/>
        </w:rPr>
        <w:t xml:space="preserve"> gene mutations, and produce less than or equal to 50% of the necessary PKP2 protein. The </w:t>
      </w:r>
      <w:r>
        <w:rPr>
          <w:rFonts w:ascii="Times New Roman" w:hAnsi="Times New Roman"/>
          <w:i/>
          <w:color w:val="000000"/>
          <w:sz w:val="20"/>
        </w:rPr>
        <w:t>Pkp2-cKO</w:t>
      </w:r>
      <w:r>
        <w:rPr>
          <w:rFonts w:ascii="Times New Roman" w:hAnsi="Times New Roman"/>
          <w:color w:val="000000"/>
          <w:sz w:val="20"/>
        </w:rPr>
        <w:t xml:space="preserve"> model is nonetheless useful as it provides important proof of concept for the potentially beneficial </w:t>
      </w:r>
      <w:r>
        <w:rPr>
          <w:rFonts w:ascii="Times New Roman" w:hAnsi="Times New Roman"/>
          <w:i/>
          <w:color w:val="000000"/>
          <w:sz w:val="20"/>
        </w:rPr>
        <w:t>in vivo</w:t>
      </w:r>
      <w:r>
        <w:rPr>
          <w:rFonts w:ascii="Times New Roman" w:hAnsi="Times New Roman"/>
          <w:color w:val="000000"/>
          <w:sz w:val="20"/>
        </w:rPr>
        <w:t xml:space="preserve"> effect of the PKP2 protein replacement via a gene therapy approach.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preclinical studies, we systemically administered either TN-401 or a mouse surrogate (referred to interchangeably as a “PKP2 gene therapy”) in </w:t>
      </w:r>
      <w:r>
        <w:rPr>
          <w:rFonts w:ascii="Times New Roman" w:hAnsi="Times New Roman"/>
          <w:i/>
          <w:color w:val="000000"/>
          <w:sz w:val="20"/>
        </w:rPr>
        <w:t>Pkp2-cKO</w:t>
      </w:r>
      <w:r>
        <w:rPr>
          <w:rFonts w:ascii="Times New Roman" w:hAnsi="Times New Roman"/>
          <w:color w:val="000000"/>
          <w:sz w:val="20"/>
        </w:rPr>
        <w:t xml:space="preserve"> mice across a range of dose levels from 1×10</w:t>
      </w:r>
      <w:r>
        <w:rPr>
          <w:rFonts w:ascii="Times New Roman" w:hAnsi="Times New Roman"/>
          <w:color w:val="000000"/>
          <w:sz w:val="11"/>
        </w:rPr>
        <w:t>13</w:t>
      </w:r>
      <w:r>
        <w:rPr>
          <w:rFonts w:ascii="Times New Roman" w:hAnsi="Times New Roman"/>
          <w:color w:val="000000"/>
          <w:sz w:val="20"/>
        </w:rPr>
        <w:t xml:space="preserve"> vg/kg to 1×10</w:t>
      </w:r>
      <w:r>
        <w:rPr>
          <w:rFonts w:ascii="Times New Roman" w:hAnsi="Times New Roman"/>
          <w:color w:val="000000"/>
          <w:sz w:val="11"/>
        </w:rPr>
        <w:t>14</w:t>
      </w:r>
      <w:r>
        <w:rPr>
          <w:rFonts w:ascii="Times New Roman" w:hAnsi="Times New Roman"/>
          <w:color w:val="000000"/>
          <w:sz w:val="20"/>
        </w:rPr>
        <w:t xml:space="preserve"> vg/kg and observed similar efficacy utilizing either intervention. The severity and rapid progression of this disease model, combined with the homozygous gene knockout (KO) and near complete loss of PKP2 protein in cardiac tissue, resulted in 100% mortality within 4-6 weeks post induction of KO. This model represents a high bar for demonstration of efficacy with gene therapy, particularly given the slow kinetics (weeks) of AAV-based gene expression and protein production. Nevertheless, whether administered prior to or following disease onset, PKP2 gene therapy demonstrated prevention of disease progression, ultimately culminating in improved survival in both modes of treatment. These improvements in disease state were accompanied by restoration of desmosomes and gap junctions at the molecular and cellular level. All dose levels were well-tolerated.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Specifically, when administered prior to disease onset, PKP2 gene therapy prevented all ARVC disease characteristics in </w:t>
      </w:r>
      <w:r>
        <w:rPr>
          <w:rFonts w:ascii="Times New Roman" w:hAnsi="Times New Roman"/>
          <w:i/>
          <w:color w:val="000000"/>
          <w:sz w:val="20"/>
        </w:rPr>
        <w:t>Pkp2-cKO</w:t>
      </w:r>
      <w:r>
        <w:rPr>
          <w:rFonts w:ascii="Times New Roman" w:hAnsi="Times New Roman"/>
          <w:color w:val="000000"/>
          <w:sz w:val="20"/>
        </w:rPr>
        <w:t xml:space="preserve"> mice including RV enlargement, LVEF decline, ventricular arrhythmias, and adverse fibrotic remodeling. Even when administered after disease onset in this rapidly progressing model, PKP2 gene therapy attenuated LVEF decline with an average 15% (+/- 5.6%) increase in EF versus the vehicle-treated group and attenuated worsening of VA event frequency and severity. Administration of PKP2 gene therapy also supported a near-complete reversal of RV enlargement leading to a restoration of the wild-type level. In either intervention, the beneficial effects of PKP2 gene therapy have been shown to be dose dependent and durable following a single dose lasting the remainder of the </w:t>
      </w:r>
      <w:r>
        <w:rPr>
          <w:rFonts w:ascii="Times New Roman" w:hAnsi="Times New Roman"/>
          <w:i/>
          <w:color w:val="000000"/>
          <w:sz w:val="20"/>
        </w:rPr>
        <w:t>Pkp2-cKO</w:t>
      </w:r>
      <w:r>
        <w:rPr>
          <w:rFonts w:ascii="Times New Roman" w:hAnsi="Times New Roman"/>
          <w:color w:val="000000"/>
          <w:sz w:val="20"/>
        </w:rPr>
        <w:t xml:space="preserve"> mouse model’s natural life span. Survival was also improved in a dose-dependent manner and the effect was sustained for the duration of study; PKP2 gene therapy extended median lifespan from 4.7 weeks to ≥ 50 weeks, regardless of preventative or post-onset dosing.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Clinical-Stage Small Molecule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much of our research, development and manufacturing focus is on cardiac conditions for which genetic medicines can address the underlying cause of disease, our target discovery and validation capabilities allow us to pursue modality-agnostic drug discovery efforts.</w:t>
      </w:r>
    </w:p>
    <w:p>
      <w:pPr>
        <w:pStyle w:val="TextBody"/>
        <w:bidi w:val="0"/>
        <w:spacing w:before="240" w:after="283"/>
        <w:jc w:val="left"/>
        <w:rPr>
          <w:rFonts w:ascii="Times New Roman" w:hAnsi="Times New Roman"/>
          <w:sz w:val="20"/>
        </w:rPr>
      </w:pPr>
      <w:r>
        <w:rPr>
          <w:rFonts w:ascii="Times New Roman" w:hAnsi="Times New Roman"/>
          <w:b/>
          <w:i/>
          <w:color w:val="000000"/>
          <w:sz w:val="20"/>
        </w:rPr>
        <w:t>TN-301: HDAC6 Inhibitor Program for HFpEF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our proprietary modality-agnostic drug discovery capabilities, we discovered an HDAC6 small molecule inhibitor for the potential treatment of HFpEF. HFpEF is one of the greatest areas of unmet need in heart disease with more than three million patients in the U.S. for which there are few approved disease-specific treatment options. A complex syndrome, the causes of HFpEF are diverse, but result in a shared pathophysiology with systemic inflammation and metabolic dysfunction leading to hypertrophy, fibrosis, and diastolic dysfunction among other characteristic consequences. The result is high morbidity and mortality in affected individuals. Our product candidate, TN-301, is a differentiated compound with unique chemical structure and high specificity for HDAC6. In 2023 we completed a Phase 1 clinical trial in which TN-301 demonstrated safety and tolerability in healthy participants with dose-proportional pharmacokinetics and robust target engagement. We have also generated robust preclinical evidence of improving many of the hallmarks of HFpEF when utilized alone or in combination with sodium-glucose cotransporter-2 (SGLT2) inhibitors, a relatively new class of medicines that have shown some efficacy in HFpEF. Based on the large HFpEF patient population, we believe that TN-301’s late-stage development and commercialization would best be led by a strategic pharmaceutical partner with the global resources to explore the full potential of the molecule in HFpEF and other indications.</w:t>
      </w:r>
    </w:p>
    <w:p>
      <w:pPr>
        <w:pStyle w:val="TextBody"/>
        <w:bidi w:val="0"/>
        <w:spacing w:before="240" w:after="283"/>
        <w:jc w:val="left"/>
        <w:rPr>
          <w:rFonts w:ascii="Times New Roman" w:hAnsi="Times New Roman"/>
          <w:sz w:val="20"/>
        </w:rPr>
      </w:pPr>
      <w:r>
        <w:rPr>
          <w:rFonts w:ascii="Times New Roman" w:hAnsi="Times New Roman"/>
          <w:i/>
          <w:color w:val="000000"/>
          <w:sz w:val="20"/>
        </w:rPr>
        <w:t>Overview of HFpEF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tissues of the body. HFpEF is a progressive disease in many patients. Symptoms initially include fatigue, shortness of breath, and edema, resulting in reduced physical activity. Over time, this results in a substantial limitation in activities and impact on quality of life, and patients are at risk of premature death.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HFpEF represent approximately half of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heart failure and mortality rates over a five-year period are as high as 40% and 75%, respectively. Historically, HFpEF patients have generally been prescribed therapies for HFrEF, including diuretics, beta-blockers, and ACE inhibitors, in spite of a limited data demonstrating efficacy or improved outcomes. Recently, a class of glucose lowering drugs known SGLT2 inhibitors have demonstrated encouraging evidence of reducing hospitalizations and mortality versus placebo in HFpEF patients, with one such agent approved by the FDA for the treatment of HFpEF. In spite of this recent progress, HFpEF remains one of the greatest unmet needs in cardiovascular medicine.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TN-301 is a small molecule inhibitor of HDAC6 intended for the potential treatment of HFpEF. TN-301 has demonstrated up to 2500-fold preferential selectivity for HDAC6 in contrast to pan HDACs which have been utilized in oncology. We believe that TN-301’s selectivity may reduce the risk of off target effects observed with less selective HDAC6 inhibitors or pan-HDAC inhibition.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between patients with HFpEF population and those suffering from diabetes and obesity.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preclinical data is suggestive of a multi-modal mechanism of action that may address these multiple aspects of HFpEF disease. In the preclinical setting, TN-301 was shown to reverse measures of HFpEF, including restoration of LV wall thickness, LV end diastolic pressure, LV relaxation and filling, and LV mass. Treatment with TN-301 also resulted in a trend of decreased lung weight, indicative of improvement in pulmonary congestion consistent with the reduction of filling pressure. In addition, we observed an improvement in glucose tolerance, suggesting that treatment with a selective HDAC6i may have a positive impact on glucose metabolism, as well as reductions of key biomarkers of fibrosis, hypertrophy and cardiac damage, and inflammation.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TN-301 Clinical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Building on our preclinical data, we initiated a randomized (3:1), double-blind, placebo-controlled Phase 1 clinical trial to assess the safety and tolerability of escalating oral doses of TN-301 in healthy adult participants. Secondary objectives of the clinical trial included assessment of PK and PD measures. In October 2023, we shared positive data from our Phase 1 clinical trial of TN-301 in healthy participants at the 2023 Heart Failure Society of America (HFSA) Annual Scientific Meeting. The Phase 1 trial enrolled participants in two stages. In Stage 1, participants received single ascending doses (SAD) (1mg – 700mg) and in Stage 2, participants received multiple ascending doses (MAD) (25mg, 100mg and 300mg once daily for 14 days). TN-301 was generally well tolerated across the broad range of doses studied.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PK results showed dose proportional increase in plasma exposure in the SAD and MAD stages of the study with a half-life supportive of once-daily dosing. Increasing TN-301 doses and exposures in both stages of the clinical trial also resulted in corresponding increases in PD effect (as measured by acetylated tubulin). HDAC6 is localized to the cell cytoplasm where it interacts with multiple proteins to coordinate cellular processes and one of its main substrates is tubulin. Inhibition of HDAC6 therefore, results in an increase in acetylated tubulin over baseline. In the Phase 1 clinical trial, acetylated tubulin was evaluated in circulating cells in a robust and reproducible manner. There were no corresponding changes in histone acetylation with TN-301, underscoring the selectivity of TN-301 for HDAC6 and potentially reducing the risk of off target effects observed with less selective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HDAC6 inhibitors or pan-HDAC inhibition. Most adverse events were gastro-intestinal related, occurred with similar frequency in the placebo group and did not increase as doses of TN-301 increased.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encouraging safety profile, potential for once-daily dosing and robust target engagement observed, we believe the results from the Phase 1 clinical trial of TN-301 provide early evidence of a suitable profile for the treatment of HFpEF and warrant further testing in HFpEF patients.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Comparison with SGLT2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test our selective HDAC6 inhibitor, we conducted a comparison study with empagliflozin, an SGLT2 inhibitor approved for HFpEF in a proprietary mouse model of disease using a combination of high fat diet (60%) and Nω-nitrol-arginine methyl ester (L-NAME, 0.5 g/L) to recapitulate systemic and cardiovascular features of HFpEF in humans. In the study, empagliflozin behaved as anticipated based on the data generated from large clinical trials providing validation of our mouse model. TYA-018, a structurally and functionally equivalent compound to TN-301 used for preclinical testing, improved glucose tolerance, reduced LV mass and diastolic pressure, and increased diastolic function with comparable efficacy, suggesting that preclinical results may translate to the clinic. More recently, using a validated mouse model of disease, we demonstrated that HDAC6 inhibition co-administered with empagliflozin demonstrated additive benefit compared to either agent alone improving several measures of heart function. Taken together, these data support the potential for TN-301 to be used either alone or in combination with SGLT2 inhibitors, as a potential treatment for patients with HFpEF.</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Potential Indications for HDAC6 Inhibitors Beyond HFpEF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preclinical studies evaluating TN-301 as a treatment for HFpEF suggest that there may also be a role for TN-301 in the treatment of sub-populations of patients with obesity, diabetes or metabolic syndrome, as well as potentially in sub-populations of patients with dilated cardiomyopathy (DCM) where there is strong alignment between the multi-modal mechanism of action of TN-301 with the pathophysiology of the HFpEF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improvements in glucose metabolism associated with TN-301 treatment in HFpEF mouse models, treatment with TN-301 also led to improvements in glucose tolerance (after a single dose) and insulin sensitivity (after once daily dosing for four weeks) in a diet-induced obesity (DIO) mouse model. A single dose of TN-301 in the DIO model was also associated with a significant reduction in inflammatory markers in adipose tissue, which are thought to be linked to glucose tolerance and insulin sensitivity.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small molecule HDAC6 inhibitors were initially discovered and validated as having cardioprotective qualities in preclinical studies of a rapidly worsening mouse model of BAG3 mutant DCM. In this model, treatment resulted in a greater than 20% improvement in EF after eight weeks of treatment relative to controls. These initial data support the potential of TN-301 as a potential treatment for DCM, a form of cardiomyopathy characterized by an enlarged and weakened left ventricle. Collectively, these data are supportive of a role for HDAC6 inhibition in multiple indications beyond HFpEF.</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Next Steps in TN-301’s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extensive preclinical data generated and the positive Phase 1 clinical trial results, we are encouraged by TN-301’s emerging therapeutic profile as a potential differentiated treatment for HFpEF. We believe that TN-301 will best be advanced into efficacy studies by a well-resourced partner. </w:t>
      </w:r>
    </w:p>
    <w:p>
      <w:pPr>
        <w:pStyle w:val="TextBody"/>
        <w:bidi w:val="0"/>
        <w:spacing w:before="240" w:after="283"/>
        <w:jc w:val="left"/>
        <w:rPr>
          <w:rFonts w:ascii="Times New Roman" w:hAnsi="Times New Roman"/>
          <w:sz w:val="20"/>
        </w:rPr>
      </w:pPr>
      <w:r>
        <w:rPr>
          <w:rFonts w:ascii="Times New Roman" w:hAnsi="Times New Roman"/>
          <w:b/>
          <w:color w:val="000000"/>
          <w:sz w:val="20"/>
        </w:rPr>
        <w:t>Our Integrated Capabilities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Foundational to our research and drug discovery efforts are our proprietary integrated capabilities that collectively support discovery of novel targets, </w:t>
      </w:r>
      <w:r>
        <w:rPr>
          <w:rFonts w:ascii="Times New Roman" w:hAnsi="Times New Roman"/>
          <w:i/>
          <w:color w:val="000000"/>
          <w:sz w:val="20"/>
        </w:rPr>
        <w:t xml:space="preserve">in vitro </w:t>
      </w:r>
      <w:r>
        <w:rPr>
          <w:rFonts w:ascii="Times New Roman" w:hAnsi="Times New Roman"/>
          <w:color w:val="000000"/>
          <w:sz w:val="20"/>
        </w:rPr>
        <w:t xml:space="preserve">optimization and lead validation, </w:t>
      </w:r>
      <w:r>
        <w:rPr>
          <w:rFonts w:ascii="Times New Roman" w:hAnsi="Times New Roman"/>
          <w:i/>
          <w:color w:val="000000"/>
          <w:sz w:val="20"/>
        </w:rPr>
        <w:t xml:space="preserve">in vivo </w:t>
      </w:r>
      <w:r>
        <w:rPr>
          <w:rFonts w:ascii="Times New Roman" w:hAnsi="Times New Roman"/>
          <w:color w:val="000000"/>
          <w:sz w:val="20"/>
        </w:rPr>
        <w:t xml:space="preserve">characterization, rapid product development, precise product delivery, and efficient production.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integration of these in-house capabilities provides us with several advantages and differentiates our efforts relative to other drug discovery companies, especially for gene therapy drug development. For example, we believe the application of our capsid engineering and promoter design and delivery expertise may enable us to overcome the limitations faced by prior cardiac gene therapy approaches by enabling more precise delivery and more robust gene expression and lowering the risk of off-target effects. Leveraging our extensive in-house capabilities, we are able to take a competitively advantageous approach to target identification and validation and preclinical characterization of each of our prospective candidates, which we believe provides us with deeper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insights, shortened product development cycles, reduced scientific risks and improved probability of technical and regulatory success for our product candidates. Ultimately, we believe our differentiated capabilities can support development of product candidates that, if approved, could address the high unmet need of patients with heart diseases. Our core internal capabilities include disease models, capsid engineering, promoters and regulatory elements, drug delivery and manufacturing, each described in more detail below:</w:t>
      </w:r>
    </w:p>
    <w:p>
      <w:pPr>
        <w:pStyle w:val="TextBody"/>
        <w:bidi w:val="0"/>
        <w:spacing w:before="240" w:after="283"/>
        <w:jc w:val="left"/>
        <w:rPr>
          <w:rFonts w:ascii="Times New Roman" w:hAnsi="Times New Roman"/>
          <w:sz w:val="20"/>
        </w:rPr>
      </w:pPr>
      <w:r>
        <w:rPr>
          <w:rFonts w:ascii="Times New Roman" w:hAnsi="Times New Roman"/>
          <w:b/>
          <w:i/>
          <w:color w:val="000000"/>
          <w:sz w:val="20"/>
        </w:rPr>
        <w:t>Disease Models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internalized the ability to create and integrate proprietary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models within our research organization, which allows us to simulate human heart disease phenotypes. This creates significant value to the organization, as existing models of human heart disease may not be adequate to assess the efficacy or safety of novel therapies. Our disease modelling capabilities serve to facilitate the discovery of new leads and to characterize the activity of existing leads as we move through preclinical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In Vitro:</w:t>
      </w:r>
      <w:r>
        <w:rPr>
          <w:rFonts w:ascii="Times New Roman" w:hAnsi="Times New Roman"/>
          <w:color w:val="000000"/>
          <w:sz w:val="20"/>
        </w:rPr>
        <w:t xml:space="preserve"> For our </w:t>
      </w:r>
      <w:r>
        <w:rPr>
          <w:rFonts w:ascii="Times New Roman" w:hAnsi="Times New Roman"/>
          <w:i/>
          <w:color w:val="000000"/>
          <w:sz w:val="20"/>
        </w:rPr>
        <w:t>in vitro</w:t>
      </w:r>
      <w:r>
        <w:rPr>
          <w:rFonts w:ascii="Times New Roman" w:hAnsi="Times New Roman"/>
          <w:color w:val="000000"/>
          <w:sz w:val="20"/>
        </w:rPr>
        <w:t xml:space="preserve"> human iPSC-cardiomyocyte (iPSC-CM) disease models, we use multiple methods to induce phenotypes within cell lines that simulate human diseases and then use these models for high throughput target identification and drug discovery. Specifically, we have implemented three primary approaches to model human heart disease: (i) short interfering ribonucleic acid (siRNA) constructs to silence specific genes of interest in human iPSC-CMs; (ii) CRISPR-based gene editing approaches to create isogenic human iPSC-cell lines where specific genes have been altered; and (iii) iPSCs derived from patients with severe heart disease. We have developed our own high throughput imaging analyses technologies, known as TAMARACK and PORCUPINE, to characterize the impact of drug leads directly on cardiomyocytes and cardiac fibroblasts. Taken together, our advancements in disease modeling, including our practice of characterizing targets using three-dimensional human engineering heart tissues, our ability to produce human iPSC-CM’s reliably and at an increasing scale, our use of immunostaining, high-resolution imaging and our application of imaging and machine learning algorithms to support high-throughput phenotypic screening, enhance our ability to both identify and characterize potential product candidates early in the discovery process.</w:t>
      </w:r>
    </w:p>
    <w:p>
      <w:pPr>
        <w:pStyle w:val="TextBody"/>
        <w:bidi w:val="0"/>
        <w:spacing w:before="120" w:after="283"/>
        <w:jc w:val="left"/>
        <w:rPr>
          <w:rFonts w:ascii="Times New Roman" w:hAnsi="Times New Roman"/>
          <w:sz w:val="20"/>
        </w:rPr>
      </w:pPr>
      <w:r>
        <w:rPr>
          <w:rFonts w:ascii="Times New Roman" w:hAnsi="Times New Roman"/>
          <w:i/>
          <w:color w:val="000000"/>
          <w:sz w:val="20"/>
        </w:rPr>
        <w:t>In Vivo:</w:t>
      </w:r>
      <w:r>
        <w:rPr>
          <w:rFonts w:ascii="Times New Roman" w:hAnsi="Times New Roman"/>
          <w:color w:val="000000"/>
          <w:sz w:val="20"/>
        </w:rPr>
        <w:t xml:space="preserve"> For our </w:t>
      </w:r>
      <w:r>
        <w:rPr>
          <w:rFonts w:ascii="Times New Roman" w:hAnsi="Times New Roman"/>
          <w:i/>
          <w:color w:val="000000"/>
          <w:sz w:val="20"/>
        </w:rPr>
        <w:t>in vivo</w:t>
      </w:r>
      <w:r>
        <w:rPr>
          <w:rFonts w:ascii="Times New Roman" w:hAnsi="Times New Roman"/>
          <w:color w:val="000000"/>
          <w:sz w:val="20"/>
        </w:rPr>
        <w:t xml:space="preserve"> disease models, we have a dedicated onsite </w:t>
      </w:r>
      <w:r>
        <w:rPr>
          <w:rFonts w:ascii="Times New Roman" w:hAnsi="Times New Roman"/>
          <w:i/>
          <w:color w:val="000000"/>
          <w:sz w:val="20"/>
        </w:rPr>
        <w:t>in vivo</w:t>
      </w:r>
      <w:r>
        <w:rPr>
          <w:rFonts w:ascii="Times New Roman" w:hAnsi="Times New Roman"/>
          <w:color w:val="000000"/>
          <w:sz w:val="20"/>
        </w:rPr>
        <w:t xml:space="preserve"> pharmacology group and vivarium, where we have established approximately 20 rodent heart disease models. We can dose with gene therapies as well as small molecules or biologics. We also have the ability to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success will be supported by the know-how we are developing and the proprietary integration of these disease models across our programs. </w:t>
      </w:r>
    </w:p>
    <w:p>
      <w:pPr>
        <w:pStyle w:val="TextBody"/>
        <w:bidi w:val="0"/>
        <w:spacing w:before="240" w:after="283"/>
        <w:jc w:val="left"/>
        <w:rPr>
          <w:rFonts w:ascii="Times New Roman" w:hAnsi="Times New Roman"/>
          <w:sz w:val="20"/>
        </w:rPr>
      </w:pPr>
      <w:r>
        <w:rPr>
          <w:rFonts w:ascii="Times New Roman" w:hAnsi="Times New Roman"/>
          <w:b/>
          <w:i/>
          <w:color w:val="000000"/>
          <w:sz w:val="20"/>
        </w:rPr>
        <w:t>Capsid Engineering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selection of the right capsid for optimal delivery and safety of genetic medicines can make a profound difference in patient safety, therapeutic efficacy, manufacturing productivity and cost of goods. For our initial pipeline programs, we elected to use AAV9 as the capsid due to its clinically established safety and cardiac tropism and proven manufacturability. As part of our early product design efforts, we tested AAV9 alongside several other capsids for tropism to cardiomyocytes and for resulting mRNA and protein expression, and in our hands AAV9 proved to be superior to other available capsids. This work contributed to the selection of AAV9 for use with TN-201 and TN-401, and also contributed to the foundations of our novel capsid engineering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 is to discover, design, and develop novel cardiac-tropic AAV capsids with superior attributes in order to enable more precise targeting of heart cells and to improve the safety profile of our product candidates by reducing tropism for other organs, particularly the liver. We also believe that using capsids that more specifically target one cell type over another can also help lower cost of goods for our future product candidates by lowering doses while increasing efficacy. To achieve our goals related to capsid engineering, we have established in-house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AAV capsid engineering capabilities and have designed and screened over one billion variants from diverse, proprietary libraries to discover, design, and develop novel capsids to support our programs.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approach includes the use of diverse screening methods across a variety of </w:t>
      </w:r>
      <w:r>
        <w:rPr>
          <w:rFonts w:ascii="Times New Roman" w:hAnsi="Times New Roman"/>
          <w:i/>
          <w:color w:val="000000"/>
          <w:sz w:val="20"/>
        </w:rPr>
        <w:t>in vitro</w:t>
      </w:r>
      <w:r>
        <w:rPr>
          <w:rFonts w:ascii="Times New Roman" w:hAnsi="Times New Roman"/>
          <w:color w:val="000000"/>
          <w:sz w:val="20"/>
        </w:rPr>
        <w:t xml:space="preserv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in silico</w:t>
      </w:r>
      <w:r>
        <w:rPr>
          <w:rFonts w:ascii="Times New Roman" w:hAnsi="Times New Roman"/>
          <w:color w:val="000000"/>
          <w:sz w:val="20"/>
        </w:rPr>
        <w:t xml:space="preserve"> libraries to enable our ability to identify novel capsids, followed by the application of broad criteria for the selection of novel capsids, including improved tropism for the heart compared to other organs, with a particular interest in de-targeting the liver; improved transduction of specific heart cell types; lower susceptibility to neutralizing antibodies; and comparable manufacturing in both HEK293- and Sf9/rBV-based manufacturing systems. We then evaluate these novel capsids to identify ones that can outperform the relevant parental capsids, which may vary depending on the intended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these efforts, we have discovered proprietary capsids with superior performance over parental variants across multiple species. These next-generation capsids have improved tropism for the heart compared to other organs and even for specific cells within the heart; improved transduction and expression within the heart cells; and lower susceptibility to neutralizing antibodies. In fact, as compared to AAV9, several novel capsids identified have equivalent transduction in the heart and lower transduction of the liver and a better ability to evade human neutralizing antibodies We have also generated additional data that demonstrate that certain of these capsids have a greater ability to improve heart function compared to AAV9 in specific disease models.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these data provide important proof of concept of the potential utility of capsid engineering. We believe our capsid engineering efforts will be critical in supporting the successful clinical development of future product candidates and enabling those product candidates, if approved, to reach more patients.</w:t>
      </w:r>
    </w:p>
    <w:p>
      <w:pPr>
        <w:pStyle w:val="TextBody"/>
        <w:bidi w:val="0"/>
        <w:spacing w:before="240" w:after="283"/>
        <w:jc w:val="left"/>
        <w:rPr>
          <w:rFonts w:ascii="Times New Roman" w:hAnsi="Times New Roman"/>
          <w:sz w:val="20"/>
        </w:rPr>
      </w:pPr>
      <w:r>
        <w:rPr>
          <w:rFonts w:ascii="Times New Roman" w:hAnsi="Times New Roman"/>
          <w:b/>
          <w:i/>
          <w:color w:val="000000"/>
          <w:sz w:val="20"/>
        </w:rPr>
        <w:t>Promoters and Regulatory Elements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created novel promoters and regulatory elements that support our gene therapy and cellular regeneration programs by controlling the expression of genes within the cells. We use these innovations, which are essential to the success of gene therapy,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Illustrative examples of our innovations in this area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Heart specificity:</w:t>
      </w:r>
      <w:r>
        <w:rPr>
          <w:color w:val="000000"/>
        </w:rPr>
        <w:t xml:space="preserve"> </w:t>
      </w:r>
      <w:r>
        <w:rPr>
          <w:rFonts w:ascii="Times New Roman" w:hAnsi="Times New Roman"/>
          <w:color w:val="000000"/>
          <w:sz w:val="20"/>
        </w:rPr>
        <w:t xml:space="preserve">We have developed cardiac-specific promoters that enable more selective and robust expression in the heart as compared to other organs. For example, during optimization of TN-201, we developed a cardiomyocyte-specific promoter, TNP-CM1, with improved performance attributes as compared to the standard cTnT promoter. </w:t>
      </w:r>
      <w:r>
        <w:rPr>
          <w:rFonts w:ascii="Times New Roman" w:hAnsi="Times New Roman"/>
          <w:i/>
          <w:color w:val="000000"/>
          <w:sz w:val="20"/>
        </w:rPr>
        <w:t xml:space="preserve">In vitro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analyses confirmed that TNP-CM1 significantly increased expression of the </w:t>
      </w:r>
      <w:r>
        <w:rPr>
          <w:rFonts w:ascii="Times New Roman" w:hAnsi="Times New Roman"/>
          <w:i/>
          <w:color w:val="000000"/>
          <w:sz w:val="20"/>
        </w:rPr>
        <w:t>MYBPC3</w:t>
      </w:r>
      <w:r>
        <w:rPr>
          <w:color w:val="000000"/>
        </w:rPr>
        <w:t xml:space="preserve"> </w:t>
      </w:r>
      <w:r>
        <w:rPr>
          <w:rFonts w:ascii="Times New Roman" w:hAnsi="Times New Roman"/>
          <w:color w:val="000000"/>
          <w:sz w:val="20"/>
        </w:rPr>
        <w:t xml:space="preserve">gene compared to what can be achieved with the standard cTnT promoter. In addition, in a mouse model we observed 1000-fold selectivity of expression in cardiac tissue relative to other tissues, including skeletal muscle, brain and liver.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Cell specificity: </w:t>
      </w:r>
      <w:r>
        <w:rPr>
          <w:rFonts w:ascii="Times New Roman" w:hAnsi="Times New Roman"/>
          <w:color w:val="000000"/>
          <w:sz w:val="20"/>
        </w:rPr>
        <w:t>We have also developed a proprietary combination of regulatory elements that enable more optimal and selective expression in one cell type in the heart compared to others. For example, we have discovered ways to optimize the robust co-expression of two protein-coding genes and one micro-RNA gene delivered within a single AAV in cardiac fibroblasts, as well as how to use specific micro-RNA binding sites to silence the translation of those same genes in both existing cardiomyocytes as well as newly created cardiomyocytes, which may support higher efficacy and provide a safety benefit and reduce the chance for off-target effects, respectively.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Tunable gene expression: </w:t>
      </w:r>
      <w:r>
        <w:rPr>
          <w:rFonts w:ascii="Times New Roman" w:hAnsi="Times New Roman"/>
          <w:color w:val="000000"/>
          <w:sz w:val="20"/>
        </w:rPr>
        <w:t>We have also developed a spectrum of novel promoters to titer the expression of genes within cardiomyocytes, by combining various combinations of enhancer elements from different cardiomyocyte selective genes. These efforts have enabled us to achieve higher expression in certain disease models than what can be achieved with a standard cTnT promoter.</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Delivery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Delivery of drugs to the heart is widely considered to be an important challenge to successful translation of cardiac gene therapy and regenerative medicines into approved products. Delivery methods vary significantly in terms of degree of invasiveness, distribution of therapy around the heart, degree of therapy uptake into the heart,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technical difficulty of administration, and clinical relevance and experience. The diversity of programs in our current pipeline necessitates the use of different delivery methods. Therefore, we are actively exploring different routes of administration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gene therapy product candidates, including TN-201 and TN-401, we generally need broad distribution across the heart tissue that is more suited to infusion-based approaches. By contrast, for other gene therapy programs, we need more precise delivery into the heart tissue directly around a scar area of the LV in a way that is more suited to injection-based approaches. For example, to support our early-stage program focused on cardiac regeneration, we developed a novel transendocardial injection catheter for more precise delivery of therapeutic payloads around the scar area that is formed after heart attack, but in a way that is minimally invasive and would not require heart surgery.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capsid engineering efforts will be critical in supporting the successful clinical development of future product candidates and enabling those product candidates, if approved, to reach more patients.</w:t>
      </w:r>
    </w:p>
    <w:p>
      <w:pPr>
        <w:pStyle w:val="TextBody"/>
        <w:bidi w:val="0"/>
        <w:spacing w:before="240" w:after="283"/>
        <w:jc w:val="left"/>
        <w:rPr>
          <w:rFonts w:ascii="Times New Roman" w:hAnsi="Times New Roman"/>
          <w:sz w:val="20"/>
        </w:rPr>
      </w:pPr>
      <w:r>
        <w:rPr>
          <w:rFonts w:ascii="Times New Roman" w:hAnsi="Times New Roman"/>
          <w:b/>
          <w:i/>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is to have complete ownership of our process development, analytical development, manufacturing and quality control (QC). Maintaining internalized manufacturing increases our understanding of the attributes of our drug substance and drug product, enables continuous process improvement, consistency (quality and productivity) and supports manufacturing requirements for clinical development and commercialization. The resulting innovation and insights are expected to apply not only for rare populations, but also for more prevalent indications, and allows us to be a partner of choice in strategic drug development partnerships and with early-stage academic programs. Overall, the internalization of manufacturing efforts provides us with know-how that yields several advantages that allow us to be in a better position to support our future capacity expansion needs or swiftly transfer technology know-how to CDMOs to achieve sourcing for product candidates across multiple third parties for risk mitigation purposes.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Vector core:</w:t>
      </w:r>
      <w:r>
        <w:rPr>
          <w:color w:val="000000"/>
        </w:rPr>
        <w:t xml:space="preserve"> </w:t>
      </w:r>
      <w:r>
        <w:rPr>
          <w:rFonts w:ascii="Times New Roman" w:hAnsi="Times New Roman"/>
          <w:color w:val="000000"/>
          <w:sz w:val="20"/>
        </w:rPr>
        <w:t xml:space="preserve">We have established vector production to support early research involving both parental and novel AAV capsids up to the 50L scale. We have also established the necessary process development expertise to support comparable product efficacy in both HEK293-based and Sf9/rBV-based manufacturing systems for both existing AAV serotypes as well as for novel capsids discovered from our capsid engineering efforts.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Manufacturing Technology Development Center (MTDC):</w:t>
      </w:r>
      <w:r>
        <w:rPr>
          <w:color w:val="000000"/>
        </w:rPr>
        <w:t xml:space="preserve"> </w:t>
      </w:r>
      <w:r>
        <w:rPr>
          <w:rFonts w:ascii="Times New Roman" w:hAnsi="Times New Roman"/>
          <w:color w:val="000000"/>
          <w:sz w:val="20"/>
        </w:rPr>
        <w:t>Co-located with our research labs in the San Francisco Bay Area, we have established in-house operations at the 200L scale to support all non-clinical studies including those involving large animal models under Good Laboratory Practice (GLP) regulations. We rely on our MTDC for assay development and technology transfer to our dedicated cGMP facility. Our production at this scale has been at yields and with full/empty capsid ratios that compare favorably to industry standards.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Genetic Medicines Manufacturing Center (GMMC):</w:t>
      </w:r>
      <w:r>
        <w:rPr>
          <w:color w:val="000000"/>
        </w:rPr>
        <w:t xml:space="preserve"> </w:t>
      </w:r>
      <w:r>
        <w:rPr>
          <w:rFonts w:ascii="Times New Roman" w:hAnsi="Times New Roman"/>
          <w:color w:val="000000"/>
          <w:sz w:val="20"/>
        </w:rPr>
        <w:t xml:space="preserve">Our GMMC is a dedicated cGMP facility for AAV drug product manufacturing that is strategically located in the San Francisco Bay Area. The facility operates at the 1000L scale to support all clinical development activities from first-in-human (FIH) clinical trials through to late-stage development, as well as initial commercialization, if regulatory approval is obtained. It uses a modular design that will support scale-out and/or scale-up of manufacturing capacity in response to evolving business needs.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rapidly advancing technologies, intense competition and a strong emphasis on intellectual property. We believe our scientific know-how,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or that may be developed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depth and diversity of our pipeline, we may face competition from a variety of companies, including: </w:t>
      </w:r>
    </w:p>
    <w:p>
      <w:pPr>
        <w:pStyle w:val="TextBody"/>
        <w:bidi w:val="0"/>
        <w:spacing w:before="120" w:after="283"/>
        <w:jc w:val="left"/>
        <w:rPr>
          <w:rFonts w:ascii="Times New Roman" w:hAnsi="Times New Roman"/>
          <w:sz w:val="20"/>
        </w:rPr>
      </w:pPr>
      <w:r>
        <w:rPr>
          <w:rFonts w:ascii="Times New Roman" w:hAnsi="Times New Roman"/>
          <w:i/>
          <w:color w:val="000000"/>
          <w:sz w:val="20"/>
        </w:rPr>
        <w:t>TN-201:</w:t>
      </w:r>
      <w:r>
        <w:rPr>
          <w:rFonts w:ascii="Times New Roman" w:hAnsi="Times New Roman"/>
          <w:color w:val="000000"/>
          <w:sz w:val="20"/>
        </w:rPr>
        <w:t xml:space="preserve"> We believe the principal competition for TN-201 will be programs that address the underlying genetic cause of </w:t>
      </w:r>
      <w:r>
        <w:rPr>
          <w:rFonts w:ascii="Times New Roman" w:hAnsi="Times New Roman"/>
          <w:i/>
          <w:color w:val="000000"/>
          <w:sz w:val="20"/>
        </w:rPr>
        <w:t>MYBPC3</w:t>
      </w:r>
      <w:r>
        <w:rPr>
          <w:rFonts w:ascii="Times New Roman" w:hAnsi="Times New Roman"/>
          <w:color w:val="000000"/>
          <w:sz w:val="20"/>
        </w:rPr>
        <w:t xml:space="preserve">-associated HCM. Based on publicly available data, we don’t believe any such treatments have received approval from a regulatory agency or reached clinical development. Notwithstanding, we believe BioMarin and DiNAQOR’s BMN-293 for treating the underlying cause of </w:t>
      </w:r>
      <w:r>
        <w:rPr>
          <w:rFonts w:ascii="Times New Roman" w:hAnsi="Times New Roman"/>
          <w:i/>
          <w:color w:val="000000"/>
          <w:sz w:val="20"/>
        </w:rPr>
        <w:t>MYBPC3</w:t>
      </w:r>
      <w:r>
        <w:rPr>
          <w:rFonts w:ascii="Times New Roman" w:hAnsi="Times New Roman"/>
          <w:color w:val="000000"/>
          <w:sz w:val="20"/>
        </w:rPr>
        <w:t>-associated HCM may initiate clinical development in the near term. We may also face competition from treatments for both nHCM and oHCM, including Bristol Myers Squibb’s myosin inhibitor Camzyos approved for oHCM. There are also several other programs in clinical development for HCM, including Cytokinetics’ Aficamten.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TN-301: </w:t>
      </w:r>
      <w:r>
        <w:rPr>
          <w:rFonts w:ascii="Times New Roman" w:hAnsi="Times New Roman"/>
          <w:color w:val="000000"/>
          <w:sz w:val="20"/>
        </w:rPr>
        <w:t>We believe that the principal competition for TN-301 in HFpEF includes agents approved in the U.S. and/or Europe for the treatment of HFpEF, including Novartis’ Entresto and Eli Lilly and Boehringer Ingleheim’s SGLT2 inhibitor, Jardiance and Astra Zeneca’s SGLT2 inhibitor, Farxiga. While there are no approved HDAC6 inhibitors for cardiovascular indications, HFpEF clinical development is an area of robust investment and multiple additional agents for the treatment of HFpEF are in clinical development.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TN-401: </w:t>
      </w:r>
      <w:r>
        <w:rPr>
          <w:rFonts w:ascii="Times New Roman" w:hAnsi="Times New Roman"/>
          <w:color w:val="000000"/>
          <w:sz w:val="20"/>
        </w:rPr>
        <w:t xml:space="preserve">We believe the principal competition for TN-401 will be programs that address the underlying genetic cause of </w:t>
      </w:r>
      <w:r>
        <w:rPr>
          <w:rFonts w:ascii="Times New Roman" w:hAnsi="Times New Roman"/>
          <w:i/>
          <w:color w:val="000000"/>
          <w:sz w:val="20"/>
        </w:rPr>
        <w:t>PKP2</w:t>
      </w:r>
      <w:r>
        <w:rPr>
          <w:rFonts w:ascii="Times New Roman" w:hAnsi="Times New Roman"/>
          <w:color w:val="000000"/>
          <w:sz w:val="20"/>
        </w:rPr>
        <w:t xml:space="preserve">-associated ARVC. Based on publicly available data, we don’t believe any such treatments have received approval from a regulatory agency. However, there are several programs in clinical development for treating the underlying cause of </w:t>
      </w:r>
      <w:r>
        <w:rPr>
          <w:rFonts w:ascii="Times New Roman" w:hAnsi="Times New Roman"/>
          <w:i/>
          <w:color w:val="000000"/>
          <w:sz w:val="20"/>
        </w:rPr>
        <w:t>PKP2</w:t>
      </w:r>
      <w:r>
        <w:rPr>
          <w:rFonts w:ascii="Times New Roman" w:hAnsi="Times New Roman"/>
          <w:color w:val="000000"/>
          <w:sz w:val="20"/>
        </w:rPr>
        <w:t>-associated ARVC, including Rocket Pharmaceutical’s RP-A601, Lexeo Therapeutics’ LX2020, and BioMarin’s BMN-365. We may also face competition from therapies and medical devices directed to treat the symptoms of ARVC.</w:t>
      </w:r>
    </w:p>
    <w:p>
      <w:pPr>
        <w:pStyle w:val="TextBody"/>
        <w:bidi w:val="0"/>
        <w:spacing w:before="120" w:after="283"/>
        <w:jc w:val="left"/>
        <w:rPr>
          <w:rFonts w:ascii="Times New Roman" w:hAnsi="Times New Roman"/>
          <w:sz w:val="20"/>
        </w:rPr>
      </w:pPr>
      <w:r>
        <w:rPr>
          <w:rFonts w:ascii="Times New Roman" w:hAnsi="Times New Roman"/>
          <w:color w:val="000000"/>
          <w:sz w:val="20"/>
        </w:rPr>
        <w:t>For information regarding the risks related to competition, see “</w:t>
      </w:r>
      <w:r>
        <w:rPr>
          <w:rFonts w:ascii="Times New Roman" w:hAnsi="Times New Roman"/>
          <w:i/>
          <w:color w:val="000000"/>
          <w:sz w:val="20"/>
        </w:rPr>
        <w:t>Risk Factors—Risks Related to the Discovery Development, Manufacturing and Commercialization of Our Product Candidates.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manufacturing processes and medical devices. </w:t>
      </w:r>
    </w:p>
    <w:p>
      <w:pPr>
        <w:pStyle w:val="TextBody"/>
        <w:bidi w:val="0"/>
        <w:spacing w:before="120" w:after="283"/>
        <w:jc w:val="left"/>
        <w:rPr>
          <w:rFonts w:ascii="Times New Roman" w:hAnsi="Times New Roman"/>
          <w:sz w:val="20"/>
        </w:rPr>
      </w:pPr>
      <w:r>
        <w:rPr>
          <w:rFonts w:ascii="Times New Roman" w:hAnsi="Times New Roman"/>
          <w:i/>
          <w:color w:val="000000"/>
          <w:sz w:val="20"/>
        </w:rPr>
        <w:t>TN-201</w:t>
      </w:r>
      <w:r>
        <w:rPr>
          <w:rFonts w:ascii="Times New Roman" w:hAnsi="Times New Roman"/>
          <w:color w:val="000000"/>
          <w:sz w:val="20"/>
        </w:rPr>
        <w:t xml:space="preserve">: With regard to TN-201, we own three issued U.S. patents covering a recombinant adeno-associated virus (rAAV) virion whose vector genome encodes </w:t>
      </w:r>
      <w:r>
        <w:rPr>
          <w:rFonts w:ascii="Times New Roman" w:hAnsi="Times New Roman"/>
          <w:i/>
          <w:color w:val="000000"/>
          <w:sz w:val="20"/>
        </w:rPr>
        <w:t>MYBPC3</w:t>
      </w:r>
      <w:r>
        <w:rPr>
          <w:rFonts w:ascii="Times New Roman" w:hAnsi="Times New Roman"/>
          <w:color w:val="000000"/>
          <w:sz w:val="20"/>
        </w:rPr>
        <w:t xml:space="preserve"> and methods of using the same for treating cardiomyopathy, one pending non-provisional U.S. patent application, and twenty-six pending foreign patent applications. Any U.S. or foreign patents issued from the pending patent applications are expected to expire in 2041,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hAnsi="Times New Roman"/>
          <w:i/>
          <w:color w:val="000000"/>
          <w:sz w:val="20"/>
        </w:rPr>
        <w:t>MYBPC3</w:t>
      </w:r>
      <w:r>
        <w:rPr>
          <w:rFonts w:ascii="Times New Roman" w:hAnsi="Times New Roman"/>
          <w:color w:val="000000"/>
          <w:sz w:val="20"/>
        </w:rPr>
        <w:t xml:space="preserve"> gene expression cassettes, rAAV vectors, rAAV viral genomes and methods of using such compositions for therapeutic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TN-301:</w:t>
      </w:r>
      <w:r>
        <w:rPr>
          <w:rFonts w:ascii="Times New Roman" w:hAnsi="Times New Roman"/>
          <w:color w:val="000000"/>
          <w:sz w:val="20"/>
        </w:rPr>
        <w:t xml:space="preserve"> With regard to TN-301, we own one issued U.S. patent, one allowed U.S. application, one pending non-provisional U.S. patent application and thirty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 The pending patent applications cover TN-301 and various analogs. We also own two patent families that cover methods of treatment of various diseases and disorders with TN-301 and its analogs, with a total of three pending non-provisional U.S. patent applications and thirty-nine foreign patent applications. Any U.S. or foreign patents issued from the pending applications are expected to expire in 2042, assuming payment of all appropriate maintenance, renewal, annuity or other governmental fees, and without taking potential patent term extensions or adjustments into account. We also own one patent family that covers additional HDAC6i compounds, with one pending non-provisional U.S. patent application and three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pStyle w:val="TextBody"/>
        <w:bidi w:val="0"/>
        <w:spacing w:before="120" w:after="283"/>
        <w:jc w:val="left"/>
        <w:rPr>
          <w:rFonts w:ascii="Times New Roman" w:hAnsi="Times New Roman"/>
          <w:sz w:val="20"/>
        </w:rPr>
      </w:pPr>
      <w:r>
        <w:rPr>
          <w:rFonts w:ascii="Times New Roman" w:hAnsi="Times New Roman"/>
          <w:i/>
          <w:color w:val="000000"/>
          <w:sz w:val="20"/>
        </w:rPr>
        <w:t>TN-401:</w:t>
      </w:r>
      <w:r>
        <w:rPr>
          <w:rFonts w:ascii="Times New Roman" w:hAnsi="Times New Roman"/>
          <w:color w:val="000000"/>
          <w:sz w:val="20"/>
        </w:rPr>
        <w:t xml:space="preserve"> With regard to TN-401, we own one issued U.S. patent, four pending U.S. non-provisional patent applications, one issued foreign patent, and twenty six foreign patent applications. Any U.S. or foreign patents issued from the pending patent applications are expected to expire by 2041, assuming payment of all appropriate maintenance, renewal, annuity or other governmental fees and without taking potential patent term extensions or adjustments into account. These patent applications are related to proprietary </w:t>
      </w:r>
      <w:r>
        <w:rPr>
          <w:rFonts w:ascii="Times New Roman" w:hAnsi="Times New Roman"/>
          <w:i/>
          <w:color w:val="000000"/>
          <w:sz w:val="20"/>
        </w:rPr>
        <w:t>PKP2</w:t>
      </w:r>
      <w:r>
        <w:rPr>
          <w:rFonts w:ascii="Times New Roman" w:hAnsi="Times New Roman"/>
          <w:color w:val="000000"/>
          <w:sz w:val="20"/>
        </w:rPr>
        <w:t xml:space="preserve"> gene expression vectors and methods of use. We own one pending PCT patent application and two foreign patent applications related to </w:t>
      </w:r>
      <w:r>
        <w:rPr>
          <w:rFonts w:ascii="Times New Roman" w:hAnsi="Times New Roman"/>
          <w:i/>
          <w:color w:val="000000"/>
          <w:sz w:val="20"/>
        </w:rPr>
        <w:t xml:space="preserve">PKP2 </w:t>
      </w:r>
      <w:r>
        <w:rPr>
          <w:rFonts w:ascii="Times New Roman" w:hAnsi="Times New Roman"/>
          <w:color w:val="000000"/>
          <w:sz w:val="20"/>
        </w:rPr>
        <w:t xml:space="preserve">therapeutic treatment methods. Any U.S. or foreign patents issued from national stage filings of this PCT patent application or the pending foreign patent applications are expected to expire in 2043, assuming payment of all appropriate maintenance, renewal, annuity or other governmental fees, and without taking potential patent term extensions or adjustments into account. We own one pending PCT patent application and two foreign patent applications related to capsids for </w:t>
      </w:r>
      <w:r>
        <w:rPr>
          <w:rFonts w:ascii="Times New Roman" w:hAnsi="Times New Roman"/>
          <w:i/>
          <w:color w:val="000000"/>
          <w:sz w:val="20"/>
        </w:rPr>
        <w:t xml:space="preserve">PKP2 </w:t>
      </w:r>
      <w:r>
        <w:rPr>
          <w:rFonts w:ascii="Times New Roman" w:hAnsi="Times New Roman"/>
          <w:color w:val="000000"/>
          <w:sz w:val="20"/>
        </w:rPr>
        <w:t>therapy and methods of use. Any U.S. or foreign patents issued from national stage filings of this PCT patent application or the pending foreign patent applications are expected to expire in 2043, assuming payment of all appropriate maintenance, renewal, annuity or other governmental fees, and without taking potential patent term extensions or adjustments into account. We own two pending U.S. provisional patent applications related to methods for modulating gene expression. Patents claiming priority to these U.S. provisional patent applications are expected to expire in 2044, assuming payment of all appropriate maintenance, renewal, annuity or other governmental fees, and without taking potential patent term extensions or adjustments into account. We own one pending non-provisional U.S. patent application related to methods for treating arrhythmogenic right ventricular cardiomyopathy. A U.S. patent issuing from this patent application is expected to expire in 2040, assuming payment of all appropriate maintenance, renewal, annuity or other governmental fees, and without taking potential patent term extensions or adjustments into account.</w:t>
      </w:r>
    </w:p>
    <w:p>
      <w:pPr>
        <w:pStyle w:val="TextBody"/>
        <w:bidi w:val="0"/>
        <w:spacing w:before="240" w:after="283"/>
        <w:jc w:val="left"/>
        <w:rPr>
          <w:rFonts w:ascii="Times New Roman" w:hAnsi="Times New Roman"/>
          <w:sz w:val="20"/>
        </w:rPr>
      </w:pPr>
      <w:r>
        <w:rPr>
          <w:rFonts w:ascii="Times New Roman" w:hAnsi="Times New Roman"/>
          <w:b/>
          <w:i/>
          <w:color w:val="000000"/>
          <w:sz w:val="20"/>
        </w:rPr>
        <w:t>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 </w:t>
      </w:r>
    </w:p>
    <w:p>
      <w:pPr>
        <w:pStyle w:val="TextBody"/>
        <w:bidi w:val="0"/>
        <w:spacing w:before="120" w:after="283"/>
        <w:jc w:val="left"/>
        <w:rPr>
          <w:rFonts w:ascii="Times New Roman" w:hAnsi="Times New Roman"/>
          <w:sz w:val="20"/>
        </w:rPr>
      </w:pPr>
      <w:r>
        <w:rPr>
          <w:rFonts w:ascii="Times New Roman" w:hAnsi="Times New Roman"/>
          <w:color w:val="000000"/>
          <w:sz w:val="20"/>
        </w:rPr>
        <w:t>For information regarding the risks related to our intellectual property, see “</w:t>
      </w:r>
      <w:r>
        <w:rPr>
          <w:rFonts w:ascii="Times New Roman" w:hAnsi="Times New Roman"/>
          <w:i/>
          <w:color w:val="000000"/>
          <w:sz w:val="20"/>
        </w:rPr>
        <w:t>Risk Factors—Risks Related to Our Intellectual Property.</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combination of our internal manufacturing capabilities as well as on external CDMOs for the manufacture of the drug substance and/or drug product of our portfolio programs and intend to continue to utilize this strategy as our programs progress through various stages of clinical development and eventually to commercialization,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AAV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Supported by in-licensed and internally developed manufacturing technologies, we have fully integrated and internalized AAV manufacturing capabilities to support product candidates emerging from our product pipeline that utilize AAV for delivery. In addition, we have established a Quality Management System to oversee our GxP operations, including cGMP, GLP and Good Clinical Practice (GCP).</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 xml:space="preserve">Manufacturing Technology Development Center, </w:t>
      </w:r>
      <w:r>
        <w:rPr>
          <w:rFonts w:ascii="Times New Roman" w:hAnsi="Times New Roman"/>
          <w:color w:val="000000"/>
          <w:sz w:val="20"/>
        </w:rPr>
        <w:t xml:space="preserve">or </w:t>
      </w:r>
      <w:r>
        <w:rPr>
          <w:rFonts w:ascii="Times New Roman" w:hAnsi="Times New Roman"/>
          <w:i/>
          <w:color w:val="000000"/>
          <w:sz w:val="20"/>
        </w:rPr>
        <w:t>MTDC,</w:t>
      </w:r>
      <w:r>
        <w:rPr>
          <w:rFonts w:ascii="Times New Roman" w:hAnsi="Times New Roman"/>
          <w:color w:val="000000"/>
          <w:sz w:val="20"/>
        </w:rPr>
        <w:t xml:space="preserve"> includes a Vector Core, upstream and downstream process development labs, as well as assay development and QC capabilities, and is co-located with our research labs in the San Francisco Bay Area. The MTDC does non-GMP work and operates at the shake flask, 50L, and 200L scales to support all non-clinical studies including, IND-enabling efficacy, pharmacology, toxicology, and biodistribution studies involving both small and large animal models. We also rely on the MTDC for technology transfer of our proprietary processes to our GMMC, a dedicated cGMP facility for AAV drug substance and drug product manufacturing strategically located in the San Francisco Bay Area.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 xml:space="preserve">Genetic Medicines Manufacturing Center, </w:t>
      </w:r>
      <w:r>
        <w:rPr>
          <w:rFonts w:ascii="Times New Roman" w:hAnsi="Times New Roman"/>
          <w:color w:val="000000"/>
          <w:sz w:val="20"/>
        </w:rPr>
        <w:t xml:space="preserve">or </w:t>
      </w:r>
      <w:r>
        <w:rPr>
          <w:rFonts w:ascii="Times New Roman" w:hAnsi="Times New Roman"/>
          <w:i/>
          <w:color w:val="000000"/>
          <w:sz w:val="20"/>
        </w:rPr>
        <w:t>GMMC</w:t>
      </w:r>
      <w:r>
        <w:rPr>
          <w:rFonts w:ascii="Times New Roman" w:hAnsi="Times New Roman"/>
          <w:color w:val="000000"/>
          <w:sz w:val="20"/>
        </w:rPr>
        <w:t xml:space="preserve">, facility has the ability to operate at the 200L and 1000L scales to support clinical development activities from FIH clinical trials through to late-stage development, as well as initial commercialization, if regulatory approval is obtained. We utilized the GMMC to produce drug product for our FIH clinical trials for both TN-201 and TN-401. We customized approximately half of the 94,000 square foot GMMC facility using a modular design that could support our ability to scale-out and/or scale-up of manufacturing capacity in response to evolving needs, including future potential clinical and commercial production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internal cGMP manufacturing capabilities, we have also negotiated and entered into master service agreements with multiple CDMOs for additional AAV manufacturing and filling capacity and related risk mitigation. Additionally, we will rely on third parties for certain manufacturing of ancillary materials and release assays, for which we have already secured or intend to secure dual-sourced capacity.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Small Molecule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optimize our use of resources, we work with CDMOs for our small molecule programs.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240" w:after="283"/>
        <w:jc w:val="left"/>
        <w:rPr>
          <w:rFonts w:ascii="Times New Roman" w:hAnsi="Times New Roman"/>
          <w:sz w:val="20"/>
        </w:rPr>
      </w:pPr>
      <w:r>
        <w:rPr>
          <w:rFonts w:ascii="Times New Roman" w:hAnsi="Times New Roman"/>
          <w:b/>
          <w:i/>
          <w:color w:val="000000"/>
          <w:sz w:val="20"/>
        </w:rPr>
        <w:t>U.S. Biologic and Small Molecule Drug 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Biologics must be licensed by the FDA through a biologics license application (BLA), and small molecule products must be approved by the FDA through a new drug application (NDA), before they may be legally marketed in the United States. The process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studies in accordance with applicable regulations, including studies conducted in accordance with GLP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(IRB), or ethics committee at each clinical trial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IND regulations, GCP requirements and other clinical trial-related regulations to establish the safety and potency or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 BLA or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 BLA or NDA to accept the filing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preclinical study and/or clinical trial sites that generated the data in support of the BLA or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other studies required by the FDA, including immunogenicity, carcinogenicity, genotoxicity, and stability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the BLA or NDA, including consideration of the views of any FDA advisory committee, prior to any commercial marketing or sale of the biologic or small molecule therapeutic in the United States;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the potential requirement to implement risk evaluation and mitigation strategies (REMS), and the potential requirement to conduct post-approval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Studies and IND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studies include laboratory evaluation of product biochemistry, formulation and stability, as well as </w:t>
      </w:r>
      <w:r>
        <w:rPr>
          <w:rFonts w:ascii="Times New Roman" w:hAnsi="Times New Roman"/>
          <w:i/>
          <w:color w:val="000000"/>
          <w:sz w:val="20"/>
        </w:rPr>
        <w:t>in vitro</w:t>
      </w:r>
      <w:r>
        <w:rPr>
          <w:rFonts w:ascii="Times New Roman" w:hAnsi="Times New Roman"/>
          <w:color w:val="000000"/>
          <w:sz w:val="20"/>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 the United States generally are conducted in three sequential phases, known as Phase 1, Phase 2 and Phase 3, and may overlap.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suggesting a significant risk to humans exposed to the investigational product, findings from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for human subjects and any clinically important increase in the rate of a serious suspected adverse reaction over that listed in the protocol or investigator brochure.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 </w:t>
      </w:r>
    </w:p>
    <w:p>
      <w:pPr>
        <w:pStyle w:val="TextBody"/>
        <w:bidi w:val="0"/>
        <w:spacing w:before="240" w:after="283"/>
        <w:jc w:val="left"/>
        <w:rPr>
          <w:rFonts w:ascii="Times New Roman" w:hAnsi="Times New Roman"/>
          <w:sz w:val="20"/>
        </w:rPr>
      </w:pPr>
      <w:r>
        <w:rPr>
          <w:rFonts w:ascii="Times New Roman" w:hAnsi="Times New Roman"/>
          <w:b/>
          <w:i/>
          <w:color w:val="000000"/>
          <w:sz w:val="20"/>
        </w:rPr>
        <w:t>NDA and BLA Review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Prescription Drug User Fee Act (PDUFA), as amended, each BLA or NDA must be accompanied by a user fee. FDA adjusts the PDUFA user fees on an annual basis. According to the FDA’s FY 2024 fee schedule, effective through September 30, 2024, the user fee for an application requiring clinical data, such as a BLA or NDA, is approximately $4 million. PDUFA also imposes an annual program fee for each marketed human prescription drug product ($416,734 in 2024)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 </w:t>
      </w:r>
    </w:p>
    <w:p>
      <w:pPr>
        <w:pStyle w:val="TextBody"/>
        <w:bidi w:val="0"/>
        <w:spacing w:before="240" w:after="283"/>
        <w:jc w:val="left"/>
        <w:rPr>
          <w:rFonts w:ascii="Times New Roman" w:hAnsi="Times New Roman"/>
          <w:sz w:val="20"/>
        </w:rPr>
      </w:pPr>
      <w:r>
        <w:rPr>
          <w:rFonts w:ascii="Times New Roman" w:hAnsi="Times New Roman"/>
          <w:b/>
          <w:i/>
          <w:color w:val="000000"/>
          <w:sz w:val="20"/>
        </w:rPr>
        <w:t>Orphan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pStyle w:val="TextBody"/>
        <w:bidi w:val="0"/>
        <w:spacing w:before="120" w:after="283"/>
        <w:jc w:val="left"/>
        <w:rPr>
          <w:rFonts w:ascii="Times New Roman" w:hAnsi="Times New Roman"/>
          <w:sz w:val="20"/>
        </w:rPr>
      </w:pPr>
      <w:r>
        <w:rPr>
          <w:rFonts w:ascii="Times New Roman" w:hAnsi="Times New Roman"/>
          <w:color w:val="000000"/>
          <w:sz w:val="20"/>
        </w:rPr>
        <w:t>I</w:t>
      </w:r>
      <w:r>
        <w:rPr>
          <w:rFonts w:ascii="Times New Roman" w:hAnsi="Times New Roman"/>
          <w:color w:val="231F20"/>
          <w:sz w:val="20"/>
        </w:rPr>
        <w:t xml:space="preserve">n </w:t>
      </w:r>
      <w:r>
        <w:rPr>
          <w:rFonts w:ascii="Times New Roman" w:hAnsi="Times New Roman"/>
          <w:i/>
          <w:color w:val="231F20"/>
          <w:sz w:val="20"/>
        </w:rPr>
        <w:t>Catalyst Pharms., Inc. v. Becerra</w:t>
      </w:r>
      <w:r>
        <w:rPr>
          <w:rFonts w:ascii="Times New Roman" w:hAnsi="Times New Roman"/>
          <w:color w:val="231F20"/>
          <w:sz w:val="20"/>
        </w:rPr>
        <w:t xml:space="preserve">, 14 F.4th 1299 (11th Cir. 2021), the court disagreed with the FDA’s longstanding position that the orphan drug exclusivity only applies to the approved use or indication within an eligible disease. In particular, the circuit court held that the orphan-drug exclusivity for Catalyst’s drug blocked FDA’s approval of another drug for all uses or indications within the same orphan-designated disease, or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Catalyst</w:t>
      </w:r>
      <w:r>
        <w:rPr>
          <w:rFonts w:ascii="Times New Roman" w:hAnsi="Times New Roman"/>
          <w:color w:val="231F20"/>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For accelerated approval, the FDA has the authority to specify conditions for post approval study requirements and can withdraw a product on an expedited basis for noncompliance with post-approval requirements.</w:t>
      </w:r>
    </w:p>
    <w:p>
      <w:pPr>
        <w:pStyle w:val="TextBody"/>
        <w:bidi w:val="0"/>
        <w:spacing w:before="240" w:after="283"/>
        <w:jc w:val="left"/>
        <w:rPr>
          <w:rFonts w:ascii="Times New Roman" w:hAnsi="Times New Roman"/>
          <w:sz w:val="20"/>
        </w:rPr>
      </w:pPr>
      <w:r>
        <w:rPr>
          <w:rFonts w:ascii="Times New Roman" w:hAnsi="Times New Roman"/>
          <w:b/>
          <w:i/>
          <w:color w:val="000000"/>
          <w:sz w:val="20"/>
        </w:rPr>
        <w:t>Abbreviated Licensure Pathway of Biological Products as Biosimilars or Interchangeable Biosimilars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Analytical studies demonstrating that the proposed biosimilar product is highly similar to the approved product notwithstanding minor differences in clinically inactive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Animal studies (including the assessment of toxicity);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clinical trial or trials (including the assessment of immunogenicity and pharmacokinetic or pharmacodynamic) sufficient to demonstrate safety, purity and potency in one or more conditions for which the reference product is licensed and intended to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 application must include information demonstrating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biosimilar product and reference product utilize the same mechanism of action for the condition(s) of use prescribed, recommended or suggested in the proposed labeling, but only to the extent the mechanism(s) of action are known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condition or conditions of use prescribed, recommended or suggested in the labeling for the proposed biosimilar product have been previously approved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route of administration, the dosage form and the strength of the proposed biosimilar product are the same as those for the reference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facility in which the biological product is manufactured, processed, packed or held meets standards designed to assure that the biological product continues to be safe, pure and potent.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product is biosimilar to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product is expected to produce the same clinical result as the reference product in any given patient;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biological product determined to be interchangeable with a branded product for any condition of use is also entitled to a period of exclusivity, during which time the FDA may not determine that another product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 </w:t>
      </w:r>
    </w:p>
    <w:p>
      <w:pPr>
        <w:pStyle w:val="TextBody"/>
        <w:bidi w:val="0"/>
        <w:spacing w:before="240" w:after="283"/>
        <w:jc w:val="left"/>
        <w:rPr>
          <w:rFonts w:ascii="Times New Roman" w:hAnsi="Times New Roman"/>
          <w:sz w:val="20"/>
        </w:rPr>
      </w:pPr>
      <w:r>
        <w:rPr>
          <w:rFonts w:ascii="Times New Roman" w:hAnsi="Times New Roman"/>
          <w:b/>
          <w:i/>
          <w:color w:val="000000"/>
          <w:sz w:val="20"/>
        </w:rPr>
        <w:t>Abbreviated NDA Pathway for Generic Drug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w:t>
      </w:r>
      <w:r>
        <w:rPr>
          <w:rFonts w:ascii="Times New Roman" w:hAnsi="Times New Roman"/>
          <w:color w:val="231F20"/>
          <w:sz w:val="20"/>
        </w:rPr>
        <w:t>active pharmaceutical ingredients (</w:t>
      </w:r>
      <w:r>
        <w:rPr>
          <w:rFonts w:ascii="Times New Roman" w:hAnsi="Times New Roman"/>
          <w:color w:val="000000"/>
          <w:sz w:val="20"/>
        </w:rPr>
        <w:t xml:space="preserve">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or holds on post-approval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FDA Regulation of Combination Biologic-Medical Device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(QSR) applicable to medical devices. Further, in February 2024, the FDA issued a final rule replacing the QSR with the Quality Management System Regulation (QMSR) which incorporates by reference the quality management system requirements of ISO 13485:2016. The FDA has stated that the standards contained in ISO 13485:216 are substantially similar to those set forth in the existing QSR. This final rule does not go into effect until February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 </w:t>
      </w:r>
    </w:p>
    <w:p>
      <w:pPr>
        <w:pStyle w:val="TextBody"/>
        <w:bidi w:val="0"/>
        <w:spacing w:before="240" w:after="283"/>
        <w:jc w:val="left"/>
        <w:rPr>
          <w:rFonts w:ascii="Times New Roman" w:hAnsi="Times New Roman"/>
          <w:sz w:val="20"/>
        </w:rPr>
      </w:pPr>
      <w:r>
        <w:rPr>
          <w:rFonts w:ascii="Times New Roman" w:hAnsi="Times New Roman"/>
          <w:b/>
          <w:i/>
          <w:color w:val="000000"/>
          <w:sz w:val="20"/>
        </w:rPr>
        <w:t>510(k) clearance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 (PMA).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 </w:t>
      </w:r>
    </w:p>
    <w:p>
      <w:pPr>
        <w:pStyle w:val="TextBody"/>
        <w:bidi w:val="0"/>
        <w:spacing w:before="240" w:after="283"/>
        <w:jc w:val="left"/>
        <w:rPr>
          <w:rFonts w:ascii="Times New Roman" w:hAnsi="Times New Roman"/>
          <w:sz w:val="20"/>
        </w:rPr>
      </w:pPr>
      <w:r>
        <w:rPr>
          <w:rFonts w:ascii="Times New Roman" w:hAnsi="Times New Roman"/>
          <w:b/>
          <w:i/>
          <w:color w:val="000000"/>
          <w:sz w:val="20"/>
        </w:rPr>
        <w:t>De novo classification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 </w:t>
      </w:r>
    </w:p>
    <w:p>
      <w:pPr>
        <w:pStyle w:val="TextBody"/>
        <w:bidi w:val="0"/>
        <w:spacing w:before="240" w:after="283"/>
        <w:jc w:val="left"/>
        <w:rPr>
          <w:rFonts w:ascii="Times New Roman" w:hAnsi="Times New Roman"/>
          <w:sz w:val="20"/>
        </w:rPr>
      </w:pPr>
      <w:r>
        <w:rPr>
          <w:rFonts w:ascii="Times New Roman" w:hAnsi="Times New Roman"/>
          <w:b/>
          <w:i/>
          <w:color w:val="000000"/>
          <w:sz w:val="20"/>
        </w:rPr>
        <w:t>PMA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QSR, or QMSR when it comes into effect, which imposes extensive testing, control, documentation, and other Quality Assurance and GMP requirements.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U.S. Regulatory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resulting from a violation of the federal Anti-Kickback Statute constitutes a false or fraudulent claim for purposes of the False Claims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biologic and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120" w:after="283"/>
        <w:jc w:val="left"/>
        <w:rPr>
          <w:rFonts w:ascii="Times New Roman" w:hAnsi="Times New Roman"/>
          <w:sz w:val="20"/>
        </w:rPr>
      </w:pPr>
      <w:r>
        <w:rPr>
          <w:rFonts w:ascii="Times New Roman" w:hAnsi="Times New Roman"/>
          <w:color w:val="000000"/>
          <w:sz w:val="20"/>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Times New Roman" w:hAnsi="Times New Roman"/>
          <w:i/>
          <w:color w:val="000000"/>
          <w:sz w:val="20"/>
        </w:rPr>
        <w:t>Risk Factors— Risks Related to Regulatory Approval and Other Legal Compliance Matters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U.S. Data Privacy and Security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the United States, a broad variety of laws, rules, regulations and standards relating to privacy, data protection and information security may apply to our activities, such as state data breach notification laws, state personal data privacy laws (for example, the California Consumer Privacy Act of 2018, as amended by the California Privacy Rights Act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Although there are limited exemptions for clinical trial data under the CCPA, the CCPA and other similar laws could impact our business activities, depending on their interpretation. Other states have enacted laws similar to the CCPA that are either in operation or slated to go into operation over the next three years, and other state legislatures are currently considering, and may pass, their own comprehensive data privacy and security laws, with potentially greater penalties and more rigorous compliance requirements, and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w:t>
      </w:r>
      <w:r>
        <w:rPr>
          <w:rFonts w:ascii="Times New Roman" w:hAnsi="Times New Roman"/>
          <w:i/>
          <w:color w:val="000000"/>
          <w:sz w:val="20"/>
        </w:rPr>
        <w:t>Risk Factors— Risks Related to Regulatory Approval and Other Legal Compliance Matters.</w:t>
      </w:r>
      <w:r>
        <w:rPr>
          <w:rFonts w:ascii="Times New Roman" w:hAnsi="Times New Roman"/>
          <w:color w:val="000000"/>
          <w:sz w:val="20"/>
        </w:rPr>
        <w:t>”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U.S. Patent-Term Restoration and Marketing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 </w:t>
      </w:r>
    </w:p>
    <w:p>
      <w:pPr>
        <w:pStyle w:val="TextBody"/>
        <w:bidi w:val="0"/>
        <w:spacing w:before="240" w:after="283"/>
        <w:jc w:val="left"/>
        <w:rPr>
          <w:rFonts w:ascii="Times New Roman" w:hAnsi="Times New Roman"/>
          <w:sz w:val="20"/>
        </w:rPr>
      </w:pPr>
      <w:r>
        <w:rPr>
          <w:rFonts w:ascii="Times New Roman" w:hAnsi="Times New Roman"/>
          <w:b/>
          <w:i/>
          <w:color w:val="000000"/>
          <w:sz w:val="20"/>
        </w:rPr>
        <w:t>European Union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Recently enacted Clinical Trials Regulation EU No 536/2014 (the Regulation), which went into application on January 31, 2022, replaces the Clinical Trials Directive No. 2001/20/EC and aims to harmonize the processes for assessment and supervision of clinical trials throughout the European Union. Under the Regulation, clinical trial sponsors can use the Clinical Trials Information System (CTIS) from January 31, 2022, but are not required to use it immediately, in line with a three-year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EU Drug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Community MA is issued by the EC through the Centralized Procedure, based on the opinion of the Committee for Medicinal Products for Human Use (CHMP), of the </w:t>
      </w:r>
      <w:r>
        <w:rPr>
          <w:rFonts w:ascii="Times New Roman" w:hAnsi="Times New Roman"/>
          <w:color w:val="231F20"/>
          <w:sz w:val="20"/>
        </w:rPr>
        <w:t>European Medicines Agency (</w:t>
      </w:r>
      <w:r>
        <w:rPr>
          <w:rFonts w:ascii="Times New Roman" w:hAnsi="Times New Roman"/>
          <w:color w:val="000000"/>
          <w:sz w:val="20"/>
        </w:rPr>
        <w:t xml:space="preserve">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above-described procedures, before granting the MA, the EMA or the competent authorities of the member states of the EEA make an assessment of the risk-benefit balance of the product on the basis of scientific criteria concerning its quality, safety and efficacy.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Data Privacy and Security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Outside of the United States, legal requirements relating to the collection, storage, processing, and transfer of personal data continue to evolve. For example, in the EU, the General Data Protection Regulation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We are also subject to the UK GDPR, which implements the GDPR in the UK post-Brexit. Failure to comply with the GDPR or UK GDPR may result in fines up to €20,000,000 (£17.5 million in the UK) or 4% of the total worldwide annual turnover of the preceding financial year, whichever is higher, and other administrative penalties. The GDPR and UK GDPR have increased our responsibility and liability in relation to personal data that we may process, and we may be required to implement additional measures in an effort to comply with the GDPR and UK GDPR and with other laws, rules and regulations in the EEA, United Kingdom (UK) and Switzerland relating to privacy and data protection. If our efforts to comply with GDPR and UK GDPR or other applicable foreign laws, rules and regulations are not successful, or are perceived to be unsuccessful, it could adversely affect our business. For more information, see “</w:t>
      </w:r>
      <w:r>
        <w:rPr>
          <w:rFonts w:ascii="Times New Roman" w:hAnsi="Times New Roman"/>
          <w:i/>
          <w:color w:val="000000"/>
          <w:sz w:val="20"/>
        </w:rPr>
        <w:t>Risk Factors—Risks Related to Regulatory Approval and Other Legal Compliance Matters.</w:t>
      </w:r>
      <w:r>
        <w:rPr>
          <w:rFonts w:ascii="Times New Roman" w:hAnsi="Times New Roman"/>
          <w:color w:val="000000"/>
          <w:sz w:val="20"/>
        </w:rPr>
        <w:t xml:space="preserve">”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and requiring pharmaceutical manufacturers to pay rebates on Medicaid managed care utilization and enlarging the population potentially eligible for Medicaid drug benefits. Further,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Congress passed the Inflation Reduction Act of 2022 (IRA), which includes prescription drug provisions that have significant implications for the pharmaceutical industry and Medicare beneficiaries,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such judicial challenges, legislative, executive, and administrative actions and any future healthcare measures and agency rules implemented by the Biden administration on us and the pharmaceutical industry as a whole is unclear.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w:t>
      </w:r>
    </w:p>
    <w:p>
      <w:pPr>
        <w:pStyle w:val="TextBody"/>
        <w:bidi w:val="0"/>
        <w:spacing w:before="120" w:after="283"/>
        <w:jc w:val="left"/>
        <w:rPr>
          <w:rFonts w:ascii="Times New Roman" w:hAnsi="Times New Roman"/>
          <w:sz w:val="20"/>
        </w:rPr>
      </w:pPr>
      <w:r>
        <w:rPr>
          <w:rFonts w:ascii="Times New Roman" w:hAnsi="Times New Roman"/>
          <w:color w:val="000000"/>
          <w:sz w:val="20"/>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Times New Roman" w:hAnsi="Times New Roman"/>
          <w:i/>
          <w:color w:val="000000"/>
          <w:sz w:val="20"/>
        </w:rPr>
        <w:t>Risk Factors—Risks Related to Regulatory Approval and Other Legal Compliance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140 full-time employees. Of the full-time employees employed as of December 31, 2023, 104 engaged in research, development and technical operations. 34 of such employees hold Ph.D. or M.D. (or foreign equivalent) degrees and 10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provide a variety of programs and services to help employees meet and balance their needs at work, at home and in life, including a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2023, was approximately 65% non-white and 55%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advancing diversity and inclusion (D&amp;I) in our workforce and have a D&amp;I Committee dedicated to promoting and advancing diversity, equity, and inclusion initiatives. We acknowledge that diversity in thought, experience, background, and culture makes our science and our community stronger. Our mission is to foster and create a unique culture where belonging and empowerment are at the forefront of our community. We advocate for diverse perspectives and encourage employees to be authentic, inclusive, and respectful to 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We discourage behaviors that do not have a positive impact on our community or support our mission to discover, develop, and deliver curative therapies that target the underlying causes of heart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We were incorporated in Delaware in August 2016. Our principal executive offices are located at 171 Oyster Point Boulevard, 5</w:t>
      </w:r>
      <w:r>
        <w:rPr>
          <w:rFonts w:ascii="Times New Roman" w:hAnsi="Times New Roman"/>
          <w:color w:val="000000"/>
          <w:sz w:val="13"/>
        </w:rPr>
        <w:t>th</w:t>
      </w:r>
      <w:r>
        <w:rPr>
          <w:rFonts w:ascii="Times New Roman" w:hAnsi="Times New Roman"/>
          <w:color w:val="000000"/>
          <w:sz w:val="20"/>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rFonts w:ascii="Times New Roman" w:hAnsi="Times New Roman"/>
          <w:sz w:val="20"/>
        </w:rPr>
      </w:pPr>
      <w:r>
        <w:rPr>
          <w:rFonts w:ascii="Times New Roman" w:hAnsi="Times New Roman"/>
          <w:color w:val="231F20"/>
          <w:sz w:val="20"/>
        </w:rPr>
        <w:t>We have incurred significant net losses since our inception, have not generated any product revenue to date and have financed our operations principally through issuances of our stock. As of December 31, 2023, we had an accumulated deficit of $403.3 million.</w:t>
      </w:r>
      <w:r>
        <w:rPr>
          <w:rFonts w:ascii="Times New Roman" w:hAnsi="Times New Roman"/>
          <w:color w:val="000000"/>
          <w:sz w:val="20"/>
        </w:rPr>
        <w:t xml:space="preserve"> </w:t>
      </w:r>
      <w:r>
        <w:rPr>
          <w:rFonts w:ascii="Times New Roman" w:hAnsi="Times New Roman"/>
          <w:color w:val="231F20"/>
          <w:sz w:val="20"/>
        </w:rPr>
        <w:t xml:space="preserve">Substantially all of our losses have resulted from expenses incurred in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relationships with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timely receipt of marketing approvals from applicable regulatory authorities for any product candidates for which we successfully complete clinical development;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complying with any required post-marketing approval commitments to applicable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outputs from our capsid engineering and promotor and regulator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continued acceptable safety profile following any marketing approval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satisfying any required post-marketing approval commitments to applicable regulatory authorities, and maintaining consistent quality, purity, and potency across clinical supplies and commercial supplies for any approved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maintaining, and expanding patent and other intellectual property protection, trade secret protection and regulatory exclusivity, both in the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entering into, on favorable terms, any collaboration, licensing or other arrangements that may be necessary or desirable to develop, manufacture or commercialize our product candidates and to meet our obligations set forth under such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December 31, 2023, we had $104.6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and </w:t>
      </w:r>
      <w:r>
        <w:rPr>
          <w:rFonts w:ascii="Times New Roman" w:hAnsi="Times New Roman"/>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color w:val="000000"/>
          <w:sz w:val="20"/>
        </w:rPr>
        <w:t xml:space="preserve">Failure can occur at any stage of testing. </w:t>
      </w:r>
      <w:r>
        <w:rPr>
          <w:rFonts w:ascii="Times New Roman" w:hAnsi="Times New Roman"/>
          <w:color w:val="231F20"/>
          <w:sz w:val="20"/>
        </w:rPr>
        <w:t xml:space="preserve">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Any clinical trial we initiate in the EU in the future will become subject to the provisions of the CTR. Compliance with the CTR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inability to generate sufficient preclinical, toxicology, or other </w:t>
      </w:r>
      <w:r>
        <w:rPr>
          <w:rFonts w:ascii="Times New Roman" w:hAnsi="Times New Roman"/>
          <w:i/>
          <w:color w:val="231F20"/>
          <w:sz w:val="20"/>
        </w:rPr>
        <w:t xml:space="preserve">in vivo </w:t>
      </w:r>
      <w:r>
        <w:rPr>
          <w:rFonts w:ascii="Times New Roman" w:hAnsi="Times New Roman"/>
          <w:color w:val="231F20"/>
          <w:sz w:val="20"/>
        </w:rPr>
        <w:t xml:space="preserve">or </w:t>
      </w:r>
      <w:r>
        <w:rPr>
          <w:rFonts w:ascii="Times New Roman" w:hAnsi="Times New Roman"/>
          <w:i/>
          <w:color w:val="231F20"/>
          <w:sz w:val="20"/>
        </w:rPr>
        <w:t xml:space="preserve">in vitro </w:t>
      </w:r>
      <w:r>
        <w:rPr>
          <w:rFonts w:ascii="Times New Roman" w:hAnsi="Times New Roman"/>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receipt of feedback from regulatory authorities that requires us to modify the design of our preclinical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IRB, IBC and/or EC review process, or inability to obtain approval from one or more of these committees;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suspension or termination of our clinical trials, as a result of </w:t>
      </w:r>
      <w:r>
        <w:rPr>
          <w:rFonts w:ascii="Times New Roman" w:hAnsi="Times New Roman"/>
          <w:color w:val="000000"/>
          <w:sz w:val="20"/>
        </w:rPr>
        <w:t>a clinical hold by regulatory authorities or a voluntary pause,</w:t>
      </w:r>
      <w:r>
        <w:rPr>
          <w:color w:val="231F20"/>
        </w:rPr>
        <w:t xml:space="preserve"> </w:t>
      </w:r>
      <w:r>
        <w:rPr>
          <w:rFonts w:ascii="Times New Roman" w:hAnsi="Times New Roman"/>
          <w:color w:val="231F20"/>
          <w:sz w:val="20"/>
        </w:rPr>
        <w:t>for various reasons, including a finding that our product candidates have undesirable side effects or other unfavorable or unexpected characteristics or risks or non-compliance with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supply or quality of our product candidates or other materials necessary to conduct clinical trials of our product candidates being insufficient or inadequate or slower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subjects experiencing serious, severe, unexpected or otherwise important drug-related or study-related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inaccurate clinical data entry or reporting by clinical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variability of efficacy assessments;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to our manufacturing process that may be necessary or desired;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not performing data collection or analysis in a timely or accurate manner;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color w:val="000000"/>
          <w:sz w:val="20"/>
        </w:rPr>
        <w:t>mitting an IND, initiating clinical trials or seek</w:t>
      </w:r>
      <w:r>
        <w:rPr>
          <w:rFonts w:ascii="Times New Roman" w:hAnsi="Times New Roman"/>
          <w:color w:val="231F20"/>
          <w:sz w:val="20"/>
        </w:rPr>
        <w:t xml:space="preserve">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other therapies or medications that such patients may be using, the drug product formulation of our product candidates, complications arising from protocol regimens, the method of delivery of our product candidates or simply due to the gravity of such patients’ illnesses. In some cases, it may not be clear if an adverse event is due to the product candidate, another therapy, the underlying disease, or another cause, and causality may be incorrectly attributed to the product candidate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comparable foreign regulatory authorities may require long-term follow-up assessments for a certain number of patients, which could delay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size and nature of the patient population;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referral practices of physicians;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to monitor patients adequately during and after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and the ability of patients to travel to these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burden of the study protocol on patients, including conflicts with their work, family and personal activities;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risk that patients enrolled in clinical trials will drop out of the trials before completion or, because they may have an advanced disease, will not survive the full terms of the clinical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rFonts w:ascii="Times New Roman" w:hAnsi="Times New Roman"/>
          <w:sz w:val="20"/>
        </w:rPr>
      </w:pPr>
      <w:r>
        <w:rPr>
          <w:rFonts w:ascii="Times New Roman" w:hAnsi="Times New Roman"/>
          <w:color w:val="000000"/>
          <w:sz w:val="20"/>
        </w:rPr>
        <w:t>We have fully integrated and internalized AAV manufacturing capabilities to support our gene therapy product candidates</w:t>
      </w:r>
      <w:r>
        <w:rPr>
          <w:rFonts w:ascii="Times New Roman" w:hAnsi="Times New Roman"/>
          <w:color w:val="231F20"/>
          <w:sz w:val="20"/>
        </w:rPr>
        <w:t xml:space="preserve">. However, to optimize our resources and to utilize extensive third-party experience in small molecule manufacturing, we intend to work with CDMOs for our small molecule programs.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delays in the ongoing development of our internal manufacturing capabilities may disrupt or delay the supply of our product candidates if we have not maintained a sufficient back-up supply of such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manufacturing facilities will be subject to significant government regulations and approvals, which are often costly and could result in adverse consequences to our business if we fail to comply with the regulations or maintain the approvals.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successfully manufacture our product candidates in sufficient quality and quantity, which would delay or prevent us from developing our product candidates and commercializing resulting approved products, if 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product candidates have been manufactured in quantities adequate for preclinical studies and our Phase 1 clinical trials for our lead product candidates. In order to conduct clinical trials for a product candidate and for commercialization of the resulting product if that product candidate is approved for sale, we will need to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 as demonstrated in clinical trials compared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hospitals, treatment centers and patients considering our product candidates as a safe, pure and effective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of treatment in relation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willingness of the target patient population or their caregivers to try new therapies and of physicians to prescribe these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coverage and adequate reimbursement by third-party payors, including government authorities;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unfavorable publicity relating to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of other new therapies for the same indications;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acceptance and use of genetic testing required to diagnose the disease and identify patients who qualify for treatment with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Adverse public perception or regulatory scrutiny of gene therapy technology or precision medicine for the treatment of heart diseases may negatively impact the developmental progress or commercial success of product candidates that we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 therapy and precision medicine remain novel technologies. The commercial success of our products, if successfully developed and approved, may be adversely affected by claims that gene therapy or precision medicine is unsafe, ineffective,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 It could also negatively impact our ability to raise capital or enter into strategic agreements for the development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significant uncertainty related to third-party payor coverage and reimbursement of newly approved products. In the U.S., for example, principal decisions about reimbursement for new products are typically made by the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EMA or other regulatory authority investigation of the safety and effectiveness of our products, our manufacturing processes and facilities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recalls, withdrawals or labeling, marketing, or promotional restrictions;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exhaustion of any available insurance and our capital resources;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the design, implementation or results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companion diagnostic tests required for commercialization of our product candidates; and</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imposition of restrictions on operations, including costly new manufacturing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However, there can be no assurances that we will be able to obtain orphan designations for our product candidates.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hAnsi="Times New Roman"/>
          <w:i/>
          <w:color w:val="231F20"/>
          <w:sz w:val="20"/>
        </w:rPr>
        <w:t>Catalyst Pharms., Inc. v. Becerra</w:t>
      </w:r>
      <w:r>
        <w:rPr>
          <w:rFonts w:ascii="Times New Roman" w:hAnsi="Times New Roman"/>
          <w:color w:val="231F20"/>
          <w:sz w:val="20"/>
        </w:rPr>
        <w:t>, 14 F.4</w:t>
      </w:r>
      <w:r>
        <w:rPr>
          <w:rFonts w:ascii="Times New Roman" w:hAnsi="Times New Roman"/>
          <w:color w:val="231F20"/>
          <w:sz w:val="13"/>
        </w:rPr>
        <w:t>th</w:t>
      </w:r>
      <w:r>
        <w:rPr>
          <w:rFonts w:ascii="Times New Roman" w:hAnsi="Times New Roman"/>
          <w:color w:val="231F20"/>
          <w:sz w:val="20"/>
        </w:rPr>
        <w:t xml:space="preserve"> 1299 (11</w:t>
      </w:r>
      <w:r>
        <w:rPr>
          <w:rFonts w:ascii="Times New Roman" w:hAnsi="Times New Roman"/>
          <w:color w:val="231F20"/>
          <w:sz w:val="13"/>
        </w:rPr>
        <w:t>th</w:t>
      </w:r>
      <w:r>
        <w:rPr>
          <w:rFonts w:ascii="Times New Roman" w:hAnsi="Times New Roman"/>
          <w:color w:val="231F20"/>
          <w:sz w:val="20"/>
        </w:rPr>
        <w:t xml:space="preserve"> Cir. 2021) case, in a January 2023 notice, the FDA clarified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 xml:space="preserve">order – that is, the scope of the orphan-drug exclusivity is limited to the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lead product candidates from our gene therapy platform, TN-201 and TN-401, have each been granted orphan drug designation by the FDA and the EC, and we may seek orphan drug designation for other product candidates in the U.S., Europe and other jurisdictions. Even if we obtain orphan drug designation for a product candidate, we may not be able to obtain or maintain orphan drug exclusivity for that product candidate and may not realize the benefits of such designation. 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other legislative changes have been proposed and adopted in the U.S. since the ACA was enacted, including aggregate reductions to Medicare payments to providers, effective April 1, 2013, which, through subsequent amendments, will remain in effect through 2032 and increased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Outside of the U.S., relevant legal requirements continue to evolve. For example, the collection and use of health data and other personal data including personal data collected in clinical trials is governed in the EU by the GDPR, which imposes substantial obligations upon companies and new rights for individuals, by certain EU member state-level legislation. </w:t>
      </w:r>
      <w:r>
        <w:rPr>
          <w:rFonts w:ascii="Times New Roman" w:hAnsi="Times New Roman"/>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color w:val="231F20"/>
          <w:sz w:val="20"/>
        </w:rPr>
        <w:t xml:space="preserve">Failure to comply with the GDPR or UK GDPR may result in fines up to €20,000,000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European Economic Area (EEA), United Kingdom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w:t>
      </w:r>
      <w:r>
        <w:rPr>
          <w:rFonts w:ascii="Times New Roman" w:hAnsi="Times New Roman"/>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color w:val="231F2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hAnsi="Times New Roman"/>
          <w:color w:val="000000"/>
          <w:sz w:val="20"/>
        </w:rPr>
        <w:t>other states have enacted laws similar to the CCPA either in operation or slated to go into operation over the next three years, and other state legislatures are considering and may adopt their own comprehensive data privacy and security laws, with potentially greater penalties and more rigorous compliance requirements</w:t>
      </w:r>
      <w:r>
        <w:rPr>
          <w:rFonts w:ascii="Times New Roman" w:hAnsi="Times New Roman"/>
          <w:color w:val="231F20"/>
          <w:sz w:val="20"/>
        </w:rPr>
        <w:t xml:space="preserve">.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order to successfully implement our development and commercialization plans and strategies, we expect to need additional managerial, operational, sales, marketing, financial and other personnel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color w:val="231F20"/>
          <w:sz w:val="20"/>
        </w:rPr>
        <w:t xml:space="preserve">usiness information (such as research data and personal information). Despite the implementation of security measures in an effort to protect systems that store our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hAnsi="Times New Roman"/>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staffing and managing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business interruptions resulting from geo-political actions, including war and terrorism, including effects of the Russia-Ukraine and Middle East conflicts.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283"/>
        <w:jc w:val="left"/>
        <w:rPr>
          <w:rFonts w:ascii="Times New Roman" w:hAnsi="Times New Roman"/>
          <w:sz w:val="20"/>
        </w:rPr>
      </w:pPr>
      <w:r>
        <w:rPr>
          <w:rFonts w:ascii="Times New Roman" w:hAnsi="Times New Roman"/>
          <w:color w:val="231F20"/>
          <w:sz w:val="20"/>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the biotechnology industry expands and more patents are issued, the risk increases that our product candidates may be subject to claims of infringement, misappropriation or other violation of the patent or other intellectual property rights of third parties.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 applications or in-licensed patent rights and other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the intellectual property we license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development activities, increase costs, and materially impact our ability to meet our desired clinical development timelines.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breach by the third-party contractors of our agreements with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third-party contractors to manufacture our product candidates according to our specifications or comply with applicable regulatory requirements, including cGMP;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infringement, misappropriation or other violation of our intellectual property or proprietary information.</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issuance of our equity securities;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diversion of our management’s attention from our existing programs and initiatives in pursuing such a strategic partnership or acquisition;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loss of key personnel and uncertainties in our ability to maintain key business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realize anticipated efficiencies and strategic benefits from such acquisitions or strategic partnerships.</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grant exclusive rights to our collaborators that would prevent us from collaborating with others;</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announcements by us or our competitors of significant acquisitions, strategic collaborations, joint ventures, collaborations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structure of healthcare payment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common stock by us, our insiders or our other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natural disasters or public health emergencies, such as the COVID-19 pandemic;</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economic, political, industry and market conditions.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quarterly and annual operating results may fluctuate significantly in the future due to a variety of other factors, many of which are outside of our control and may be difficult to predict. The cumulative effect of these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2023, our executive officers, directors, holders of 5% or more of our capital stock and their respective affiliates beneficially owned approximately 57%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color w:val="231F20"/>
          <w:sz w:val="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December 31, 2023, we have sold 25,965,483 shares of our common stock and pre-funded warrants to purchase 6,236,693 shares of our common stock pursuant to the Shelf Registration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Moreover, c</w:t>
      </w:r>
      <w:r>
        <w:rPr>
          <w:rFonts w:ascii="Times New Roman" w:hAnsi="Times New Roman"/>
          <w:color w:val="000000"/>
          <w:sz w:val="20"/>
        </w:rPr>
        <w:t>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directors may only be removed “for 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amend the bylaws;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 a super-majority vote of stockholders to amend or repeal specified provisions of our certificate of incorporation and bylaws.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certificate of incorporation or our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internal-affairs doctrine.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bookmarkStart w:id="5" w:name="item1b"/>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6" w:name="item1c"/>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sz w:val="20"/>
        </w:rPr>
      </w:pPr>
      <w:r>
        <w:rPr>
          <w:rFonts w:ascii="Times New Roman" w:hAnsi="Times New Roman"/>
          <w:color w:val="000000"/>
          <w:sz w:val="20"/>
        </w:rPr>
        <w:t>We have established policies and processes for assessing, identifying, and managing material risk from cybersecurity threats, and have</w:t>
      </w:r>
      <w:r>
        <w:rPr>
          <w:rFonts w:ascii="Times New Roman" w:hAnsi="Times New Roman"/>
          <w:color w:val="211D1E"/>
          <w:sz w:val="20"/>
        </w:rPr>
        <w:t xml:space="preserve"> integrated these processes into our overall risk management systems and processes. In collaboration with our external vendors specializing in cybersecurity management, </w:t>
      </w:r>
      <w:r>
        <w:rPr>
          <w:rFonts w:ascii="Times New Roman" w:hAnsi="Times New Roman"/>
          <w:color w:val="000000"/>
          <w:sz w:val="20"/>
        </w:rPr>
        <w:t>we r</w:t>
      </w:r>
      <w:r>
        <w:rPr>
          <w:rFonts w:ascii="Times New Roman" w:hAnsi="Times New Roman"/>
          <w:color w:val="211D1E"/>
          <w:sz w:val="20"/>
        </w:rPr>
        <w:t>outinely assess material risks from cybersecurity threats, including</w:t>
      </w:r>
      <w:r>
        <w:rPr>
          <w:rFonts w:ascii="Times New Roman" w:hAnsi="Times New Roman"/>
          <w:color w:val="000000"/>
          <w:sz w:val="20"/>
        </w:rPr>
        <w:t xml:space="preserve"> any potential unauthorized access to our information systems that could result in adverse effects on the confidentiality, integrity, or availability of our information systems or any information residing therein. </w:t>
      </w:r>
    </w:p>
    <w:p>
      <w:pPr>
        <w:pStyle w:val="TextBody"/>
        <w:bidi w:val="0"/>
        <w:spacing w:before="120" w:after="283"/>
        <w:jc w:val="left"/>
        <w:rPr>
          <w:rFonts w:ascii="Times New Roman" w:hAnsi="Times New Roman"/>
          <w:color w:val="211D1E"/>
          <w:sz w:val="20"/>
        </w:rPr>
      </w:pPr>
      <w:r>
        <w:rPr>
          <w:rFonts w:ascii="Times New Roman" w:hAnsi="Times New Roman"/>
          <w:color w:val="211D1E"/>
          <w:sz w:val="20"/>
        </w:rPr>
        <w:t xml:space="preserve">We conduct periodic risk assessments to identify cybersecurity threats, as well as assessments of planned material changes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before="120" w:after="283"/>
        <w:jc w:val="left"/>
        <w:rPr>
          <w:rFonts w:ascii="Times New Roman" w:hAnsi="Times New Roman"/>
          <w:color w:val="211D1E"/>
          <w:sz w:val="20"/>
        </w:rPr>
      </w:pPr>
      <w:r>
        <w:rPr>
          <w:rFonts w:ascii="Times New Roman" w:hAnsi="Times New Roman"/>
          <w:color w:val="211D1E"/>
          <w:sz w:val="20"/>
        </w:rPr>
        <w:t xml:space="preserve">Following these risk assessments, we re-design, implement, and maintain reasonable safeguards to minimize identified risks; reasonably address any identified gaps in existing safeguards; and regularly monitor the effectiveness of our safeguards. In consideration of the size and complexity of our business, we devote appropriate internal and external resources to manage material risks from cybersecurity threats. We also designate senior-level personnel, including our Vice President, Information Technology who reports to our Chief Financial and Business Officer, to manage the risk assessment and mitigation process and to closely coordinate with our General Counsel on applicable regulatory obligations. </w:t>
      </w:r>
    </w:p>
    <w:p>
      <w:pPr>
        <w:pStyle w:val="TextBody"/>
        <w:bidi w:val="0"/>
        <w:spacing w:before="120" w:after="283"/>
        <w:jc w:val="left"/>
        <w:rPr>
          <w:rFonts w:ascii="Times New Roman" w:hAnsi="Times New Roman"/>
          <w:color w:val="211D1E"/>
          <w:sz w:val="20"/>
        </w:rPr>
      </w:pPr>
      <w:r>
        <w:rPr>
          <w:rFonts w:ascii="Times New Roman" w:hAnsi="Times New Roman"/>
          <w:color w:val="211D1E"/>
          <w:sz w:val="20"/>
        </w:rPr>
        <w:t xml:space="preserve">As part of our overall risk management system, we monitor and test our safeguards and train our employees on these safeguards. Personnel at all levels and departments are made aware of our cybersecurity policies through required policy review and trainings at the time of hire and periodically during their employment with us. </w:t>
      </w:r>
    </w:p>
    <w:p>
      <w:pPr>
        <w:pStyle w:val="TextBody"/>
        <w:bidi w:val="0"/>
        <w:spacing w:before="120" w:after="283"/>
        <w:jc w:val="left"/>
        <w:rPr>
          <w:rFonts w:ascii="Times New Roman" w:hAnsi="Times New Roman"/>
          <w:color w:val="211D1E"/>
          <w:sz w:val="20"/>
        </w:rPr>
      </w:pPr>
      <w:r>
        <w:rPr>
          <w:rFonts w:ascii="Times New Roman" w:hAnsi="Times New Roman"/>
          <w:color w:val="211D1E"/>
          <w:sz w:val="20"/>
        </w:rPr>
        <w:t xml:space="preserve">We engage consultants, auditors, or other third parties in connection with our risk assessment processes. These professionals assist us in the design and implementation of our cybersecurity policies and procedures, as well as to monitor and test our safeguards. In addition, in order to mitigate cybersecurity risks associated with our use of third-party service providers, we require certain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before="120" w:after="283"/>
        <w:jc w:val="left"/>
        <w:rPr>
          <w:rFonts w:ascii="Times New Roman" w:hAnsi="Times New Roman"/>
          <w:sz w:val="20"/>
        </w:rPr>
      </w:pPr>
      <w:r>
        <w:rPr>
          <w:rFonts w:ascii="Times New Roman" w:hAnsi="Times New Roman"/>
          <w:color w:val="211D1E"/>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w:t>
      </w:r>
      <w:r>
        <w:rPr>
          <w:rFonts w:ascii="Times New Roman" w:hAnsi="Times New Roman"/>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r>
        <w:rPr>
          <w:rFonts w:ascii="Times New Roman" w:hAnsi="Times New Roman"/>
          <w:color w:val="211D1E"/>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the key functions of our board of directors (our “Board”) is informed oversight of our risk management process, including risks from cybersecurity threats. Our Board is responsible for monitoring and assessing strategic risk exposure, and our executive officers are responsible for the day-to-day management of the material risks we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face. Our Board administers its cybersecurity risk oversight function directly as a whole, as well as through the Audit Committee.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color w:val="211D1E"/>
          <w:sz w:val="20"/>
        </w:rPr>
        <w:t xml:space="preserve">Vice President, Information Technology, along with the members of our Incident Response Team, which includes our Chief Financial and Business Officer and our General Counsel, are primarily responsible to assess and manage our material risks from cybersecurity threats. Our Incident Response Team is supported by an experienced managed service provider and an incident response provider with extensive global cybersecurity expertise, who both monitor, assess and report threats to us. Additionally, our Vice President, Information Technology has over twenty years of experience operating in the information technology, security and cybersecurity space. In particular, he has experience with cybersecurity assessment and prevention, incident responses, breach notifications and remediation.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color w:val="211D1E"/>
          <w:sz w:val="20"/>
        </w:rPr>
        <w:t xml:space="preserve">Vice President, Information Technology oversees our cybersecurity policies and processes, including those described in “Risk Management and Strategy” above and, along with and informed by the Information Technology organization and our Incident Response Team, monitors the prevention, detection, mitigation, and remediation of cybersecurity incidents. </w:t>
      </w:r>
      <w:r>
        <w:rPr>
          <w:rFonts w:ascii="Times New Roman" w:hAnsi="Times New Roman"/>
          <w:color w:val="000000"/>
          <w:sz w:val="20"/>
        </w:rPr>
        <w:t>Depending on the severity of the security incident, the Incident Response Team will report the security incident to our Audit Committee, including the financial impact of the security incident and any regulatory violations.</w:t>
      </w:r>
      <w:r>
        <w:rPr>
          <w:rFonts w:ascii="Times New Roman" w:hAnsi="Times New Roman"/>
          <w:color w:val="211D1E"/>
          <w:sz w:val="20"/>
        </w:rPr>
        <w:t xml:space="preserve"> As our Information Technology organization monitors the security and effectiveness of our policies and procedures, they also work to keep the Vice President, Information Technology and other members of leadership informed of critical incidents, process updates, or other material details, in accordance with our internal reporting structure.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color w:val="211D1E"/>
          <w:sz w:val="20"/>
        </w:rPr>
        <w:t>Vice President, Information Technology provides an annual briefing to the Audit Committee regarding our company’s cybersecurity risks and activities, including the status of cybersecurity system development, company-wide cybersecurity training programs, material changes to the cybersecurity system, policies or practices, any recent cybersecurity incidents and related responses, cybersecurity systems testing and engagement of third-party service providers in support of our cybersecurity system. Special meetings may also be called with the Audit Committee to brief the members on any material cybersecurity incidents and related responses thereto. Subsequent to such briefings, our Audit Committee will provide an update to the Board on such reports. In addition, the Board will receive periodic updates in meeting materials or directly from o</w:t>
      </w:r>
      <w:r>
        <w:rPr>
          <w:rFonts w:ascii="Times New Roman" w:hAnsi="Times New Roman"/>
          <w:color w:val="000000"/>
          <w:sz w:val="20"/>
        </w:rPr>
        <w:t xml:space="preserve">ur </w:t>
      </w:r>
      <w:r>
        <w:rPr>
          <w:rFonts w:ascii="Times New Roman" w:hAnsi="Times New Roman"/>
          <w:color w:val="211D1E"/>
          <w:sz w:val="20"/>
        </w:rPr>
        <w:t>Chief Financial and Business Officer on cybersecurity risks and activities.</w:t>
      </w:r>
    </w:p>
    <w:p>
      <w:pPr>
        <w:pStyle w:val="TextBody"/>
        <w:bidi w:val="0"/>
        <w:spacing w:before="240" w:after="283"/>
        <w:jc w:val="left"/>
        <w:rPr>
          <w:rFonts w:ascii="Times New Roman" w:hAnsi="Times New Roman"/>
          <w:sz w:val="20"/>
        </w:rPr>
      </w:pPr>
      <w:bookmarkStart w:id="7" w:name="item2"/>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are in South San Francisco, where we lease a facility containing approximately 32,370 square feet of office and laboratory space located at 171 Oyster Point Blvd., Suite 500, South San Francisco, CA 94080. The lease expires on May 31, 2025, unless earlier terminated in accordance with the lease, and we may renew the lease term for two additional five-year periods. In addition, we currently sublease approximately 13,000 square feet of additional office and laboratory space located at 131 Oyster Point Blvd, South San Francisco, CA 94080 through November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a leased space at a facility in Union City containing manufacturing and office space located at 33498 Central Avenue, Union City, CA 94587. The lease expires in July 2031, unless earlier terminated in accordance with the lease. We may renew the lease term for one additional five-year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these existing facilities are adequate for our current needs and that suitable additional or alternative space will be available in the future on commercially reasonable terms, if required.</w:t>
      </w:r>
    </w:p>
    <w:p>
      <w:pPr>
        <w:pStyle w:val="TextBody"/>
        <w:bidi w:val="0"/>
        <w:spacing w:before="240" w:after="283"/>
        <w:jc w:val="left"/>
        <w:rPr>
          <w:rFonts w:ascii="Times New Roman" w:hAnsi="Times New Roman"/>
          <w:sz w:val="20"/>
        </w:rPr>
      </w:pPr>
      <w:bookmarkStart w:id="8" w:name="item3"/>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9" w:name="item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0" w:name="part_ii_"/>
      <w:bookmarkEnd w:id="10"/>
      <w:r>
        <w:rPr>
          <w:rFonts w:ascii="Times New Roman" w:hAnsi="Times New Roman"/>
          <w:b/>
          <w:color w:val="000000"/>
          <w:sz w:val="20"/>
        </w:rPr>
        <w:t>PART II</w:t>
      </w:r>
    </w:p>
    <w:p>
      <w:pPr>
        <w:pStyle w:val="TextBody"/>
        <w:bidi w:val="0"/>
        <w:spacing w:before="360" w:after="283"/>
        <w:jc w:val="left"/>
        <w:rPr>
          <w:rFonts w:ascii="Times New Roman" w:hAnsi="Times New Roman"/>
          <w:sz w:val="20"/>
        </w:rPr>
      </w:pPr>
      <w:bookmarkStart w:id="11" w:name="item5"/>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traded on the Nasdaq Global Select Market under the symbol “TNYA”. Public trading of our common stock began on July 30, 2021. Prior to that, there was no public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 2024, there were 45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about our equity compensation plans is incorporated herein by reference to Part III, Item 12 of this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2" w:name="item6"/>
      <w:bookmarkEnd w:id="12"/>
      <w:r>
        <w:rPr>
          <w:rFonts w:ascii="Times New Roman" w:hAnsi="Times New Roman"/>
          <w:b/>
          <w:color w:val="000000"/>
          <w:sz w:val="20"/>
        </w:rPr>
        <w:t>Item 6. Res</w:t>
      </w:r>
      <w:bookmarkStart w:id="13" w:name="item_6_reserved_"/>
      <w:bookmarkEnd w:id="13"/>
      <w:r>
        <w:rPr>
          <w:rFonts w:ascii="Times New Roman" w:hAnsi="Times New Roman"/>
          <w:b/>
          <w:color w:val="000000"/>
          <w:sz w:val="20"/>
        </w:rPr>
        <w:t>erved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bookmarkStart w:id="14" w:name="item7"/>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a deep and diverse pipeline of disease-modifying therapies that includes both gene therapies and small molecules discovered internally and developed using our extensive core capabilities to target patients with rare or highly prevalent forms of heart disease. All of our programs are currently being assessed in clinical trials or are in the preclinical stage; we do not have any products approved for sale and have not generated any revenue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investigational product candidates are TN-201, a gene therapy for MYBPC3-associated HCM, TN-401, a gene therapy for PKP2-associated ARVC and TN-301, a small molecule for HFpEF.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TN-201 is our potential first-in-class and best-in-class gene therapy for adults and children with HCM due to MYBPC3 gene mutations. These mutations result in a deficiency of myosin binding protein, which in turn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utilizes a recombinant AAV9 capsid to deliver a working </w:t>
      </w:r>
      <w:r>
        <w:rPr>
          <w:rFonts w:ascii="Times New Roman" w:hAnsi="Times New Roman"/>
          <w:i/>
          <w:color w:val="000000"/>
          <w:sz w:val="20"/>
        </w:rPr>
        <w:t xml:space="preserve">MYBPC3 </w:t>
      </w:r>
      <w:r>
        <w:rPr>
          <w:rFonts w:ascii="Times New Roman" w:hAnsi="Times New Roman"/>
          <w:color w:val="000000"/>
          <w:sz w:val="20"/>
        </w:rPr>
        <w:t xml:space="preserve">gene to specific cells of the heart in order to produce cardiac myosin binding protein and thereby slow or even reverse the course of </w:t>
      </w:r>
      <w:r>
        <w:rPr>
          <w:rFonts w:ascii="Times New Roman" w:hAnsi="Times New Roman"/>
          <w:i/>
          <w:color w:val="000000"/>
          <w:sz w:val="20"/>
        </w:rPr>
        <w:t>MYBPC3</w:t>
      </w:r>
      <w:r>
        <w:rPr>
          <w:rFonts w:ascii="Times New Roman" w:hAnsi="Times New Roman"/>
          <w:color w:val="000000"/>
          <w:sz w:val="20"/>
        </w:rPr>
        <w:t>-associated HCM following a single infusion. In October 2023, we began dosing patients in the MyPeak-1 Phase 1b multi-center, open-label clinical trial, designed to assess the safety, tolerability and efficacy of a one-time intravenous infusion of TN-201. Initial data from the trial is anticipated in the second half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our development efforts for TN-201 we have initiated two noninterventioal studies: a study evaluating seroprevalence to AAV9 antibodies among adults with MYBPC3-associated HCM, and MyClimb, a prospective and retrospective global natural history study focused on pediatric patients with MYBPC3 mutation-associated cardiomyopathy. The objective of the natural history study is to characterize the outcomes, burden of illness, risk factors, quality of life, and biomarkers associated with disease progression in pediatric patients with cardiomyopathy due to MYBPC3 gene mutations, as well as treatments and procedures. MyClimb complements existing disease registries focused primarily on adult patient HCM populations and may support and expedite the development of TN-201 in the pediatric patient population. TN-201 has received orphan drug designation from the FDA and orphan medicinal product designation from the EC, as well as Fast Track Designation from the FDA.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TN-401 is our potential first-in-class and best-in-class AAV9-based gene therapy for the treatment of ARVC due to disease-causing variants in the </w:t>
      </w:r>
      <w:r>
        <w:rPr>
          <w:rFonts w:ascii="Times New Roman" w:hAnsi="Times New Roman"/>
          <w:i/>
          <w:color w:val="000000"/>
          <w:sz w:val="20"/>
        </w:rPr>
        <w:t xml:space="preserve">PKP2 </w:t>
      </w:r>
      <w:r>
        <w:rPr>
          <w:rFonts w:ascii="Times New Roman" w:hAnsi="Times New Roman"/>
          <w:color w:val="000000"/>
          <w:sz w:val="20"/>
        </w:rPr>
        <w:t xml:space="preserve">gene. ARVC, also known as arrhythmogenic cardiomyopathy, or ACM, is a chronic, progressive disease characterized by potentially dangerous and frequent ventricular arrhythmias. The disease is associated with significant impairment to patients’ overall quality of life, as well as an elevated risk of sudden cardiac death. </w:t>
      </w:r>
      <w:r>
        <w:rPr>
          <w:rFonts w:ascii="Times New Roman" w:hAnsi="Times New Roman"/>
          <w:i/>
          <w:color w:val="000000"/>
          <w:sz w:val="20"/>
        </w:rPr>
        <w:t>PKP2</w:t>
      </w:r>
      <w:r>
        <w:rPr>
          <w:rFonts w:ascii="Times New Roman" w:hAnsi="Times New Roman"/>
          <w:color w:val="000000"/>
          <w:sz w:val="20"/>
        </w:rPr>
        <w:t xml:space="preserve"> mutations are the most common genetic cause of ARVC and result in insufficient expression of a protein needed for proper functioning of the desmosomal complex that maintains physical connections and electrical signaling between heart muscle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the FDA provided clearance of our IND application to initiate clinical testing of TN-401. We plan to initiate patient dosing in RIDGE-1, our Phase 1b multi-center, open-label clinical trial, designed to assess the safety, tolerability and efficacy of a one-time intravenous infusion of TN-401, in the second half of 2024. In support of our development efforts for TN-401, we have initiated a global noninterventional study to collect treatment history and seroprevalence to AAV9 antibodies data among ARVC patients who carry pathogenic or likely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pathogenic PKP2 gene mutations.TN-401 has received orphan drug designation from the FDA and orphan medicinal product designation from the EC, as well as Fast Track Designation from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TN-301 is our small molecule inhibitor of HDAC6, initially being developed for the potential treatment of HFpEF. HFpEF is characterized by a stiffening of the heart muscle resulting in an inability for the left ventricle to relax and pump blood effectively with each contraction. There are several cellular processes thought to underlie the pathophysiology of HFpEF, including increases in fibrosis and inflammation and defects in metabolism. Although HFpEF accounts for approximately half of all heart failures, there are few proven treatment options. </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2023, we shared positive data from our Phase 1 clinical trial of TN-301 in healthy participants at the 2023 HFSA Annual Scientific Meeting. The Phase 1 trial enrolled participants in two stages. In Stage 1, participants received single ascending doses and in Stage 2, participants received multiple ascending doses. TN-301 was generally well tolerated across the broad range of doses studied. Pharmacokinetic results showed overall dose proportionality in both stages of the clinical trial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observed with less selective HDAC6 inhibitors or pan-HDAC inhibition. In preclinical studies, selective HDAC6 inhibition has been shown to have comparable efficacy to empagliflozin, a SGLT2 inhibitor which is approved for the treatment of HFpEF. More recently, using a validated mouse model of disease, we demonstrated that HDAC6 inhibition co-administered with an SGLT2 inhibitor demonstrated additive benefit, improving several measures of heart function. Taken together, these data support continued development of TN-301 as a potential treatment for patients with HFpEF. We believe late-stage clinical development of TN-301 is best suited for development by or with a well-resourced partner</w:t>
      </w:r>
      <w:r>
        <w:rPr>
          <w:rFonts w:ascii="Times New Roman" w:hAnsi="Times New Roman"/>
          <w:color w:val="333333"/>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distinct suite of integrated capabilities support our efforts to discover and develop disease-modifying treatments focused on heart disease.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 We have also internalized and integrated both cGMP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 We seek to build on existing proprietary capabilities with the aim of increasing the safety and efficacy of genetic medicines, accelerating early-stage discovery and preclinical optimization and reducing the overall cost of goods by increasing manufacturing productivity.</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w:t>
      </w:r>
    </w:p>
    <w:tbl>
      <w:tblPr>
        <w:tblW w:w="7255" w:type="dxa"/>
        <w:jc w:val="left"/>
        <w:tblInd w:w="0" w:type="dxa"/>
        <w:tblLayout w:type="fixed"/>
        <w:tblCellMar>
          <w:top w:w="28" w:type="dxa"/>
          <w:left w:w="28" w:type="dxa"/>
          <w:bottom w:w="28" w:type="dxa"/>
          <w:right w:w="28" w:type="dxa"/>
        </w:tblCellMar>
      </w:tblPr>
      <w:tblGrid>
        <w:gridCol w:w="2761"/>
        <w:gridCol w:w="146"/>
        <w:gridCol w:w="196"/>
        <w:gridCol w:w="751"/>
        <w:gridCol w:w="166"/>
        <w:gridCol w:w="146"/>
        <w:gridCol w:w="196"/>
        <w:gridCol w:w="751"/>
        <w:gridCol w:w="166"/>
        <w:gridCol w:w="146"/>
        <w:gridCol w:w="196"/>
        <w:gridCol w:w="571"/>
        <w:gridCol w:w="166"/>
        <w:gridCol w:w="146"/>
        <w:gridCol w:w="75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7%</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(125,621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100"/>
              <w:jc w:val="center"/>
              <w:rPr/>
            </w:pPr>
            <w:r>
              <w:rPr/>
              <w:t> </w:t>
            </w:r>
          </w:p>
        </w:tc>
      </w:tr>
      <w:tr>
        <w:trPr/>
        <w:tc>
          <w:tcPr>
            <w:tcW w:w="2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261%</w:t>
            </w:r>
          </w:p>
        </w:tc>
      </w:tr>
      <w:tr>
        <w:trPr/>
        <w:tc>
          <w:tcPr>
            <w:tcW w:w="2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NM</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263%</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We enter into various agreements with CROs. Costs of certain research and development activities are recognized based on estimates from a number of factors, including an evaluation of the progress of the activities, as well as input from external service providers.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7420" w:type="dxa"/>
        <w:jc w:val="left"/>
        <w:tblInd w:w="0" w:type="dxa"/>
        <w:tblLayout w:type="fixed"/>
        <w:tblCellMar>
          <w:top w:w="28" w:type="dxa"/>
          <w:left w:w="28" w:type="dxa"/>
          <w:bottom w:w="28" w:type="dxa"/>
          <w:right w:w="28" w:type="dxa"/>
        </w:tblCellMar>
      </w:tblPr>
      <w:tblGrid>
        <w:gridCol w:w="3246"/>
        <w:gridCol w:w="146"/>
        <w:gridCol w:w="196"/>
        <w:gridCol w:w="601"/>
        <w:gridCol w:w="146"/>
        <w:gridCol w:w="146"/>
        <w:gridCol w:w="196"/>
        <w:gridCol w:w="601"/>
        <w:gridCol w:w="146"/>
        <w:gridCol w:w="146"/>
        <w:gridCol w:w="196"/>
        <w:gridCol w:w="571"/>
        <w:gridCol w:w="166"/>
        <w:gridCol w:w="146"/>
        <w:gridCol w:w="77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r>
      <w:tr>
        <w:trPr/>
        <w:tc>
          <w:tcPr>
            <w:tcW w:w="32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3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Personnel-related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3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laboratory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r>
      <w:tr>
        <w:trPr/>
        <w:tc>
          <w:tcPr>
            <w:tcW w:w="3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Outside services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r>
      <w:tr>
        <w:trPr/>
        <w:tc>
          <w:tcPr>
            <w:tcW w:w="3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105%</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$98.0 million and $94.5 million for the years ended December 31, 2023 and 2022, respectively. The increase of $3.5 million, or 4%,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$8.9 million in personnel-related costs primarily driven by higher stock-based compensation and higher payroll tax expense. In 2022, we recorded employee tax credits of $2.2 million. These increases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$3.8 million in outside services costs primarily driven by a reduction in IND-enabling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conducting the necessary research to advance through the clinical stages and ultimately obtain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remain relatively flat for the next twelve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incur legal, accounting, insurance and other expenses in operating our business as a public company, including costs associated with regulatory and compliance activities. However, we expect that our general and administrative expenses will remain relatively flat for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$33.2 million and $31.1 million for the years ended December 31, 2023 and 2022, respectively. The increase of $2.1 million, or 7%, was primarily due to an increase in stock-based compensation driven by annual refresh awards that were granted during the first quarter of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earned on our cash, cash equivalents and investment balances. The year-over-year increase of $5.1 million was primarily due to higher interest rates on investments during the year ended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year ended December 31, 2023, was $124.1 million, compared to a net loss of $123.7 million for the year ended December 31,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and we have incurred significant net losses and negative cash flows from operations. From our inception through December 31, 2023, we have funded our operations primarily from the sale and issuance of our equity securities. As of December 31, 2023, we had cash, cash equivalents and investments in marketable securities of $104.6 million and an accumulated deficit of $403.3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pre-funded warrants can be exercised at any time after issuance for an exercise price of $0.001 per share, subject to certain ownership limitations. The Company received net proceeds of approximately $46.5 million, after deducting underwriting discounts and commissions of approximately $3.0 million and other offering expenses of approximately $0.5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exercised the option and purchased an additional 2,816,409 shares of our common stock. We received total net proceeds of approximately $76.9 million after deducting underwriting discounts and commissions of approximately $4.9 million and offering expenses of approximately $0.5 million. As of December 31, 2023, pre-funded warrants for 5,934,176 shares of common stock remained outstanding. </w:t>
      </w:r>
    </w:p>
    <w:p>
      <w:pPr>
        <w:pStyle w:val="TextBody"/>
        <w:bidi w:val="0"/>
        <w:spacing w:before="240" w:after="283"/>
        <w:jc w:val="both"/>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As of December 31, 2023, we may issue and sell up to approximately $71.0 million in additional shares of our common stock under the ATM.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continue to incur operating losses over the foreseeable future. Our operating expenses are expected to remain relatively flat for the next twelve months but may increase in the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lead gene therapy product candidates, TN-201 and TN-401;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scope of our existing clinical trials and transition into late-stage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of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commercial-scale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information systems and personnel to support our future product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studies and clinical trials for any additional product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future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develop, expand, enforce, defend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indicated:</w:t>
      </w:r>
    </w:p>
    <w:tbl>
      <w:tblPr>
        <w:tblW w:w="7789" w:type="dxa"/>
        <w:jc w:val="left"/>
        <w:tblInd w:w="0" w:type="dxa"/>
        <w:tblLayout w:type="fixed"/>
        <w:tblCellMar>
          <w:top w:w="28" w:type="dxa"/>
          <w:left w:w="28" w:type="dxa"/>
          <w:bottom w:w="28" w:type="dxa"/>
          <w:right w:w="28" w:type="dxa"/>
        </w:tblCellMar>
      </w:tblPr>
      <w:tblGrid>
        <w:gridCol w:w="4836"/>
        <w:gridCol w:w="146"/>
        <w:gridCol w:w="211"/>
        <w:gridCol w:w="841"/>
        <w:gridCol w:w="166"/>
        <w:gridCol w:w="146"/>
        <w:gridCol w:w="211"/>
        <w:gridCol w:w="841"/>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(104,424</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2023 was $102.1 million, which consisted primarily of a net loss of $124.1 million and a net change in operating assets and liabilities of $5.6 million, partially offset by $25.8 million in non-cash charges. The change in net operating assets and liabilities was primarily due to a decrease in operating lease liabilities of $4.1 million and a decrease in accounts payable and accrued expenses and other current liabilities of $1.0 million. Cash flows from operations are generally impacted by the timing of payments to vendors and vendor payment terms. The non-cash charges primarily consisted of stock-based compensation of $15.3 million and depreciation and amortization of $8.7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2022 was $104.4 million, which consisted of a net loss of $123.7 million and a net change in operating assets and liabilities of $0.8 million, partially offset by $20.0 million in non-cash charges. The change in net operating assets and liabilities was due to a decrease in operating lease liabilities of $3.1 million, a decrease in prepaid expenses and other current assets of $2.9 million and an increase in other noncurrent assets of $0.8 million, partially offset by an increase in accounts payable and accrued expenses and other current liabilities of $6.0 million. Cash flows from operations are generally impacted by the timing of payments to vendors and vendor payment terms. The non-cash charges primarily consisted of stock-based compensation of $11.5 million and depreciation and amortization of $6.5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2023 was $48.7 million, which consisted primarily of proceeds from maturities of marketable securities of $106.6 million, partially offset by purchases of marketable securities of $56.6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2022 was $83.7 million, which consisted primarily of proceeds from maturities of marketable securities of $244.8 million, partially offset by purchases of marketable securities of $140.5 million and purchases of property and equipment of $20.6 million primarily related to our manufacturing and office space in Union City, California.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2023, was $4.0 million, which primarily consisted of net proceeds from at-the-market sales of $3.9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2022, was $77.8 million, which primarily consisted of proceeds from our follow-on public offering, net of issuance costs, of $77.4 million.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office space for our corporate headquarters in South San Francisco under a lease that expires in May 2025. We expect to pay rent of approximately $2.6 million during 2024 for this lease. We also lease the Union City Facility under a lease that expires in July 2031. We expect to pay rent of approximately $1.3 million in 2024 for this lease. In addition, we sublease additional office and laboratory space in South San Francisco through November 30, 2024 and expect to pay rent of approximately $1.4 million in 2024 for this sublease. As of December 31, 2023, undiscounted future minimum lease payments of $5.1 million and $10.9 million remain on the South San Francisco and Union City leases,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engaged in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determining the estimated fair value of options granted to employees and non-employees, we use the Black-Scholes option pricing model, which requires the use of highly subjective assumptions. These assumptions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Fair Value of Common Stock</w:t>
      </w:r>
      <w:r>
        <w:rPr>
          <w:color w:val="000000"/>
        </w:rPr>
        <w:t>—</w:t>
      </w:r>
      <w:r>
        <w:rPr>
          <w:rFonts w:ascii="Times New Roman" w:hAnsi="Times New Roman"/>
          <w:color w:val="000000"/>
          <w:sz w:val="20"/>
        </w:rPr>
        <w:t>The grant date fair value of common stock was determined by using the closing price per share of common stock as reported on the Nasdaq Global Select Market.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color w:val="000000"/>
        </w:rPr>
        <w:t>—</w:t>
      </w:r>
      <w:r>
        <w:rPr>
          <w:rFonts w:ascii="Times New Roman" w:hAnsi="Times New Roman"/>
          <w:color w:val="000000"/>
          <w:sz w:val="20"/>
        </w:rPr>
        <w:t>We determine the expected term, which represents the period that stock-based awards are expected to be outstanding, in accordance with the simplified method, which is presumed to be the mid-point between the contractual term and the vesting term.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As we have limited trading history of our common stock, we have determined our computation of expected volatility on 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w:t>
      </w:r>
      <w:r>
        <w:rPr>
          <w:rFonts w:ascii="Times New Roman" w:hAnsi="Times New Roman"/>
          <w:color w:val="000000"/>
          <w:sz w:val="20"/>
        </w:rPr>
        <w:t>We base the risk-free interest rate on U.S. Treasury zero coupon issues in effect at the time of grant for periods corresponding with the expected term assumption.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w:t>
      </w:r>
      <w:r>
        <w:rPr>
          <w:color w:val="000000"/>
        </w:rPr>
        <w:t>—</w:t>
      </w:r>
      <w:r>
        <w:rPr>
          <w:rFonts w:ascii="Times New Roman" w:hAnsi="Times New Roman"/>
          <w:color w:val="000000"/>
          <w:sz w:val="20"/>
        </w:rPr>
        <w:t>The expected dividend yield is assumed to be zero as we have never paid and have no plans to pay dividends on our common stock.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7</w:t>
      </w:r>
      <w:r>
        <w:rPr>
          <w:rFonts w:ascii="Times New Roman" w:hAnsi="Times New Roman"/>
          <w:color w:val="000000"/>
          <w:sz w:val="20"/>
        </w:rPr>
        <w:t xml:space="preserve"> to our financial statements for more information concerning certain of the specific assumptions we used in applying the Black-Scholes valuation model to determine the estimated fair value of our stock options.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2</w:t>
      </w:r>
      <w:r>
        <w:rPr>
          <w:rFonts w:ascii="Times New Roman" w:hAnsi="Times New Roman"/>
          <w:color w:val="000000"/>
          <w:sz w:val="20"/>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pStyle w:val="TextBody"/>
        <w:bidi w:val="0"/>
        <w:spacing w:before="240" w:after="283"/>
        <w:jc w:val="left"/>
        <w:rPr>
          <w:rFonts w:ascii="Times New Roman" w:hAnsi="Times New Roman"/>
          <w:sz w:val="20"/>
        </w:rPr>
      </w:pPr>
      <w:bookmarkStart w:id="15" w:name="item7a"/>
      <w:bookmarkEnd w:id="15"/>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under the Exchange Act and in Item 10(f)(1) of Regulation S-K, and are not required to provide the information under this item.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6" w:name="item8"/>
      <w:bookmarkEnd w:id="16"/>
      <w:r>
        <w:rPr>
          <w:rFonts w:ascii="Times New Roman" w:hAnsi="Times New Roman"/>
          <w:b/>
          <w:color w:val="000000"/>
          <w:sz w:val="20"/>
        </w:rPr>
        <w:t>Item 8. Financial Statements and Supplementary Data.</w:t>
      </w:r>
    </w:p>
    <w:p>
      <w:pPr>
        <w:pStyle w:val="TextBody"/>
        <w:bidi w:val="0"/>
        <w:spacing w:before="240" w:after="360"/>
        <w:jc w:val="center"/>
        <w:rPr>
          <w:rFonts w:ascii="Times New Roman" w:hAnsi="Times New Roman"/>
          <w:b/>
          <w:color w:val="000000"/>
          <w:sz w:val="20"/>
        </w:rPr>
      </w:pPr>
      <w:r>
        <w:rPr>
          <w:rFonts w:ascii="Times New Roman" w:hAnsi="Times New Roman"/>
          <w:b/>
          <w:color w:val="000000"/>
          <w:sz w:val="20"/>
        </w:rPr>
        <w:t>INDEX TO FINANCIAL STATEMENTS</w:t>
      </w:r>
    </w:p>
    <w:tbl>
      <w:tblPr>
        <w:tblW w:w="8702" w:type="dxa"/>
        <w:jc w:val="left"/>
        <w:tblInd w:w="0" w:type="dxa"/>
        <w:tblLayout w:type="fixed"/>
        <w:tblCellMar>
          <w:top w:w="28" w:type="dxa"/>
          <w:left w:w="28" w:type="dxa"/>
          <w:bottom w:w="28" w:type="dxa"/>
          <w:right w:w="28" w:type="dxa"/>
        </w:tblCellMar>
      </w:tblPr>
      <w:tblGrid>
        <w:gridCol w:w="8236"/>
        <w:gridCol w:w="466"/>
      </w:tblGrid>
      <w:tr>
        <w:trPr/>
        <w:tc>
          <w:tcPr>
            <w:tcW w:w="8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or_report">
              <w:r>
                <w:rPr>
                  <w:rStyle w:val="InternetLink"/>
                  <w:rFonts w:ascii="Times New Roman" w:hAnsi="Times New Roman"/>
                  <w:color w:val="0000FF"/>
                  <w:sz w:val="20"/>
                  <w:u w:val="single"/>
                </w:rPr>
                <w:t>Report of Independent Registered Public Accounting Firm (PCAOB ID No. 34)</w:t>
              </w:r>
            </w:hyperlink>
            <w:hyperlink w:anchor="auditor_report">
              <w:r>
                <w:rPr>
                  <w:rStyle w:val="InternetLink"/>
                  <w:rFonts w:ascii="Times New Roman" w:hAnsi="Times New Roman"/>
                  <w:color w:val="0000FF"/>
                  <w:sz w:val="20"/>
                </w:rPr>
                <w:t xml:space="preserve"> </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Balance Sheets as of December 31, 2023 and 2022</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r_lo">
              <w:r>
                <w:rPr>
                  <w:rStyle w:val="InternetLink"/>
                  <w:rFonts w:ascii="Times New Roman" w:hAnsi="Times New Roman"/>
                  <w:color w:val="0000FF"/>
                  <w:sz w:val="20"/>
                  <w:u w:val="single"/>
                </w:rPr>
                <w:t>Statements of Operations and Comprehensive Loss for the years ended December 31, 2023 and 2022</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nt_of_conver_stock_stockho_equity">
              <w:r>
                <w:rPr>
                  <w:rStyle w:val="InternetLink"/>
                  <w:rFonts w:ascii="Times New Roman" w:hAnsi="Times New Roman"/>
                  <w:color w:val="0000FF"/>
                  <w:sz w:val="20"/>
                  <w:u w:val="single"/>
                </w:rPr>
                <w:t>Statements of Stockholders’ Equity for the years ended December 31, 2023 and 2022</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 for the years ended December 31, 2023 and 2022</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1"/>
        </w:rPr>
      </w:pPr>
      <w:bookmarkStart w:id="17" w:name="auditor_report"/>
      <w:bookmarkEnd w:id="17"/>
      <w:r>
        <w:rPr>
          <w:rFonts w:ascii="Times New Roman" w:hAnsi="Times New Roman"/>
          <w:b/>
          <w:color w:val="000000"/>
          <w:sz w:val="21"/>
        </w:rPr>
        <w:t>REPORT OF INDEPENDENT REGISTERED PUBLIC ACCOUNTING FIRM</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To the stockholders and the Board of Directors of Tenaya Therapeutics, Inc.</w:t>
      </w:r>
    </w:p>
    <w:p>
      <w:pPr>
        <w:pStyle w:val="TextBody"/>
        <w:bidi w:val="0"/>
        <w:spacing w:before="240" w:after="283"/>
        <w:jc w:val="left"/>
        <w:rPr>
          <w:rFonts w:ascii="Times New Roman" w:hAnsi="Times New Roman"/>
          <w:b/>
          <w:color w:val="000000"/>
          <w:sz w:val="21"/>
        </w:rPr>
      </w:pPr>
      <w:r>
        <w:rPr>
          <w:rFonts w:ascii="Times New Roman" w:hAnsi="Times New Roman"/>
          <w:b/>
          <w:color w:val="000000"/>
          <w:sz w:val="21"/>
        </w:rPr>
        <w:t>Opinion on the Financial Statements</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We have audited the accompanying balance sheets of Tenaya Therapeutics,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240" w:after="283"/>
        <w:jc w:val="left"/>
        <w:rPr>
          <w:rFonts w:ascii="Times New Roman" w:hAnsi="Times New Roman"/>
          <w:b/>
          <w:color w:val="000000"/>
          <w:sz w:val="21"/>
        </w:rPr>
      </w:pPr>
      <w:r>
        <w:rPr>
          <w:rFonts w:ascii="Times New Roman" w:hAnsi="Times New Roman"/>
          <w:b/>
          <w:color w:val="000000"/>
          <w:sz w:val="21"/>
        </w:rPr>
        <w:t>Basis for Opinion</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/s/ Deloitte &amp; Touche LLP</w:t>
      </w:r>
    </w:p>
    <w:p>
      <w:pPr>
        <w:pStyle w:val="TextBody"/>
        <w:bidi w:val="0"/>
        <w:spacing w:before="240" w:after="283"/>
        <w:jc w:val="left"/>
        <w:rPr>
          <w:rFonts w:ascii="Times New Roman" w:hAnsi="Times New Roman"/>
          <w:sz w:val="20"/>
        </w:rPr>
      </w:pPr>
      <w:r>
        <w:rPr>
          <w:rFonts w:ascii="Times New Roman" w:hAnsi="Times New Roman"/>
          <w:color w:val="000000"/>
          <w:sz w:val="21"/>
        </w:rPr>
        <w:t>San Francisco, California</w:t>
      </w:r>
      <w:r>
        <w:rPr>
          <w:rFonts w:ascii="Times New Roman" w:hAnsi="Times New Roman"/>
          <w:color w:val="000000"/>
          <w:sz w:val="20"/>
        </w:rPr>
        <w:t xml:space="preserve"> </w:t>
      </w:r>
    </w:p>
    <w:p>
      <w:pPr>
        <w:pStyle w:val="TextBody"/>
        <w:bidi w:val="0"/>
        <w:jc w:val="left"/>
        <w:rPr>
          <w:rFonts w:ascii="Times New Roman" w:hAnsi="Times New Roman"/>
          <w:color w:val="000000"/>
          <w:sz w:val="21"/>
        </w:rPr>
      </w:pPr>
      <w:r>
        <w:rPr>
          <w:rFonts w:ascii="Times New Roman" w:hAnsi="Times New Roman"/>
          <w:color w:val="000000"/>
          <w:sz w:val="21"/>
        </w:rPr>
        <w:t>March 18, 2024</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We have served as the Company's auditor since 2019.</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spacing w:before="240" w:after="283"/>
        <w:jc w:val="center"/>
        <w:rPr>
          <w:rFonts w:ascii="Times New Roman" w:hAnsi="Times New Roman"/>
          <w:sz w:val="20"/>
        </w:rPr>
      </w:pPr>
      <w:bookmarkStart w:id="18" w:name="balance_sheet"/>
      <w:bookmarkEnd w:id="1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8934" w:type="dxa"/>
        <w:jc w:val="left"/>
        <w:tblInd w:w="0" w:type="dxa"/>
        <w:tblLayout w:type="fixed"/>
        <w:tblCellMar>
          <w:top w:w="28" w:type="dxa"/>
          <w:left w:w="28" w:type="dxa"/>
          <w:bottom w:w="28" w:type="dxa"/>
          <w:right w:w="28" w:type="dxa"/>
        </w:tblCellMar>
      </w:tblPr>
      <w:tblGrid>
        <w:gridCol w:w="5981"/>
        <w:gridCol w:w="146"/>
        <w:gridCol w:w="211"/>
        <w:gridCol w:w="841"/>
        <w:gridCol w:w="166"/>
        <w:gridCol w:w="146"/>
        <w:gridCol w:w="211"/>
        <w:gridCol w:w="841"/>
        <w:gridCol w:w="391"/>
      </w:tblGrid>
      <w:tr>
        <w:trPr/>
        <w:tc>
          <w:tcPr>
            <w:tcW w:w="5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investments in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193,754</w:t>
            </w:r>
          </w:p>
        </w:tc>
        <w:tc>
          <w:tcPr>
            <w:tcW w:w="391" w:type="dxa"/>
            <w:tcBorders/>
            <w:shd w:fill="FFFFFF" w:val="clear"/>
            <w:vAlign w:val="center"/>
          </w:tcPr>
          <w:p>
            <w:pPr>
              <w:pStyle w:val="TableContents"/>
              <w:bidi w:val="0"/>
              <w:spacing w:before="0" w:after="283"/>
              <w:jc w:val="lef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51,032</w:t>
            </w:r>
          </w:p>
        </w:tc>
        <w:tc>
          <w:tcPr>
            <w:tcW w:w="391" w:type="dxa"/>
            <w:tcBorders/>
            <w:shd w:fill="CFF0FC" w:val="clear"/>
            <w:vAlign w:val="center"/>
          </w:tcPr>
          <w:p>
            <w:pPr>
              <w:pStyle w:val="TableContents"/>
              <w:bidi w:val="0"/>
              <w:spacing w:before="0" w:after="283"/>
              <w:jc w:val="lef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391" w:type="dxa"/>
            <w:tcBorders/>
            <w:shd w:fill="FFFFFF" w:val="clear"/>
            <w:vAlign w:val="center"/>
          </w:tcPr>
          <w:p>
            <w:pPr>
              <w:pStyle w:val="TableContents"/>
              <w:bidi w:val="0"/>
              <w:spacing w:before="0" w:after="283"/>
              <w:jc w:val="lef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in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17,703</w:t>
            </w:r>
          </w:p>
        </w:tc>
        <w:tc>
          <w:tcPr>
            <w:tcW w:w="391" w:type="dxa"/>
            <w:tcBorders/>
            <w:shd w:fill="CFF0FC" w:val="clear"/>
            <w:vAlign w:val="center"/>
          </w:tcPr>
          <w:p>
            <w:pPr>
              <w:pStyle w:val="TableContents"/>
              <w:bidi w:val="0"/>
              <w:spacing w:before="0" w:after="283"/>
              <w:jc w:val="lef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5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24,248</w:t>
            </w:r>
          </w:p>
        </w:tc>
        <w:tc>
          <w:tcPr>
            <w:tcW w:w="391" w:type="dxa"/>
            <w:tcBorders/>
            <w:shd w:fill="CFF0FC" w:val="clear"/>
            <w:vAlign w:val="center"/>
          </w:tcPr>
          <w:p>
            <w:pPr>
              <w:pStyle w:val="TableContents"/>
              <w:bidi w:val="0"/>
              <w:spacing w:before="0" w:after="283"/>
              <w:jc w:val="lef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w:t>
            </w:r>
          </w:p>
        </w:tc>
        <w:tc>
          <w:tcPr>
            <w:tcW w:w="391" w:type="dxa"/>
            <w:tcBorders/>
            <w:shd w:fill="FFFFFF" w:val="clear"/>
            <w:vAlign w:val="center"/>
          </w:tcPr>
          <w:p>
            <w:pPr>
              <w:pStyle w:val="TableContents"/>
              <w:bidi w:val="0"/>
              <w:spacing w:before="0" w:after="283"/>
              <w:jc w:val="lef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35,569</w:t>
            </w:r>
          </w:p>
        </w:tc>
        <w:tc>
          <w:tcPr>
            <w:tcW w:w="391" w:type="dxa"/>
            <w:tcBorders/>
            <w:shd w:fill="FFFFFF" w:val="clear"/>
            <w:vAlign w:val="center"/>
          </w:tcPr>
          <w:p>
            <w:pPr>
              <w:pStyle w:val="TableContents"/>
              <w:bidi w:val="0"/>
              <w:spacing w:before="0" w:after="283"/>
              <w:jc w:val="lef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Preferred stock, $0.0001 par value; 200,000,000 shares authorized </w:t>
              <w:br/>
              <w:t xml:space="preserve">   as of December 31, 2023 and 2022; no shares issued and outstanding </w:t>
              <w:br/>
              <w:t>   as of December 31, 2023 and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Common stock, $0.0001 par value; 1,000,000,000 shares authorized </w:t>
              <w:br/>
              <w:t>   as of December 31, 2023 and 2022; 68,330,342 and 66,857,113</w:t>
              <w:br/>
              <w:t>   shares issued and outstanding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522,945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spacing w:before="240" w:after="283"/>
        <w:jc w:val="center"/>
        <w:rPr>
          <w:rFonts w:ascii="Times New Roman" w:hAnsi="Times New Roman"/>
          <w:sz w:val="20"/>
        </w:rPr>
      </w:pPr>
      <w:bookmarkStart w:id="19" w:name="statements_of_operations_and_compr_lo"/>
      <w:bookmarkEnd w:id="19"/>
      <w:r>
        <w:rPr>
          <w:rFonts w:ascii="Times New Roman" w:hAnsi="Times New Roman"/>
          <w:b/>
          <w:color w:val="000000"/>
          <w:sz w:val="20"/>
        </w:rPr>
        <w:t>Statements of Operations</w:t>
      </w:r>
      <w:r>
        <w:rPr>
          <w:rFonts w:ascii="Times New Roman" w:hAnsi="Times New Roman"/>
          <w:color w:val="000000"/>
          <w:sz w:val="20"/>
        </w:rPr>
        <w:t xml:space="preserve"> </w:t>
      </w:r>
      <w:r>
        <w:rPr>
          <w:rFonts w:ascii="Times New Roman" w:hAnsi="Times New Roman"/>
          <w:b/>
          <w:color w:val="000000"/>
          <w:sz w:val="20"/>
        </w:rPr>
        <w:t>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spacing w:before="160" w:after="283"/>
        <w:jc w:val="left"/>
        <w:rPr/>
      </w:pPr>
      <w:r>
        <w:rPr/>
        <w:t> </w:t>
      </w:r>
    </w:p>
    <w:tbl>
      <w:tblPr>
        <w:tblW w:w="9959" w:type="dxa"/>
        <w:jc w:val="left"/>
        <w:tblInd w:w="0" w:type="dxa"/>
        <w:tblLayout w:type="fixed"/>
        <w:tblCellMar>
          <w:top w:w="28" w:type="dxa"/>
          <w:left w:w="28" w:type="dxa"/>
          <w:bottom w:w="28" w:type="dxa"/>
          <w:right w:w="28" w:type="dxa"/>
        </w:tblCellMar>
      </w:tblPr>
      <w:tblGrid>
        <w:gridCol w:w="6616"/>
        <w:gridCol w:w="146"/>
        <w:gridCol w:w="211"/>
        <w:gridCol w:w="1036"/>
        <w:gridCol w:w="166"/>
        <w:gridCol w:w="146"/>
        <w:gridCol w:w="211"/>
        <w:gridCol w:w="1036"/>
        <w:gridCol w:w="39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6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66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66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6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6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73,786,126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44,823,597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jc w:val="center"/>
        <w:rPr>
          <w:rFonts w:ascii="Times New Roman" w:hAnsi="Times New Roman"/>
          <w:b/>
          <w:color w:val="000000"/>
          <w:sz w:val="20"/>
        </w:rPr>
      </w:pPr>
      <w:bookmarkStart w:id="20" w:name="stmnt_of_conver_stock_stockho_equity"/>
      <w:bookmarkEnd w:id="20"/>
      <w:r>
        <w:rPr>
          <w:rFonts w:ascii="Times New Roman" w:hAnsi="Times New Roman"/>
          <w:b/>
          <w:color w:val="000000"/>
          <w:sz w:val="20"/>
        </w:rPr>
        <w:t>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3"/>
        <w:gridCol w:w="146"/>
        <w:gridCol w:w="146"/>
        <w:gridCol w:w="916"/>
        <w:gridCol w:w="166"/>
        <w:gridCol w:w="146"/>
        <w:gridCol w:w="249"/>
        <w:gridCol w:w="442"/>
        <w:gridCol w:w="146"/>
        <w:gridCol w:w="146"/>
        <w:gridCol w:w="196"/>
        <w:gridCol w:w="691"/>
        <w:gridCol w:w="146"/>
        <w:gridCol w:w="146"/>
        <w:gridCol w:w="452"/>
        <w:gridCol w:w="1007"/>
        <w:gridCol w:w="166"/>
        <w:gridCol w:w="146"/>
        <w:gridCol w:w="217"/>
        <w:gridCol w:w="834"/>
        <w:gridCol w:w="166"/>
        <w:gridCol w:w="146"/>
        <w:gridCol w:w="243"/>
        <w:gridCol w:w="939"/>
        <w:gridCol w:w="414"/>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vAlign w:val="center"/>
          </w:tcPr>
          <w:p>
            <w:pPr>
              <w:pStyle w:val="TableContents"/>
              <w:bidi w:val="0"/>
              <w:spacing w:before="0" w:after="283"/>
              <w:jc w:val="center"/>
              <w:rPr/>
            </w:pPr>
            <w:r>
              <w:rPr/>
              <w:t> </w:t>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41,291,374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(155,533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278,526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and pre-funded </w:t>
              <w:br/>
              <w:t>   warrants, net of issuance costs of $5,441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25,429,716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76,886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upon exercise</w:t>
              <w:br/>
              <w:t>   of stock options and vesting of restricted</w:t>
              <w:br/>
              <w:t>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pursuant to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common stock related to</w:t>
              <w:br/>
              <w:t>   early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66,857,113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(279,198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243,376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in connection with</w:t>
              <w:br/>
              <w:t>   at-the-market sales, net of issuance costs of $120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upon exercise</w:t>
              <w:br/>
              <w:t>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upon exercise</w:t>
              <w:br/>
              <w:t>   of stock options and vesting of restricted</w:t>
              <w:br/>
              <w:t>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pursuant to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7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7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68,330,342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139,424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jc w:val="center"/>
        <w:rPr>
          <w:rFonts w:ascii="Times New Roman" w:hAnsi="Times New Roman"/>
          <w:sz w:val="20"/>
        </w:rPr>
      </w:pPr>
      <w:bookmarkStart w:id="21" w:name="statements_of_cash_flows"/>
      <w:bookmarkEnd w:id="21"/>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42"/>
        <w:gridCol w:w="146"/>
        <w:gridCol w:w="196"/>
        <w:gridCol w:w="751"/>
        <w:gridCol w:w="166"/>
        <w:gridCol w:w="146"/>
        <w:gridCol w:w="196"/>
        <w:gridCol w:w="751"/>
        <w:gridCol w:w="711"/>
      </w:tblGrid>
      <w:tr>
        <w:trPr/>
        <w:tc>
          <w:tcPr>
            <w:tcW w:w="7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71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71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(123,665</w:t>
            </w:r>
          </w:p>
        </w:tc>
        <w:tc>
          <w:tcPr>
            <w:tcW w:w="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7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11,467</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71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w:t>
            </w:r>
          </w:p>
        </w:tc>
        <w:tc>
          <w:tcPr>
            <w:tcW w:w="7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7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71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w:t>
            </w:r>
          </w:p>
        </w:tc>
        <w:tc>
          <w:tcPr>
            <w:tcW w:w="711" w:type="dxa"/>
            <w:tcBorders/>
            <w:shd w:fill="CFF0FC" w:val="clear"/>
            <w:vAlign w:val="center"/>
          </w:tcPr>
          <w:p>
            <w:pPr>
              <w:pStyle w:val="TableContents"/>
              <w:bidi w:val="0"/>
              <w:spacing w:before="0" w:after="283"/>
              <w:ind w:left="0" w:right="0" w:firstLine="400"/>
              <w:jc w:val="left"/>
              <w:rPr/>
            </w:pPr>
            <w:r>
              <w:rPr/>
              <w:t> </w:t>
            </w:r>
          </w:p>
        </w:tc>
      </w:tr>
      <w:tr>
        <w:trPr/>
        <w:tc>
          <w:tcPr>
            <w:tcW w:w="71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w:t>
            </w:r>
          </w:p>
        </w:tc>
        <w:tc>
          <w:tcPr>
            <w:tcW w:w="7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(104,424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(20,630</w:t>
            </w:r>
          </w:p>
        </w:tc>
        <w:tc>
          <w:tcPr>
            <w:tcW w:w="7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(140,476</w:t>
            </w:r>
          </w:p>
        </w:tc>
        <w:tc>
          <w:tcPr>
            <w:tcW w:w="7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244,750</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4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83,652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and pre-funded warrants in follow-on offering, 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77,387</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at-the-market sales,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of accrued offering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and employee stock purchase plan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4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77,767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56,995</w:t>
            </w:r>
          </w:p>
        </w:tc>
        <w:tc>
          <w:tcPr>
            <w:tcW w:w="711" w:type="dxa"/>
            <w:tcBorders/>
            <w:shd w:fill="CFF0FC" w:val="clear"/>
            <w:vAlign w:val="center"/>
          </w:tcPr>
          <w:p>
            <w:pPr>
              <w:pStyle w:val="TableContents"/>
              <w:bidi w:val="0"/>
              <w:spacing w:before="0" w:after="283"/>
              <w:jc w:val="left"/>
              <w:rPr/>
            </w:pPr>
            <w:r>
              <w:rPr/>
              <w:t> </w:t>
            </w:r>
          </w:p>
        </w:tc>
      </w:tr>
      <w:tr>
        <w:trPr/>
        <w:tc>
          <w:tcPr>
            <w:tcW w:w="71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38,676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95,671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95,272</w:t>
            </w:r>
          </w:p>
        </w:tc>
        <w:tc>
          <w:tcPr>
            <w:tcW w:w="711" w:type="dxa"/>
            <w:tcBorders/>
            <w:shd w:fill="CFF0FC" w:val="clear"/>
            <w:vAlign w:val="center"/>
          </w:tcPr>
          <w:p>
            <w:pPr>
              <w:pStyle w:val="TableContents"/>
              <w:bidi w:val="0"/>
              <w:spacing w:before="0" w:after="283"/>
              <w:jc w:val="left"/>
              <w:rPr/>
            </w:pPr>
            <w:r>
              <w:rPr/>
              <w:t> </w:t>
            </w:r>
          </w:p>
        </w:tc>
      </w:tr>
      <w:tr>
        <w:trPr/>
        <w:tc>
          <w:tcPr>
            <w:tcW w:w="71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included in 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95,671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71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Offering costs related to November 2022 public offering included in accounts payable and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71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and equipment included in accounts payable and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7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spacing w:before="360" w:after="283"/>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Note 1. Organization and Description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since inception and expects such losses to continue in the future as it conducts research and development activities. As of December 31, 2023, the Company had an accumulated deficit of $403.3 million. The Company incurred a net loss of $124.1 million and $123.7 million during the years ended December 31, 2023 and 2022, respectively. The Company had $104.6 million of cash, cash equivalents and investments in marketable securities as of December 31, 2023.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Management recognizes the need to raise additional capital to fully implement its business plan. The Company may seek to raise capital through equity financings, debt financings, license agreements, strategic collaborations or other sources of financing. On February 12, 2024, the Company completed an underwritten offering and received net proceeds of $46.5 million. See </w:t>
      </w:r>
      <w:r>
        <w:rPr>
          <w:rFonts w:ascii="Times New Roman" w:hAnsi="Times New Roman"/>
          <w:i/>
          <w:color w:val="000000"/>
          <w:sz w:val="20"/>
        </w:rPr>
        <w:t>Note 10</w:t>
      </w:r>
      <w:r>
        <w:rPr>
          <w:rFonts w:ascii="Times New Roman" w:hAnsi="Times New Roman"/>
          <w:color w:val="000000"/>
          <w:sz w:val="20"/>
        </w:rPr>
        <w:t xml:space="preserve"> to the Company's financial statements for details. Management believes its existing cash, cash equivalents and investments in marketable securities as of December 31, 2023, along with the additional $46.5 million mentioned above, will be sufficient to fund the Company’s operations for at least the next twelve months following the date these financial statements are filed with the Securities and Exchange Commission (SEC).</w:t>
      </w:r>
    </w:p>
    <w:p>
      <w:pPr>
        <w:pStyle w:val="TextBody"/>
        <w:bidi w:val="0"/>
        <w:spacing w:before="24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valuation of equity-based awards and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and cash equivalents, prepaid expenses and other current assets, accounts payable and accrued expenses and other current liabilities approximate their fair value due to their short-term nature.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certain risks including, but not limited to, the ability to obtain future financing, possible failure of ongoing and future clinical trials, the need to obtain regulatory approvals for its product candidates, the need to successfully commercialize and gain market acceptance of the Company’s product candidates, competitive developments, protection of proprietary technology, the ability to make milestone, royalty or other payments due under licensing agreements, and the Company’s ability to attract and retain employees necessary to support its business plan. </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as one operating segment, which is the business of discovering and developing potential treatments that address the underlying drivers of heart disease. The Company’s long-lived assets are located in the United States.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on the date of purchase to be cash equivalents. Cash equivalents primarily consist of money market funds that are stated at fair value.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restricted cash primarily represents security deposits for the Company’s operating leases in South San Francisco, and Union City, California. The security deposits are in the form of a letter of credit secured by restricted cash.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invests in marketable securities, primarily securities issued by the U.S. government and its agencies, commercial paper and corporate bonds. All marketable securities have been classified as available-for-sale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for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non-lease components are primarily related to property taxes, insurance, and common area maintenance, which vary based on future outcomes, and are recognized as rent expense when incurred.</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(R&amp;D) costs are expensed as incurred. Research and development expenses include, among others, consulting fees, salaries, benefits, travel, stock-based compensation, laboratory supplies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non-capital equipment utilized for in-house research, allocated facilities and overhead costs, fees related to licensing agreements, fees paid to contract research organizations (CRO) that conduct research and development activities on the Company’s behalf and costs related to compliance with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Goods or services incurred for research and development activities that have not yet been invoiced are recorded as liabilities within accrued expenses and other current liabilities on the Company’s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Non-refundable advance payments for goods or services to be rendered as part of future research and development activities are capitalized on the Company’s balance sheets until the goods or services are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Classification between prepaid expenses and other current assets and other non-current assets is based on an evaluation of when the goods will be delivered and/or services will be performed, with such amounts subsequently amortized to expense once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restricted stock awards is determined on the date of grant based on the estimated fair value of the Company’s common stock on that date.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purposes of determining the estimated fair value of options granted to employees and nonemployees, the Company uses the Black-Scholes option pricing model. See </w:t>
      </w:r>
      <w:r>
        <w:rPr>
          <w:rFonts w:ascii="Times New Roman" w:hAnsi="Times New Roman"/>
          <w:i/>
          <w:color w:val="000000"/>
          <w:sz w:val="20"/>
        </w:rPr>
        <w:t>Note 7</w:t>
      </w:r>
      <w:r>
        <w:rPr>
          <w:rFonts w:ascii="Times New Roman" w:hAnsi="Times New Roman"/>
          <w:color w:val="000000"/>
          <w:sz w:val="20"/>
        </w:rPr>
        <w:t xml:space="preserve"> to the Company's financial statements for the specific assumptions used in applying the Black-Scholes valuation model.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valuation allowance is recorded for deferred tax assets if it is more likely than not that some portion or all of the deferred tax assets will not be realized. As of December 31, 2023 and 2022, the Company has recorded a full valuation allowance on its net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benefits related to uncertain tax positions are recognized when it is more likely than not that a tax position will be sustained during an audit. Interest and penalties, if any, related to unrecognized tax benefits are included within the provision for income tax. </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shares of the Company’s common stock outstanding for the period, without consideration for potential dilutive shares of common stock. Basic shares of common stock outstanding include the weighted-average effect of the Company’s pre-funded warrants issued in November 2022 because the pre-funded warrants have a nominal exercise price. As the Company is in a loss position for the periods presented, diluted net loss per share is the same as basic net loss per share, since the effects of potentially dilutive securities are antidilutive. Shares related to early exercised stock options that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repurchase are excluded from the basic and diluted net loss per share calculation until the Company’s repurchase right lapses. </w:t>
      </w:r>
    </w:p>
    <w:p>
      <w:pPr>
        <w:pStyle w:val="TextBody"/>
        <w:bidi w:val="0"/>
        <w:spacing w:before="240" w:after="283"/>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2016, the Financial Accounting Standards Board (FASB) issued Accounting Standards Update (ASU) No. 2016-13, </w:t>
      </w:r>
      <w:r>
        <w:rPr>
          <w:rFonts w:ascii="Times New Roman" w:hAnsi="Times New Roman"/>
          <w:i/>
          <w:color w:val="000000"/>
          <w:sz w:val="20"/>
        </w:rPr>
        <w:t>Financial Instruments – Credit Losses (Topic 326): Measurement of Credit Losses on Financial Instruments</w:t>
      </w:r>
      <w:r>
        <w:rPr>
          <w:rFonts w:ascii="Times New Roman" w:hAnsi="Times New Roman"/>
          <w:color w:val="000000"/>
          <w:sz w:val="20"/>
        </w:rPr>
        <w:t xml:space="preserve"> (ASU 2016-13), which replaces the existing incurred loss impairment model with an expected credit loss model. This standard requires companies to recognize an allowance for credit losses on available-for-sale debt securities rather than the prior approach of recording a reduction to the carrying value of the asset. ASU 2016-13 became effective for the Company beginning January 1, 2023. The adoption of this standard did not have a material impact on the Company's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Note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 xml:space="preserve">(ASU 2023-09), which requires disaggregated information about a reporting entity’s effective tax rate reconciliation as well as information on income taxes paid. ASU 2023-09 is effective for the Company beginning January 1, 2025. The Company is evaluating the impact of this standard on its financial statements and related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 xml:space="preserve">(ASU 2023-07), which improves reportable segment disclosure requirements, primarily through enhanced disclosures about significant segment expenses. In addition, ASU 2023-07 enhances interim disclosure requirements, clarifies circumstances in which an entity can disclose multiple segment measures of profit or loss, provided new segment disclosure requirements for entities with a single reportable segment, and contains other disclosure requirements. ASU 2023-07 is effective for the Company beginning January 1, 2024. The Company is evaluating the impact of this standard on its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summarize the Company’s financial assets measured at fair value on a recurring basis by level within the fair value hierarchy:</w:t>
      </w:r>
    </w:p>
    <w:tbl>
      <w:tblPr>
        <w:tblW w:w="8607" w:type="dxa"/>
        <w:jc w:val="left"/>
        <w:tblInd w:w="0" w:type="dxa"/>
        <w:tblLayout w:type="fixed"/>
        <w:tblCellMar>
          <w:top w:w="28" w:type="dxa"/>
          <w:left w:w="28" w:type="dxa"/>
          <w:bottom w:w="28" w:type="dxa"/>
          <w:right w:w="28" w:type="dxa"/>
        </w:tblCellMar>
      </w:tblPr>
      <w:tblGrid>
        <w:gridCol w:w="25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607" w:type="dxa"/>
        <w:jc w:val="left"/>
        <w:tblInd w:w="0" w:type="dxa"/>
        <w:tblLayout w:type="fixed"/>
        <w:tblCellMar>
          <w:top w:w="28" w:type="dxa"/>
          <w:left w:w="28" w:type="dxa"/>
          <w:bottom w:w="28" w:type="dxa"/>
          <w:right w:w="28" w:type="dxa"/>
        </w:tblCellMar>
      </w:tblPr>
      <w:tblGrid>
        <w:gridCol w:w="25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203,242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models generally use inputs such as observable market data, quoted market prices for similar instruments, or historical pricing trends of a security relative to its peers.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 is more likely than not that its marketable securities in an unrealized loss position will be held until maturity or the recovery of the cost basis of the investment. As of December 31, 2023,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 As of December 31, 2023, all available-for-sale marketable securities had remaining maturities of less than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240" w:after="283"/>
        <w:jc w:val="left"/>
        <w:rPr>
          <w:rFonts w:ascii="Times New Roman" w:hAnsi="Times New Roman"/>
          <w:sz w:val="20"/>
        </w:rPr>
      </w:pPr>
      <w:r>
        <w:rPr>
          <w:rFonts w:ascii="Times New Roman" w:hAnsi="Times New Roman"/>
          <w:b/>
          <w:color w:val="000000"/>
          <w:sz w:val="20"/>
        </w:rPr>
        <w:t>Note 4.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consists of the following: </w:t>
      </w:r>
    </w:p>
    <w:tbl>
      <w:tblPr>
        <w:tblW w:w="7070" w:type="dxa"/>
        <w:jc w:val="left"/>
        <w:tblInd w:w="0" w:type="dxa"/>
        <w:tblLayout w:type="fixed"/>
        <w:tblCellMar>
          <w:top w:w="28" w:type="dxa"/>
          <w:left w:w="28" w:type="dxa"/>
          <w:bottom w:w="28" w:type="dxa"/>
          <w:right w:w="28" w:type="dxa"/>
        </w:tblCellMar>
      </w:tblPr>
      <w:tblGrid>
        <w:gridCol w:w="4111"/>
        <w:gridCol w:w="146"/>
        <w:gridCol w:w="244"/>
        <w:gridCol w:w="851"/>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20,537</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17,468</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66,708</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for the years ended December 31, 2023 and 2022, was $8.7 million and $6.5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tbl>
      <w:tblPr>
        <w:tblW w:w="6655" w:type="dxa"/>
        <w:jc w:val="left"/>
        <w:tblInd w:w="0" w:type="dxa"/>
        <w:tblLayout w:type="fixed"/>
        <w:tblCellMar>
          <w:top w:w="28" w:type="dxa"/>
          <w:left w:w="28" w:type="dxa"/>
          <w:bottom w:w="28" w:type="dxa"/>
          <w:right w:w="28" w:type="dxa"/>
        </w:tblCellMar>
      </w:tblPr>
      <w:tblGrid>
        <w:gridCol w:w="3736"/>
        <w:gridCol w:w="146"/>
        <w:gridCol w:w="260"/>
        <w:gridCol w:w="835"/>
        <w:gridCol w:w="146"/>
        <w:gridCol w:w="146"/>
        <w:gridCol w:w="260"/>
        <w:gridCol w:w="835"/>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deduction liability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facility management services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6560" w:type="dxa"/>
        <w:jc w:val="left"/>
        <w:tblInd w:w="0" w:type="dxa"/>
        <w:tblLayout w:type="fixed"/>
        <w:tblCellMar>
          <w:top w:w="28" w:type="dxa"/>
          <w:left w:w="28" w:type="dxa"/>
          <w:bottom w:w="28" w:type="dxa"/>
          <w:right w:w="28" w:type="dxa"/>
        </w:tblCellMar>
      </w:tblPr>
      <w:tblGrid>
        <w:gridCol w:w="3551"/>
        <w:gridCol w:w="146"/>
        <w:gridCol w:w="315"/>
        <w:gridCol w:w="825"/>
        <w:gridCol w:w="146"/>
        <w:gridCol w:w="146"/>
        <w:gridCol w:w="315"/>
        <w:gridCol w:w="825"/>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2"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w:t>
            </w:r>
          </w:p>
        </w:tc>
        <w:tc>
          <w:tcPr>
            <w:tcW w:w="291"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 receivable</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29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2016, the Company entered into a lease agreement for office and laboratory space in South San Francisco, California. The lease expires in May 2025 and the Company may renew the lease term for two additional five-year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for the Union City Facility. The lease commenced in May 2021 and has a ten-year term with one five-year renewal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 In October 2023, the Company entered into a second amendment for additional laboratory space and to extend the term of the sublease premise through November 30,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operating lease activity during the year ended December 31, 2023 was as follows (in thousands):</w:t>
      </w:r>
    </w:p>
    <w:tbl>
      <w:tblPr>
        <w:tblW w:w="8217" w:type="dxa"/>
        <w:jc w:val="left"/>
        <w:tblInd w:w="0" w:type="dxa"/>
        <w:tblLayout w:type="fixed"/>
        <w:tblCellMar>
          <w:top w:w="28" w:type="dxa"/>
          <w:left w:w="28" w:type="dxa"/>
          <w:bottom w:w="28" w:type="dxa"/>
          <w:right w:w="28" w:type="dxa"/>
        </w:tblCellMar>
      </w:tblPr>
      <w:tblGrid>
        <w:gridCol w:w="5566"/>
        <w:gridCol w:w="146"/>
        <w:gridCol w:w="243"/>
        <w:gridCol w:w="633"/>
        <w:gridCol w:w="181"/>
        <w:gridCol w:w="181"/>
        <w:gridCol w:w="243"/>
        <w:gridCol w:w="633"/>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3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cost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3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cost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lease cost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w:t>
            </w:r>
          </w:p>
        </w:tc>
        <w:tc>
          <w:tcPr>
            <w:tcW w:w="3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5,347</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4,293</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the Company’s operating leases had a weighted average remaining lease term of 5.1 years and a weighted average discount rate of 9.3%. Future minimum lease payments under the Company’s operating leases as of December 31, 2023 were as follows:</w:t>
      </w:r>
    </w:p>
    <w:tbl>
      <w:tblPr>
        <w:tblW w:w="6113" w:type="dxa"/>
        <w:jc w:val="left"/>
        <w:tblInd w:w="0" w:type="dxa"/>
        <w:tblLayout w:type="fixed"/>
        <w:tblCellMar>
          <w:top w:w="28" w:type="dxa"/>
          <w:left w:w="28" w:type="dxa"/>
          <w:bottom w:w="28" w:type="dxa"/>
          <w:right w:w="28" w:type="dxa"/>
        </w:tblCellMar>
      </w:tblPr>
      <w:tblGrid>
        <w:gridCol w:w="4436"/>
        <w:gridCol w:w="146"/>
        <w:gridCol w:w="271"/>
        <w:gridCol w:w="869"/>
        <w:gridCol w:w="3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2023 and 2022, the Company did not have any material indemnification claims that were probable or reasonably possible and, consequently, has not recorded any related liabilities.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Note 6. Stockholders</w:t>
      </w:r>
      <w:r>
        <w:rPr>
          <w:rFonts w:ascii="Times New Roman" w:hAnsi="Times New Roman"/>
          <w:color w:val="000000"/>
          <w:sz w:val="20"/>
        </w:rPr>
        <w:t xml:space="preserve">’ </w:t>
      </w:r>
      <w:r>
        <w:rPr>
          <w:rFonts w:ascii="Times New Roman" w:hAnsi="Times New Roman"/>
          <w:b/>
          <w:color w:val="000000"/>
          <w:sz w:val="20"/>
        </w:rPr>
        <w:t>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stockholders’ equity includes shares related to early exercised options and restricted stock that are subject to repurchase. Common stock issued and outstanding is reduced for any repurchases of early exercised stock options and restricted stock. </w:t>
      </w:r>
    </w:p>
    <w:p>
      <w:pPr>
        <w:pStyle w:val="TextBody"/>
        <w:bidi w:val="0"/>
        <w:spacing w:before="24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December 31, 2023, the Company may issue and sell up to approximately $71.0 million in additional shares of its common stock under the ATM.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21, 2022, the Company completed an underwritten public offering of 22,613,307 shares of its common stock at a price of $2.60 per share and, to certain investors in lieu of common stock, pre-funded warrants to purchase 6,236,693 shares of its common stock at a price of $2.599 per pre-funded warrant. The pre-funded warrants can be exercised at any time after issuance for an exercise price of $0.001 per share, subject to certain ownership limitations. In addition, the Company granted the underwriters a 30-day option to purchase up to an additional 4,327,500 shares of its common stock to cover overallotments, if any, at $2.60 per share. On November 29, 2022, the underwriters partially exercised the option and purchased an additional 2,816,409 shares of Company’s common stock. As of December 31, 2023, pre-funded warrants for 5,934,176 shares of common stock remained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total shares of common stock reserved for issuance, on an as-if converted basis, are as follows:</w:t>
      </w:r>
    </w:p>
    <w:tbl>
      <w:tblPr>
        <w:tblW w:w="8475" w:type="dxa"/>
        <w:jc w:val="left"/>
        <w:tblInd w:w="0" w:type="dxa"/>
        <w:tblLayout w:type="fixed"/>
        <w:tblCellMar>
          <w:top w:w="28" w:type="dxa"/>
          <w:left w:w="28" w:type="dxa"/>
          <w:bottom w:w="28" w:type="dxa"/>
          <w:right w:w="28" w:type="dxa"/>
        </w:tblCellMar>
      </w:tblPr>
      <w:tblGrid>
        <w:gridCol w:w="6856"/>
        <w:gridCol w:w="146"/>
        <w:gridCol w:w="146"/>
        <w:gridCol w:w="1036"/>
        <w:gridCol w:w="291"/>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9,431,710</w:t>
            </w:r>
          </w:p>
        </w:tc>
        <w:tc>
          <w:tcPr>
            <w:tcW w:w="29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5,934,176</w:t>
            </w:r>
          </w:p>
        </w:tc>
        <w:tc>
          <w:tcPr>
            <w:tcW w:w="29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Equity Incentive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965,665</w:t>
            </w:r>
          </w:p>
        </w:tc>
        <w:tc>
          <w:tcPr>
            <w:tcW w:w="29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17,736,945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7.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Company's 2021 Equity Incentive Plan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shares reserved and available for grant under the 2021 Plan as of December 31, 2023 are 965,665.</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8707"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42"/>
        <w:gridCol w:w="658"/>
        <w:gridCol w:w="146"/>
        <w:gridCol w:w="146"/>
        <w:gridCol w:w="236"/>
        <w:gridCol w:w="755"/>
        <w:gridCol w:w="146"/>
        <w:gridCol w:w="146"/>
        <w:gridCol w:w="307"/>
        <w:gridCol w:w="83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2023 and 2022, was $36.7 thousand and $0.2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grant-date fair value of options granted during the years ended December 31, 2023 and 2022 was $2.62 and $9.80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was $25.0 million of unrecognized stock-based compensation cost related to stock options, which is expected to be recognized over an estimated weighted-average period of 2.5 years.</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Company’s stock option awards is estimated on the date of grant using the Black-Scholes option pricing model using the following assumptions: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 </w:t>
      </w:r>
    </w:p>
    <w:tbl>
      <w:tblPr>
        <w:tblW w:w="4255" w:type="dxa"/>
        <w:jc w:val="left"/>
        <w:tblInd w:w="0" w:type="dxa"/>
        <w:tblLayout w:type="fixed"/>
        <w:tblCellMar>
          <w:top w:w="28" w:type="dxa"/>
          <w:left w:w="28" w:type="dxa"/>
          <w:bottom w:w="28" w:type="dxa"/>
          <w:right w:w="28" w:type="dxa"/>
        </w:tblCellMar>
      </w:tblPr>
      <w:tblGrid>
        <w:gridCol w:w="1846"/>
        <w:gridCol w:w="146"/>
        <w:gridCol w:w="1036"/>
        <w:gridCol w:w="146"/>
        <w:gridCol w:w="108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xml:space="preserve"> – </w:t>
            </w:r>
            <w:r>
              <w:rPr>
                <w:rFonts w:ascii="Times New Roman" w:hAnsi="Times New Roman"/>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xml:space="preserve"> – </w:t>
            </w:r>
            <w:r>
              <w:rPr>
                <w:rFonts w:ascii="Times New Roman" w:hAnsi="Times New Roman"/>
                <w:color w:val="000000"/>
                <w:sz w:val="18"/>
              </w:rPr>
              <w:t>6.1</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 – 95%</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95% – 97%</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 – 4.5%</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 – 4.2%</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18"/>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The Company determines the expected term, which represents the period that stock-based awards are expected to be outstanding, in accordance with the simplified method due to its limited operating history, which is presumed to be the mid-point between the contractual term and the vesting period.</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As there is limited trading history for the Company’s common stock, the Company determines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The Company bases the risk-free interest rate on U.S. Treasury zero coupon issues in effect at the time of grant for periods corresponding with the expected term assumption.</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expected dividend yield is assumed to be zero as the Company has never paid and has no plans to pay any dividends on its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units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8102" w:type="dxa"/>
        <w:jc w:val="left"/>
        <w:tblInd w:w="0" w:type="dxa"/>
        <w:tblLayout w:type="fixed"/>
        <w:tblCellMar>
          <w:top w:w="28" w:type="dxa"/>
          <w:left w:w="28" w:type="dxa"/>
          <w:bottom w:w="28" w:type="dxa"/>
          <w:right w:w="28" w:type="dxa"/>
        </w:tblCellMar>
      </w:tblPr>
      <w:tblGrid>
        <w:gridCol w:w="2626"/>
        <w:gridCol w:w="146"/>
        <w:gridCol w:w="146"/>
        <w:gridCol w:w="826"/>
        <w:gridCol w:w="166"/>
        <w:gridCol w:w="146"/>
        <w:gridCol w:w="309"/>
        <w:gridCol w:w="666"/>
        <w:gridCol w:w="146"/>
        <w:gridCol w:w="146"/>
        <w:gridCol w:w="266"/>
        <w:gridCol w:w="770"/>
        <w:gridCol w:w="146"/>
        <w:gridCol w:w="146"/>
        <w:gridCol w:w="348"/>
        <w:gridCol w:w="912"/>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 </w:t>
              <w:br/>
              <w:t xml:space="preserve">Average </w:t>
              <w:br/>
              <w:t>Grant Date</w:t>
              <w:br/>
              <w:t xml:space="preserve">Fair Value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dollars)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(254,172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was $3.0 million of unrecognized stock-based compensation cost related to RSUs, which is expected to be recognized over an estimated weighted-average period of 2.3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Employee Stock Purchase Plan (ESPP), the Company initially reserved 800,000 shares for future issuance.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December 31, 2023, 1,405,394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years ended December 30, 2023 and 2022, the stock-based compensation expense for ESPP was not material.</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stock-based compensation recognized in the Company’s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729" w:type="dxa"/>
        <w:jc w:val="left"/>
        <w:tblInd w:w="0" w:type="dxa"/>
        <w:tblLayout w:type="fixed"/>
        <w:tblCellMar>
          <w:top w:w="28" w:type="dxa"/>
          <w:left w:w="28" w:type="dxa"/>
          <w:bottom w:w="28" w:type="dxa"/>
          <w:right w:w="28" w:type="dxa"/>
        </w:tblCellMar>
      </w:tblPr>
      <w:tblGrid>
        <w:gridCol w:w="2506"/>
        <w:gridCol w:w="146"/>
        <w:gridCol w:w="196"/>
        <w:gridCol w:w="601"/>
        <w:gridCol w:w="146"/>
        <w:gridCol w:w="146"/>
        <w:gridCol w:w="196"/>
        <w:gridCol w:w="601"/>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4,914</w:t>
            </w:r>
          </w:p>
        </w:tc>
        <w:tc>
          <w:tcPr>
            <w:tcW w:w="1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provision for or benefit from income taxes was recorded during the years ended December 31, 2023 and 2022.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 and liabilities for financial reporting purposes and the amounts used for income tax purposes, as well as operating losses and tax credit carryforwards. </w:t>
      </w:r>
    </w:p>
    <w:p>
      <w:pPr>
        <w:pStyle w:val="TextBody"/>
        <w:bidi w:val="0"/>
        <w:spacing w:before="240" w:after="283"/>
        <w:jc w:val="left"/>
        <w:rPr>
          <w:rFonts w:ascii="Times New Roman" w:hAnsi="Times New Roman"/>
          <w:sz w:val="20"/>
        </w:rPr>
      </w:pPr>
      <w:r>
        <w:rPr>
          <w:rFonts w:ascii="Times New Roman" w:hAnsi="Times New Roman"/>
          <w:b/>
          <w:i/>
          <w:color w:val="000000"/>
          <w:sz w:val="20"/>
        </w:rPr>
        <w:t>Effective Tax Rate Reconciliation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effective tax rate of the Company’s provision for income taxes differs from the federal statutory rate and the effective tax rate reconciliation is as follows: </w:t>
      </w:r>
    </w:p>
    <w:tbl>
      <w:tblPr>
        <w:tblW w:w="4609" w:type="dxa"/>
        <w:jc w:val="left"/>
        <w:tblInd w:w="0" w:type="dxa"/>
        <w:tblLayout w:type="fixed"/>
        <w:tblCellMar>
          <w:top w:w="28" w:type="dxa"/>
          <w:left w:w="28" w:type="dxa"/>
          <w:bottom w:w="28" w:type="dxa"/>
          <w:right w:w="28" w:type="dxa"/>
        </w:tblCellMar>
      </w:tblPr>
      <w:tblGrid>
        <w:gridCol w:w="2506"/>
        <w:gridCol w:w="146"/>
        <w:gridCol w:w="146"/>
        <w:gridCol w:w="481"/>
        <w:gridCol w:w="256"/>
        <w:gridCol w:w="146"/>
        <w:gridCol w:w="146"/>
        <w:gridCol w:w="481"/>
        <w:gridCol w:w="30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federal taxes at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taxes (net of federal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Credits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18"/>
              </w:rPr>
              <w:t>%</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2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18"/>
              </w:rPr>
              <w:t>%</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reconciliation of the beginning and ending amount of unrecognized tax benefits is as follows: </w:t>
      </w:r>
    </w:p>
    <w:tbl>
      <w:tblPr>
        <w:tblW w:w="6084" w:type="dxa"/>
        <w:jc w:val="left"/>
        <w:tblInd w:w="0" w:type="dxa"/>
        <w:tblLayout w:type="fixed"/>
        <w:tblCellMar>
          <w:top w:w="28" w:type="dxa"/>
          <w:left w:w="28" w:type="dxa"/>
          <w:bottom w:w="28" w:type="dxa"/>
          <w:right w:w="28" w:type="dxa"/>
        </w:tblCellMar>
      </w:tblPr>
      <w:tblGrid>
        <w:gridCol w:w="4021"/>
        <w:gridCol w:w="146"/>
        <w:gridCol w:w="196"/>
        <w:gridCol w:w="511"/>
        <w:gridCol w:w="166"/>
        <w:gridCol w:w="146"/>
        <w:gridCol w:w="196"/>
        <w:gridCol w:w="51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 based on tax positions related to current year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 based on tax positions related to prior years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Reductions for tax positions related to prior years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year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tax returns in U.S. federal and state jurisdictions with varying statutes of limitations. Due to net operating loss and credit carryforwards, all of the tax years since inception through the 2023 tax year remain subject to examination by the U.S. federal and state authorities. The Company is currently not subject to any income tax audits by federal or state taxing authorities.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Deferred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20"/>
        </w:rPr>
        <w:t>The tax effects of significant items comprising the Company’s deferred income taxes are as follows</w:t>
      </w:r>
      <w:r>
        <w:rPr>
          <w:rFonts w:ascii="Times New Roman" w:hAnsi="Times New Roman"/>
          <w:b/>
          <w:caps/>
          <w:color w:val="000000"/>
          <w:sz w:val="20"/>
        </w:rPr>
        <w:t>:</w:t>
      </w:r>
      <w:r>
        <w:rPr>
          <w:rFonts w:ascii="Times New Roman" w:hAnsi="Times New Roman"/>
          <w:color w:val="000000"/>
          <w:sz w:val="20"/>
        </w:rPr>
        <w:t xml:space="preserve"> </w:t>
      </w:r>
    </w:p>
    <w:tbl>
      <w:tblPr>
        <w:tblW w:w="6319" w:type="dxa"/>
        <w:jc w:val="left"/>
        <w:tblInd w:w="0" w:type="dxa"/>
        <w:tblLayout w:type="fixed"/>
        <w:tblCellMar>
          <w:top w:w="28" w:type="dxa"/>
          <w:left w:w="28" w:type="dxa"/>
          <w:bottom w:w="28" w:type="dxa"/>
          <w:right w:w="28" w:type="dxa"/>
        </w:tblCellMar>
      </w:tblPr>
      <w:tblGrid>
        <w:gridCol w:w="3746"/>
        <w:gridCol w:w="146"/>
        <w:gridCol w:w="196"/>
        <w:gridCol w:w="751"/>
        <w:gridCol w:w="166"/>
        <w:gridCol w:w="146"/>
        <w:gridCol w:w="196"/>
        <w:gridCol w:w="661"/>
        <w:gridCol w:w="311"/>
      </w:tblGrid>
      <w:tr>
        <w:trPr/>
        <w:tc>
          <w:tcPr>
            <w:tcW w:w="3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3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operating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Capitalized research and development expenditure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Accrued expenses and 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73,823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(71,129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 of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37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Right-of-use asset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7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January 1, 2022, the Tax Cuts and Jobs Act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$30.2 million and $29.8 million during the years ended December 31, 2023 and 2022. The increase in valuation allowance during the year ended December 31, 2023, was primarily due to the increase in deferred tax assets from 2023 federal net operating losses and the IRC Section 174 capitalized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Operating Loss and Tax Credit Carryforwards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2023, the Company’s net operating loss and tax carryforwards are summarized as follows: </w:t>
      </w:r>
    </w:p>
    <w:tbl>
      <w:tblPr>
        <w:tblW w:w="7117" w:type="dxa"/>
        <w:jc w:val="left"/>
        <w:tblInd w:w="0" w:type="dxa"/>
        <w:tblLayout w:type="fixed"/>
        <w:tblCellMar>
          <w:top w:w="28" w:type="dxa"/>
          <w:left w:w="28" w:type="dxa"/>
          <w:bottom w:w="28" w:type="dxa"/>
          <w:right w:w="28" w:type="dxa"/>
        </w:tblCellMar>
      </w:tblPr>
      <w:tblGrid>
        <w:gridCol w:w="4051"/>
        <w:gridCol w:w="146"/>
        <w:gridCol w:w="196"/>
        <w:gridCol w:w="691"/>
        <w:gridCol w:w="146"/>
        <w:gridCol w:w="146"/>
        <w:gridCol w:w="174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 in years</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losses, federal (post-December 31, 2017)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 Not Expire</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losses, federal (pre-January 1, 2018)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Begins to Expire 2036</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losses, state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Begins to Expire 2036</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 federal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Begins to Expire 2036</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 state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 Not Expire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2023, the Company concluded that there were no ownership changes during 2023. The Company’s ability to use its remaining net operating loss carryforwards may be further limited if the Company experiences a Section 382 ownership change as a result of future changes in its stock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interest and penalties related to taxes and uncertain tax positions as a component of income tax expense. During the years ended December 31, 2023 and 2022, no interest and penalties were accrued by the Company.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9.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potentially dilutive securities were excluded from the calculation of diluted net loss per share for the periods presented because the effect would have been anti-dilutive:</w:t>
      </w:r>
    </w:p>
    <w:tbl>
      <w:tblPr>
        <w:tblW w:w="7119" w:type="dxa"/>
        <w:jc w:val="left"/>
        <w:tblInd w:w="0" w:type="dxa"/>
        <w:tblLayout w:type="fixed"/>
        <w:tblCellMar>
          <w:top w:w="28" w:type="dxa"/>
          <w:left w:w="28" w:type="dxa"/>
          <w:bottom w:w="28" w:type="dxa"/>
          <w:right w:w="28" w:type="dxa"/>
        </w:tblCellMar>
      </w:tblPr>
      <w:tblGrid>
        <w:gridCol w:w="4336"/>
        <w:gridCol w:w="146"/>
        <w:gridCol w:w="146"/>
        <w:gridCol w:w="931"/>
        <w:gridCol w:w="146"/>
        <w:gridCol w:w="146"/>
        <w:gridCol w:w="146"/>
        <w:gridCol w:w="93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5,669,374</w:t>
            </w:r>
          </w:p>
        </w:tc>
        <w:tc>
          <w:tcPr>
            <w:tcW w:w="1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5,670,227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10.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2024, the Company completed an underwritten offering of 8,888,890 shares of its common stock at a price of $4.50 per share and, to an investor in lieu of common stock, pre-funded warrants to purchase 2,222,271 shares of its common stock at a price of $4.499 per each pre-funded warrant. The pre-funded warrants can be exercised at any time after issuance for an exercise price of $0.001 per share, subject to certain ownership limitations. The Company received net proceeds of approximately $46.5 million, after deducting underwriting discounts and commissions of approximately $3.0 million and offering expenses of approximately $0.5 million.</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3" w:name="changes_disagreements_account_financial_"/>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4" w:name="control_and_procedure_"/>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December 31, 2023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5" w:name="other_information_"/>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 director or officer, as defined in Rule 16a-1(f), adopted or terminated a “Rule 10b5-1 trading arrangement” or a “non-Rule 10b5-1 trading arrangement,” each as defined in Regulation S-K Item 408.</w:t>
      </w:r>
    </w:p>
    <w:p>
      <w:pPr>
        <w:pStyle w:val="TextBody"/>
        <w:bidi w:val="0"/>
        <w:spacing w:before="240" w:after="283"/>
        <w:jc w:val="left"/>
        <w:rPr>
          <w:rFonts w:ascii="Times New Roman" w:hAnsi="Times New Roman"/>
          <w:sz w:val="20"/>
        </w:rPr>
      </w:pPr>
      <w:bookmarkStart w:id="26" w:name="item_9c_disclosure_regarding_"/>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_"/>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8" w:name="directors_executive_officers_"/>
      <w:bookmarkEnd w:id="28"/>
      <w:r>
        <w:rPr>
          <w:rFonts w:ascii="Times New Roman" w:hAnsi="Times New Roman"/>
          <w:b/>
          <w:color w:val="000000"/>
          <w:sz w:val="20"/>
        </w:rPr>
        <w:t>Item 10. Directors, Executive Officers</w:t>
      </w:r>
      <w:r>
        <w:rPr>
          <w:rFonts w:ascii="Times New Roman" w:hAnsi="Times New Roman"/>
          <w:color w:val="000000"/>
          <w:sz w:val="20"/>
        </w:rPr>
        <w:t xml:space="preserve"> </w:t>
      </w:r>
      <w:r>
        <w:rPr>
          <w:rFonts w:ascii="Times New Roman" w:hAnsi="Times New Roman"/>
          <w:b/>
          <w:color w:val="000000"/>
          <w:sz w:val="20"/>
        </w:rPr>
        <w:t>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 on Schedule 14A within 120 days of December 31, 2023, and is incorporated herein by reference.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pStyle w:val="TextBody"/>
        <w:bidi w:val="0"/>
        <w:spacing w:before="240" w:after="283"/>
        <w:jc w:val="left"/>
        <w:rPr>
          <w:rFonts w:ascii="Times New Roman" w:hAnsi="Times New Roman"/>
          <w:sz w:val="20"/>
        </w:rPr>
      </w:pPr>
      <w:bookmarkStart w:id="29" w:name="executive_compensation_"/>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 on Schedule 14A within 120 days of December 31, 2023, and is incorporated herein by reference.</w:t>
      </w:r>
    </w:p>
    <w:p>
      <w:pPr>
        <w:pStyle w:val="TextBody"/>
        <w:bidi w:val="0"/>
        <w:spacing w:before="240" w:after="283"/>
        <w:jc w:val="left"/>
        <w:rPr>
          <w:rFonts w:ascii="Times New Roman" w:hAnsi="Times New Roman"/>
          <w:sz w:val="20"/>
        </w:rPr>
      </w:pPr>
      <w:bookmarkStart w:id="30" w:name="security_owner_certain_beneficial_owner_"/>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 on Schedule 14A within 120 days of December 31, 2023, and is incorporated herein by reference.</w:t>
      </w:r>
    </w:p>
    <w:p>
      <w:pPr>
        <w:pStyle w:val="TextBody"/>
        <w:bidi w:val="0"/>
        <w:spacing w:before="240" w:after="283"/>
        <w:jc w:val="left"/>
        <w:rPr>
          <w:rFonts w:ascii="Times New Roman" w:hAnsi="Times New Roman"/>
          <w:sz w:val="20"/>
        </w:rPr>
      </w:pPr>
      <w:bookmarkStart w:id="31" w:name="certain_relationship_related_trans_"/>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 on Schedule 14A within 120 days of December 31, 2023, and is incorporated herein by reference.</w:t>
      </w:r>
    </w:p>
    <w:p>
      <w:pPr>
        <w:pStyle w:val="TextBody"/>
        <w:bidi w:val="0"/>
        <w:spacing w:before="240" w:after="283"/>
        <w:jc w:val="left"/>
        <w:rPr>
          <w:rFonts w:ascii="Times New Roman" w:hAnsi="Times New Roman"/>
          <w:sz w:val="20"/>
        </w:rPr>
      </w:pPr>
      <w:bookmarkStart w:id="32" w:name="principal_accounting_fees_"/>
      <w:bookmarkEnd w:id="32"/>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 on Schedule 14A within 120 days of December 31, 2023,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bookmarkStart w:id="33" w:name="part_iv_"/>
      <w:bookmarkEnd w:id="33"/>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4" w:name="exhibits_financial_statement_schedule_"/>
      <w:bookmarkEnd w:id="34"/>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are filed as a part of the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The financial statements filed as part of this Annual Report are included in Part II, Item 8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in the accompanying index to exhibits are filed or incorporated by reference as part of this Annual Report.</w:t>
      </w:r>
    </w:p>
    <w:p>
      <w:pPr>
        <w:pStyle w:val="TextBody"/>
        <w:bidi w:val="0"/>
        <w:spacing w:before="240" w:after="283"/>
        <w:jc w:val="left"/>
        <w:rPr>
          <w:rFonts w:ascii="Times New Roman" w:hAnsi="Times New Roman"/>
          <w:b/>
          <w:color w:val="000000"/>
          <w:sz w:val="20"/>
        </w:rPr>
      </w:pPr>
      <w:bookmarkStart w:id="35" w:name="form_summary_"/>
      <w:bookmarkEnd w:id="35"/>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146"/>
        <w:gridCol w:w="6034"/>
        <w:gridCol w:w="146"/>
        <w:gridCol w:w="529"/>
        <w:gridCol w:w="146"/>
        <w:gridCol w:w="851"/>
        <w:gridCol w:w="146"/>
        <w:gridCol w:w="631"/>
        <w:gridCol w:w="146"/>
        <w:gridCol w:w="706"/>
      </w:tblGrid>
      <w:tr>
        <w:trPr/>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72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Composite Amended and Restated Certificate of Incorporation of the Tenaya Therapeutics,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8-9-2023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Tenaya Therapeutics, Inc.</w:t>
              </w:r>
            </w:hyperlink>
            <w:hyperlink r:id="rId5">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3-21-2023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common stock certificate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Investors’ Rights Agreement by and among the Registrant and certain of its stockholders, dated December 17,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Securities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3-23-2022</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2021 Equity Incentive Plan and forms of agreements thereunder.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3-23-2022</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2021 Employee Stock Purchase Plan and forms of agreements thereunder.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Employment Letter between the Registrant and Faraz Ali, M.B.A.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Employment Letter between the Registrant and Timothy Hoey, Ph.D</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Employment Letter between the Registrant and Leone D. Patterson, M.B.A.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10.7</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Employment Letter between the Registrant and Whittemore (Whit) Tingley, M.D., Ph.D.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Executive Change in Control and Severance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6-12-2023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10.9</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Executive Incentive Compensation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10.10</w:t>
            </w:r>
            <w:r>
              <w:rPr>
                <w:rFonts w:ascii="Times New Roman" w:hAnsi="Times New Roman"/>
                <w:color w:val="000000"/>
                <w:sz w:val="13"/>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10.htm">
              <w:r>
                <w:rPr>
                  <w:rStyle w:val="InternetLink"/>
                  <w:rFonts w:ascii="Times New Roman" w:hAnsi="Times New Roman"/>
                  <w:color w:val="0000FF"/>
                  <w:sz w:val="20"/>
                  <w:u w:val="single"/>
                </w:rPr>
                <w:t>Outside Director Compensation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10.11</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2016 Equity Incentive Plan and forms of agreement thereunder.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Lease between HCP Oyster Point III LLC and the Registrant dated as of September 6, 2016.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Lease between Terreno Park Union City LLC and the Registrant dated as of February 12,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7-26-2021</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23_1.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to this Annual Report on Form 10-K).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97.htm">
              <w:r>
                <w:rPr>
                  <w:rStyle w:val="InternetLink"/>
                  <w:rFonts w:ascii="Times New Roman" w:hAnsi="Times New Roman"/>
                  <w:color w:val="0000FF"/>
                  <w:sz w:val="20"/>
                  <w:u w:val="single"/>
                </w:rPr>
                <w:t>Compensation Recovery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5"/>
        <w:gridCol w:w="146"/>
        <w:gridCol w:w="8090"/>
        <w:gridCol w:w="146"/>
        <w:gridCol w:w="146"/>
        <w:gridCol w:w="146"/>
        <w:gridCol w:w="146"/>
        <w:gridCol w:w="146"/>
        <w:gridCol w:w="146"/>
        <w:gridCol w:w="146"/>
        <w:gridCol w:w="192"/>
      </w:tblGrid>
      <w:tr>
        <w:trPr/>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 </w:t>
      </w:r>
      <w:r>
        <w:rPr>
          <w:rFonts w:ascii="Times New Roman" w:hAnsi="Times New Roman"/>
          <w:color w:val="000000"/>
          <w:sz w:val="20"/>
        </w:rPr>
        <w:t>Filed herewith</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Management contract, compensatory plan or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The certifications attached as Exhibit 32.1 that accompany this Annual Report on Form 10-K are not deemed filed with the Securities and Exchange Commission and are not to be incorporated by reference into any filing of the Registrant under the Securities Act or the Exchange Act, whether made before or after the date of this Annual Report on Form 10-K, irrespective of any general incorporation language contained in such filing.</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120"/>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tbl>
      <w:tblPr>
        <w:tblW w:w="4865" w:type="dxa"/>
        <w:jc w:val="left"/>
        <w:tblInd w:w="0" w:type="dxa"/>
        <w:tblLayout w:type="fixed"/>
        <w:tblCellMar>
          <w:top w:w="28" w:type="dxa"/>
          <w:left w:w="28" w:type="dxa"/>
          <w:bottom w:w="28" w:type="dxa"/>
          <w:right w:w="28" w:type="dxa"/>
        </w:tblCellMar>
      </w:tblPr>
      <w:tblGrid>
        <w:gridCol w:w="1891"/>
        <w:gridCol w:w="109"/>
        <w:gridCol w:w="458"/>
        <w:gridCol w:w="2407"/>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TENAYA 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Faraz Ali, M.B.A.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Faraz Ali and Leone Patterson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8924" w:type="dxa"/>
        <w:jc w:val="left"/>
        <w:tblInd w:w="0" w:type="dxa"/>
        <w:tblLayout w:type="fixed"/>
        <w:tblCellMar>
          <w:top w:w="28" w:type="dxa"/>
          <w:left w:w="28" w:type="dxa"/>
          <w:bottom w:w="28" w:type="dxa"/>
          <w:right w:w="28" w:type="dxa"/>
        </w:tblCellMar>
      </w:tblPr>
      <w:tblGrid>
        <w:gridCol w:w="3166"/>
        <w:gridCol w:w="146"/>
        <w:gridCol w:w="3871"/>
        <w:gridCol w:w="146"/>
        <w:gridCol w:w="1441"/>
        <w:gridCol w:w="154"/>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18,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Faraz Ali,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Leone D. Patterson, M.B.A.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Financial and Accounting Officer)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18,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Leone D. Patterson,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Amy L. Burroughs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Amy L. Burroughs,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Jin-Long Chen,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18,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Jin-Long Chen, Ph.D.</w:t>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V. Goeddel,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David V. Goeddel, Ph.D.</w:t>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June Lee,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18,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Lee,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Karah Parschauer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Karah Parschauer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Deepak Srivastava,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Deepak Srivastava,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Catherine Stehman-Breen, M.D.</w:t>
              <w:br/>
              <w:t>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Catherine Stehman-Breen,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Jeffrey T. Walsh, M.B.A.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Jeffrey T. Walsh,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Sanders (Sandy) Williams,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18, 2024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 Sanders (Sandy) Williams,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both"/>
        <w:rPr/>
      </w:pPr>
      <w:bookmarkStart w:id="37" w:name="tnya-ex10_10.htm"/>
      <w:bookmarkStart w:id="38" w:name="kstnyaex10_10"/>
      <w:bookmarkEnd w:id="37"/>
      <w:bookmarkEnd w:id="38"/>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10.10</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(as most recently amended December 7, 2023)</w:t>
      </w:r>
    </w:p>
    <w:p>
      <w:pPr>
        <w:pStyle w:val="TextBody"/>
        <w:bidi w:val="0"/>
        <w:spacing w:before="480" w:after="283"/>
        <w:jc w:val="both"/>
        <w:rPr>
          <w:rFonts w:ascii="Times New Roman" w:hAnsi="Times New Roman"/>
          <w:sz w:val="20"/>
        </w:rPr>
      </w:pPr>
      <w:r>
        <w:rPr>
          <w:rFonts w:ascii="Times New Roman" w:hAnsi="Times New Roman"/>
          <w:color w:val="000000"/>
          <w:sz w:val="24"/>
        </w:rPr>
        <w:t>Tenaya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Effective Date; Restatement Date</w:t>
      </w:r>
      <w:r>
        <w:rPr>
          <w:rFonts w:ascii="Times New Roman" w:hAnsi="Times New Roman"/>
          <w:color w:val="000000"/>
          <w:sz w:val="24"/>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 w:hAnsi="Times New Roman"/>
          <w:color w:val="000000"/>
          <w:sz w:val="24"/>
          <w:u w:val="single"/>
        </w:rPr>
        <w:t>Effective Date</w:t>
      </w:r>
      <w:r>
        <w:rPr>
          <w:color w:val="000000"/>
        </w:rPr>
        <w:t>”</w:t>
      </w:r>
      <w:r>
        <w:rPr>
          <w:rFonts w:ascii="Times New Roman" w:hAnsi="Times New Roman"/>
          <w:color w:val="000000"/>
          <w:sz w:val="24"/>
        </w:rPr>
        <w:t>), was amended and restated on December 5, 2022 (the “Restatement Date”) and was further amended on September 14, 2023 and December 7, 2023.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Cash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Board Member Annual Cash Retainer</w:t>
      </w:r>
      <w:r>
        <w:rPr>
          <w:rFonts w:ascii="Times New Roman" w:hAnsi="Times New Roman"/>
          <w:color w:val="000000"/>
          <w:sz w:val="24"/>
        </w:rPr>
        <w:t>. Effective January 1, 2024, each Outside Director will be paid an annual cash retainer of $40,000.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40"/>
        <w:jc w:val="both"/>
        <w:rPr/>
      </w:pPr>
      <w:r>
        <w:rPr>
          <w:rFonts w:ascii="Times New Roman" w:hAnsi="Times New Roman"/>
          <w:color w:val="000000"/>
          <w:sz w:val="24"/>
          <w:u w:val="single"/>
        </w:rPr>
        <w:t>Additional Annual Cash Retainers</w:t>
      </w:r>
      <w:r>
        <w:rPr>
          <w:rFonts w:ascii="Times New Roman" w:hAnsi="Times New Roman"/>
          <w:color w:val="000000"/>
          <w:sz w:val="24"/>
        </w:rPr>
        <w:t xml:space="preserve">. As of the Effective Date, each Outside Director who serves as the Chair of the Board, or the chair or a member of a committee of the Board, will be eligible to earn additional annual fees as follows: </w:t>
      </w:r>
    </w:p>
    <w:tbl>
      <w:tblPr>
        <w:tblW w:w="4487" w:type="dxa"/>
        <w:jc w:val="left"/>
        <w:tblInd w:w="0" w:type="dxa"/>
        <w:tblLayout w:type="fixed"/>
        <w:tblCellMar>
          <w:top w:w="28" w:type="dxa"/>
          <w:left w:w="28" w:type="dxa"/>
          <w:bottom w:w="28" w:type="dxa"/>
          <w:right w:w="28" w:type="dxa"/>
        </w:tblCellMar>
      </w:tblPr>
      <w:tblGrid>
        <w:gridCol w:w="3556"/>
        <w:gridCol w:w="931"/>
      </w:tblGrid>
      <w:tr>
        <w:trPr/>
        <w:tc>
          <w:tcPr>
            <w:tcW w:w="35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5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Non-Executive Chair of the Board:</w:t>
            </w:r>
          </w:p>
        </w:tc>
        <w:tc>
          <w:tcPr>
            <w:tcW w:w="9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$30,000</w:t>
            </w:r>
          </w:p>
        </w:tc>
      </w:tr>
      <w:tr>
        <w:trPr/>
        <w:tc>
          <w:tcPr>
            <w:tcW w:w="3556"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Lead Independent Director:</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$20,000</w:t>
            </w:r>
          </w:p>
        </w:tc>
      </w:tr>
      <w:tr>
        <w:trPr/>
        <w:tc>
          <w:tcPr>
            <w:tcW w:w="3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Audit Committee Chair: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$15,000</w:t>
            </w:r>
          </w:p>
        </w:tc>
      </w:tr>
      <w:tr>
        <w:trPr/>
        <w:tc>
          <w:tcPr>
            <w:tcW w:w="3556"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Audit Committee Member: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$7,500</w:t>
            </w:r>
          </w:p>
        </w:tc>
      </w:tr>
      <w:tr>
        <w:trPr/>
        <w:tc>
          <w:tcPr>
            <w:tcW w:w="3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Chair: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3556"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Member: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Chair: </w:t>
            </w:r>
          </w:p>
        </w:tc>
        <w:tc>
          <w:tcPr>
            <w:tcW w:w="9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$8,000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Member: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$4,000</w:t>
            </w:r>
          </w:p>
        </w:tc>
      </w:tr>
      <w:tr>
        <w:trPr/>
        <w:tc>
          <w:tcPr>
            <w:tcW w:w="5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Science and Technology Committee Chair: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Science and Technology Committee Member:</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(a “</w:t>
      </w:r>
      <w:r>
        <w:rPr>
          <w:rFonts w:ascii="Times New Roman" w:hAnsi="Times New Roman"/>
          <w:color w:val="000000"/>
          <w:sz w:val="24"/>
          <w:u w:val="single"/>
        </w:rPr>
        <w:t>Annual Cash Retainer</w:t>
      </w:r>
      <w:r>
        <w:rPr>
          <w:color w:val="000000"/>
        </w:rPr>
        <w:t>”</w:t>
      </w:r>
      <w:r>
        <w:rPr>
          <w:rFonts w:ascii="Times New Roman" w:hAnsi="Times New Roman"/>
          <w:color w:val="000000"/>
          <w:sz w:val="24"/>
        </w:rPr>
        <w:t>)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hAnsi="Times New Roman"/>
          <w:color w:val="000000"/>
          <w:sz w:val="24"/>
          <w:u w:val="single"/>
        </w:rPr>
        <w:t>Initial Period</w:t>
      </w:r>
      <w:r>
        <w:rPr>
          <w:color w:val="000000"/>
        </w:rPr>
        <w:t>”</w:t>
      </w:r>
      <w:r>
        <w:rPr>
          <w:rFonts w:ascii="Times New Roman" w:hAnsi="Times New Roman"/>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Annual Awards (as defined below) under this Policy or to determine the number of Shares to be covered by such Awards (except as provided in Sections 3.4.4 and 10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on or following the Restatement Date automatically will be granted an Option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Shares with a grant date fair value as determined in accordance with U.S. generally accepted accounting principles (the “</w:t>
      </w:r>
      <w:r>
        <w:rPr>
          <w:rFonts w:ascii="Times New Roman" w:hAnsi="Times New Roman"/>
          <w:color w:val="000000"/>
          <w:sz w:val="24"/>
          <w:u w:val="single"/>
        </w:rPr>
        <w:t>Grant Value</w:t>
      </w:r>
      <w:r>
        <w:rPr>
          <w:color w:val="000000"/>
        </w:rPr>
        <w:t>”</w:t>
      </w:r>
      <w:r>
        <w:rPr>
          <w:rFonts w:ascii="Times New Roman" w:hAnsi="Times New Roman"/>
          <w:color w:val="000000"/>
          <w:sz w:val="24"/>
        </w:rPr>
        <w:t>) equal to $320,000 (with any resulting fractional Share rounded down to the nearest whole Share), provided that, notwithstanding the foregoing, no more than 68,000 Shares may be subject to an Initial Award.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xml:space="preserve">), whether through election by the stockholders of the Company or appointment by the Board to fill a vacancy. If an individual was an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Employee-Director, becoming an Outside Director due to termination of the individual’s status as an Employee will not entitle the Outside Director to an Initial Award. Each Initial Award will be scheduled to vest as to one thirty</w:t>
        <w:noBreakHyphen/>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 xml:space="preserve">” </w:t>
      </w:r>
      <w:r>
        <w:rPr>
          <w:rFonts w:ascii="Times New Roman" w:hAnsi="Times New Roman"/>
          <w:color w:val="000000"/>
          <w:sz w:val="24"/>
        </w:rPr>
        <w:t>and such first Trading Day immediately following the Annual Meeting, the “</w:t>
      </w:r>
      <w:r>
        <w:rPr>
          <w:rFonts w:ascii="Times New Roman" w:hAnsi="Times New Roman"/>
          <w:color w:val="000000"/>
          <w:sz w:val="24"/>
          <w:u w:val="single"/>
        </w:rPr>
        <w:t>Annual Award Date</w:t>
      </w:r>
      <w:r>
        <w:rPr>
          <w:color w:val="000000"/>
        </w:rPr>
        <w:t>”</w:t>
      </w:r>
      <w:r>
        <w:rPr>
          <w:rFonts w:ascii="Times New Roman" w:hAnsi="Times New Roman"/>
          <w:color w:val="000000"/>
          <w:sz w:val="24"/>
        </w:rPr>
        <w:t>) that occurs on or after the Restatement Date, (i) each Outside Director who, as of the date of such Annual Meeting (the “</w:t>
      </w:r>
      <w:r>
        <w:rPr>
          <w:rFonts w:ascii="Times New Roman" w:hAnsi="Times New Roman"/>
          <w:color w:val="000000"/>
          <w:sz w:val="24"/>
          <w:u w:val="single"/>
        </w:rPr>
        <w:t>Current Meeting</w:t>
      </w:r>
      <w:r>
        <w:rPr>
          <w:color w:val="000000"/>
        </w:rPr>
        <w:t>”</w:t>
      </w:r>
      <w:r>
        <w:rPr>
          <w:rFonts w:ascii="Times New Roman" w:hAnsi="Times New Roman"/>
          <w:color w:val="000000"/>
          <w:sz w:val="24"/>
        </w:rPr>
        <w:t>) has been in continuous service as an Outside Director since the date of the most recently preceding Annual Meeting (the “</w:t>
      </w:r>
      <w:r>
        <w:rPr>
          <w:rFonts w:ascii="Times New Roman" w:hAnsi="Times New Roman"/>
          <w:color w:val="000000"/>
          <w:sz w:val="24"/>
          <w:u w:val="single"/>
        </w:rPr>
        <w:t>Prior Meeting</w:t>
      </w:r>
      <w:r>
        <w:rPr>
          <w:color w:val="000000"/>
        </w:rPr>
        <w:t>”</w:t>
      </w:r>
      <w:r>
        <w:rPr>
          <w:rFonts w:ascii="Times New Roman" w:hAnsi="Times New Roman"/>
          <w:color w:val="000000"/>
          <w:sz w:val="24"/>
        </w:rPr>
        <w:t>), automatically will be granted an Option (the “</w:t>
      </w:r>
      <w:r>
        <w:rPr>
          <w:rFonts w:ascii="Times New Roman" w:hAnsi="Times New Roman"/>
          <w:color w:val="000000"/>
          <w:sz w:val="24"/>
          <w:u w:val="single"/>
        </w:rPr>
        <w:t>Annual Award</w:t>
      </w:r>
      <w:r>
        <w:rPr>
          <w:color w:val="000000"/>
        </w:rPr>
        <w:t>”</w:t>
      </w:r>
      <w:r>
        <w:rPr>
          <w:rFonts w:ascii="Times New Roman" w:hAnsi="Times New Roman"/>
          <w:color w:val="000000"/>
          <w:sz w:val="24"/>
        </w:rPr>
        <w:t>) to purchase Shares with a Grant Value equal to $160,000 (with any resulting fractional Share rounded down to the nearest whole Share), and (ii) 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 (y) the denominator of which is 12 (with any resulting fractional Share rounded down to the nearest whole Share). Notwithstanding the foregoing, no more than 34,000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The terms and conditions of each Initial Award and Annual Award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term of each Initial Award and Annual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per Share exercise price of each Initial Award and Annual Award will be equal to one hundred percent (100%) of the Fair Market Value per Share on such Award’s grant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Initial Award and Annual Award will be granted under and subject to the terms and conditions of the Plan and the applicable form of Award Agreement previously approved by the Board or its Committee, as applicable, for use thereunder.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Board or its Committee, as applicable and in its discretion, may change and otherwise revise the terms of Initial Awards and Annual Awards granted pursuant to this Policy, including without limitation the number of Shares subject thereto and type of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initial adoption of this Policy was approved by the Company’s stockholders prior to the Effective Date. Unless otherwise required by applicable law, following such approval, this Policy will not be subject to approval by the Company’s stockholders,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color w:val="000000"/>
          <w:sz w:val="24"/>
          <w:u w:val="single"/>
        </w:rPr>
        <w:t>Committee</w:t>
      </w:r>
      <w:r>
        <w:rPr>
          <w:color w:val="00000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tnya-ex23_1.htm"/>
      <w:bookmarkStart w:id="40" w:name="kstnyaex23_1"/>
      <w:bookmarkEnd w:id="39"/>
      <w:bookmarkEnd w:id="40"/>
      <w:r>
        <w:rPr/>
        <w:t> </w:t>
      </w:r>
      <w:r>
        <w:br w:type="page"/>
      </w:r>
    </w:p>
    <w:p>
      <w:pPr>
        <w:pStyle w:val="TextBody"/>
        <w:bidi w:val="0"/>
        <w:spacing w:before="0" w:after="160"/>
        <w:jc w:val="right"/>
        <w:rPr>
          <w:rFonts w:ascii="Times New Roman" w:hAnsi="Times New Roman"/>
          <w:b/>
          <w:color w:val="000000"/>
          <w:sz w:val="22"/>
        </w:rPr>
      </w:pPr>
      <w:r>
        <w:rPr>
          <w:rFonts w:ascii="Times New Roman" w:hAnsi="Times New Roman"/>
          <w:b/>
          <w:color w:val="000000"/>
          <w:sz w:val="22"/>
        </w:rPr>
        <w:t>EXHIBIT 23.1</w:t>
      </w:r>
    </w:p>
    <w:p>
      <w:pPr>
        <w:pStyle w:val="TextBody"/>
        <w:bidi w:val="0"/>
        <w:spacing w:before="0" w:after="16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We consent to the incorporation by reference in Registration Statement No. 333-266741 on Form S-3 and No. 333-258337, No. 333-263802, No. 333-270364, and No. 333-276783 on Form S-8 of our report dated March 18, 2024, relating to the financial statements of Tenaya Therapeutics, Inc. appearing in this Annual Report on Form 10-K for the year ended December 31, 2023.</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br/>
        <w:t>/s/ Deloitte &amp; Touche LLP</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San Francisco, California</w:t>
        <w:br/>
        <w:t>March 18,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tnya-ex31_1.htm"/>
      <w:bookmarkStart w:id="42" w:name="kstnyaex31_1"/>
      <w:bookmarkEnd w:id="41"/>
      <w:bookmarkEnd w:id="4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Faraz Ali, M.B.A.,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Tenaya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March 18, 2024</w:t>
      </w:r>
    </w:p>
    <w:tbl>
      <w:tblPr>
        <w:tblW w:w="6313" w:type="dxa"/>
        <w:jc w:val="left"/>
        <w:tblInd w:w="0" w:type="dxa"/>
        <w:tblLayout w:type="fixed"/>
        <w:tblCellMar>
          <w:top w:w="28" w:type="dxa"/>
          <w:left w:w="28" w:type="dxa"/>
          <w:bottom w:w="28" w:type="dxa"/>
          <w:right w:w="28" w:type="dxa"/>
        </w:tblCellMar>
      </w:tblPr>
      <w:tblGrid>
        <w:gridCol w:w="161"/>
        <w:gridCol w:w="631"/>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552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55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Chief Executive Officer and Director </w:t>
            </w: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tnya-ex31_2.htm"/>
      <w:bookmarkStart w:id="44" w:name="kstnyaex31_2"/>
      <w:bookmarkEnd w:id="43"/>
      <w:bookmarkEnd w:id="4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Leone D. Patterson, M.B.A.,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Tenaya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March 18, 2024</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tnya-ex32_1.htm"/>
      <w:bookmarkStart w:id="46" w:name="kstnyaex32_1"/>
      <w:bookmarkEnd w:id="45"/>
      <w:bookmarkEnd w:id="4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Faraz Ali, M.B.A., certify, pursuant to 18 U.S.C. Section 1350 as adopted pursuant to Section 906 of the Sarbanes-Oxley Act of 2002, that, (1) the Annual Report on Form 10-K of Tenaya Therapeutics, Inc. (the “Company”) for the year ended December 31,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rPr/>
      </w:pPr>
      <w:r>
        <w:rPr/>
        <w:t> </w:t>
      </w:r>
    </w:p>
    <w:tbl>
      <w:tblPr>
        <w:tblW w:w="3428" w:type="dxa"/>
        <w:jc w:val="left"/>
        <w:tblInd w:w="0" w:type="dxa"/>
        <w:tblLayout w:type="fixed"/>
        <w:tblCellMar>
          <w:top w:w="28" w:type="dxa"/>
          <w:left w:w="28" w:type="dxa"/>
          <w:bottom w:w="28" w:type="dxa"/>
          <w:right w:w="28" w:type="dxa"/>
        </w:tblCellMar>
      </w:tblPr>
      <w:tblGrid>
        <w:gridCol w:w="161"/>
        <w:gridCol w:w="14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3121"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bottom w:w="3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18, 2024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Leone D. Patterson, M.B.A., certify, pursuant to 18 U.S.C. Section 1350 as adopted pursuant to Section 906 of the Sarbanes-Oxley Act of 2002, that, (1) the Annual Report on Form 10-K of Tenaya Therapeutics, Inc. (the “Company”) for the year ended December 31, 2023,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both"/>
        <w:rPr/>
      </w:pPr>
      <w:r>
        <w:rPr/>
        <w:t> </w:t>
      </w:r>
    </w:p>
    <w:tbl>
      <w:tblPr>
        <w:tblW w:w="4178" w:type="dxa"/>
        <w:jc w:val="left"/>
        <w:tblInd w:w="0" w:type="dxa"/>
        <w:tblLayout w:type="fixed"/>
        <w:tblCellMar>
          <w:top w:w="28" w:type="dxa"/>
          <w:left w:w="28" w:type="dxa"/>
          <w:bottom w:w="28" w:type="dxa"/>
          <w:right w:w="28" w:type="dxa"/>
        </w:tblCellMar>
      </w:tblPr>
      <w:tblGrid>
        <w:gridCol w:w="161"/>
        <w:gridCol w:w="146"/>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00"/>
              <w:jc w:val="both"/>
              <w:rPr/>
            </w:pPr>
            <w:r>
              <w:rPr/>
              <w:t> </w:t>
            </w:r>
          </w:p>
        </w:tc>
        <w:tc>
          <w:tcPr>
            <w:tcW w:w="3871" w:type="dxa"/>
            <w:tcBorders/>
            <w:tcMar>
              <w:top w:w="0" w:type="dxa"/>
              <w:left w:w="0" w:type="dxa"/>
              <w:bottom w:w="0" w:type="dxa"/>
              <w:right w:w="0" w:type="dxa"/>
            </w:tcMar>
            <w:vAlign w:val="center"/>
          </w:tcPr>
          <w:p>
            <w:pPr>
              <w:pStyle w:val="TableContents"/>
              <w:bidi w:val="0"/>
              <w:spacing w:before="0" w:after="20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op w:val="single" w:sz="8" w:space="0" w:color="000000"/>
            </w:tcBorders>
            <w:tcMar>
              <w:top w:w="3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18, 2024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7" w:name="tnya-ex97.htm"/>
      <w:bookmarkStart w:id="48" w:name="kstnyaex97"/>
      <w:bookmarkEnd w:id="47"/>
      <w:bookmarkEnd w:id="48"/>
      <w:r>
        <w:rPr/>
        <w:t> </w:t>
      </w:r>
      <w:r>
        <w:br w:type="page"/>
      </w:r>
    </w:p>
    <w:p>
      <w:pPr>
        <w:pStyle w:val="TextBody"/>
        <w:bidi w:val="0"/>
        <w:spacing w:before="240" w:after="283"/>
        <w:jc w:val="right"/>
        <w:rPr>
          <w:rFonts w:ascii="Calibri;sans-serif" w:hAnsi="Calibri;sans-serif"/>
          <w:b/>
          <w:color w:val="000000"/>
          <w:sz w:val="22"/>
        </w:rPr>
      </w:pPr>
      <w:r>
        <w:rPr>
          <w:rFonts w:ascii="Calibri;sans-serif" w:hAnsi="Calibri;sans-serif"/>
          <w:b/>
          <w:color w:val="000000"/>
          <w:sz w:val="22"/>
        </w:rPr>
        <w:t>Exhibit 97</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Tenaya Therapeutics, Inc.</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COMPENSATION RECOVERY POLICY</w:t>
      </w:r>
    </w:p>
    <w:p>
      <w:pPr>
        <w:pStyle w:val="TextBody"/>
        <w:bidi w:val="0"/>
        <w:spacing w:before="240" w:after="283"/>
        <w:jc w:val="center"/>
        <w:rPr>
          <w:rFonts w:ascii="Calibri;sans-serif" w:hAnsi="Calibri;sans-serif"/>
          <w:color w:val="000000"/>
          <w:sz w:val="22"/>
        </w:rPr>
      </w:pPr>
      <w:r>
        <w:rPr>
          <w:rFonts w:ascii="Calibri;sans-serif" w:hAnsi="Calibri;sans-serif"/>
          <w:color w:val="000000"/>
          <w:sz w:val="22"/>
        </w:rPr>
        <w:t>As adopted on November 21, 2023</w:t>
      </w:r>
    </w:p>
    <w:p>
      <w:pPr>
        <w:pStyle w:val="TextBody"/>
        <w:bidi w:val="0"/>
        <w:spacing w:before="240" w:after="283"/>
        <w:jc w:val="both"/>
        <w:rPr>
          <w:rFonts w:ascii="Times New Roman" w:hAnsi="Times New Roman"/>
          <w:sz w:val="20"/>
        </w:rPr>
      </w:pPr>
      <w:r>
        <w:rPr>
          <w:rFonts w:ascii="Calibri;sans-serif" w:hAnsi="Calibri;sans-serif"/>
          <w:color w:val="000000"/>
          <w:sz w:val="22"/>
        </w:rPr>
        <w:t>Tenaya Therapeutics, Inc.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 is committed to strong corporate governance. As part of this commitment, the Compensation Committee (the “</w:t>
      </w:r>
      <w:r>
        <w:rPr>
          <w:rFonts w:ascii="Calibri;sans-serif" w:hAnsi="Calibri;sans-serif"/>
          <w:b/>
          <w:color w:val="000000"/>
          <w:sz w:val="22"/>
        </w:rPr>
        <w:t>Committee</w:t>
      </w:r>
      <w:r>
        <w:rPr>
          <w:rFonts w:ascii="Times New Roman" w:hAnsi="Times New Roman"/>
          <w:color w:val="000000"/>
          <w:sz w:val="20"/>
        </w:rPr>
        <w:t>”</w:t>
      </w:r>
      <w:r>
        <w:rPr>
          <w:rFonts w:ascii="Calibri;sans-serif" w:hAnsi="Calibri;sans-serif"/>
          <w:color w:val="000000"/>
          <w:sz w:val="22"/>
        </w:rPr>
        <w:t>) of the Company’s Board of Directors (the “</w:t>
      </w:r>
      <w:r>
        <w:rPr>
          <w:rFonts w:ascii="Calibri;sans-serif" w:hAnsi="Calibri;sans-serif"/>
          <w:b/>
          <w:color w:val="000000"/>
          <w:sz w:val="22"/>
        </w:rPr>
        <w:t>Board</w:t>
      </w:r>
      <w:r>
        <w:rPr>
          <w:rFonts w:ascii="Times New Roman" w:hAnsi="Times New Roman"/>
          <w:color w:val="000000"/>
          <w:sz w:val="20"/>
        </w:rPr>
        <w:t>”</w:t>
      </w:r>
      <w:r>
        <w:rPr>
          <w:rFonts w:ascii="Calibri;sans-serif" w:hAnsi="Calibri;sans-serif"/>
          <w:color w:val="000000"/>
          <w:sz w:val="22"/>
        </w:rPr>
        <w:t>) has adopted this clawback policy called the Compensation Recovery Policy (the “</w:t>
      </w:r>
      <w:r>
        <w:rPr>
          <w:rFonts w:ascii="Calibri;sans-serif" w:hAnsi="Calibri;sans-serif"/>
          <w:b/>
          <w:color w:val="000000"/>
          <w:sz w:val="22"/>
        </w:rPr>
        <w:t>Policy</w:t>
      </w:r>
      <w:r>
        <w:rPr>
          <w:rFonts w:ascii="Times New Roman" w:hAnsi="Times New Roman"/>
          <w:color w:val="000000"/>
          <w:sz w:val="20"/>
        </w:rPr>
        <w:t>”</w:t>
      </w:r>
      <w:r>
        <w:rPr>
          <w:rFonts w:ascii="Calibri;sans-serif" w:hAnsi="Calibri;sans-serif"/>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Calibri;sans-serif" w:hAnsi="Calibri;sans-serif"/>
          <w:color w:val="000000"/>
          <w:sz w:val="22"/>
        </w:rPr>
        <w:t>The Policy is intended to comply with, and will be interpreted in a manner consistent with, Section 10D of the Securities Exchange Act of 1934 (the “</w:t>
      </w:r>
      <w:r>
        <w:rPr>
          <w:rFonts w:ascii="Calibri;sans-serif" w:hAnsi="Calibri;sans-serif"/>
          <w:b/>
          <w:color w:val="000000"/>
          <w:sz w:val="22"/>
        </w:rPr>
        <w:t>Exchange Act</w:t>
      </w:r>
      <w:r>
        <w:rPr>
          <w:rFonts w:ascii="Times New Roman" w:hAnsi="Times New Roman"/>
          <w:color w:val="000000"/>
          <w:sz w:val="20"/>
        </w:rPr>
        <w:t>”</w:t>
      </w:r>
      <w:r>
        <w:rPr>
          <w:rFonts w:ascii="Calibri;sans-serif" w:hAnsi="Calibri;sans-serif"/>
          <w:color w:val="000000"/>
          <w:sz w:val="22"/>
        </w:rPr>
        <w:t>), with Exchange Act Rule 10D-1 and with the listing standards of the national securities exchange (the “</w:t>
      </w:r>
      <w:r>
        <w:rPr>
          <w:rFonts w:ascii="Calibri;sans-serif" w:hAnsi="Calibri;sans-serif"/>
          <w:b/>
          <w:color w:val="000000"/>
          <w:sz w:val="22"/>
        </w:rPr>
        <w:t>Exchange</w:t>
      </w:r>
      <w:r>
        <w:rPr>
          <w:rFonts w:ascii="Times New Roman" w:hAnsi="Times New Roman"/>
          <w:color w:val="000000"/>
          <w:sz w:val="20"/>
        </w:rPr>
        <w:t>”</w:t>
      </w:r>
      <w:r>
        <w:rPr>
          <w:rFonts w:ascii="Calibri;sans-serif" w:hAnsi="Calibri;sans-serif"/>
          <w:color w:val="000000"/>
          <w:sz w:val="22"/>
        </w:rPr>
        <w:t>) on which the securities of the Company are listed, including any official interpretive guidance.</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Persons Covered by the Policy</w:t>
      </w:r>
    </w:p>
    <w:p>
      <w:pPr>
        <w:pStyle w:val="TextBody"/>
        <w:bidi w:val="0"/>
        <w:spacing w:before="240" w:after="283"/>
        <w:jc w:val="both"/>
        <w:rPr>
          <w:rFonts w:ascii="Times New Roman" w:hAnsi="Times New Roman"/>
          <w:sz w:val="20"/>
        </w:rPr>
      </w:pPr>
      <w:r>
        <w:rPr>
          <w:rFonts w:ascii="Calibri;sans-serif" w:hAnsi="Calibri;sans-serif"/>
          <w:color w:val="262626"/>
          <w:sz w:val="22"/>
        </w:rPr>
        <w:t>The Policy is binding and enforceable against all “</w:t>
      </w:r>
      <w:r>
        <w:rPr>
          <w:rFonts w:ascii="Calibri;sans-serif" w:hAnsi="Calibri;sans-serif"/>
          <w:b/>
          <w:color w:val="262626"/>
          <w:sz w:val="22"/>
        </w:rPr>
        <w:t>Covered Executives.</w:t>
      </w:r>
      <w:r>
        <w:rPr>
          <w:rFonts w:ascii="Times New Roman" w:hAnsi="Times New Roman"/>
          <w:color w:val="262626"/>
          <w:sz w:val="20"/>
        </w:rPr>
        <w:t xml:space="preserve">” </w:t>
      </w:r>
      <w:r>
        <w:rPr>
          <w:rFonts w:ascii="Calibri;sans-serif" w:hAnsi="Calibri;sans-serif"/>
          <w:color w:val="262626"/>
          <w:sz w:val="22"/>
        </w:rPr>
        <w:t>A Covered Executive is each individual who is or was ever designated as an “officer” by the Board in accordance with Exchange Act Rule 16a-1(f) (a “</w:t>
      </w:r>
      <w:r>
        <w:rPr>
          <w:rFonts w:ascii="Calibri;sans-serif" w:hAnsi="Calibri;sans-serif"/>
          <w:b/>
          <w:color w:val="262626"/>
          <w:sz w:val="22"/>
        </w:rPr>
        <w:t>Section 16 Officer</w:t>
      </w:r>
      <w:r>
        <w:rPr>
          <w:rFonts w:ascii="Times New Roman" w:hAnsi="Times New Roman"/>
          <w:color w:val="262626"/>
          <w:sz w:val="20"/>
        </w:rPr>
        <w:t>”</w:t>
      </w:r>
      <w:r>
        <w:rPr>
          <w:rFonts w:ascii="Calibri;sans-serif" w:hAnsi="Calibri;sans-serif"/>
          <w:color w:val="262626"/>
          <w:sz w:val="22"/>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Administration of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Accounting Restatements Requiring Application of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Calibri;sans-serif" w:hAnsi="Calibri;sans-serif"/>
          <w:b/>
          <w:color w:val="000000"/>
          <w:sz w:val="22"/>
        </w:rPr>
        <w:t>Accounting Restatement</w:t>
      </w:r>
      <w:r>
        <w:rPr>
          <w:rFonts w:ascii="Times New Roman" w:hAnsi="Times New Roman"/>
          <w:color w:val="000000"/>
          <w:sz w:val="20"/>
        </w:rPr>
        <w:t>”</w:t>
      </w:r>
      <w:r>
        <w:rPr>
          <w:rFonts w:ascii="Calibri;sans-serif" w:hAnsi="Calibri;sans-serif"/>
          <w:color w:val="000000"/>
          <w:sz w:val="22"/>
        </w:rPr>
        <w:t>), then the</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2"/>
        </w:rPr>
        <w:t>Committee must determine the Excess Compensation, if any, that must be recovered. The Company’s obligation to recover Excess Compensation is not dependent on if or when restated financial statements are filed.</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Compensation Covered by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 xml:space="preserve">The Policy applies to certain </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 xml:space="preserve">(certain terms used in this Section are defined below) that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on or after October 2, 2023 (the “</w:t>
      </w:r>
      <w:r>
        <w:rPr>
          <w:rFonts w:ascii="Calibri;sans-serif" w:hAnsi="Calibri;sans-serif"/>
          <w:b/>
          <w:color w:val="000000"/>
          <w:sz w:val="22"/>
        </w:rPr>
        <w:t>Effective Date</w:t>
      </w:r>
      <w:r>
        <w:rPr>
          <w:rFonts w:ascii="Times New Roman" w:hAnsi="Times New Roman"/>
          <w:color w:val="000000"/>
          <w:sz w:val="20"/>
        </w:rPr>
        <w:t>”</w:t>
      </w:r>
      <w:r>
        <w:rPr>
          <w:rFonts w:ascii="Calibri;sans-serif" w:hAnsi="Calibri;sans-serif"/>
          <w:color w:val="000000"/>
          <w:sz w:val="22"/>
        </w:rPr>
        <w:t xml:space="preserve">), during the </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while the Company has a class of securities listed on a national securities exchange. Such Incentive-Based Compensation is considered “</w:t>
      </w:r>
      <w:r>
        <w:rPr>
          <w:rFonts w:ascii="Calibri;sans-serif" w:hAnsi="Calibri;sans-serif"/>
          <w:b/>
          <w:color w:val="000000"/>
          <w:sz w:val="22"/>
        </w:rPr>
        <w:t>Clawback Eligible Incentive-Based Compensation</w:t>
      </w:r>
      <w:r>
        <w:rPr>
          <w:rFonts w:ascii="Times New Roman" w:hAnsi="Times New Roman"/>
          <w:color w:val="000000"/>
          <w:sz w:val="20"/>
        </w:rPr>
        <w:t xml:space="preserve">” </w:t>
      </w:r>
      <w:r>
        <w:rPr>
          <w:rFonts w:ascii="Calibri;sans-serif" w:hAnsi="Calibri;sans-serif"/>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Calibri;sans-serif" w:hAnsi="Calibri;sans-serif"/>
          <w:b/>
          <w:color w:val="000000"/>
          <w:sz w:val="22"/>
        </w:rPr>
        <w:t>Excess Compensation</w:t>
      </w:r>
      <w:r>
        <w:rPr>
          <w:rFonts w:ascii="Times New Roman" w:hAnsi="Times New Roman"/>
          <w:color w:val="000000"/>
          <w:sz w:val="20"/>
        </w:rPr>
        <w:t xml:space="preserve">” </w:t>
      </w:r>
      <w:r>
        <w:rPr>
          <w:rFonts w:ascii="Calibri;sans-serif" w:hAnsi="Calibri;sans-serif"/>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before="240" w:after="283"/>
        <w:jc w:val="both"/>
        <w:rPr/>
      </w:pPr>
      <w:r>
        <w:rPr>
          <w:color w:val="000000"/>
        </w:rPr>
        <w:t>“</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rFonts w:ascii="Calibri;sans-serif" w:hAnsi="Calibri;sans-serif"/>
          <w:i/>
          <w:color w:val="000000"/>
          <w:sz w:val="22"/>
        </w:rPr>
        <w:t>.</w:t>
      </w:r>
      <w:r>
        <w:rPr>
          <w:rFonts w:ascii="Times New Roman" w:hAnsi="Times New Roman"/>
          <w:color w:val="000000"/>
          <w:sz w:val="20"/>
        </w:rPr>
        <w:t xml:space="preserve"> </w:t>
      </w:r>
      <w:r>
        <w:rPr>
          <w:rFonts w:ascii="Calibri;sans-serif" w:hAnsi="Calibri;sans-serif"/>
          <w:color w:val="000000"/>
          <w:sz w:val="22"/>
        </w:rPr>
        <w:t>The following items of compensation are not Incentive-Based Compensation under the Policy: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before="240" w:after="283"/>
        <w:jc w:val="both"/>
        <w:rPr/>
      </w:pPr>
      <w:r>
        <w:rPr>
          <w:color w:val="000000"/>
        </w:rPr>
        <w:t>“</w:t>
      </w:r>
      <w:r>
        <w:rPr>
          <w:rFonts w:ascii="Calibri;sans-serif" w:hAnsi="Calibri;sans-serif"/>
          <w:b/>
          <w:color w:val="000000"/>
          <w:sz w:val="22"/>
        </w:rPr>
        <w:t>Financial Reporting Measures</w:t>
      </w:r>
      <w:r>
        <w:rPr>
          <w:rFonts w:ascii="Times New Roman" w:hAnsi="Times New Roman"/>
          <w:color w:val="000000"/>
          <w:sz w:val="20"/>
        </w:rPr>
        <w:t xml:space="preserve">” </w:t>
      </w:r>
      <w:r>
        <w:rPr>
          <w:rFonts w:ascii="Calibri;sans-serif" w:hAnsi="Calibri;sans-serif"/>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2"/>
        </w:rPr>
        <w:t>Incentive-Based Compensation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Accounting Restatement Determination Date</w:t>
      </w:r>
      <w:r>
        <w:rPr>
          <w:rFonts w:ascii="Times New Roman" w:hAnsi="Times New Roman"/>
          <w:color w:val="000000"/>
          <w:sz w:val="20"/>
        </w:rPr>
        <w:t xml:space="preserve">” </w:t>
      </w:r>
      <w:r>
        <w:rPr>
          <w:rFonts w:ascii="Calibri;sans-serif" w:hAnsi="Calibri;sans-serif"/>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Repayment of Excess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requiring reimbursement of cash Incentive-Based Compensation previously paid; </w:t>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before="240" w:after="283"/>
        <w:jc w:val="both"/>
        <w:rPr>
          <w:rFonts w:ascii="Calibri" w:hAnsi="Calibri"/>
          <w:color w:val="000000"/>
          <w:sz w:val="22"/>
        </w:rPr>
      </w:pPr>
      <w:r>
        <w:rPr>
          <w:rFonts w:ascii="Calibri" w:hAnsi="Calibri"/>
          <w:color w:val="000000"/>
          <w:sz w:val="22"/>
        </w:rPr>
        <w:t>(c)</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Calibri" w:hAnsi="Calibri"/>
          <w:color w:val="000000"/>
          <w:sz w:val="22"/>
        </w:rPr>
      </w:pPr>
      <w:r>
        <w:rPr>
          <w:rFonts w:ascii="Calibri" w:hAnsi="Calibri"/>
          <w:color w:val="000000"/>
          <w:sz w:val="22"/>
        </w:rPr>
        <w:t>(d)</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240" w:after="283"/>
        <w:jc w:val="both"/>
        <w:rPr>
          <w:rFonts w:ascii="Calibri" w:hAnsi="Calibri"/>
          <w:color w:val="000000"/>
          <w:sz w:val="22"/>
        </w:rPr>
      </w:pPr>
      <w:r>
        <w:rPr>
          <w:rFonts w:ascii="Calibri" w:hAnsi="Calibri"/>
          <w:color w:val="000000"/>
          <w:sz w:val="22"/>
        </w:rPr>
        <w:t>(e)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Calibri;sans-serif" w:hAnsi="Calibri;sans-serif"/>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or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Limited Exceptions to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Other Important Information in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Committee or Board may review and modify the Policy from time to time.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will terminate and no longer be enforceable when the Company ceases to be a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Calibri;sans-serif" w:hAnsi="Calibri;sans-serif"/>
          <w:color w:val="000000"/>
          <w:sz w:val="22"/>
        </w:rPr>
        <w:t>I acknowledge that I have received and read the Compensation Recovery Policy (the “</w:t>
      </w:r>
      <w:r>
        <w:rPr>
          <w:rFonts w:ascii="Calibri;sans-serif" w:hAnsi="Calibri;sans-serif"/>
          <w:b/>
          <w:color w:val="000000"/>
          <w:sz w:val="22"/>
        </w:rPr>
        <w:t>Policy</w:t>
      </w:r>
      <w:r>
        <w:rPr>
          <w:color w:val="000000"/>
        </w:rPr>
        <w:t>”</w:t>
      </w:r>
      <w:r>
        <w:rPr>
          <w:rFonts w:ascii="Calibri;sans-serif" w:hAnsi="Calibri;sans-serif"/>
          <w:color w:val="000000"/>
          <w:sz w:val="22"/>
        </w:rPr>
        <w:t>) of Tenaya Therapeutics, Inc. (the “</w:t>
      </w:r>
      <w:r>
        <w:rPr>
          <w:rFonts w:ascii="Calibri;sans-serif" w:hAnsi="Calibri;sans-serif"/>
          <w:b/>
          <w:color w:val="000000"/>
          <w:sz w:val="22"/>
        </w:rPr>
        <w:t>Company</w:t>
      </w:r>
      <w:r>
        <w:rPr>
          <w:color w:val="000000"/>
        </w:rPr>
        <w:t>”</w:t>
      </w:r>
      <w:r>
        <w:rPr>
          <w:rFonts w:ascii="Calibri;sans-serif" w:hAnsi="Calibri;sans-serif"/>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acknowledge that if I have questions concerning the meaning or application of the Policy, it is my responsibility to seek guidance from the Compliance Officer, Human Resources or my own personal advisers.</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acknowledge that neither this Acknowledgement nor the Policy is meant to constitute an employment contract.</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Please review, sign and return this form to Human Resources.</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240" w:after="283"/>
              <w:jc w:val="left"/>
              <w:rPr>
                <w:rFonts w:ascii="Calibri;sans-serif" w:hAnsi="Calibri;sans-serif"/>
                <w:b/>
                <w:color w:val="000000"/>
                <w:sz w:val="22"/>
              </w:rPr>
            </w:pPr>
            <w:r>
              <w:rPr>
                <w:rFonts w:ascii="Calibri;sans-serif" w:hAnsi="Calibri;sans-serif"/>
                <w:b/>
                <w:color w:val="000000"/>
                <w:sz w:val="22"/>
              </w:rPr>
              <w:t>Covered Executive</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print name</w:t>
            </w:r>
            <w:r>
              <w:rPr>
                <w:rFonts w:ascii="Calibri;sans-serif" w:hAnsi="Calibri;sans-serif"/>
                <w:color w:val="000000"/>
                <w:sz w:val="22"/>
              </w:rPr>
              <w:t>)</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signature</w:t>
            </w:r>
            <w:r>
              <w:rPr>
                <w:rFonts w:ascii="Calibri;sans-serif" w:hAnsi="Calibri;sans-serif"/>
                <w:color w:val="000000"/>
                <w:sz w:val="22"/>
              </w:rPr>
              <w:t>)</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Calibri;sans-serif" w:hAnsi="Calibri;sans-serif"/>
                <w:i/>
                <w:color w:val="000000"/>
                <w:sz w:val="22"/>
              </w:rPr>
            </w:pPr>
            <w:r>
              <w:rPr>
                <w:rFonts w:ascii="Calibri;sans-serif" w:hAnsi="Calibri;sans-serif"/>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8848/000095017023040651/tnya-ex3_1.htm" TargetMode="External"/><Relationship Id="rId4" Type="http://schemas.openxmlformats.org/officeDocument/2006/relationships/hyperlink" Target="https://www.sec.gov/Archives/edgar/data/1858848/000095017023008934/tnya-ex3_1.htm" TargetMode="External"/><Relationship Id="rId5" Type="http://schemas.openxmlformats.org/officeDocument/2006/relationships/hyperlink" Target="https://www.sec.gov/Archives/edgar/data/1858848/000095017023008934/tnya-ex3_1.htm" TargetMode="External"/><Relationship Id="rId6" Type="http://schemas.openxmlformats.org/officeDocument/2006/relationships/hyperlink" Target="https://www.sec.gov/Archives/edgar/data/1858848/000119312521223559/d175698dex42.htm" TargetMode="External"/><Relationship Id="rId7" Type="http://schemas.openxmlformats.org/officeDocument/2006/relationships/hyperlink" Target="https://www.sec.gov/Archives/edgar/data/1858848/000119312521212010/d175698dex41.htm" TargetMode="External"/><Relationship Id="rId8" Type="http://schemas.openxmlformats.org/officeDocument/2006/relationships/hyperlink" Target="https://www.sec.gov/Archives/edgar/data/1858848/000095017022004426/tnya-ex4_3.htm" TargetMode="External"/><Relationship Id="rId9" Type="http://schemas.openxmlformats.org/officeDocument/2006/relationships/hyperlink" Target="https://www.sec.gov/Archives/edgar/data/1858848/000119312521212010/d175698dex101.htm" TargetMode="External"/><Relationship Id="rId10" Type="http://schemas.openxmlformats.org/officeDocument/2006/relationships/hyperlink" Target="https://www.sec.gov/Archives/edgar/data/1858848/000095017022004426/tnya-ex10_2.htm" TargetMode="External"/><Relationship Id="rId11" Type="http://schemas.openxmlformats.org/officeDocument/2006/relationships/hyperlink" Target="https://www.sec.gov/Archives/edgar/data/1858848/000119312521223559/d175698dex104.htm" TargetMode="External"/><Relationship Id="rId12" Type="http://schemas.openxmlformats.org/officeDocument/2006/relationships/hyperlink" Target="https://www.sec.gov/Archives/edgar/data/1858848/000119312521212010/d175698dex105.htm" TargetMode="External"/><Relationship Id="rId13" Type="http://schemas.openxmlformats.org/officeDocument/2006/relationships/hyperlink" Target="https://www.sec.gov/Archives/edgar/data/1858848/000119312521212010/d175698dex106.htm" TargetMode="External"/><Relationship Id="rId14" Type="http://schemas.openxmlformats.org/officeDocument/2006/relationships/hyperlink" Target="https://www.sec.gov/Archives/edgar/data/1858848/000119312521212010/d175698dex107.htm" TargetMode="External"/><Relationship Id="rId15" Type="http://schemas.openxmlformats.org/officeDocument/2006/relationships/hyperlink" Target="https://www.sec.gov/Archives/edgar/data/1858848/000119312521212010/d175698dex108.htm" TargetMode="External"/><Relationship Id="rId16" Type="http://schemas.openxmlformats.org/officeDocument/2006/relationships/hyperlink" Target="https://www.sec.gov/Archives/edgar/data/1858848/000095017023027497/tnya-ex10_1.htm" TargetMode="External"/><Relationship Id="rId17" Type="http://schemas.openxmlformats.org/officeDocument/2006/relationships/hyperlink" Target="https://www.sec.gov/Archives/edgar/data/1858848/000119312521212010/d175698dex1013.htm" TargetMode="External"/><Relationship Id="rId18" Type="http://schemas.openxmlformats.org/officeDocument/2006/relationships/hyperlink" Target="https://www.sec.gov/Archives/edgar/data/1858848/000119312521212010/d175698dex102.htm" TargetMode="External"/><Relationship Id="rId19" Type="http://schemas.openxmlformats.org/officeDocument/2006/relationships/hyperlink" Target="https://www.sec.gov/Archives/edgar/data/1858848/000119312521212010/d175698dex1010.htm" TargetMode="External"/><Relationship Id="rId20" Type="http://schemas.openxmlformats.org/officeDocument/2006/relationships/hyperlink" Target="https://www.sec.gov/Archives/edgar/data/1858848/000119312521212010/d175698dex101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87773</Words>
  <Characters>494538</Characters>
  <CharactersWithSpaces>582019</CharactersWithSpaces>
  <Paragraphs>5797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