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7047865" cy="4538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53898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GOEDDEL DAVID V</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TENAYA THERAPEUTICS,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Tenaya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TNYA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05/29/2025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19"/>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065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65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6" w:lineRule="exact"/>
        <w:rPr>
          <w:sz w:val="24"/>
          <w:szCs w:val="24"/>
          <w:color w:val="auto"/>
        </w:rPr>
      </w:pPr>
    </w:p>
    <w:p>
      <w:pPr>
        <w:sectPr>
          <w:pgSz w:w="11900" w:h="16838" w:orient="portrait"/>
          <w:cols w:equalWidth="0" w:num="3">
            <w:col w:w="3180" w:space="720"/>
            <w:col w:w="3121" w:space="720"/>
            <w:col w:w="3339"/>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6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ind w:left="32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SOUTH SAN</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94080</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118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gridSpan w:val="2"/>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6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6"/>
          </w:tcPr>
          <w:p>
            <w:pPr>
              <w:spacing w:after="0"/>
              <w:rPr>
                <w:sz w:val="6"/>
                <w:szCs w:val="6"/>
                <w:color w:val="auto"/>
              </w:rPr>
            </w:pPr>
          </w:p>
        </w:tc>
        <w:tc>
          <w:tcPr>
            <w:tcW w:w="2680" w:type="dxa"/>
            <w:vAlign w:val="bottom"/>
            <w:tcBorders>
              <w:bottom w:val="single" w:sz="8" w:color="2C2C2C"/>
            </w:tcBorders>
            <w:gridSpan w:val="5"/>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0.4444</w:t>
            </w:r>
          </w:p>
        </w:tc>
        <w:tc>
          <w:tcPr>
            <w:tcW w:w="14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05/29/2025</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107,400</w:t>
            </w:r>
          </w:p>
        </w:tc>
        <w:tc>
          <w:tcPr>
            <w:tcW w:w="300" w:type="dxa"/>
            <w:vAlign w:val="bottom"/>
          </w:tcPr>
          <w:p>
            <w:pPr>
              <w:spacing w:after="0"/>
              <w:rPr>
                <w:sz w:val="17"/>
                <w:szCs w:val="17"/>
                <w:color w:val="auto"/>
              </w:rPr>
            </w:pPr>
          </w:p>
        </w:tc>
        <w:tc>
          <w:tcPr>
            <w:tcW w:w="820" w:type="dxa"/>
            <w:vAlign w:val="bottom"/>
            <w:gridSpan w:val="2"/>
          </w:tcPr>
          <w:p>
            <w:pPr>
              <w:spacing w:after="0" w:line="203" w:lineRule="exact"/>
              <w:rPr>
                <w:sz w:val="20"/>
                <w:szCs w:val="20"/>
                <w:color w:val="auto"/>
              </w:rPr>
            </w:pPr>
            <w:r>
              <w:rPr>
                <w:rFonts w:ascii="Times New Roman" w:cs="Times New Roman" w:eastAsia="Times New Roman" w:hAnsi="Times New Roman"/>
                <w:sz w:val="13"/>
                <w:szCs w:val="13"/>
                <w:color w:val="0000FF"/>
              </w:rPr>
              <w:t>05/29/2026</w:t>
            </w:r>
            <w:r>
              <w:rPr>
                <w:rFonts w:ascii="Times New Roman" w:cs="Times New Roman" w:eastAsia="Times New Roman" w:hAnsi="Times New Roman"/>
                <w:sz w:val="21"/>
                <w:szCs w:val="21"/>
                <w:color w:val="008000"/>
                <w:vertAlign w:val="superscript"/>
              </w:rPr>
              <w:t>(1)</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05/28/2035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107,400</w:t>
            </w:r>
          </w:p>
        </w:tc>
        <w:tc>
          <w:tcPr>
            <w:tcW w:w="70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107,400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620" w:hanging="1"/>
        <w:spacing w:after="0" w:line="243"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in full May 29, 2026, or, if earlier, the day immediately before the date of the next annual meeting of stockholders that occurs after the grant date, subject to the Reporting Person continuing to be a service provider to the Issuer through each applicable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1"/>
          <w:szCs w:val="31"/>
          <w:color w:val="0000FF"/>
          <w:vertAlign w:val="subscript"/>
        </w:rPr>
        <w:t>05/30/2025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7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7016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16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5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82464"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2025-05-30T17:59:02Z</dcterms:created>
  <dcterms:modified xsi:type="dcterms:W3CDTF">2025-05-30T17:59:02Z</dcterms:modified>
</cp:coreProperties>
</file>