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SCHEDULE 13G/A</w:t>
      </w:r>
    </w:p>
    <w:p>
      <w:pPr>
        <w:spacing w:after="0" w:line="2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2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25"/>
          <w:szCs w:val="25"/>
          <w:u w:val="single" w:color="auto"/>
          <w:color w:val="auto"/>
        </w:rPr>
        <w:t>Tenaya Therapeutics, Inc.</w:t>
      </w:r>
    </w:p>
    <w:p>
      <w:pPr>
        <w:spacing w:after="0" w:line="34"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u w:val="single" w:color="auto"/>
          <w:color w:val="auto"/>
        </w:rPr>
        <w:t>87990A106</w:t>
      </w:r>
    </w:p>
    <w:p>
      <w:pPr>
        <w:spacing w:after="0" w:line="2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 w:lineRule="exact"/>
        <w:rPr>
          <w:sz w:val="24"/>
          <w:szCs w:val="24"/>
          <w:color w:val="auto"/>
        </w:rPr>
      </w:pPr>
    </w:p>
    <w:p>
      <w:pPr>
        <w:jc w:val="center"/>
        <w:ind w:right="-7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40" w:right="8940" w:hanging="8"/>
        <w:spacing w:after="0" w:line="226" w:lineRule="exact"/>
        <w:tabs>
          <w:tab w:leader="none" w:pos="54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Rule 13d-1(c)</w:t>
      </w: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320" w:top="1022" w:right="10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734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131" w:lineRule="exact"/>
        <w:rPr>
          <w:sz w:val="20"/>
          <w:szCs w:val="20"/>
          <w:color w:val="auto"/>
        </w:rPr>
      </w:pPr>
    </w:p>
    <w:p>
      <w:pPr>
        <w:ind w:left="7040" w:right="3220" w:hanging="6503"/>
        <w:spacing w:after="0" w:line="232" w:lineRule="exact"/>
        <w:tabs>
          <w:tab w:leader="none" w:pos="1208"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76" w:lineRule="exact"/>
        <w:rPr>
          <w:sz w:val="20"/>
          <w:szCs w:val="20"/>
          <w:color w:val="auto"/>
        </w:rPr>
      </w:pPr>
    </w:p>
    <w:p>
      <w:pPr>
        <w:ind w:left="1200" w:hanging="663"/>
        <w:spacing w:after="0"/>
        <w:tabs>
          <w:tab w:leader="none" w:pos="12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1200" w:hanging="663"/>
        <w:spacing w:after="0"/>
        <w:tabs>
          <w:tab w:leader="none" w:pos="12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6,948,236</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6,948,236</w:t>
      </w:r>
    </w:p>
    <w:p>
      <w:pPr>
        <w:spacing w:after="0" w:line="131" w:lineRule="exact"/>
        <w:rPr>
          <w:sz w:val="20"/>
          <w:szCs w:val="20"/>
          <w:color w:val="auto"/>
        </w:rPr>
      </w:pPr>
    </w:p>
    <w:p>
      <w:pPr>
        <w:ind w:left="1200" w:hanging="663"/>
        <w:spacing w:after="0"/>
        <w:tabs>
          <w:tab w:leader="none" w:pos="12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6,948,236</w:t>
      </w:r>
    </w:p>
    <w:p>
      <w:pPr>
        <w:spacing w:after="0" w:line="90" w:lineRule="exact"/>
        <w:rPr>
          <w:sz w:val="20"/>
          <w:szCs w:val="20"/>
          <w:color w:val="auto"/>
        </w:rPr>
      </w:pPr>
    </w:p>
    <w:p>
      <w:pPr>
        <w:ind w:left="1200" w:hanging="708"/>
        <w:spacing w:after="0" w:line="207" w:lineRule="exact"/>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87"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734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131" w:lineRule="exact"/>
        <w:rPr>
          <w:sz w:val="20"/>
          <w:szCs w:val="20"/>
          <w:color w:val="auto"/>
        </w:rPr>
      </w:pPr>
    </w:p>
    <w:p>
      <w:pPr>
        <w:ind w:left="7040" w:right="3220" w:hanging="6503"/>
        <w:spacing w:after="0" w:line="232" w:lineRule="exact"/>
        <w:tabs>
          <w:tab w:leader="none" w:pos="1208"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76" w:lineRule="exact"/>
        <w:rPr>
          <w:sz w:val="20"/>
          <w:szCs w:val="20"/>
          <w:color w:val="auto"/>
        </w:rPr>
      </w:pPr>
    </w:p>
    <w:p>
      <w:pPr>
        <w:ind w:left="1200" w:hanging="663"/>
        <w:spacing w:after="0"/>
        <w:tabs>
          <w:tab w:leader="none" w:pos="12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1200" w:hanging="663"/>
        <w:spacing w:after="0"/>
        <w:tabs>
          <w:tab w:leader="none" w:pos="12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6,948,236</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6,948,236</w:t>
      </w:r>
    </w:p>
    <w:p>
      <w:pPr>
        <w:spacing w:after="0" w:line="131" w:lineRule="exact"/>
        <w:rPr>
          <w:sz w:val="20"/>
          <w:szCs w:val="20"/>
          <w:color w:val="auto"/>
        </w:rPr>
      </w:pPr>
    </w:p>
    <w:p>
      <w:pPr>
        <w:ind w:left="1200" w:hanging="663"/>
        <w:spacing w:after="0"/>
        <w:tabs>
          <w:tab w:leader="none" w:pos="12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6,948,236</w:t>
      </w:r>
    </w:p>
    <w:p>
      <w:pPr>
        <w:spacing w:after="0" w:line="90" w:lineRule="exact"/>
        <w:rPr>
          <w:sz w:val="20"/>
          <w:szCs w:val="20"/>
          <w:color w:val="auto"/>
        </w:rPr>
      </w:pPr>
    </w:p>
    <w:p>
      <w:pPr>
        <w:ind w:left="1200" w:hanging="708"/>
        <w:spacing w:after="0" w:line="207" w:lineRule="exact"/>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87"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73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Rajeev Shah</w:t>
      </w:r>
    </w:p>
    <w:p>
      <w:pPr>
        <w:spacing w:after="0" w:line="131" w:lineRule="exact"/>
        <w:rPr>
          <w:sz w:val="20"/>
          <w:szCs w:val="20"/>
          <w:color w:val="auto"/>
        </w:rPr>
      </w:pPr>
    </w:p>
    <w:p>
      <w:pPr>
        <w:ind w:left="7040" w:right="3220" w:hanging="6503"/>
        <w:spacing w:after="0" w:line="232" w:lineRule="exact"/>
        <w:tabs>
          <w:tab w:leader="none" w:pos="1208"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76" w:lineRule="exact"/>
        <w:rPr>
          <w:sz w:val="20"/>
          <w:szCs w:val="20"/>
          <w:color w:val="auto"/>
        </w:rPr>
      </w:pPr>
    </w:p>
    <w:p>
      <w:pPr>
        <w:ind w:left="1200" w:hanging="663"/>
        <w:spacing w:after="0"/>
        <w:tabs>
          <w:tab w:leader="none" w:pos="12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1200" w:hanging="663"/>
        <w:spacing w:after="0"/>
        <w:tabs>
          <w:tab w:leader="none" w:pos="120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United States of America</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6,948,236</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6,948,236</w:t>
      </w:r>
    </w:p>
    <w:p>
      <w:pPr>
        <w:spacing w:after="0" w:line="131" w:lineRule="exact"/>
        <w:rPr>
          <w:sz w:val="20"/>
          <w:szCs w:val="20"/>
          <w:color w:val="auto"/>
        </w:rPr>
      </w:pPr>
    </w:p>
    <w:p>
      <w:pPr>
        <w:ind w:left="1200" w:hanging="663"/>
        <w:spacing w:after="0"/>
        <w:tabs>
          <w:tab w:leader="none" w:pos="12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6,948,236</w:t>
      </w:r>
    </w:p>
    <w:p>
      <w:pPr>
        <w:spacing w:after="0" w:line="90" w:lineRule="exact"/>
        <w:rPr>
          <w:sz w:val="20"/>
          <w:szCs w:val="20"/>
          <w:color w:val="auto"/>
        </w:rPr>
      </w:pPr>
    </w:p>
    <w:p>
      <w:pPr>
        <w:ind w:left="1200" w:hanging="708"/>
        <w:spacing w:after="0" w:line="207" w:lineRule="exact"/>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87"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9.99%</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87990A106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734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273" w:lineRule="exact"/>
        <w:rPr>
          <w:sz w:val="20"/>
          <w:szCs w:val="20"/>
          <w:color w:val="auto"/>
        </w:rPr>
      </w:pPr>
    </w:p>
    <w:p>
      <w:pPr>
        <w:ind w:left="1200" w:hanging="663"/>
        <w:spacing w:after="0"/>
        <w:tabs>
          <w:tab w:leader="none" w:pos="12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131" w:lineRule="exact"/>
        <w:rPr>
          <w:sz w:val="20"/>
          <w:szCs w:val="20"/>
          <w:color w:val="auto"/>
        </w:rPr>
      </w:pPr>
    </w:p>
    <w:p>
      <w:pPr>
        <w:ind w:left="7040" w:right="3220" w:hanging="6503"/>
        <w:spacing w:after="0" w:line="232" w:lineRule="exact"/>
        <w:tabs>
          <w:tab w:leader="none" w:pos="1208"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CHECK THE APPROPRIATE BOX IF A MEMBER OF A GROUP (SEE INSTRUCTIONS) (a)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(b)          </w:t>
      </w:r>
      <w:r>
        <w:rPr>
          <w:rFonts w:ascii="MS PGothic" w:cs="MS PGothic" w:eastAsia="MS PGothic" w:hAnsi="MS PGothic"/>
          <w:sz w:val="17"/>
          <w:szCs w:val="17"/>
          <w:color w:val="auto"/>
        </w:rPr>
        <w:t>☐</w:t>
      </w:r>
    </w:p>
    <w:p>
      <w:pPr>
        <w:spacing w:after="0" w:line="76" w:lineRule="exact"/>
        <w:rPr>
          <w:sz w:val="20"/>
          <w:szCs w:val="20"/>
          <w:color w:val="auto"/>
        </w:rPr>
      </w:pPr>
    </w:p>
    <w:p>
      <w:pPr>
        <w:ind w:left="1200" w:hanging="663"/>
        <w:spacing w:after="0"/>
        <w:tabs>
          <w:tab w:leader="none" w:pos="12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47" w:lineRule="exact"/>
        <w:rPr>
          <w:sz w:val="20"/>
          <w:szCs w:val="20"/>
          <w:color w:val="auto"/>
        </w:rPr>
      </w:pPr>
    </w:p>
    <w:p>
      <w:pPr>
        <w:ind w:left="1200" w:hanging="663"/>
        <w:spacing w:after="0"/>
        <w:tabs>
          <w:tab w:leader="none" w:pos="12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b w:val="1"/>
          <w:bCs w:val="1"/>
          <w:color w:val="auto"/>
        </w:rPr>
      </w:pPr>
    </w:p>
    <w:p>
      <w:pPr>
        <w:ind w:left="1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Delaware</w:t>
      </w:r>
    </w:p>
    <w:p>
      <w:pPr>
        <w:spacing w:after="0" w:line="126" w:lineRule="exact"/>
        <w:rPr>
          <w:rFonts w:ascii="Times New Roman" w:cs="Times New Roman" w:eastAsia="Times New Roman" w:hAnsi="Times New Roman"/>
          <w:sz w:val="18"/>
          <w:szCs w:val="18"/>
          <w:b w:val="1"/>
          <w:bCs w:val="1"/>
          <w:color w:val="auto"/>
        </w:rPr>
      </w:pPr>
    </w:p>
    <w:p>
      <w:pPr>
        <w:ind w:left="27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7"/>
          <w:szCs w:val="17"/>
          <w:color w:val="auto"/>
        </w:rPr>
        <w:t>SOLE VOTING POWER</w:t>
      </w:r>
    </w:p>
    <w:p>
      <w:pPr>
        <w:spacing w:after="0" w:line="229"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900" w:type="dxa"/>
            <w:vAlign w:val="bottom"/>
          </w:tcPr>
          <w:p>
            <w:pPr>
              <w:spacing w:after="0"/>
              <w:rPr>
                <w:sz w:val="20"/>
                <w:szCs w:val="20"/>
                <w:color w:val="auto"/>
              </w:rPr>
            </w:pPr>
          </w:p>
        </w:tc>
        <w:tc>
          <w:tcPr>
            <w:tcW w:w="8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3"/>
        </w:trPr>
        <w:tc>
          <w:tcPr>
            <w:tcW w:w="1760" w:type="dxa"/>
            <w:vAlign w:val="bottom"/>
            <w:vMerge w:val="continue"/>
          </w:tcPr>
          <w:p>
            <w:pPr>
              <w:spacing w:after="0"/>
              <w:rPr>
                <w:sz w:val="7"/>
                <w:szCs w:val="7"/>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SHARES</w:t>
            </w:r>
          </w:p>
        </w:tc>
        <w:tc>
          <w:tcPr>
            <w:tcW w:w="900" w:type="dxa"/>
            <w:vAlign w:val="bottom"/>
            <w:vMerge w:val="continue"/>
          </w:tcPr>
          <w:p>
            <w:pPr>
              <w:spacing w:after="0"/>
              <w:rPr>
                <w:sz w:val="18"/>
                <w:szCs w:val="18"/>
                <w:color w:val="auto"/>
              </w:rPr>
            </w:pPr>
          </w:p>
        </w:tc>
        <w:tc>
          <w:tcPr>
            <w:tcW w:w="8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BENEFICIALLY</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6,824,691</w:t>
            </w:r>
          </w:p>
        </w:tc>
        <w:tc>
          <w:tcPr>
            <w:tcW w:w="0" w:type="dxa"/>
            <w:vAlign w:val="bottom"/>
          </w:tcPr>
          <w:p>
            <w:pPr>
              <w:spacing w:after="0"/>
              <w:rPr>
                <w:sz w:val="1"/>
                <w:szCs w:val="1"/>
                <w:color w:val="auto"/>
              </w:rPr>
            </w:pPr>
          </w:p>
        </w:tc>
      </w:tr>
      <w:tr>
        <w:trPr>
          <w:trHeight w:val="234"/>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90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760" w:type="dxa"/>
            <w:vAlign w:val="bottom"/>
          </w:tcPr>
          <w:p>
            <w:pPr>
              <w:jc w:val="center"/>
              <w:ind w:right="39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900" w:type="dxa"/>
            <w:vAlign w:val="bottom"/>
            <w:vMerge w:val="continue"/>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76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8"/>
              </w:rPr>
              <w:t>PERSON</w:t>
            </w:r>
          </w:p>
        </w:tc>
        <w:tc>
          <w:tcPr>
            <w:tcW w:w="900" w:type="dxa"/>
            <w:vAlign w:val="bottom"/>
          </w:tcPr>
          <w:p>
            <w:pPr>
              <w:spacing w:after="0"/>
              <w:rPr>
                <w:sz w:val="18"/>
                <w:szCs w:val="18"/>
                <w:color w:val="auto"/>
              </w:rPr>
            </w:pP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6"/>
        </w:trPr>
        <w:tc>
          <w:tcPr>
            <w:tcW w:w="1760" w:type="dxa"/>
            <w:vAlign w:val="bottom"/>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WITH:</w:t>
            </w:r>
          </w:p>
        </w:tc>
        <w:tc>
          <w:tcPr>
            <w:tcW w:w="900" w:type="dxa"/>
            <w:vAlign w:val="bottom"/>
          </w:tcPr>
          <w:p>
            <w:pPr>
              <w:spacing w:after="0"/>
              <w:rPr>
                <w:sz w:val="7"/>
                <w:szCs w:val="7"/>
                <w:color w:val="auto"/>
              </w:rPr>
            </w:pPr>
          </w:p>
        </w:tc>
        <w:tc>
          <w:tcPr>
            <w:tcW w:w="8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760" w:type="dxa"/>
            <w:vAlign w:val="bottom"/>
            <w:vMerge w:val="continue"/>
          </w:tcPr>
          <w:p>
            <w:pPr>
              <w:spacing w:after="0"/>
              <w:rPr>
                <w:sz w:val="6"/>
                <w:szCs w:val="6"/>
                <w:color w:val="auto"/>
              </w:rPr>
            </w:pPr>
          </w:p>
        </w:tc>
        <w:tc>
          <w:tcPr>
            <w:tcW w:w="9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80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6,824,691</w:t>
      </w:r>
    </w:p>
    <w:p>
      <w:pPr>
        <w:spacing w:after="0" w:line="131" w:lineRule="exact"/>
        <w:rPr>
          <w:sz w:val="20"/>
          <w:szCs w:val="20"/>
          <w:color w:val="auto"/>
        </w:rPr>
      </w:pPr>
    </w:p>
    <w:p>
      <w:pPr>
        <w:ind w:left="1200" w:hanging="663"/>
        <w:spacing w:after="0"/>
        <w:tabs>
          <w:tab w:leader="none" w:pos="12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6,824,691</w:t>
      </w:r>
    </w:p>
    <w:p>
      <w:pPr>
        <w:spacing w:after="0" w:line="90" w:lineRule="exact"/>
        <w:rPr>
          <w:sz w:val="20"/>
          <w:szCs w:val="20"/>
          <w:color w:val="auto"/>
        </w:rPr>
      </w:pPr>
    </w:p>
    <w:p>
      <w:pPr>
        <w:ind w:left="1200" w:hanging="708"/>
        <w:spacing w:after="0" w:line="207" w:lineRule="exact"/>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CHECK BOX IF THE AGGREGATE AMOUNT IN ROW (9) EXCLUDES CERTAIN SHARES (SEE INSTRUCTIONS) </w:t>
      </w:r>
      <w:r>
        <w:rPr>
          <w:rFonts w:ascii="MS PGothic" w:cs="MS PGothic" w:eastAsia="MS PGothic" w:hAnsi="MS PGothic"/>
          <w:sz w:val="18"/>
          <w:szCs w:val="18"/>
          <w:color w:val="auto"/>
        </w:rPr>
        <w:t>☐</w:t>
      </w:r>
    </w:p>
    <w:p>
      <w:pPr>
        <w:spacing w:after="0" w:line="387" w:lineRule="exact"/>
        <w:rPr>
          <w:rFonts w:ascii="Times New Roman" w:cs="Times New Roman" w:eastAsia="Times New Roman" w:hAnsi="Times New Roman"/>
          <w:sz w:val="18"/>
          <w:szCs w:val="18"/>
          <w:b w:val="1"/>
          <w:bCs w:val="1"/>
          <w:color w:val="auto"/>
        </w:rPr>
      </w:pPr>
    </w:p>
    <w:p>
      <w:pPr>
        <w:ind w:left="1200" w:right="5100" w:hanging="703"/>
        <w:spacing w:after="0" w:line="443"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PERCENT OF CLASS REPRESENTED BY AMOUNT IN ROW 9 9.8%</w:t>
      </w:r>
    </w:p>
    <w:p>
      <w:pPr>
        <w:spacing w:after="0" w:line="5" w:lineRule="exact"/>
        <w:rPr>
          <w:rFonts w:ascii="Times New Roman" w:cs="Times New Roman" w:eastAsia="Times New Roman" w:hAnsi="Times New Roman"/>
          <w:sz w:val="18"/>
          <w:szCs w:val="18"/>
          <w:b w:val="1"/>
          <w:bCs w:val="1"/>
          <w:color w:val="auto"/>
        </w:rPr>
      </w:pPr>
    </w:p>
    <w:p>
      <w:pPr>
        <w:ind w:left="1200" w:right="5700" w:hanging="708"/>
        <w:spacing w:after="0" w:line="532" w:lineRule="auto"/>
        <w:tabs>
          <w:tab w:leader="none" w:pos="12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Tenaya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171 Oyster Point Boulevard, Suite 500, South San Francisco, California 94080</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names of the persons filing this report (collectively, the “Reporting Persons”) are: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Management, L.P. (“RA Capital”)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Peter Kolchinsky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Rajeev Shah</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Healthcare Fund, L.P. (the “Fund”)</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 RA Capital Management, L.P., 200 Berkeley Street,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u w:val="single" w:color="auto"/>
          <w:color w:val="auto"/>
        </w:rPr>
        <w:t>Citizenship: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u w:val="single" w:color="auto"/>
          <w:color w:val="auto"/>
        </w:rPr>
        <w:t>CUSIP Number: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87990A106</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p>
    <w:p>
      <w:pPr>
        <w:spacing w:after="0" w:line="229" w:lineRule="exact"/>
        <w:rPr>
          <w:sz w:val="20"/>
          <w:szCs w:val="20"/>
          <w:color w:val="auto"/>
        </w:rPr>
      </w:pPr>
    </w:p>
    <w:p>
      <w:pPr>
        <w:ind w:left="980"/>
        <w:spacing w:after="0" w:line="266" w:lineRule="auto"/>
        <w:rPr>
          <w:sz w:val="20"/>
          <w:szCs w:val="20"/>
          <w:color w:val="auto"/>
        </w:rPr>
      </w:pPr>
      <w:r>
        <w:rPr>
          <w:rFonts w:ascii="Times New Roman" w:cs="Times New Roman" w:eastAsia="Times New Roman" w:hAnsi="Times New Roman"/>
          <w:sz w:val="18"/>
          <w:szCs w:val="18"/>
          <w:color w:val="auto"/>
        </w:rPr>
        <w:t>The Fund directly holds (i) 5,383,802 shares of Common Stock and (ii) 4,882,582 Pre-funded warrants (“Pre-Funded Warrants”), through which it has the right to acquire 4,882,582 shares of Common Stock subject to a Beneficial Ownership Blocker (as defined below). The RA Capital Nexus Fund II, L.P. (the “Nexus Fund II”) directly holds 123,545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6" w:name="page7"/>
    <w:bookmarkEnd w:id="6"/>
    <w:p>
      <w:pPr>
        <w:ind w:left="980"/>
        <w:spacing w:after="0" w:line="256" w:lineRule="auto"/>
        <w:rPr>
          <w:sz w:val="20"/>
          <w:szCs w:val="20"/>
          <w:color w:val="auto"/>
        </w:rPr>
      </w:pPr>
      <w:r>
        <w:rPr>
          <w:rFonts w:ascii="Times New Roman" w:cs="Times New Roman" w:eastAsia="Times New Roman" w:hAnsi="Times New Roman"/>
          <w:sz w:val="18"/>
          <w:szCs w:val="18"/>
          <w:color w:val="auto"/>
        </w:rPr>
        <w:t>The shares reported herein for the Reporting Persons represent (i) 5,507,347 shares of Common Stock held directly, and (ii) 1,440,889 shares of Common Stock that the Reporting Persons beneficially own based on the right to acquire, upon the exercise of the Pre-Funded Warrants. The Pre-Funded Warrants are subject to a beneficial ownership blocker (“Beneficial Ownership Blocker”), which precludes the exercise of the Pre-Funded Warrants to the extent that, following exercise, the Reporting Persons, together with its affiliates and other attribution parties, would own more than 9.99% of the Common Stock outstanding. The Reporting Persons are currently prohibited from exercising the Pre-Funded Warrants to the extent that such exercise would result in beneficial ownership of more than 6,948,236 shares of Common Stock.</w:t>
      </w:r>
    </w:p>
    <w:p>
      <w:pPr>
        <w:spacing w:after="0" w:line="187" w:lineRule="exact"/>
        <w:rPr>
          <w:sz w:val="20"/>
          <w:szCs w:val="20"/>
          <w:color w:val="auto"/>
        </w:rPr>
      </w:pPr>
    </w:p>
    <w:p>
      <w:pPr>
        <w:ind w:left="980" w:right="14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each Reporting Person is set forth in Rows 5 through 9 and 11 of the cover page to this Schedule 13G/A. The beneficial ownership percentages reported are based on (i) 68,111,019 outstanding shares of Common Stock, as reported in the Issuer’s Quarterly Report on Form 10-Q filed with the Securities and Exchange Commission on November 8, 2023, plus (ii) 1,440,889 shares of Common Stock of which the Reporting Person may acquire beneficial ownership upon the exercise of Pre-Funded Warrants, as limited by the Beneficial Ownership Blocker.</w:t>
      </w:r>
    </w:p>
    <w:p>
      <w:pPr>
        <w:spacing w:after="0" w:line="183" w:lineRule="exact"/>
        <w:rPr>
          <w:sz w:val="20"/>
          <w:szCs w:val="20"/>
          <w:color w:val="auto"/>
        </w:rPr>
      </w:pPr>
    </w:p>
    <w:p>
      <w:pPr>
        <w:ind w:left="980" w:right="60"/>
        <w:spacing w:after="0" w:line="253" w:lineRule="auto"/>
        <w:rPr>
          <w:sz w:val="20"/>
          <w:szCs w:val="20"/>
          <w:color w:val="auto"/>
        </w:rPr>
      </w:pPr>
      <w:r>
        <w:rPr>
          <w:rFonts w:ascii="Times New Roman" w:cs="Times New Roman" w:eastAsia="Times New Roman" w:hAnsi="Times New Roman"/>
          <w:sz w:val="18"/>
          <w:szCs w:val="18"/>
          <w:color w:val="auto"/>
        </w:rPr>
        <w:t>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and the Nexus Fund II. The Fund and the Nexus Fund II have delegated to RA Capital the sole power to vote and the sole power to dispose of all securities held in the Fund’s and the Nexus Fund II’s portfolios, including the shares of the Issuer’s Common Stock reported herein. Because the Fund and the Nexus Fund II have divested voting and investment power over the reported securities they hold and may not revoke that delegation on less than 61 days’ notice, the Fund and the Nexus Fund II disclaim beneficial ownership of the securities they hold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Ownership of Five Percent or Less of a Class.</w:t>
      </w:r>
    </w:p>
    <w:p>
      <w:pPr>
        <w:spacing w:after="0" w:line="229" w:lineRule="exact"/>
        <w:rPr>
          <w:sz w:val="20"/>
          <w:szCs w:val="20"/>
          <w:color w:val="auto"/>
        </w:rPr>
      </w:pPr>
    </w:p>
    <w:p>
      <w:pPr>
        <w:ind w:left="980"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u w:val="single" w:color="auto"/>
          <w:color w:val="auto"/>
        </w:rPr>
        <w:t>Identification and Classification of the Subsidiary Which Acquired the Security Being Reported on by the Parent Holding Company or Control Person.</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Certification.</w:t>
      </w:r>
    </w:p>
    <w:p>
      <w:pPr>
        <w:spacing w:after="0" w:line="229"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ind w:right="-699"/>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3514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Name:Peter Kolchinsky</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9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90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RA Capital Healthcare Fund GP, LLC</w:t>
      </w:r>
    </w:p>
    <w:p>
      <w:pPr>
        <w:spacing w:after="0" w:line="2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3514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Name:Peter Kolchinsky</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Joint Filing Agreement, dated as of February 14, 2024, is by and among RA Capital Management, L.P., Peter Kolchinsky, Rajeev Shah, and RA Capital Healthcare Fund, L.P. (the foregoing are collectively referred to herein as the “Filers”).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Each of the Filers may be required to file with the United States Securities and Exchange Commission a statement on Schedule 13G and/or 13D with respect to Common Stock, $0.0001 par value per share of Tenaya Therapeutics, Inc. beneficially owned by them from time to time.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This Joint Filing Agreement may be terminated by any of the Filers upon one week’s prior written notice or such lesser period of notice as the Filers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MANAGEMENT,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3625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Name:Peter Kolchinsky</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RAJEEV SHAH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23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RA Capital Healthcare Fund GP,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17145</wp:posOffset>
            </wp:positionV>
            <wp:extent cx="36258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Name:Peter Kolchinsky</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bullet"/>
      <w:start w:val="1"/>
    </w:lvl>
  </w:abstractNum>
  <w:abstractNum w:abstractNumId="8">
    <w:nsid w:val="25E45D32"/>
    <w:multiLevelType w:val="hybridMultilevel"/>
    <w:lvl w:ilvl="0">
      <w:lvlJc w:val="left"/>
      <w:lvlText w:val="2"/>
      <w:numFmt w:val="bullet"/>
      <w:start w:val="1"/>
    </w:lvl>
  </w:abstractNum>
  <w:abstractNum w:abstractNumId="9">
    <w:nsid w:val="519B500D"/>
    <w:multiLevelType w:val="hybridMultilevel"/>
    <w:lvl w:ilvl="0">
      <w:lvlJc w:val="left"/>
      <w:lvlText w:val="3"/>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9"/>
      <w:numFmt w:val="bullet"/>
      <w:start w:val="1"/>
    </w:lvl>
  </w:abstractNum>
  <w:abstractNum w:abstractNumId="12">
    <w:nsid w:val="7C83E458"/>
    <w:multiLevelType w:val="hybridMultilevel"/>
    <w:lvl w:ilvl="0">
      <w:lvlJc w:val="left"/>
      <w:lvlText w:val="%1"/>
      <w:numFmt w:val="decimal"/>
      <w:start w:val="10"/>
    </w:lvl>
  </w:abstractNum>
  <w:abstractNum w:abstractNumId="13">
    <w:nsid w:val="257130A3"/>
    <w:multiLevelType w:val="hybridMultilevel"/>
    <w:lvl w:ilvl="0">
      <w:lvlJc w:val="left"/>
      <w:lvlText w:val="1"/>
      <w:numFmt w:val="bullet"/>
      <w:start w:val="1"/>
    </w:lvl>
  </w:abstractNum>
  <w:abstractNum w:abstractNumId="14">
    <w:nsid w:val="62BBD95A"/>
    <w:multiLevelType w:val="hybridMultilevel"/>
    <w:lvl w:ilvl="0">
      <w:lvlJc w:val="left"/>
      <w:lvlText w:val="2"/>
      <w:numFmt w:val="bullet"/>
      <w:start w:val="1"/>
    </w:lvl>
  </w:abstractNum>
  <w:abstractNum w:abstractNumId="15">
    <w:nsid w:val="436C6125"/>
    <w:multiLevelType w:val="hybridMultilevel"/>
    <w:lvl w:ilvl="0">
      <w:lvlJc w:val="left"/>
      <w:lvlText w:val="3"/>
      <w:numFmt w:val="bullet"/>
      <w:start w:val="1"/>
    </w:lvl>
  </w:abstractNum>
  <w:abstractNum w:abstractNumId="16">
    <w:nsid w:val="628C895D"/>
    <w:multiLevelType w:val="hybridMultilevel"/>
    <w:lvl w:ilvl="0">
      <w:lvlJc w:val="left"/>
      <w:lvlText w:val="4"/>
      <w:numFmt w:val="bullet"/>
      <w:start w:val="1"/>
    </w:lvl>
  </w:abstractNum>
  <w:abstractNum w:abstractNumId="17">
    <w:nsid w:val="333AB105"/>
    <w:multiLevelType w:val="hybridMultilevel"/>
    <w:lvl w:ilvl="0">
      <w:lvlJc w:val="left"/>
      <w:lvlText w:val="9"/>
      <w:numFmt w:val="bullet"/>
      <w:start w:val="1"/>
    </w:lvl>
  </w:abstractNum>
  <w:abstractNum w:abstractNumId="18">
    <w:nsid w:val="721DA317"/>
    <w:multiLevelType w:val="hybridMultilevel"/>
    <w:lvl w:ilvl="0">
      <w:lvlJc w:val="left"/>
      <w:lvlText w:val="%1"/>
      <w:numFmt w:val="decimal"/>
      <w:start w:val="10"/>
    </w:lvl>
  </w:abstractNum>
  <w:abstractNum w:abstractNumId="19">
    <w:nsid w:val="2443A858"/>
    <w:multiLevelType w:val="hybridMultilevel"/>
    <w:lvl w:ilvl="0">
      <w:lvlJc w:val="left"/>
      <w:lvlText w:val="1"/>
      <w:numFmt w:val="bullet"/>
      <w:start w:val="1"/>
    </w:lvl>
  </w:abstractNum>
  <w:abstractNum w:abstractNumId="20">
    <w:nsid w:val="2D1D5AE9"/>
    <w:multiLevelType w:val="hybridMultilevel"/>
    <w:lvl w:ilvl="0">
      <w:lvlJc w:val="left"/>
      <w:lvlText w:val="2"/>
      <w:numFmt w:val="bullet"/>
      <w:start w:val="1"/>
    </w:lvl>
  </w:abstractNum>
  <w:abstractNum w:abstractNumId="21">
    <w:nsid w:val="6763845E"/>
    <w:multiLevelType w:val="hybridMultilevel"/>
    <w:lvl w:ilvl="0">
      <w:lvlJc w:val="left"/>
      <w:lvlText w:val="3"/>
      <w:numFmt w:val="bullet"/>
      <w:start w:val="1"/>
    </w:lvl>
  </w:abstractNum>
  <w:abstractNum w:abstractNumId="22">
    <w:nsid w:val="75A2A8D4"/>
    <w:multiLevelType w:val="hybridMultilevel"/>
    <w:lvl w:ilvl="0">
      <w:lvlJc w:val="left"/>
      <w:lvlText w:val="4"/>
      <w:numFmt w:val="bullet"/>
      <w:start w:val="1"/>
    </w:lvl>
  </w:abstractNum>
  <w:abstractNum w:abstractNumId="23">
    <w:nsid w:val="8EDBDAB"/>
    <w:multiLevelType w:val="hybridMultilevel"/>
    <w:lvl w:ilvl="0">
      <w:lvlJc w:val="left"/>
      <w:lvlText w:val="9"/>
      <w:numFmt w:val="bullet"/>
      <w:start w:val="1"/>
    </w:lvl>
  </w:abstractNum>
  <w:abstractNum w:abstractNumId="24">
    <w:nsid w:val="79838CB2"/>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2024-02-14T17:24:18Z</dcterms:created>
  <dcterms:modified xsi:type="dcterms:W3CDTF">2024-02-14T17:24:18Z</dcterms:modified>
</cp:coreProperties>
</file>