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9" w:lineRule="exact"/>
        <w:rPr>
          <w:sz w:val="24"/>
          <w:szCs w:val="24"/>
          <w:color w:val="auto"/>
        </w:rPr>
      </w:pPr>
    </w:p>
    <w:p>
      <w:pPr>
        <w:ind w:left="3120" w:right="2520" w:hanging="3099"/>
        <w:spacing w:after="0" w:line="299" w:lineRule="auto"/>
        <w:tabs>
          <w:tab w:leader="none" w:pos="481"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FROM___________TO___________</w:t>
      </w:r>
    </w:p>
    <w:p>
      <w:pPr>
        <w:ind w:left="434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TENAYA THERAPEUTICS, INC.</w:t>
      </w:r>
    </w:p>
    <w:p>
      <w:pPr>
        <w:sectPr>
          <w:pgSz w:w="11900" w:h="16838" w:orient="portrait"/>
          <w:cols w:equalWidth="0" w:num="1">
            <w:col w:w="11240"/>
          </w:cols>
          <w:pgMar w:left="320" w:top="499" w:right="339" w:bottom="1440" w:gutter="0" w:footer="0" w:header="0"/>
        </w:sectPr>
      </w:pP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Delaware</w:t>
      </w:r>
    </w:p>
    <w:p>
      <w:pPr>
        <w:ind w:left="2020"/>
        <w:spacing w:after="0" w:line="218"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81-3789973</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640" w:space="300"/>
            <w:col w:w="330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500" w:type="dxa"/>
            <w:vAlign w:val="bottom"/>
          </w:tcPr>
          <w:p>
            <w:pPr>
              <w:jc w:val="center"/>
              <w:ind w:left="1069"/>
              <w:spacing w:after="0" w:line="178" w:lineRule="exact"/>
              <w:rPr>
                <w:sz w:val="20"/>
                <w:szCs w:val="20"/>
                <w:color w:val="auto"/>
              </w:rPr>
            </w:pPr>
            <w:r>
              <w:rPr>
                <w:rFonts w:ascii="Arial" w:cs="Arial" w:eastAsia="Arial" w:hAnsi="Arial"/>
                <w:sz w:val="16"/>
                <w:szCs w:val="16"/>
                <w:b w:val="1"/>
                <w:bCs w:val="1"/>
                <w:color w:val="auto"/>
                <w:w w:val="92"/>
              </w:rPr>
              <w:t>171 Oyster Point Boulevard, 5th Floor</w:t>
            </w: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00" w:type="dxa"/>
            <w:vAlign w:val="bottom"/>
          </w:tcPr>
          <w:p>
            <w:pPr>
              <w:jc w:val="center"/>
              <w:ind w:left="1049"/>
              <w:spacing w:after="0"/>
              <w:rPr>
                <w:sz w:val="20"/>
                <w:szCs w:val="20"/>
                <w:color w:val="auto"/>
              </w:rPr>
            </w:pPr>
            <w:r>
              <w:rPr>
                <w:rFonts w:ascii="Arial" w:cs="Arial" w:eastAsia="Arial" w:hAnsi="Arial"/>
                <w:sz w:val="16"/>
                <w:szCs w:val="16"/>
                <w:b w:val="1"/>
                <w:bCs w:val="1"/>
                <w:color w:val="auto"/>
                <w:w w:val="90"/>
              </w:rPr>
              <w:t>South San Francisco, CA</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00" w:type="dxa"/>
            <w:vAlign w:val="bottom"/>
            <w:gridSpan w:val="2"/>
          </w:tcPr>
          <w:p>
            <w:pPr>
              <w:jc w:val="right"/>
              <w:ind w:right="2537"/>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164"/>
        </w:trPr>
        <w:tc>
          <w:tcPr>
            <w:tcW w:w="4500" w:type="dxa"/>
            <w:vAlign w:val="bottom"/>
          </w:tcPr>
          <w:p>
            <w:pPr>
              <w:jc w:val="center"/>
              <w:ind w:left="106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jc w:val="center"/>
              <w:ind w:right="107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9"/>
        </w:trPr>
        <w:tc>
          <w:tcPr>
            <w:tcW w:w="11240" w:type="dxa"/>
            <w:vAlign w:val="bottom"/>
            <w:gridSpan w:val="6"/>
          </w:tcPr>
          <w:p>
            <w:pPr>
              <w:ind w:left="3280"/>
              <w:spacing w:after="0"/>
              <w:rPr>
                <w:sz w:val="20"/>
                <w:szCs w:val="20"/>
                <w:color w:val="auto"/>
              </w:rPr>
            </w:pPr>
            <w:r>
              <w:rPr>
                <w:rFonts w:ascii="Arial" w:cs="Arial" w:eastAsia="Arial" w:hAnsi="Arial"/>
                <w:sz w:val="16"/>
                <w:szCs w:val="16"/>
                <w:b w:val="1"/>
                <w:bCs w:val="1"/>
                <w:color w:val="auto"/>
              </w:rPr>
              <w:t>Registrant’s telephone number, including area code: (650) 825-6900</w:t>
            </w:r>
          </w:p>
        </w:tc>
        <w:tc>
          <w:tcPr>
            <w:tcW w:w="0" w:type="dxa"/>
            <w:vAlign w:val="bottom"/>
          </w:tcPr>
          <w:p>
            <w:pPr>
              <w:spacing w:after="0"/>
              <w:rPr>
                <w:sz w:val="1"/>
                <w:szCs w:val="1"/>
                <w:color w:val="auto"/>
              </w:rPr>
            </w:pPr>
          </w:p>
        </w:tc>
      </w:tr>
      <w:tr>
        <w:trPr>
          <w:trHeight w:val="222"/>
        </w:trPr>
        <w:tc>
          <w:tcPr>
            <w:tcW w:w="4500" w:type="dxa"/>
            <w:vAlign w:val="bottom"/>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40" w:type="dxa"/>
            <w:vAlign w:val="bottom"/>
          </w:tcPr>
          <w:p>
            <w:pPr>
              <w:spacing w:after="0"/>
              <w:rPr>
                <w:sz w:val="12"/>
                <w:szCs w:val="12"/>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Trading</w:t>
            </w:r>
          </w:p>
        </w:tc>
        <w:tc>
          <w:tcPr>
            <w:tcW w:w="20" w:type="dxa"/>
            <w:vAlign w:val="bottom"/>
          </w:tcPr>
          <w:p>
            <w:pPr>
              <w:spacing w:after="0"/>
              <w:rPr>
                <w:sz w:val="12"/>
                <w:szCs w:val="12"/>
                <w:color w:val="auto"/>
              </w:rPr>
            </w:pPr>
          </w:p>
        </w:tc>
        <w:tc>
          <w:tcPr>
            <w:tcW w:w="4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62"/>
        </w:trPr>
        <w:tc>
          <w:tcPr>
            <w:tcW w:w="4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Symbol(s)</w:t>
            </w:r>
          </w:p>
        </w:tc>
        <w:tc>
          <w:tcPr>
            <w:tcW w:w="20" w:type="dxa"/>
            <w:vAlign w:val="bottom"/>
          </w:tcPr>
          <w:p>
            <w:pPr>
              <w:spacing w:after="0"/>
              <w:rPr>
                <w:sz w:val="14"/>
                <w:szCs w:val="14"/>
                <w:color w:val="auto"/>
              </w:rPr>
            </w:pP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Common Stock $0.0001 par value per share</w:t>
            </w:r>
          </w:p>
        </w:tc>
        <w:tc>
          <w:tcPr>
            <w:tcW w:w="240" w:type="dxa"/>
            <w:vAlign w:val="bottom"/>
          </w:tcPr>
          <w:p>
            <w:pPr>
              <w:spacing w:after="0"/>
              <w:rPr>
                <w:sz w:val="13"/>
                <w:szCs w:val="13"/>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TNYA</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Nasdaq Global Select Market</w:t>
            </w:r>
          </w:p>
        </w:tc>
        <w:tc>
          <w:tcPr>
            <w:tcW w:w="0" w:type="dxa"/>
            <w:vAlign w:val="bottom"/>
          </w:tcPr>
          <w:p>
            <w:pPr>
              <w:spacing w:after="0"/>
              <w:rPr>
                <w:sz w:val="1"/>
                <w:szCs w:val="1"/>
                <w:color w:val="auto"/>
              </w:rPr>
            </w:pPr>
          </w:p>
        </w:tc>
      </w:tr>
    </w:tbl>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9" w:lineRule="exact"/>
        <w:rPr>
          <w:sz w:val="24"/>
          <w:szCs w:val="24"/>
          <w:color w:val="auto"/>
        </w:rPr>
      </w:pPr>
    </w:p>
    <w:p>
      <w:pPr>
        <w:ind w:right="4600"/>
        <w:spacing w:after="0" w:line="194"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100"/>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0"/>
        <w:spacing w:after="0" w:line="15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0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7"/>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0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0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8" w:lineRule="exact"/>
        <w:rPr>
          <w:sz w:val="24"/>
          <w:szCs w:val="24"/>
          <w:color w:val="auto"/>
        </w:rPr>
      </w:pPr>
    </w:p>
    <w:p>
      <w:pPr>
        <w:ind w:right="320"/>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180"/>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4" w:lineRule="exact"/>
        <w:rPr>
          <w:sz w:val="24"/>
          <w:szCs w:val="24"/>
          <w:color w:val="auto"/>
        </w:rPr>
      </w:pPr>
    </w:p>
    <w:p>
      <w:pPr>
        <w:ind w:right="80"/>
        <w:spacing w:after="0" w:line="254"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based on the closing price of the shares of common stock on the Nasdaq Global Select Stock Market on December 31, 2021 was $527,747,589. The Registrant has elected to use December 31, 2021, which was the last business day of the Registrant’s most recently completed fiscal year, as the calculation date because on June 30, 2021 (the last business day of the Registrant’s mostly recently completed second fiscal quarter), the Registrant was a privately-held company.</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17, 2022 was 41,294,053.</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4"/>
          <w:szCs w:val="24"/>
          <w:color w:val="auto"/>
        </w:rPr>
      </w:pPr>
    </w:p>
    <w:p>
      <w:pPr>
        <w:ind w:right="420"/>
        <w:spacing w:after="0" w:line="236" w:lineRule="auto"/>
        <w:rPr>
          <w:sz w:val="20"/>
          <w:szCs w:val="20"/>
          <w:color w:val="auto"/>
        </w:rPr>
      </w:pPr>
      <w:r>
        <w:rPr>
          <w:rFonts w:ascii="Arial" w:cs="Arial" w:eastAsia="Arial" w:hAnsi="Arial"/>
          <w:sz w:val="13"/>
          <w:szCs w:val="13"/>
          <w:color w:val="auto"/>
        </w:rPr>
        <w:t>Portions of the definitive proxy statement for the Registrant’s 2022 Annual Meeting of Stockholders are incorporated by reference in Part III of this Form 10-K. Such definitive proxy statement will be filed with the Securities and Exchange Commission within 120 days after the end of the Registrant’s 2021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9"/>
          </w:tcPr>
          <w:p>
            <w:pPr>
              <w:ind w:left="4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8"/>
            <w:vMerge w:val="continue"/>
          </w:tcPr>
          <w:p>
            <w:pPr>
              <w:spacing w:after="0"/>
              <w:rPr>
                <w:sz w:val="13"/>
                <w:szCs w:val="13"/>
                <w:color w:val="auto"/>
              </w:rPr>
            </w:pPr>
          </w:p>
        </w:tc>
        <w:tc>
          <w:tcPr>
            <w:tcW w:w="9160" w:type="dxa"/>
            <w:vAlign w:val="bottom"/>
            <w:gridSpan w:val="22"/>
            <w:vMerge w:val="restart"/>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160" w:type="dxa"/>
            <w:vAlign w:val="bottom"/>
            <w:gridSpan w:val="22"/>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gridSpan w:val="8"/>
          </w:tcPr>
          <w:p>
            <w:pPr>
              <w:ind w:left="120"/>
              <w:spacing w:after="0" w:line="169" w:lineRule="exact"/>
              <w:rPr>
                <w:sz w:val="20"/>
                <w:szCs w:val="20"/>
                <w:color w:val="auto"/>
              </w:rPr>
            </w:pPr>
            <w:r>
              <w:rPr>
                <w:rFonts w:ascii="Arial" w:cs="Arial" w:eastAsia="Arial" w:hAnsi="Arial"/>
                <w:sz w:val="18"/>
                <w:szCs w:val="18"/>
                <w:color w:val="auto"/>
              </w:rPr>
              <w:t>Item 1.</w:t>
            </w:r>
          </w:p>
        </w:tc>
        <w:tc>
          <w:tcPr>
            <w:tcW w:w="9160" w:type="dxa"/>
            <w:vAlign w:val="bottom"/>
            <w:gridSpan w:val="2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140" w:type="dxa"/>
            <w:vAlign w:val="bottom"/>
            <w:gridSpan w:val="21"/>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Risk Factors</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240" w:type="dxa"/>
            <w:vAlign w:val="bottom"/>
            <w:gridSpan w:val="17"/>
            <w:vMerge w:val="restart"/>
          </w:tcPr>
          <w:p>
            <w:pPr>
              <w:spacing w:after="0" w:line="189" w:lineRule="exact"/>
              <w:rPr>
                <w:rFonts w:ascii="Arial" w:cs="Arial" w:eastAsia="Arial" w:hAnsi="Arial"/>
                <w:sz w:val="18"/>
                <w:szCs w:val="18"/>
                <w:color w:val="0000FF"/>
              </w:rPr>
            </w:pPr>
            <w:hyperlink w:anchor="page155">
              <w:r>
                <w:rPr>
                  <w:rFonts w:ascii="Arial" w:cs="Arial" w:eastAsia="Arial" w:hAnsi="Arial"/>
                  <w:sz w:val="18"/>
                  <w:szCs w:val="18"/>
                  <w:color w:val="0000FF"/>
                </w:rPr>
                <w:t>Staff Comments</w:t>
              </w:r>
            </w:hyperlink>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920" w:type="dxa"/>
            <w:vAlign w:val="bottom"/>
            <w:gridSpan w:val="5"/>
          </w:tcPr>
          <w:p>
            <w:pPr>
              <w:spacing w:after="0" w:line="169" w:lineRule="exact"/>
              <w:rPr>
                <w:rFonts w:ascii="Arial" w:cs="Arial" w:eastAsia="Arial" w:hAnsi="Arial"/>
                <w:sz w:val="18"/>
                <w:szCs w:val="18"/>
                <w:color w:val="0000FF"/>
                <w:w w:val="96"/>
              </w:rPr>
            </w:pPr>
            <w:hyperlink w:anchor="page155">
              <w:r>
                <w:rPr>
                  <w:rFonts w:ascii="Arial" w:cs="Arial" w:eastAsia="Arial" w:hAnsi="Arial"/>
                  <w:sz w:val="18"/>
                  <w:szCs w:val="18"/>
                  <w:color w:val="0000FF"/>
                  <w:w w:val="96"/>
                </w:rPr>
                <w:t>Unresolved</w:t>
              </w:r>
            </w:hyperlink>
          </w:p>
        </w:tc>
        <w:tc>
          <w:tcPr>
            <w:tcW w:w="8240" w:type="dxa"/>
            <w:vAlign w:val="bottom"/>
            <w:gridSpan w:val="17"/>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2040" w:type="dxa"/>
            <w:vAlign w:val="bottom"/>
            <w:gridSpan w:val="10"/>
          </w:tcPr>
          <w:p>
            <w:pPr>
              <w:spacing w:after="0" w:line="169" w:lineRule="exact"/>
              <w:rPr>
                <w:rFonts w:ascii="Arial" w:cs="Arial" w:eastAsia="Arial" w:hAnsi="Arial"/>
                <w:sz w:val="18"/>
                <w:szCs w:val="18"/>
                <w:color w:val="0000FF"/>
              </w:rPr>
            </w:pPr>
            <w:hyperlink w:anchor="page155">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9160" w:type="dxa"/>
            <w:vAlign w:val="bottom"/>
            <w:gridSpan w:val="22"/>
          </w:tcPr>
          <w:p>
            <w:pPr>
              <w:spacing w:after="0" w:line="169" w:lineRule="exact"/>
              <w:rPr>
                <w:rFonts w:ascii="Arial" w:cs="Arial" w:eastAsia="Arial" w:hAnsi="Arial"/>
                <w:sz w:val="18"/>
                <w:szCs w:val="18"/>
                <w:color w:val="0000FF"/>
              </w:rPr>
            </w:pPr>
            <w:hyperlink w:anchor="page155">
              <w:r>
                <w:rPr>
                  <w:rFonts w:ascii="Arial" w:cs="Arial" w:eastAsia="Arial" w:hAnsi="Arial"/>
                  <w:sz w:val="18"/>
                  <w:szCs w:val="18"/>
                  <w:color w:val="0000FF"/>
                </w:rPr>
                <w:t>Legal Proceedings</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9160" w:type="dxa"/>
            <w:vAlign w:val="bottom"/>
            <w:gridSpan w:val="22"/>
          </w:tcPr>
          <w:p>
            <w:pPr>
              <w:spacing w:after="0" w:line="169" w:lineRule="exact"/>
              <w:rPr>
                <w:rFonts w:ascii="Arial" w:cs="Arial" w:eastAsia="Arial" w:hAnsi="Arial"/>
                <w:sz w:val="18"/>
                <w:szCs w:val="18"/>
                <w:color w:val="0000FF"/>
              </w:rPr>
            </w:pPr>
            <w:hyperlink w:anchor="page155">
              <w:r>
                <w:rPr>
                  <w:rFonts w:ascii="Arial" w:cs="Arial" w:eastAsia="Arial" w:hAnsi="Arial"/>
                  <w:sz w:val="18"/>
                  <w:szCs w:val="18"/>
                  <w:color w:val="0000FF"/>
                </w:rPr>
                <w:t>Mine Safety Disclosures</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spacing w:after="0"/>
              <w:rPr>
                <w:rFonts w:ascii="Arial" w:cs="Arial" w:eastAsia="Arial" w:hAnsi="Arial"/>
                <w:sz w:val="18"/>
                <w:szCs w:val="18"/>
                <w:b w:val="1"/>
                <w:bCs w:val="1"/>
                <w:color w:val="0000FF"/>
              </w:rPr>
            </w:pPr>
            <w:hyperlink w:anchor="page156">
              <w:r>
                <w:rPr>
                  <w:rFonts w:ascii="Arial" w:cs="Arial" w:eastAsia="Arial" w:hAnsi="Arial"/>
                  <w:sz w:val="18"/>
                  <w:szCs w:val="18"/>
                  <w:b w:val="1"/>
                  <w:bCs w:val="1"/>
                  <w:color w:val="0000FF"/>
                </w:rPr>
                <w:t>PART 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8"/>
            <w:vMerge w:val="continue"/>
          </w:tcPr>
          <w:p>
            <w:pPr>
              <w:spacing w:after="0"/>
              <w:rPr>
                <w:sz w:val="24"/>
                <w:szCs w:val="24"/>
                <w:color w:val="auto"/>
              </w:rPr>
            </w:pPr>
          </w:p>
        </w:tc>
        <w:tc>
          <w:tcPr>
            <w:tcW w:w="9160" w:type="dxa"/>
            <w:vAlign w:val="bottom"/>
            <w:gridSpan w:val="22"/>
            <w:vMerge w:val="restart"/>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Market for Registrant’s Common Equity, Related Stockholder Matters and Issuer Purchases of Equity Securities</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69"/>
        </w:trPr>
        <w:tc>
          <w:tcPr>
            <w:tcW w:w="660" w:type="dxa"/>
            <w:vAlign w:val="bottom"/>
            <w:tcBorders>
              <w:top w:val="single" w:sz="8" w:color="0000FF"/>
            </w:tcBorders>
            <w:gridSpan w:val="3"/>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60" w:type="dxa"/>
            <w:vAlign w:val="bottom"/>
            <w:gridSpan w:val="2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8"/>
          </w:tcPr>
          <w:p>
            <w:pPr>
              <w:ind w:left="120"/>
              <w:spacing w:after="0" w:line="169"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0000EE"/>
            </w:tcBorders>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3"/>
              </w:rPr>
            </w:pPr>
            <w:hyperlink w:anchor="page156">
              <w:r>
                <w:rPr>
                  <w:rFonts w:ascii="Arial" w:cs="Arial" w:eastAsia="Arial" w:hAnsi="Arial"/>
                  <w:sz w:val="18"/>
                  <w:szCs w:val="18"/>
                  <w:color w:val="0000FF"/>
                  <w:w w:val="83"/>
                </w:rPr>
                <w:t>Reserved</w:t>
              </w:r>
            </w:hyperlink>
          </w:p>
        </w:tc>
        <w:tc>
          <w:tcPr>
            <w:tcW w:w="80" w:type="dxa"/>
            <w:vAlign w:val="bottom"/>
            <w:tcBorders>
              <w:top w:val="single" w:sz="8" w:color="0000FF"/>
              <w:bottom w:val="single" w:sz="8" w:color="0000EE"/>
            </w:tcBorders>
          </w:tcPr>
          <w:p>
            <w:pPr>
              <w:spacing w:after="0"/>
              <w:rPr>
                <w:sz w:val="14"/>
                <w:szCs w:val="14"/>
                <w:color w:val="auto"/>
              </w:rPr>
            </w:pPr>
          </w:p>
        </w:tc>
        <w:tc>
          <w:tcPr>
            <w:tcW w:w="7320" w:type="dxa"/>
            <w:vAlign w:val="bottom"/>
            <w:tcBorders>
              <w:top w:val="single" w:sz="8" w:color="0000FF"/>
            </w:tcBorders>
            <w:gridSpan w:val="17"/>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69"/>
        </w:trPr>
        <w:tc>
          <w:tcPr>
            <w:tcW w:w="1160" w:type="dxa"/>
            <w:vAlign w:val="bottom"/>
            <w:gridSpan w:val="8"/>
          </w:tcPr>
          <w:p>
            <w:pPr>
              <w:ind w:left="120"/>
              <w:spacing w:after="0" w:line="169" w:lineRule="exact"/>
              <w:rPr>
                <w:sz w:val="20"/>
                <w:szCs w:val="20"/>
                <w:color w:val="auto"/>
              </w:rPr>
            </w:pPr>
            <w:r>
              <w:rPr>
                <w:rFonts w:ascii="Arial" w:cs="Arial" w:eastAsia="Arial" w:hAnsi="Arial"/>
                <w:sz w:val="18"/>
                <w:szCs w:val="18"/>
                <w:color w:val="auto"/>
              </w:rPr>
              <w:t>Item 7.</w:t>
            </w:r>
          </w:p>
        </w:tc>
        <w:tc>
          <w:tcPr>
            <w:tcW w:w="9160" w:type="dxa"/>
            <w:vAlign w:val="bottom"/>
            <w:gridSpan w:val="22"/>
          </w:tcPr>
          <w:p>
            <w:pPr>
              <w:spacing w:after="0" w:line="169" w:lineRule="exact"/>
              <w:rPr>
                <w:rFonts w:ascii="Arial" w:cs="Arial" w:eastAsia="Arial" w:hAnsi="Arial"/>
                <w:sz w:val="18"/>
                <w:szCs w:val="18"/>
                <w:color w:val="0000FF"/>
              </w:rPr>
            </w:pPr>
            <w:hyperlink w:anchor="page157">
              <w:r>
                <w:rPr>
                  <w:rFonts w:ascii="Arial" w:cs="Arial" w:eastAsia="Arial" w:hAnsi="Arial"/>
                  <w:sz w:val="18"/>
                  <w:szCs w:val="18"/>
                  <w:color w:val="0000FF"/>
                </w:rPr>
                <w:t>Management’s Discussion and Analysis of Financial Condition and Results of Operations</w:t>
              </w:r>
            </w:hyperlink>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163</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6460" w:type="dxa"/>
            <w:vAlign w:val="bottom"/>
            <w:gridSpan w:val="18"/>
          </w:tcPr>
          <w:p>
            <w:pPr>
              <w:spacing w:after="0" w:line="169" w:lineRule="exact"/>
              <w:rPr>
                <w:rFonts w:ascii="Arial" w:cs="Arial" w:eastAsia="Arial" w:hAnsi="Arial"/>
                <w:sz w:val="18"/>
                <w:szCs w:val="18"/>
                <w:color w:val="0000FF"/>
              </w:rPr>
            </w:pPr>
            <w:hyperlink w:anchor="page165">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164</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4360" w:type="dxa"/>
            <w:vAlign w:val="bottom"/>
            <w:gridSpan w:val="15"/>
          </w:tcPr>
          <w:p>
            <w:pPr>
              <w:spacing w:after="0" w:line="169" w:lineRule="exact"/>
              <w:rPr>
                <w:rFonts w:ascii="Arial" w:cs="Arial" w:eastAsia="Arial" w:hAnsi="Arial"/>
                <w:sz w:val="18"/>
                <w:szCs w:val="18"/>
                <w:color w:val="0000FF"/>
              </w:rPr>
            </w:pPr>
            <w:hyperlink w:anchor="page166">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186</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9160" w:type="dxa"/>
            <w:vAlign w:val="bottom"/>
            <w:gridSpan w:val="22"/>
          </w:tcPr>
          <w:p>
            <w:pPr>
              <w:spacing w:after="0" w:line="169" w:lineRule="exact"/>
              <w:rPr>
                <w:rFonts w:ascii="Arial" w:cs="Arial" w:eastAsia="Arial" w:hAnsi="Arial"/>
                <w:sz w:val="18"/>
                <w:szCs w:val="18"/>
                <w:color w:val="0000FF"/>
              </w:rPr>
            </w:pPr>
            <w:hyperlink w:anchor="page188">
              <w:r>
                <w:rPr>
                  <w:rFonts w:ascii="Arial" w:cs="Arial" w:eastAsia="Arial" w:hAnsi="Arial"/>
                  <w:sz w:val="18"/>
                  <w:szCs w:val="18"/>
                  <w:color w:val="0000FF"/>
                </w:rPr>
                <w:t>Changes in and Disagreements With Accountants on Accounting and Financial Disclosure</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186</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6520" w:type="dxa"/>
            <w:vAlign w:val="bottom"/>
            <w:gridSpan w:val="19"/>
          </w:tcPr>
          <w:p>
            <w:pPr>
              <w:spacing w:after="0" w:line="169" w:lineRule="exact"/>
              <w:rPr>
                <w:rFonts w:ascii="Arial" w:cs="Arial" w:eastAsia="Arial" w:hAnsi="Arial"/>
                <w:sz w:val="18"/>
                <w:szCs w:val="18"/>
                <w:color w:val="0000FF"/>
              </w:rPr>
            </w:pPr>
            <w:hyperlink w:anchor="page188">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186</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1780" w:type="dxa"/>
            <w:vAlign w:val="bottom"/>
            <w:gridSpan w:val="8"/>
          </w:tcPr>
          <w:p>
            <w:pPr>
              <w:spacing w:after="0" w:line="169" w:lineRule="exact"/>
              <w:rPr>
                <w:rFonts w:ascii="Arial" w:cs="Arial" w:eastAsia="Arial" w:hAnsi="Arial"/>
                <w:sz w:val="18"/>
                <w:szCs w:val="18"/>
                <w:color w:val="0000FF"/>
              </w:rPr>
            </w:pPr>
            <w:hyperlink w:anchor="page188">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040" w:type="dxa"/>
            <w:vAlign w:val="bottom"/>
            <w:gridSpan w:val="7"/>
            <w:vMerge w:val="restart"/>
          </w:tcPr>
          <w:p>
            <w:pPr>
              <w:ind w:left="20"/>
              <w:spacing w:after="0" w:line="189"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186</w:t>
            </w:r>
          </w:p>
        </w:tc>
        <w:tc>
          <w:tcPr>
            <w:tcW w:w="0" w:type="dxa"/>
            <w:vAlign w:val="bottom"/>
          </w:tcPr>
          <w:p>
            <w:pPr>
              <w:spacing w:after="0" w:line="20" w:lineRule="exact"/>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40" w:type="dxa"/>
            <w:vAlign w:val="bottom"/>
            <w:gridSpan w:val="7"/>
            <w:vMerge w:val="continue"/>
          </w:tcPr>
          <w:p>
            <w:pPr>
              <w:spacing w:after="0"/>
              <w:rPr>
                <w:sz w:val="14"/>
                <w:szCs w:val="14"/>
                <w:color w:val="auto"/>
              </w:rPr>
            </w:pPr>
          </w:p>
        </w:tc>
        <w:tc>
          <w:tcPr>
            <w:tcW w:w="9160" w:type="dxa"/>
            <w:vAlign w:val="bottom"/>
            <w:gridSpan w:val="22"/>
          </w:tcPr>
          <w:p>
            <w:pPr>
              <w:spacing w:after="0" w:line="169" w:lineRule="exact"/>
              <w:rPr>
                <w:rFonts w:ascii="Arial" w:cs="Arial" w:eastAsia="Arial" w:hAnsi="Arial"/>
                <w:sz w:val="18"/>
                <w:szCs w:val="18"/>
                <w:color w:val="0000FF"/>
              </w:rPr>
            </w:pPr>
            <w:hyperlink w:anchor="page188">
              <w:r>
                <w:rPr>
                  <w:rFonts w:ascii="Arial" w:cs="Arial" w:eastAsia="Arial" w:hAnsi="Arial"/>
                  <w:sz w:val="18"/>
                  <w:szCs w:val="18"/>
                  <w:color w:val="0000FF"/>
                </w:rPr>
                <w:t>Disclosure Regarding Foreign Jurisdictions that Prevent Inspections</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spacing w:after="0"/>
              <w:rPr>
                <w:rFonts w:ascii="Arial" w:cs="Arial" w:eastAsia="Arial" w:hAnsi="Arial"/>
                <w:sz w:val="18"/>
                <w:szCs w:val="18"/>
                <w:b w:val="1"/>
                <w:bCs w:val="1"/>
                <w:color w:val="0000FF"/>
              </w:rPr>
            </w:pPr>
            <w:hyperlink w:anchor="page189">
              <w:r>
                <w:rPr>
                  <w:rFonts w:ascii="Arial" w:cs="Arial" w:eastAsia="Arial" w:hAnsi="Arial"/>
                  <w:sz w:val="18"/>
                  <w:szCs w:val="18"/>
                  <w:b w:val="1"/>
                  <w:bCs w:val="1"/>
                  <w:color w:val="0000FF"/>
                </w:rPr>
                <w:t>PART III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8"/>
            <w:vMerge w:val="continue"/>
          </w:tcPr>
          <w:p>
            <w:pPr>
              <w:spacing w:after="0"/>
              <w:rPr>
                <w:sz w:val="24"/>
                <w:szCs w:val="24"/>
                <w:color w:val="auto"/>
              </w:rPr>
            </w:pPr>
          </w:p>
        </w:tc>
        <w:tc>
          <w:tcPr>
            <w:tcW w:w="9160" w:type="dxa"/>
            <w:vAlign w:val="bottom"/>
            <w:gridSpan w:val="22"/>
            <w:vMerge w:val="restart"/>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Directors, Executive Officers and Corporate Governance</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69"/>
        </w:trPr>
        <w:tc>
          <w:tcPr>
            <w:tcW w:w="760" w:type="dxa"/>
            <w:vAlign w:val="bottom"/>
            <w:tcBorders>
              <w:top w:val="single" w:sz="8" w:color="0000FF"/>
            </w:tcBorders>
            <w:gridSpan w:val="6"/>
          </w:tcPr>
          <w:p>
            <w:pPr>
              <w:ind w:left="120"/>
              <w:spacing w:after="0" w:line="169" w:lineRule="exact"/>
              <w:rPr>
                <w:sz w:val="20"/>
                <w:szCs w:val="20"/>
                <w:color w:val="auto"/>
              </w:rPr>
            </w:pPr>
            <w:r>
              <w:rPr>
                <w:rFonts w:ascii="Arial" w:cs="Arial" w:eastAsia="Arial" w:hAnsi="Arial"/>
                <w:sz w:val="18"/>
                <w:szCs w:val="18"/>
                <w:color w:val="auto"/>
                <w:w w:val="95"/>
              </w:rPr>
              <w:t>Item 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60" w:type="dxa"/>
            <w:vAlign w:val="bottom"/>
            <w:gridSpan w:val="2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8"/>
          </w:tcPr>
          <w:p>
            <w:pPr>
              <w:ind w:left="120"/>
              <w:spacing w:after="0" w:line="169"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4"/>
                <w:szCs w:val="14"/>
                <w:color w:val="auto"/>
              </w:rPr>
            </w:pPr>
          </w:p>
        </w:tc>
        <w:tc>
          <w:tcPr>
            <w:tcW w:w="40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189">
              <w:r>
                <w:rPr>
                  <w:rFonts w:ascii="Arial" w:cs="Arial" w:eastAsia="Arial" w:hAnsi="Arial"/>
                  <w:sz w:val="18"/>
                  <w:szCs w:val="18"/>
                  <w:color w:val="0000FF"/>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860" w:type="dxa"/>
            <w:vAlign w:val="bottom"/>
            <w:gridSpan w:val="2"/>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40" w:type="dxa"/>
            <w:vAlign w:val="bottom"/>
            <w:gridSpan w:val="13"/>
            <w:vMerge w:val="restart"/>
          </w:tcPr>
          <w:p>
            <w:pPr>
              <w:spacing w:after="0" w:line="189" w:lineRule="exact"/>
              <w:rPr>
                <w:rFonts w:ascii="Arial" w:cs="Arial" w:eastAsia="Arial" w:hAnsi="Arial"/>
                <w:sz w:val="18"/>
                <w:szCs w:val="18"/>
                <w:color w:val="0000FF"/>
              </w:rPr>
            </w:pPr>
            <w:hyperlink w:anchor="page189">
              <w:r>
                <w:rPr>
                  <w:rFonts w:ascii="Arial" w:cs="Arial" w:eastAsia="Arial" w:hAnsi="Arial"/>
                  <w:sz w:val="18"/>
                  <w:szCs w:val="18"/>
                  <w:color w:val="0000FF"/>
                </w:rPr>
                <w:t>Certain Beneficial Owners and Management and Related Stockholder Matters</w:t>
              </w:r>
            </w:hyperlink>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1820" w:type="dxa"/>
            <w:vAlign w:val="bottom"/>
            <w:gridSpan w:val="9"/>
          </w:tcPr>
          <w:p>
            <w:pPr>
              <w:spacing w:after="0" w:line="169" w:lineRule="exact"/>
              <w:rPr>
                <w:rFonts w:ascii="Arial" w:cs="Arial" w:eastAsia="Arial" w:hAnsi="Arial"/>
                <w:sz w:val="18"/>
                <w:szCs w:val="18"/>
                <w:color w:val="0000FF"/>
              </w:rPr>
            </w:pPr>
            <w:hyperlink w:anchor="page189">
              <w:r>
                <w:rPr>
                  <w:rFonts w:ascii="Arial" w:cs="Arial" w:eastAsia="Arial" w:hAnsi="Arial"/>
                  <w:sz w:val="18"/>
                  <w:szCs w:val="18"/>
                  <w:color w:val="0000FF"/>
                </w:rPr>
                <w:t>Security Ownership of</w:t>
              </w:r>
            </w:hyperlink>
          </w:p>
        </w:tc>
        <w:tc>
          <w:tcPr>
            <w:tcW w:w="7340" w:type="dxa"/>
            <w:vAlign w:val="bottom"/>
            <w:gridSpan w:val="1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7300" w:type="dxa"/>
            <w:vAlign w:val="bottom"/>
            <w:gridSpan w:val="20"/>
          </w:tcPr>
          <w:p>
            <w:pPr>
              <w:spacing w:after="0" w:line="169" w:lineRule="exact"/>
              <w:rPr>
                <w:rFonts w:ascii="Arial" w:cs="Arial" w:eastAsia="Arial" w:hAnsi="Arial"/>
                <w:sz w:val="18"/>
                <w:szCs w:val="18"/>
                <w:color w:val="0000FF"/>
              </w:rPr>
            </w:pPr>
            <w:hyperlink w:anchor="page189">
              <w:r>
                <w:rPr>
                  <w:rFonts w:ascii="Arial" w:cs="Arial" w:eastAsia="Arial" w:hAnsi="Arial"/>
                  <w:sz w:val="18"/>
                  <w:szCs w:val="18"/>
                  <w:color w:val="0000FF"/>
                </w:rPr>
                <w:t>Certain Relationships and Related Transactions, and Director Independence</w:t>
              </w:r>
            </w:hyperlink>
          </w:p>
        </w:tc>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8"/>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00" w:type="dxa"/>
            <w:vAlign w:val="bottom"/>
            <w:gridSpan w:val="5"/>
            <w:vMerge w:val="restart"/>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line="20" w:lineRule="exact"/>
              <w:rPr>
                <w:sz w:val="1"/>
                <w:szCs w:val="1"/>
                <w:color w:val="auto"/>
              </w:rPr>
            </w:pPr>
          </w:p>
        </w:tc>
      </w:tr>
      <w:tr>
        <w:trPr>
          <w:trHeight w:val="169"/>
        </w:trPr>
        <w:tc>
          <w:tcPr>
            <w:tcW w:w="1160" w:type="dxa"/>
            <w:vAlign w:val="bottom"/>
            <w:gridSpan w:val="8"/>
            <w:vMerge w:val="continue"/>
          </w:tcPr>
          <w:p>
            <w:pPr>
              <w:spacing w:after="0"/>
              <w:rPr>
                <w:sz w:val="14"/>
                <w:szCs w:val="14"/>
                <w:color w:val="auto"/>
              </w:rPr>
            </w:pPr>
          </w:p>
        </w:tc>
        <w:tc>
          <w:tcPr>
            <w:tcW w:w="5460" w:type="dxa"/>
            <w:vAlign w:val="bottom"/>
            <w:gridSpan w:val="17"/>
          </w:tcPr>
          <w:p>
            <w:pPr>
              <w:spacing w:after="0" w:line="169" w:lineRule="exact"/>
              <w:rPr>
                <w:rFonts w:ascii="Arial" w:cs="Arial" w:eastAsia="Arial" w:hAnsi="Arial"/>
                <w:sz w:val="18"/>
                <w:szCs w:val="18"/>
                <w:color w:val="0000FF"/>
              </w:rPr>
            </w:pPr>
            <w:hyperlink w:anchor="page189">
              <w:r>
                <w:rPr>
                  <w:rFonts w:ascii="Arial" w:cs="Arial" w:eastAsia="Arial" w:hAnsi="Arial"/>
                  <w:sz w:val="18"/>
                  <w:szCs w:val="18"/>
                  <w:color w:val="0000FF"/>
                </w:rPr>
                <w:t>Principal Accounting Fees and Services</w:t>
              </w:r>
            </w:hyperlink>
          </w:p>
        </w:tc>
        <w:tc>
          <w:tcPr>
            <w:tcW w:w="3700" w:type="dxa"/>
            <w:vAlign w:val="bottom"/>
            <w:gridSpan w:val="5"/>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spacing w:after="0"/>
              <w:rPr>
                <w:rFonts w:ascii="Arial" w:cs="Arial" w:eastAsia="Arial" w:hAnsi="Arial"/>
                <w:sz w:val="18"/>
                <w:szCs w:val="18"/>
                <w:b w:val="1"/>
                <w:bCs w:val="1"/>
                <w:color w:val="0000FF"/>
                <w:w w:val="98"/>
              </w:rPr>
            </w:pPr>
            <w:hyperlink w:anchor="page190">
              <w:r>
                <w:rPr>
                  <w:rFonts w:ascii="Arial" w:cs="Arial" w:eastAsia="Arial" w:hAnsi="Arial"/>
                  <w:sz w:val="18"/>
                  <w:szCs w:val="18"/>
                  <w:b w:val="1"/>
                  <w:bCs w:val="1"/>
                  <w:color w:val="0000FF"/>
                  <w:w w:val="98"/>
                </w:rPr>
                <w:t>PART IV</w:t>
              </w:r>
            </w:hyperlink>
          </w:p>
        </w:tc>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20" w:type="dxa"/>
            <w:vAlign w:val="bottom"/>
            <w:tcBorders>
              <w:bottom w:val="single" w:sz="8" w:color="0000FF"/>
            </w:tcBorders>
            <w:gridSpan w:val="4"/>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9160" w:type="dxa"/>
            <w:vAlign w:val="bottom"/>
            <w:gridSpan w:val="22"/>
            <w:vMerge w:val="restart"/>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Exhibits, Financial Statement Schedules</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69"/>
        </w:trPr>
        <w:tc>
          <w:tcPr>
            <w:tcW w:w="740" w:type="dxa"/>
            <w:vAlign w:val="bottom"/>
            <w:gridSpan w:val="5"/>
          </w:tcPr>
          <w:p>
            <w:pPr>
              <w:ind w:left="120"/>
              <w:spacing w:after="0" w:line="169" w:lineRule="exact"/>
              <w:rPr>
                <w:sz w:val="20"/>
                <w:szCs w:val="20"/>
                <w:color w:val="auto"/>
              </w:rPr>
            </w:pPr>
            <w:r>
              <w:rPr>
                <w:rFonts w:ascii="Arial" w:cs="Arial" w:eastAsia="Arial" w:hAnsi="Arial"/>
                <w:sz w:val="18"/>
                <w:szCs w:val="18"/>
                <w:color w:val="auto"/>
                <w:w w:val="92"/>
              </w:rPr>
              <w:t>Item 15.</w:t>
            </w:r>
          </w:p>
        </w:tc>
        <w:tc>
          <w:tcPr>
            <w:tcW w:w="1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160" w:type="dxa"/>
            <w:vAlign w:val="bottom"/>
            <w:gridSpan w:val="2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8"/>
          </w:tcPr>
          <w:p>
            <w:pPr>
              <w:ind w:left="120"/>
              <w:spacing w:after="0" w:line="169"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4"/>
                <w:szCs w:val="14"/>
                <w:color w:val="auto"/>
              </w:rPr>
            </w:pPr>
          </w:p>
        </w:tc>
        <w:tc>
          <w:tcPr>
            <w:tcW w:w="28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190">
              <w:r>
                <w:rPr>
                  <w:rFonts w:ascii="Arial" w:cs="Arial" w:eastAsia="Arial" w:hAnsi="Arial"/>
                  <w:sz w:val="18"/>
                  <w:szCs w:val="18"/>
                  <w:color w:val="0000FF"/>
                </w:rPr>
                <w:t>Form 10-K Summary</w:t>
              </w:r>
            </w:hyperlink>
          </w:p>
        </w:tc>
        <w:tc>
          <w:tcPr>
            <w:tcW w:w="6260" w:type="dxa"/>
            <w:vAlign w:val="bottom"/>
            <w:gridSpan w:val="10"/>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gridSpan w:val="7"/>
          </w:tcPr>
          <w:p>
            <w:pPr>
              <w:spacing w:after="0" w:line="169" w:lineRule="exact"/>
              <w:rPr>
                <w:rFonts w:ascii="Arial" w:cs="Arial" w:eastAsia="Arial" w:hAnsi="Arial"/>
                <w:sz w:val="18"/>
                <w:szCs w:val="18"/>
                <w:color w:val="0000FF"/>
              </w:rPr>
            </w:pPr>
            <w:hyperlink w:anchor="page193">
              <w:r>
                <w:rPr>
                  <w:rFonts w:ascii="Arial" w:cs="Arial" w:eastAsia="Arial" w:hAnsi="Arial"/>
                  <w:sz w:val="18"/>
                  <w:szCs w:val="18"/>
                  <w:color w:val="0000FF"/>
                </w:rPr>
                <w:t>Signatures</w:t>
              </w:r>
            </w:hyperlink>
          </w:p>
        </w:tc>
        <w:tc>
          <w:tcPr>
            <w:tcW w:w="20" w:type="dxa"/>
            <w:vAlign w:val="bottom"/>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This Annual Report on Form 10-K, or Annual Report, contains forward-looking statements within the meaning of Section 27A of the Securities Act of 1933 and Section 21E of the Securities Exchange Act of 1934.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6" w:lineRule="exact"/>
        <w:rPr>
          <w:sz w:val="20"/>
          <w:szCs w:val="20"/>
          <w:color w:val="auto"/>
        </w:rPr>
      </w:pPr>
    </w:p>
    <w:p>
      <w:pPr>
        <w:ind w:left="1140" w:right="460" w:hanging="504"/>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62" w:lineRule="exact"/>
        <w:rPr>
          <w:rFonts w:ascii="Arial" w:cs="Arial" w:eastAsia="Arial" w:hAnsi="Arial"/>
          <w:sz w:val="18"/>
          <w:szCs w:val="18"/>
          <w:color w:val="auto"/>
        </w:rPr>
      </w:pPr>
    </w:p>
    <w:p>
      <w:pPr>
        <w:ind w:left="1140" w:right="580" w:hanging="504"/>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planned clinical trials for our current product candidates and other product candidates we may develop;</w:t>
      </w:r>
    </w:p>
    <w:p>
      <w:pPr>
        <w:spacing w:after="0" w:line="62" w:lineRule="exact"/>
        <w:rPr>
          <w:rFonts w:ascii="Arial" w:cs="Arial" w:eastAsia="Arial" w:hAnsi="Arial"/>
          <w:sz w:val="18"/>
          <w:szCs w:val="18"/>
          <w:color w:val="auto"/>
        </w:rPr>
      </w:pPr>
    </w:p>
    <w:p>
      <w:pPr>
        <w:ind w:left="1140" w:right="60" w:hanging="504"/>
        <w:spacing w:after="0" w:line="24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73" w:lineRule="exact"/>
        <w:rPr>
          <w:rFonts w:ascii="Arial" w:cs="Arial" w:eastAsia="Arial" w:hAnsi="Arial"/>
          <w:sz w:val="18"/>
          <w:szCs w:val="18"/>
          <w:color w:val="auto"/>
        </w:rPr>
      </w:pPr>
    </w:p>
    <w:p>
      <w:pPr>
        <w:ind w:left="1140" w:hanging="50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strategy and the timing of our facilities becoming operational;</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the further development of our product candidates, including additional indications and targets we may pursue;</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effects of the COVID-19 pandemic on our business, including our preclinical studies and clinical trials;</w:t>
      </w:r>
    </w:p>
    <w:p>
      <w:pPr>
        <w:spacing w:after="0" w:line="115" w:lineRule="exact"/>
        <w:rPr>
          <w:rFonts w:ascii="Arial" w:cs="Arial" w:eastAsia="Arial" w:hAnsi="Arial"/>
          <w:sz w:val="17"/>
          <w:szCs w:val="17"/>
          <w:color w:val="auto"/>
        </w:rPr>
      </w:pPr>
    </w:p>
    <w:p>
      <w:pPr>
        <w:ind w:left="1140" w:right="80" w:hanging="504"/>
        <w:spacing w:after="0" w:line="243"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9" w:lineRule="exact"/>
        <w:rPr>
          <w:rFonts w:ascii="Arial" w:cs="Arial" w:eastAsia="Arial" w:hAnsi="Arial"/>
          <w:sz w:val="18"/>
          <w:szCs w:val="18"/>
          <w:color w:val="auto"/>
        </w:rPr>
      </w:pPr>
    </w:p>
    <w:p>
      <w:pPr>
        <w:ind w:left="1140" w:right="40" w:hanging="504"/>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62" w:lineRule="exact"/>
        <w:rPr>
          <w:rFonts w:ascii="Arial" w:cs="Arial" w:eastAsia="Arial" w:hAnsi="Arial"/>
          <w:sz w:val="18"/>
          <w:szCs w:val="18"/>
          <w:color w:val="auto"/>
        </w:rPr>
      </w:pPr>
    </w:p>
    <w:p>
      <w:pPr>
        <w:ind w:left="1140" w:hanging="504"/>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140" w:right="100" w:hanging="504"/>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140" w:right="620" w:hanging="504"/>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operating losses, future revenue, capital requirements and needs for additional financing;</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140" w:hanging="504"/>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investments in marketable securities will be sufficient to fund our future operating expenses and capital expenditure requirements; and</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remain an emerging growth company under the JOBS Act.</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are a biotechnology company committed to a bold mission: to discover, develop and deliver curative therapies that address the underlying drivers of heart disease. Heart disease is the leading cause of death in the world, accounting for more deaths than from all cancers combined. In the United States, more than 30 million adults are diagnosed with heart disease and approximately 40,000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are rising. While there is a clear need for improved treatments, the rate of cardiovascular drug product approvals has declined in recent years.</w:t>
      </w:r>
    </w:p>
    <w:p>
      <w:pPr>
        <w:spacing w:after="0" w:line="5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vision is to change the treatment paradigm for heart disease,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74" w:lineRule="exact"/>
        <w:rPr>
          <w:sz w:val="20"/>
          <w:szCs w:val="20"/>
          <w:color w:val="auto"/>
        </w:rPr>
      </w:pPr>
    </w:p>
    <w:p>
      <w:pPr>
        <w:ind w:right="420" w:firstLine="509"/>
        <w:spacing w:after="0" w:line="294" w:lineRule="auto"/>
        <w:rPr>
          <w:sz w:val="20"/>
          <w:szCs w:val="20"/>
          <w:color w:val="auto"/>
        </w:rPr>
      </w:pPr>
      <w:r>
        <w:rPr>
          <w:rFonts w:ascii="Arial" w:cs="Arial" w:eastAsia="Arial" w:hAnsi="Arial"/>
          <w:sz w:val="16"/>
          <w:szCs w:val="16"/>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ind w:right="720"/>
        <w:spacing w:after="0" w:line="261" w:lineRule="auto"/>
        <w:rPr>
          <w:sz w:val="20"/>
          <w:szCs w:val="20"/>
          <w:color w:val="auto"/>
        </w:rPr>
      </w:pPr>
      <w:r>
        <w:rPr>
          <w:rFonts w:ascii="Arial" w:cs="Arial" w:eastAsia="Arial" w:hAnsi="Arial"/>
          <w:sz w:val="18"/>
          <w:szCs w:val="18"/>
          <w:color w:val="auto"/>
        </w:rPr>
        <w:t>Medicine platform enables us to identify promising targets and product candidates in a modality-agnostic manner, including gene therapies, small molecules, and biologics.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advancing a deep and diverse pipeline that includes both gene therapies and small molecules. The most advanced product candidate from our Gene Therapy platform is TN-201, an adeno-associated virus (AAV)-based gene therapy to address genetic hypertrophic cardiomyopathy (gHCM) caused by Myosin Binding Protein C3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TN-201, currently in investigational new drug (IND)-enabling studies, is designed to deliver a fully 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heart-specific promoter to restore normal levels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The Food and Drug Administration (FDA) granted TN-201 orphan drug designation and we intend to submit an IND application to the FDA for the product candidate in the second half of 2022. We plan to initially develop TN-201 for adults with gHCM caused by haploinsufficient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and believe we can later expand to the treatment of pediatric patients with the same mutations. In 2021 we initiated the MyClimb global natural history study to support the future evaluation of TN-201 in pediatric patients.</w:t>
      </w:r>
    </w:p>
    <w:p>
      <w:pPr>
        <w:spacing w:after="0" w:line="8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Leveraging our Precision Medicine platform we discovered and are advancing TN-301 (previously referred to as TYA-11631), a highly specific small molecule inhibitor of histone deacetylase 6 (HDAC6i) that has potentially broad utility in both heart failure with preserved ejection fraction (HFpEF) as well as genetic dilated cardiomyopathy (gDCM). TN-301 is currently in IND-enabling studies and we intend to submit an IND to the FDA in the second half of 2022.</w:t>
      </w:r>
    </w:p>
    <w:p>
      <w:pPr>
        <w:spacing w:after="0" w:line="80"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 xml:space="preserve">We are also developing TN-401, an AAV-based gene therapy that addresses genetic arrhythmogenic right ventricular cardiomyopathy (gARVC) caused by plakophilin 2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We are initiating IND enabling studies for TN-401 and expect to submit an IND to the FDA in 2023.</w:t>
      </w:r>
    </w:p>
    <w:p>
      <w:pPr>
        <w:spacing w:after="0" w:line="1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earlier stage programs include an AAV-based gene therapy designed to express the Dwarf Open Reading Frame (</w:t>
      </w:r>
      <w:r>
        <w:rPr>
          <w:rFonts w:ascii="Arial" w:cs="Arial" w:eastAsia="Arial" w:hAnsi="Arial"/>
          <w:sz w:val="18"/>
          <w:szCs w:val="18"/>
          <w:i w:val="1"/>
          <w:iCs w:val="1"/>
          <w:color w:val="auto"/>
        </w:rPr>
        <w:t>DWORF</w:t>
      </w:r>
      <w:r>
        <w:rPr>
          <w:rFonts w:ascii="Arial" w:cs="Arial" w:eastAsia="Arial" w:hAnsi="Arial"/>
          <w:sz w:val="18"/>
          <w:szCs w:val="18"/>
          <w:color w:val="auto"/>
        </w:rPr>
        <w:t>) gene in the heart. This program has potentially broad utility in dilated cardiomyopathy (DCM) and heart failure with reduced ejection fraction (HFrEF) and is currently at the candidate selection stage. Our Reprogramming program for cardiac regeneration can potentially replace heart cells lost in patients experiencing heart failure due to prior myocardial infarction (MI) and is also at the candidate selection stage. In addition, we have numerous earlier-stage programs emerging from our product platforms to address other forms of heart failure.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 w:name="page6"/>
    <w:bookmarkEnd w:id="5"/>
    <w:p>
      <w:pPr>
        <w:ind w:left="2563"/>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291465</wp:posOffset>
            </wp:positionV>
            <wp:extent cx="5186045" cy="265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3" w:hanging="503"/>
        <w:spacing w:after="0" w:line="254" w:lineRule="auto"/>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Gene Therapy</w:t>
      </w:r>
      <w:r>
        <w:rPr>
          <w:rFonts w:ascii="Arial" w:cs="Arial" w:eastAsia="Arial" w:hAnsi="Arial"/>
          <w:sz w:val="17"/>
          <w:szCs w:val="17"/>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cardiac fibroblasts,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 For additional information regarding our Gene Therapy Platform, see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 Platform – Gene Therapy Platform</w:t>
      </w:r>
      <w:r>
        <w:rPr>
          <w:rFonts w:ascii="Arial" w:cs="Arial" w:eastAsia="Arial" w:hAnsi="Arial"/>
          <w:sz w:val="17"/>
          <w:szCs w:val="17"/>
          <w:color w:val="auto"/>
        </w:rPr>
        <w:t>” below.</w:t>
      </w:r>
    </w:p>
    <w:p>
      <w:pPr>
        <w:spacing w:after="0" w:line="72" w:lineRule="exact"/>
        <w:rPr>
          <w:rFonts w:ascii="Arial" w:cs="Arial" w:eastAsia="Arial" w:hAnsi="Arial"/>
          <w:sz w:val="17"/>
          <w:szCs w:val="17"/>
          <w:color w:val="auto"/>
        </w:rPr>
      </w:pPr>
    </w:p>
    <w:p>
      <w:pPr>
        <w:ind w:left="503" w:hanging="503"/>
        <w:spacing w:after="0" w:line="272" w:lineRule="auto"/>
        <w:tabs>
          <w:tab w:leader="none" w:pos="50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Cellular Regeneration</w:t>
      </w:r>
      <w:r>
        <w:rPr>
          <w:rFonts w:ascii="Arial" w:cs="Arial" w:eastAsia="Arial" w:hAnsi="Arial"/>
          <w:sz w:val="16"/>
          <w:szCs w:val="16"/>
          <w:color w:val="auto"/>
        </w:rPr>
        <w:t xml:space="preserve"> platform uses viral vectors to deliver specific combinations of genes to existing cells in the heart to regenerate cardiomyocytes through two distinct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approaches: One approach uses AAV vectors to deliver proprietary combinations of genes that induce the resident cardiac fibroblasts to convert to cardiomyocytes. Another approach uses non-integrating lentiviruses to deliver proprietary combinations of genes that induce the resident cardiomyocytes to undergo transient cell division. The product candidates arising from this platform are intended to overcome the shortcomings of traditional therapies that address symptoms but are not able to address the irreversible loss of cardiomyocytes. We believe this platform has potentially broad utility across a range of heart conditions that result in the loss of cardiomyocytes, including MI, chemotherapy-related toxicity, and viral infection. For additional information regarding our Cellular Regeneration Platform, see “</w:t>
      </w:r>
      <w:r>
        <w:rPr>
          <w:rFonts w:ascii="Arial" w:cs="Arial" w:eastAsia="Arial" w:hAnsi="Arial"/>
          <w:sz w:val="16"/>
          <w:szCs w:val="16"/>
          <w:i w:val="1"/>
          <w:iCs w:val="1"/>
          <w:color w:val="auto"/>
        </w:rPr>
        <w:t>Our Product Platform – Cellular Regeneration Platform</w:t>
      </w:r>
      <w:r>
        <w:rPr>
          <w:rFonts w:ascii="Arial" w:cs="Arial" w:eastAsia="Arial" w:hAnsi="Arial"/>
          <w:sz w:val="16"/>
          <w:szCs w:val="16"/>
          <w:color w:val="auto"/>
        </w:rPr>
        <w:t xml:space="preserve">” </w:t>
      </w:r>
      <w:r>
        <w:rPr>
          <w:rFonts w:ascii="Arial" w:cs="Arial" w:eastAsia="Arial" w:hAnsi="Arial"/>
          <w:sz w:val="16"/>
          <w:szCs w:val="16"/>
          <w:i w:val="1"/>
          <w:iCs w:val="1"/>
          <w:color w:val="auto"/>
        </w:rPr>
        <w:t>below</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503" w:right="40" w:hanging="503"/>
        <w:spacing w:after="0" w:line="254" w:lineRule="auto"/>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Precision Medicine</w:t>
      </w:r>
      <w:r>
        <w:rPr>
          <w:rFonts w:ascii="Arial" w:cs="Arial" w:eastAsia="Arial" w:hAnsi="Arial"/>
          <w:sz w:val="17"/>
          <w:szCs w:val="17"/>
          <w:color w:val="auto"/>
        </w:rPr>
        <w:t xml:space="preserve"> platform uses human induced pluripotent stem cell-derived cardiomyocytes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 of traditional drug development efforts that rely more heavily on insights from animal models to identify targets and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 For additional</w:t>
      </w:r>
    </w:p>
    <w:p>
      <w:pPr>
        <w:spacing w:after="0" w:line="181"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648" w:right="339" w:bottom="1440" w:gutter="0" w:footer="0" w:header="0"/>
        </w:sectPr>
      </w:pPr>
    </w:p>
    <w:bookmarkStart w:id="6" w:name="page7"/>
    <w:bookmarkEnd w:id="6"/>
    <w:p>
      <w:pPr>
        <w:ind w:left="1020"/>
        <w:spacing w:after="0"/>
        <w:rPr>
          <w:sz w:val="20"/>
          <w:szCs w:val="20"/>
          <w:color w:val="auto"/>
        </w:rPr>
      </w:pPr>
      <w:r>
        <w:rPr>
          <w:rFonts w:ascii="Arial" w:cs="Arial" w:eastAsia="Arial" w:hAnsi="Arial"/>
          <w:sz w:val="18"/>
          <w:szCs w:val="18"/>
          <w:color w:val="auto"/>
        </w:rPr>
        <w:t>information regarding our Precision Medicine Platform, see “</w:t>
      </w:r>
      <w:r>
        <w:rPr>
          <w:rFonts w:ascii="Arial" w:cs="Arial" w:eastAsia="Arial" w:hAnsi="Arial"/>
          <w:sz w:val="18"/>
          <w:szCs w:val="18"/>
          <w:i w:val="1"/>
          <w:iCs w:val="1"/>
          <w:color w:val="auto"/>
        </w:rPr>
        <w:t>Our Product Platform – Precision Medicine Platform</w:t>
      </w:r>
      <w:r>
        <w:rPr>
          <w:rFonts w:ascii="Arial" w:cs="Arial" w:eastAsia="Arial" w:hAnsi="Arial"/>
          <w:sz w:val="18"/>
          <w:szCs w:val="18"/>
          <w:color w:val="auto"/>
        </w:rPr>
        <w:t xml:space="preserve">” </w:t>
      </w:r>
      <w:r>
        <w:rPr>
          <w:rFonts w:ascii="Arial" w:cs="Arial" w:eastAsia="Arial" w:hAnsi="Arial"/>
          <w:sz w:val="18"/>
          <w:szCs w:val="18"/>
          <w:i w:val="1"/>
          <w:iCs w:val="1"/>
          <w:color w:val="auto"/>
        </w:rPr>
        <w:t>below</w:t>
      </w:r>
      <w:r>
        <w:rPr>
          <w:rFonts w:ascii="Arial" w:cs="Arial" w:eastAsia="Arial" w:hAnsi="Arial"/>
          <w:sz w:val="18"/>
          <w:szCs w:val="18"/>
          <w:color w:val="auto"/>
        </w:rPr>
        <w: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0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Foundational to our product platforms and our pipeline programs are our core capabilities that we have internalized and integrated. We believe can collectively support rapid product development, precise product delivery, and efficient production, which ultimately improves the probability of technical and regulatory success of our product candidates.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291465</wp:posOffset>
            </wp:positionV>
            <wp:extent cx="5186045" cy="2263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8604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five core capabilities include:</w:t>
      </w:r>
    </w:p>
    <w:p>
      <w:pPr>
        <w:spacing w:after="0" w:line="104" w:lineRule="exact"/>
        <w:rPr>
          <w:sz w:val="20"/>
          <w:szCs w:val="20"/>
          <w:color w:val="auto"/>
        </w:rPr>
      </w:pPr>
    </w:p>
    <w:p>
      <w:pPr>
        <w:ind w:left="1020" w:right="40" w:hanging="503"/>
        <w:spacing w:after="0" w:line="25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Disease Models</w:t>
      </w:r>
      <w:r>
        <w:rPr>
          <w:rFonts w:ascii="Arial" w:cs="Arial" w:eastAsia="Arial" w:hAnsi="Arial"/>
          <w:sz w:val="17"/>
          <w:szCs w:val="17"/>
          <w:color w:val="auto"/>
        </w:rPr>
        <w:t>. Having better models of human heart disease is an important capability for drug discovery. Existing models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adequate to assess the efficacy or safety of novel therapies. In order to achieve this, we have internalized the ability to create and integrate proprietary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within our research organization. For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disease models, we have a dedicated onsite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group and vivarium, where we have established approximately 17 rodent heart disease models, both genetic and non-genetic, and can dose animals, perform heart surgeries, and use non-invasive imaging to assess the impact of our therapies under development.</w:t>
      </w:r>
    </w:p>
    <w:p>
      <w:pPr>
        <w:spacing w:after="0" w:line="71" w:lineRule="exact"/>
        <w:rPr>
          <w:rFonts w:ascii="Arial" w:cs="Arial" w:eastAsia="Arial" w:hAnsi="Arial"/>
          <w:sz w:val="17"/>
          <w:szCs w:val="17"/>
          <w:color w:val="auto"/>
        </w:rPr>
      </w:pPr>
    </w:p>
    <w:p>
      <w:pPr>
        <w:ind w:left="1020" w:hanging="503"/>
        <w:spacing w:after="0" w:line="25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successfully screened over one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variants from more than 30 diverse, proprietary AAV libraries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models to discover novel AAV capsids that can target the different types of cells in the heart. We have generated preclinical data to support the superiority of these capsids over parental variants in multiple species—including non-human primates (NHPs)—against multiple attributes. 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71"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Promoters and Regulatory Elements</w:t>
      </w:r>
      <w:r>
        <w:rPr>
          <w:rFonts w:ascii="Arial" w:cs="Arial" w:eastAsia="Arial" w:hAnsi="Arial"/>
          <w:sz w:val="18"/>
          <w:szCs w:val="18"/>
          <w:color w:val="auto"/>
        </w:rPr>
        <w:t>. We have created novel promoters and regulatory elements that support our gene therapy and cellular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regeneration programs by controlling the expression of genes within the cells. We use these innovations to help ensure more precise and more robust expression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ind w:left="1020"/>
        <w:spacing w:after="0" w:line="324" w:lineRule="auto"/>
        <w:rPr>
          <w:sz w:val="20"/>
          <w:szCs w:val="20"/>
          <w:color w:val="auto"/>
        </w:rPr>
      </w:pPr>
      <w:r>
        <w:rPr>
          <w:rFonts w:ascii="Arial" w:cs="Arial" w:eastAsia="Arial" w:hAnsi="Arial"/>
          <w:sz w:val="16"/>
          <w:szCs w:val="16"/>
          <w:color w:val="auto"/>
        </w:rPr>
        <w:t>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16" w:lineRule="exact"/>
        <w:rPr>
          <w:sz w:val="20"/>
          <w:szCs w:val="20"/>
          <w:color w:val="auto"/>
        </w:rPr>
      </w:pPr>
    </w:p>
    <w:p>
      <w:pPr>
        <w:ind w:left="1020" w:right="180" w:hanging="503"/>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Drug Delivery</w:t>
      </w:r>
      <w:r>
        <w:rPr>
          <w:rFonts w:ascii="Arial" w:cs="Arial" w:eastAsia="Arial" w:hAnsi="Arial"/>
          <w:sz w:val="18"/>
          <w:szCs w:val="18"/>
          <w:color w:val="auto"/>
        </w:rPr>
        <w:t>. We are actively exploring different routes of administration (ROAs) as well as different infusion- and injection-based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79" w:lineRule="exact"/>
        <w:rPr>
          <w:rFonts w:ascii="Arial" w:cs="Arial" w:eastAsia="Arial" w:hAnsi="Arial"/>
          <w:sz w:val="18"/>
          <w:szCs w:val="18"/>
          <w:color w:val="auto"/>
        </w:rPr>
      </w:pPr>
    </w:p>
    <w:p>
      <w:pPr>
        <w:ind w:left="1020" w:hanging="503"/>
        <w:spacing w:after="0" w:line="253"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Manufacturing</w:t>
      </w:r>
      <w:r>
        <w:rPr>
          <w:rFonts w:ascii="Arial" w:cs="Arial" w:eastAsia="Arial" w:hAnsi="Arial"/>
          <w:sz w:val="17"/>
          <w:szCs w:val="17"/>
          <w:color w:val="auto"/>
        </w:rPr>
        <w:t>. We have taken important steps towards internalizing both current Good Manufacturing Practice (cGMP) and non-GMP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AAV manufacturing capabilities to support our emerging portfolio of gene therapy and cellular regeneration product candidates. This includes a growing in-house team of approximately 35 personnel that can support process development, analytical development (AD), quality control (QC) and GMP manufacturing (MFG). In addition, we have established a Quality Assurance Organization to oversee our GxP operations, including cGMP, Good Laboratory Practices (GLP) and Good Clinical Practices. We have produced non-clinical material involving multiple parental AAV capsids at the 50L and 200L scales to support early research and IND-enabling studies in small and large animal models. We have initiated construction of a cGMP facility in the San Francisco Bay Area near our research labs to enable smooth scale-up of production to support first-in-human (FIH) studies, initially at the 1000L scale. We expect this facility will be operational in the first half of 2022. We have in-licensed certain manufacturing intellectual property to support our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Approach and Capabilities, see “</w:t>
      </w:r>
      <w:r>
        <w:rPr>
          <w:rFonts w:ascii="Arial" w:cs="Arial" w:eastAsia="Arial" w:hAnsi="Arial"/>
          <w:sz w:val="18"/>
          <w:szCs w:val="18"/>
          <w:i w:val="1"/>
          <w:iCs w:val="1"/>
          <w:color w:val="auto"/>
        </w:rPr>
        <w:t>Our Approach and Capabilities”</w:t>
      </w:r>
      <w:r>
        <w:rPr>
          <w:rFonts w:ascii="Arial" w:cs="Arial" w:eastAsia="Arial" w:hAnsi="Arial"/>
          <w:sz w:val="18"/>
          <w:szCs w:val="18"/>
          <w:color w:val="auto"/>
        </w:rPr>
        <w:t xml:space="preserve"> below.</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Pipeline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pipeline includes programs that have emerged from our internal efforts, including various ongoing early-stage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145415</wp:posOffset>
            </wp:positionV>
            <wp:extent cx="5349240" cy="2288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hanging="103"/>
        <w:spacing w:after="0"/>
        <w:tabs>
          <w:tab w:leader="none" w:pos="620" w:val="left"/>
        </w:tabs>
        <w:numPr>
          <w:ilvl w:val="1"/>
          <w:numId w:val="8"/>
        </w:numPr>
        <w:rPr>
          <w:rFonts w:ascii="Arial" w:cs="Arial" w:eastAsia="Arial" w:hAnsi="Arial"/>
          <w:sz w:val="14"/>
          <w:szCs w:val="14"/>
          <w:color w:val="auto"/>
        </w:rPr>
      </w:pPr>
      <w:r>
        <w:rPr>
          <w:rFonts w:ascii="Arial" w:cs="Arial" w:eastAsia="Arial" w:hAnsi="Arial"/>
          <w:sz w:val="14"/>
          <w:szCs w:val="14"/>
          <w:color w:val="auto"/>
        </w:rPr>
        <w:t>USA Prevalence refers to the number of patients in the United States with the indication based on publicly available market data</w:t>
      </w:r>
    </w:p>
    <w:p>
      <w:pPr>
        <w:spacing w:after="0" w:line="315" w:lineRule="exact"/>
        <w:rPr>
          <w:rFonts w:ascii="Arial" w:cs="Arial" w:eastAsia="Arial" w:hAnsi="Arial"/>
          <w:sz w:val="14"/>
          <w:szCs w:val="14"/>
          <w:color w:val="auto"/>
        </w:rPr>
      </w:pPr>
    </w:p>
    <w:p>
      <w:pPr>
        <w:ind w:left="1020" w:right="10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MYBPC3 Program for gHCM</w:t>
      </w:r>
      <w:r>
        <w:rPr>
          <w:rFonts w:ascii="Arial" w:cs="Arial" w:eastAsia="Arial" w:hAnsi="Arial"/>
          <w:sz w:val="18"/>
          <w:szCs w:val="18"/>
          <w:color w:val="auto"/>
        </w:rPr>
        <w:t>. We are developing an AAV-based gene therapy designed to deliver a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MYBPC3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in adults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children with gHCM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estimated to affect more than 115,000 patients in the United States. These mutations can cause the heart walls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ind w:left="503"/>
        <w:spacing w:after="0" w:line="253" w:lineRule="auto"/>
        <w:rPr>
          <w:sz w:val="20"/>
          <w:szCs w:val="20"/>
          <w:color w:val="auto"/>
        </w:rPr>
      </w:pPr>
      <w:r>
        <w:rPr>
          <w:rFonts w:ascii="Arial" w:cs="Arial" w:eastAsia="Arial" w:hAnsi="Arial"/>
          <w:sz w:val="17"/>
          <w:szCs w:val="17"/>
          <w:color w:val="auto"/>
        </w:rPr>
        <w:t xml:space="preserve">affected individuals to become significantly thickened, leading to fibrosis, abnormal heart rhythms, cardiac dysfunction, heart failure,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in the heart. We have demonstrated significant and durable disease reversal and survival benefit in a relevant murine model after a single dose, as well as tolerability in mice and NHPs in pilot non-GLP toxicology and biodistribution studies. We have obtained feedback from multiple regulatory agencies, including the FDA, to guide our preclinical, clinical development and manufacturing plans. We will continue to seek additional feedback from these regulatory agencies as necessary. In 2021, the FDA granted orphan drug designation for TN-201 for the potential treatment of </w:t>
      </w:r>
      <w:r>
        <w:rPr>
          <w:rFonts w:ascii="Arial" w:cs="Arial" w:eastAsia="Arial" w:hAnsi="Arial"/>
          <w:sz w:val="17"/>
          <w:szCs w:val="17"/>
          <w:i w:val="1"/>
          <w:iCs w:val="1"/>
          <w:color w:val="auto"/>
        </w:rPr>
        <w:t>MYBPC3</w:t>
      </w:r>
      <w:r>
        <w:rPr>
          <w:rFonts w:ascii="Arial" w:cs="Arial" w:eastAsia="Arial" w:hAnsi="Arial"/>
          <w:sz w:val="17"/>
          <w:szCs w:val="17"/>
          <w:color w:val="auto"/>
        </w:rPr>
        <w:t>-associated gHCM. TN-201 is currently in IND-enabling studies and we intend to submit an IND to the FDA in the second half of 2022.</w:t>
      </w:r>
    </w:p>
    <w:p>
      <w:pPr>
        <w:spacing w:after="0" w:line="76" w:lineRule="exact"/>
        <w:rPr>
          <w:sz w:val="20"/>
          <w:szCs w:val="20"/>
          <w:color w:val="auto"/>
        </w:rPr>
      </w:pPr>
    </w:p>
    <w:p>
      <w:pPr>
        <w:ind w:left="503" w:right="280" w:hanging="503"/>
        <w:spacing w:after="0" w:line="253" w:lineRule="auto"/>
        <w:tabs>
          <w:tab w:leader="none" w:pos="50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HDAC6i Program for HFpEF</w:t>
      </w:r>
      <w:r>
        <w:rPr>
          <w:rFonts w:ascii="Arial" w:cs="Arial" w:eastAsia="Arial" w:hAnsi="Arial"/>
          <w:sz w:val="17"/>
          <w:szCs w:val="17"/>
          <w:color w:val="auto"/>
        </w:rPr>
        <w:t>. We are developing TN-301, a small molecule inhibitor with high specificity for HDAC6i. TN-301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intended for the treatment for various forms of heart failure, including HFpEF. HFpEF is one of the greatest areas of unmet need in heart disease with more than three million patients in the United States and currently no approved disease-modifying therapies. This disease involves systemic inflammation, left ventricular (LV) hypertrophy, fibrosis, and diastolic dysfunction resulting in high morbidity and mortality in affected individuals. TN-301 and related molecules have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multiple animal models, including significant disease reversal in two different models of HFpEF, as well as tolerability in mice and NHPs in pilot non-GLP toxicology and biodistribution studies. Based on publicly available information to date, we believe TN-301 is the first HDAC6i being developed for heart disease. We have initiated IND-enabling activities and intend to submit an IND to the FDA in the second half of 2022. We intend to seek feedback from multiple regulatory agencies, including the FDA, as necessary.</w:t>
      </w:r>
    </w:p>
    <w:p>
      <w:pPr>
        <w:spacing w:after="0" w:line="75" w:lineRule="exact"/>
        <w:rPr>
          <w:rFonts w:ascii="Arial" w:cs="Arial" w:eastAsia="Arial" w:hAnsi="Arial"/>
          <w:sz w:val="17"/>
          <w:szCs w:val="17"/>
          <w:color w:val="auto"/>
        </w:rPr>
      </w:pPr>
    </w:p>
    <w:p>
      <w:pPr>
        <w:ind w:left="503" w:right="60" w:hanging="503"/>
        <w:spacing w:after="0" w:line="252" w:lineRule="auto"/>
        <w:tabs>
          <w:tab w:leader="none" w:pos="50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PKP2 Program for gARVC</w:t>
      </w:r>
      <w:r>
        <w:rPr>
          <w:rFonts w:ascii="Arial" w:cs="Arial" w:eastAsia="Arial" w:hAnsi="Arial"/>
          <w:sz w:val="17"/>
          <w:szCs w:val="17"/>
          <w:color w:val="auto"/>
        </w:rPr>
        <w:t>. We are developing an AAV-based gene therapy designed to deliver a functional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PKP2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 in adults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gARVC due to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 estimated to affect more than 70,000 patients in the United States. These mutations can cause enlargement of the right ventricle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gARVC. Our product candidate, TN-401, has demonstrated prevention of disease progression and survival benefit after a single dose in a mouse model of ARVC, as well as tolerability in a pilot non-GLP toxicology and biodistribution study. Based on publicly available information to date, we believe these data are the first known demonstrations of durable disease modification, survival benefit, and prevention of arrhythmia using an AAV:PKP2 gene therapy construct. We are initiating IND-enabling studies for TN-401 and expect to submit an IND to the FDA in 2023. We intend to seek feedback from multiple regulatory agencies, including the FDA, as necessary.</w:t>
      </w:r>
    </w:p>
    <w:p>
      <w:pPr>
        <w:spacing w:after="0" w:line="77" w:lineRule="exact"/>
        <w:rPr>
          <w:rFonts w:ascii="Arial" w:cs="Arial" w:eastAsia="Arial" w:hAnsi="Arial"/>
          <w:sz w:val="17"/>
          <w:szCs w:val="17"/>
          <w:color w:val="auto"/>
        </w:rPr>
      </w:pPr>
    </w:p>
    <w:p>
      <w:pPr>
        <w:ind w:left="503" w:hanging="503"/>
        <w:spacing w:after="0" w:line="253" w:lineRule="auto"/>
        <w:tabs>
          <w:tab w:leader="none" w:pos="50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DWORF Program for DCM</w:t>
      </w:r>
      <w:r>
        <w:rPr>
          <w:rFonts w:ascii="Arial" w:cs="Arial" w:eastAsia="Arial" w:hAnsi="Arial"/>
          <w:sz w:val="17"/>
          <w:szCs w:val="17"/>
          <w:color w:val="auto"/>
        </w:rPr>
        <w:t>. We are developing an AAV-based gene therapy designed to deliver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DWORF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 for patients with DCM,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estimated to affect about one million patients in the United States. DCM is a progressive and life-threatening disease that causes LV enlargement, LV wall thinning, insufficient contraction, reduced blood flow, ventricular arrhythmias (VA),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heart failure. We and our academic collaborators have accumulated significant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evidence for the therapeutic benefit of over-expression of the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75" w:lineRule="exact"/>
        <w:rPr>
          <w:rFonts w:ascii="Arial" w:cs="Arial" w:eastAsia="Arial" w:hAnsi="Arial"/>
          <w:sz w:val="17"/>
          <w:szCs w:val="17"/>
          <w:color w:val="auto"/>
        </w:rPr>
      </w:pPr>
    </w:p>
    <w:p>
      <w:pPr>
        <w:ind w:left="503" w:right="360" w:hanging="503"/>
        <w:spacing w:after="0" w:line="248"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Reprogramming Program for heart failure due to prior MI</w:t>
      </w:r>
      <w:r>
        <w:rPr>
          <w:rFonts w:ascii="Arial" w:cs="Arial" w:eastAsia="Arial" w:hAnsi="Arial"/>
          <w:sz w:val="18"/>
          <w:szCs w:val="18"/>
          <w:color w:val="auto"/>
        </w:rPr>
        <w:t>. We are developing an AAV-based approach to cellular regeneration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involves converting (or reprogramming) existing cardiac fibroblasts within the heart to turn into new cardiomyocytes and to replace cells permanently lost due to</w:t>
      </w:r>
    </w:p>
    <w:p>
      <w:pPr>
        <w:spacing w:after="0" w:line="18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6" w:right="339" w:bottom="1440" w:gutter="0" w:footer="0" w:header="0"/>
        </w:sectPr>
      </w:pPr>
    </w:p>
    <w:bookmarkStart w:id="9" w:name="page10"/>
    <w:bookmarkEnd w:id="9"/>
    <w:p>
      <w:pPr>
        <w:ind w:left="1020"/>
        <w:spacing w:after="0" w:line="271" w:lineRule="auto"/>
        <w:rPr>
          <w:sz w:val="20"/>
          <w:szCs w:val="20"/>
          <w:color w:val="auto"/>
        </w:rPr>
      </w:pPr>
      <w:r>
        <w:rPr>
          <w:rFonts w:ascii="Arial" w:cs="Arial" w:eastAsia="Arial" w:hAnsi="Arial"/>
          <w:sz w:val="16"/>
          <w:szCs w:val="16"/>
          <w:color w:val="auto"/>
        </w:rPr>
        <w:t xml:space="preserve">MI. There are estimated to be more than four million patients in the United States living with heart failure due to prior MI. The loss of cardiomyocytes in affected individuals permanently impairs heart contraction, leading to heart failure and potentially fatal arrhythmias, and the death of approximately 5% to 10% of MI survivors within the first year. There are currently no approved treatments that address the underlying loss of heart tissue. The potential utility of our unique approach to creating new cardiomyocytes was first demonstrated by our co-founder Deepak Srivastava, M.D. We have discovered a proprietary combination of three genes that can drive robust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cardiac fibroblasts to cardiomyocytes when delivered together in a single AAV capsid. We have demonstrated significant and durable disease reversal as well as tolerability in multiple small and large animal models. Based on publicly available information to date, we believe our results in a pig model of heart failure due to prior MI represent the first-ever successful demonstration of the potential benefit of this approach in a human-sized heart. This program is currently at the candidate selection stage.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Heart Disease</w:t>
      </w:r>
    </w:p>
    <w:p>
      <w:pPr>
        <w:spacing w:after="0" w:line="10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approximately 1 in 4 deaths in the United States. The picture is equally bleak at the other end of the age spectrum, as approximately 40,000 children are born in the United States every year with CHD,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heart failure, these rates are once again rising, highlighting the need for improved treatments.</w:t>
      </w:r>
    </w:p>
    <w:p>
      <w:pPr>
        <w:spacing w:after="0" w:line="8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heart failure,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4"/>
                <w:szCs w:val="14"/>
                <w:b w:val="1"/>
                <w:bCs w:val="1"/>
                <w:color w:val="auto"/>
              </w:rPr>
              <w:t>CATEGORIES</w:t>
            </w:r>
          </w:p>
        </w:tc>
        <w:tc>
          <w:tcPr>
            <w:tcW w:w="7400" w:type="dxa"/>
            <w:vAlign w:val="bottom"/>
            <w:tcBorders>
              <w:top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384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Heart failure is a heart condition in which the heart’s pumping capacity is not adequate to meet the</w:t>
            </w:r>
          </w:p>
        </w:tc>
      </w:tr>
      <w:tr>
        <w:trPr>
          <w:trHeight w:val="176"/>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2"/>
              </w:rPr>
              <w:t>demands for blood and oxygen required by the rest of the body. Heart failure can be the result of a</w:t>
            </w:r>
          </w:p>
        </w:tc>
      </w:tr>
      <w:tr>
        <w:trPr>
          <w:trHeight w:val="176"/>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range of conditions that lead to weakening of the heart muscle. Conditions that can be associated</w:t>
            </w:r>
          </w:p>
        </w:tc>
      </w:tr>
      <w:tr>
        <w:trPr>
          <w:trHeight w:val="175"/>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1"/>
              </w:rPr>
              <w:t>with the development of heart failure include a heart attack, uncontrolled high blood pressure, CHD</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(heart defects present at birth), and genetic cardiomyopathies.</w:t>
            </w:r>
          </w:p>
        </w:tc>
      </w:tr>
      <w:tr>
        <w:trPr>
          <w:trHeight w:val="749"/>
        </w:trPr>
        <w:tc>
          <w:tcPr>
            <w:tcW w:w="38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0"/>
              </w:rPr>
              <w:t>Heart Failure</w:t>
            </w:r>
          </w:p>
        </w:tc>
        <w:tc>
          <w:tcPr>
            <w:tcW w:w="7400" w:type="dxa"/>
            <w:vAlign w:val="bottom"/>
            <w:tcBorders>
              <w:bottom w:val="single" w:sz="8" w:color="auto"/>
              <w:right w:val="single" w:sz="8" w:color="auto"/>
            </w:tcBorders>
          </w:tcPr>
          <w:p>
            <w:pPr>
              <w:spacing w:after="0"/>
              <w:rPr>
                <w:sz w:val="24"/>
                <w:szCs w:val="24"/>
                <w:color w:val="auto"/>
              </w:rPr>
            </w:pPr>
          </w:p>
        </w:tc>
      </w:tr>
      <w:tr>
        <w:trPr>
          <w:trHeight w:val="378"/>
        </w:trPr>
        <w:tc>
          <w:tcPr>
            <w:tcW w:w="3840" w:type="dxa"/>
            <w:vAlign w:val="bottom"/>
            <w:tcBorders>
              <w:left w:val="single" w:sz="8" w:color="auto"/>
              <w:right w:val="single" w:sz="8" w:color="auto"/>
            </w:tcBorders>
          </w:tcPr>
          <w:p>
            <w:pPr>
              <w:spacing w:after="0"/>
              <w:rPr>
                <w:sz w:val="24"/>
                <w:szCs w:val="24"/>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Arrhythmia is one of the most common heart conditions and is described as any change in the</w:t>
            </w:r>
          </w:p>
        </w:tc>
      </w:tr>
      <w:tr>
        <w:trPr>
          <w:trHeight w:val="176"/>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heart’s normal electrical impulses. Electrical impulses from within the heart initiate each heartbeat</w:t>
            </w:r>
          </w:p>
        </w:tc>
      </w:tr>
      <w:tr>
        <w:trPr>
          <w:trHeight w:val="176"/>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and ensure its normal pumping function. Arrhythmias can cause the heart to beat too quickly, too</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slowly or irregularly, resulting in a broad range of symptoms as well as sudden death and stroke.</w:t>
            </w:r>
          </w:p>
        </w:tc>
      </w:tr>
      <w:tr>
        <w:trPr>
          <w:trHeight w:val="924"/>
        </w:trPr>
        <w:tc>
          <w:tcPr>
            <w:tcW w:w="384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8"/>
                <w:szCs w:val="18"/>
                <w:color w:val="auto"/>
                <w:w w:val="96"/>
              </w:rPr>
              <w:t>Arrhythmia</w:t>
            </w:r>
          </w:p>
        </w:tc>
        <w:tc>
          <w:tcPr>
            <w:tcW w:w="7400" w:type="dxa"/>
            <w:vAlign w:val="bottom"/>
            <w:tcBorders>
              <w:bottom w:val="single" w:sz="8" w:color="auto"/>
              <w:right w:val="single" w:sz="8" w:color="auto"/>
            </w:tcBorders>
          </w:tcPr>
          <w:p>
            <w:pPr>
              <w:spacing w:after="0"/>
              <w:rPr>
                <w:sz w:val="24"/>
                <w:szCs w:val="24"/>
                <w:color w:val="auto"/>
              </w:rPr>
            </w:pPr>
          </w:p>
        </w:tc>
      </w:tr>
      <w:tr>
        <w:trPr>
          <w:trHeight w:val="378"/>
        </w:trPr>
        <w:tc>
          <w:tcPr>
            <w:tcW w:w="3840" w:type="dxa"/>
            <w:vAlign w:val="bottom"/>
            <w:tcBorders>
              <w:left w:val="single" w:sz="8" w:color="auto"/>
              <w:right w:val="single" w:sz="8" w:color="auto"/>
            </w:tcBorders>
          </w:tcPr>
          <w:p>
            <w:pPr>
              <w:spacing w:after="0"/>
              <w:rPr>
                <w:sz w:val="24"/>
                <w:szCs w:val="24"/>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Heart value disease occurs when there is a problem with one or more of the four valves that</w:t>
            </w:r>
          </w:p>
        </w:tc>
      </w:tr>
      <w:tr>
        <w:trPr>
          <w:trHeight w:val="176"/>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2"/>
              </w:rPr>
              <w:t>normally work in unison to make sure that blood is pumped in the proper direction through the four</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chambers of the heart.</w:t>
            </w:r>
          </w:p>
        </w:tc>
      </w:tr>
      <w:tr>
        <w:trPr>
          <w:trHeight w:val="1100"/>
        </w:trPr>
        <w:tc>
          <w:tcPr>
            <w:tcW w:w="38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88"/>
              </w:rPr>
              <w:t>Heart Valve Disease</w:t>
            </w:r>
          </w:p>
        </w:tc>
        <w:tc>
          <w:tcPr>
            <w:tcW w:w="7400" w:type="dxa"/>
            <w:vAlign w:val="bottom"/>
            <w:tcBorders>
              <w:bottom w:val="single" w:sz="8" w:color="auto"/>
              <w:right w:val="single" w:sz="8" w:color="auto"/>
            </w:tcBorders>
          </w:tcPr>
          <w:p>
            <w:pPr>
              <w:spacing w:after="0"/>
              <w:rPr>
                <w:sz w:val="24"/>
                <w:szCs w:val="24"/>
                <w:color w:val="auto"/>
              </w:rPr>
            </w:pPr>
          </w:p>
        </w:tc>
      </w:tr>
      <w:tr>
        <w:trPr>
          <w:trHeight w:val="378"/>
        </w:trPr>
        <w:tc>
          <w:tcPr>
            <w:tcW w:w="3840" w:type="dxa"/>
            <w:vAlign w:val="bottom"/>
            <w:tcBorders>
              <w:left w:val="single" w:sz="8" w:color="auto"/>
              <w:right w:val="single" w:sz="8" w:color="auto"/>
            </w:tcBorders>
          </w:tcPr>
          <w:p>
            <w:pPr>
              <w:spacing w:after="0"/>
              <w:rPr>
                <w:sz w:val="24"/>
                <w:szCs w:val="24"/>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CAD is among the most common type of heart disease and occurs when plaque grows in the walls</w:t>
            </w:r>
          </w:p>
        </w:tc>
      </w:tr>
      <w:tr>
        <w:trPr>
          <w:trHeight w:val="175"/>
        </w:trPr>
        <w:tc>
          <w:tcPr>
            <w:tcW w:w="3840" w:type="dxa"/>
            <w:vAlign w:val="bottom"/>
            <w:tcBorders>
              <w:left w:val="single" w:sz="8" w:color="auto"/>
              <w:right w:val="single" w:sz="8" w:color="auto"/>
            </w:tcBorders>
          </w:tcPr>
          <w:p>
            <w:pPr>
              <w:spacing w:after="0"/>
              <w:rPr>
                <w:sz w:val="15"/>
                <w:szCs w:val="15"/>
                <w:color w:val="auto"/>
              </w:rPr>
            </w:pPr>
          </w:p>
        </w:tc>
        <w:tc>
          <w:tcPr>
            <w:tcW w:w="7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of the coronary arteries, limiting the blood flow to the heart’s muscle. CAD can ultimately lead to a</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heart attack.</w:t>
            </w:r>
          </w:p>
        </w:tc>
      </w:tr>
      <w:tr>
        <w:trPr>
          <w:trHeight w:val="1100"/>
        </w:trPr>
        <w:tc>
          <w:tcPr>
            <w:tcW w:w="384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2"/>
              </w:rPr>
              <w:t>Coronary Artery Disease (CAD)</w:t>
            </w:r>
          </w:p>
        </w:tc>
        <w:tc>
          <w:tcPr>
            <w:tcW w:w="74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-4688840</wp:posOffset>
            </wp:positionV>
            <wp:extent cx="60007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83121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-3479800</wp:posOffset>
            </wp:positionV>
            <wp:extent cx="986155" cy="831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83185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-2271395</wp:posOffset>
            </wp:positionV>
            <wp:extent cx="79692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6925" cy="83121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-1062355</wp:posOffset>
            </wp:positionV>
            <wp:extent cx="60007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831215"/>
                    </a:xfrm>
                    <a:prstGeom prst="rect">
                      <a:avLst/>
                    </a:prstGeom>
                    <a:noFill/>
                  </pic:spPr>
                </pic:pic>
              </a:graphicData>
            </a:graphic>
          </wp:anchor>
        </w:drawing>
      </w:r>
    </w:p>
    <w:p>
      <w:pPr>
        <w:spacing w:after="0" w:line="182"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We are currently focused on heart failure and arrhythmia, particularly when these diseases can be traced to some underlying genetic defect.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Challenges in the Development of Novel Therapies for Heart Disease</w:t>
      </w:r>
    </w:p>
    <w:p>
      <w:pPr>
        <w:spacing w:after="0" w:line="104" w:lineRule="exact"/>
        <w:rPr>
          <w:sz w:val="20"/>
          <w:szCs w:val="20"/>
          <w:color w:val="auto"/>
        </w:rPr>
      </w:pPr>
    </w:p>
    <w:p>
      <w:pPr>
        <w:ind w:left="1020" w:right="60" w:hanging="503"/>
        <w:spacing w:after="0" w:line="272"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Most development efforts focus on treating symptoms rather than targeting the underlying causes of diseases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First-line therapies for heart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failure such as generic small molecules, including ACE inhibitors, angiotensin II receptor blockers, beta blockers, aldosterone antagonists, and diuretics, are most commonly used, irrespective of the underlying cause of the heart failure.</w:t>
      </w:r>
    </w:p>
    <w:p>
      <w:pPr>
        <w:spacing w:after="0" w:line="50" w:lineRule="exact"/>
        <w:rPr>
          <w:rFonts w:ascii="Arial" w:cs="Arial" w:eastAsia="Arial" w:hAnsi="Arial"/>
          <w:sz w:val="17"/>
          <w:szCs w:val="17"/>
          <w:color w:val="auto"/>
        </w:rPr>
      </w:pPr>
    </w:p>
    <w:p>
      <w:pPr>
        <w:jc w:val="both"/>
        <w:ind w:left="1020" w:right="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Identifying new disease-modifying targets is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high reliance on animal models that are not always predictive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 disease. There is only a 4% to 7% overall probability of successful drug development from Phase 1 through commercialization for heart disease, among the lowest of all therapeutic areas.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1020" w:right="20" w:hanging="503"/>
        <w:spacing w:after="0" w:line="280"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Genetic diagnosis and genetic counseling are limited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patients presenting with heart disease do not currently obtain a genetic test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consistently identified. Additionally, this also limits the availability of patients for clinical trials of genetic medicines in heart disease.</w:t>
      </w:r>
    </w:p>
    <w:p>
      <w:pPr>
        <w:spacing w:after="0" w:line="47" w:lineRule="exact"/>
        <w:rPr>
          <w:rFonts w:ascii="Arial" w:cs="Arial" w:eastAsia="Arial" w:hAnsi="Arial"/>
          <w:sz w:val="16"/>
          <w:szCs w:val="16"/>
          <w:color w:val="auto"/>
        </w:rPr>
      </w:pPr>
    </w:p>
    <w:p>
      <w:pPr>
        <w:ind w:left="1020" w:right="20" w:hanging="503"/>
        <w:spacing w:after="0" w:line="24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Regenerative therapy science is still in its early stages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attempts at developing cell and gene therapies for heart disease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(1) an insufficient number of new cells surviving rejection by the immune system, (2) only modest efficacy from the surviving cells, and (3) arrhythmia caused by abnormal electric activity and connections between new cells and the existing cells.</w:t>
      </w:r>
    </w:p>
    <w:p>
      <w:pPr>
        <w:spacing w:after="0" w:line="75" w:lineRule="exact"/>
        <w:rPr>
          <w:rFonts w:ascii="Arial" w:cs="Arial" w:eastAsia="Arial" w:hAnsi="Arial"/>
          <w:sz w:val="18"/>
          <w:szCs w:val="18"/>
          <w:color w:val="auto"/>
        </w:rPr>
      </w:pPr>
    </w:p>
    <w:p>
      <w:pPr>
        <w:ind w:left="1020" w:right="160" w:hanging="503"/>
        <w:spacing w:after="0" w:line="24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Gene therapy science for the heart is still maturing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have been few attempts at gene therapy for heart disease. Most early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76"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requirements are stringent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cardiovascular drug development has involved large clinical studies to demonstrate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survival benefit over and above standard-of-care, and with very low tolerance for safety risks. Endpoints focused on functional improvements, such as change in ejection fraction (EF), have generally not been sufficient for FDA approval. This translates to a need for very large, long, and expensive randomized and placebo-controlled clinical studies. The size of a clinical study used to support treatment recommendations for heart failure can involve approximately 2,000 to 8,000 patients. As an example, studies for therapies intended to treat diabetes may require safety trials involving 5,000 to 15,000 patients to rule out cardiovascular risk.</w:t>
      </w:r>
    </w:p>
    <w:p>
      <w:pPr>
        <w:spacing w:after="0" w:line="48" w:lineRule="exact"/>
        <w:rPr>
          <w:rFonts w:ascii="Arial" w:cs="Arial" w:eastAsia="Arial" w:hAnsi="Arial"/>
          <w:sz w:val="16"/>
          <w:szCs w:val="16"/>
          <w:color w:val="auto"/>
        </w:rPr>
      </w:pPr>
    </w:p>
    <w:p>
      <w:pPr>
        <w:jc w:val="both"/>
        <w:ind w:left="1020" w:right="80" w:hanging="503"/>
        <w:spacing w:after="0" w:line="272"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Costs of development are high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part due to the historical need for very large clinical studies, drug development for new therapies of heart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has been very long and expensive. A recent analysis demonstrated that, on average, biopharmaceutical companies spent $1 billion in clinical development per cardiovascular drug product approval, the highest ratio among all therapeutic areas.</w:t>
      </w:r>
    </w:p>
    <w:p>
      <w:pPr>
        <w:spacing w:after="0" w:line="50" w:lineRule="exact"/>
        <w:rPr>
          <w:rFonts w:ascii="Arial" w:cs="Arial" w:eastAsia="Arial" w:hAnsi="Arial"/>
          <w:sz w:val="17"/>
          <w:szCs w:val="17"/>
          <w:color w:val="auto"/>
        </w:rPr>
      </w:pPr>
    </w:p>
    <w:p>
      <w:pPr>
        <w:ind w:left="1020" w:right="140" w:hanging="503"/>
        <w:spacing w:after="0" w:line="24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Patient access barriers are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being the leading cause of death, heart disease is one of the largest and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expensive categories for payers. The United States spends approximately $363 billion per year on cardiovascular disease alone, which has historically represented the most expensive category of chronic diseases to treat. The total direct and indirect costs of heart failure alone are expected to increase to $70 billion by 2030. As a result, heart disease is an area of focus for cost-containment and price sensitivity for new therapies for both private and public payers.</w:t>
      </w:r>
    </w:p>
    <w:p>
      <w:pPr>
        <w:spacing w:after="0" w:line="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However, there are recent signs of improvement. There is increasing insight into the genetic causes of heart disease and a greater push for more consistent genetic testing and family counseling supported by (1) updated 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 There are also a small but growing number of examples of clinical success with precision medicine approaches in cardiology, including in genetic cardiomyopathies.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2" w:name="page13"/>
    <w:bookmarkEnd w:id="12"/>
    <w:p>
      <w:pPr>
        <w:ind w:right="60" w:firstLine="509"/>
        <w:spacing w:after="0" w:line="248" w:lineRule="auto"/>
        <w:rPr>
          <w:sz w:val="20"/>
          <w:szCs w:val="20"/>
          <w:color w:val="auto"/>
        </w:rPr>
      </w:pPr>
      <w:r>
        <w:rPr>
          <w:rFonts w:ascii="Arial" w:cs="Arial" w:eastAsia="Arial" w:hAnsi="Arial"/>
          <w:sz w:val="18"/>
          <w:szCs w:val="18"/>
          <w:color w:val="auto"/>
        </w:rPr>
        <w:t>We believe with the evolving understanding of heart disease in the scientific community and the general public, there are significant opportunities where we can benefit from and support the evolution towards more precise diagnosis, drug development, and treatment for heart disease, as depicted in the diagram below.</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291465</wp:posOffset>
            </wp:positionV>
            <wp:extent cx="5288915" cy="2177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891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76" w:lineRule="exact"/>
        <w:rPr>
          <w:sz w:val="20"/>
          <w:szCs w:val="20"/>
          <w:color w:val="auto"/>
        </w:rPr>
      </w:pPr>
    </w:p>
    <w:p>
      <w:pPr>
        <w:ind w:left="1020" w:right="80" w:hanging="503"/>
        <w:spacing w:after="0" w:line="24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Focus exclusively on heart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 disease is still the leading cause of death globally, more than all cancers combined, and the unmet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75" w:lineRule="exact"/>
        <w:rPr>
          <w:rFonts w:ascii="Arial" w:cs="Arial" w:eastAsia="Arial" w:hAnsi="Arial"/>
          <w:sz w:val="18"/>
          <w:szCs w:val="18"/>
          <w:color w:val="auto"/>
        </w:rPr>
      </w:pPr>
    </w:p>
    <w:p>
      <w:pPr>
        <w:ind w:left="1020" w:hanging="503"/>
        <w:spacing w:after="0" w:line="286"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Develop disease-modifying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disease-modifying and potentially life-saving novel therapies that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58" w:lineRule="exact"/>
        <w:rPr>
          <w:rFonts w:ascii="Arial" w:cs="Arial" w:eastAsia="Arial" w:hAnsi="Arial"/>
          <w:sz w:val="16"/>
          <w:szCs w:val="16"/>
          <w:color w:val="auto"/>
        </w:rPr>
      </w:pPr>
    </w:p>
    <w:p>
      <w:pPr>
        <w:ind w:left="1020" w:right="20" w:hanging="503"/>
        <w:spacing w:after="0" w:line="257"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Discover novel therapies using three product platforms in parallel</w:t>
      </w:r>
      <w:r>
        <w:rPr>
          <w:rFonts w:ascii="Arial" w:cs="Arial" w:eastAsia="Arial" w:hAnsi="Arial"/>
          <w:sz w:val="17"/>
          <w:szCs w:val="17"/>
          <w:color w:val="auto"/>
        </w:rPr>
        <w:t>. To address the wide range of issues in heart diseases, we are advancing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7"/>
          <w:szCs w:val="17"/>
          <w:i w:val="1"/>
          <w:iCs w:val="1"/>
          <w:color w:val="auto"/>
        </w:rPr>
        <w:t>.</w:t>
      </w:r>
      <w:r>
        <w:rPr>
          <w:rFonts w:ascii="Arial" w:cs="Arial" w:eastAsia="Arial" w:hAnsi="Arial"/>
          <w:sz w:val="17"/>
          <w:szCs w:val="17"/>
          <w:color w:val="auto"/>
        </w:rPr>
        <w:t xml:space="preserve"> These platforms represent distinct but interrelated product engines that we believe will enable a robust pipeline of promising product candidates while also mitigating overall scientific risk.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 w:name="page14"/>
    <w:bookmarkEnd w:id="13"/>
    <w:p>
      <w:pPr>
        <w:ind w:left="1020" w:right="100" w:hanging="503"/>
        <w:spacing w:after="0" w:line="280"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Target defined sub-populations of patients most likely to respond to our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focus on patient populations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 cause of the disease is well-established, including genetic cardiomyopathies and other monogenic disorders. We also seek to use different strategies to sub-segment larger heart failure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47" w:lineRule="exact"/>
        <w:rPr>
          <w:rFonts w:ascii="Arial" w:cs="Arial" w:eastAsia="Arial" w:hAnsi="Arial"/>
          <w:sz w:val="16"/>
          <w:szCs w:val="16"/>
          <w:color w:val="auto"/>
        </w:rPr>
      </w:pPr>
    </w:p>
    <w:p>
      <w:pPr>
        <w:ind w:left="1020" w:hanging="503"/>
        <w:spacing w:after="0" w:line="25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Advance a deep and diverse pipeline of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advance potential product candidates from all three product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concurrently, and the current pipeline already has at least one program from each product platform. The diversity of our programs illustrates the ambition of our vision and the versatility and depth of our scientific approaches. For example, from our Gene Therapy platform we are advancing AAV-based therapies for rare, genetic forms of heart disease including (i) TN-201, our MYBPC3 product candidate for gHCM, (ii) our PKP2 product candidate for gARVC and (iii) our DWORF product candidate for HFrEF and DCM; from our Cellular Regeneration platform, we are advancing the Reprogramming approach to creating new cardiomyocytes to replace cells lost in patients with heart failure due to prior MI; and from our Precision Medicine platform, we are advancing TN-301, an HDAC6i small molecule intended to address HFpEF and gDCM. We are also working on several other undisclosed programs, particularly from our Gene Therapy and Precision Medicine platforms, that we believe will add to our future pipeline opportunities.</w:t>
      </w:r>
    </w:p>
    <w:p>
      <w:pPr>
        <w:spacing w:after="0" w:line="6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Internalize and integrate core capabilities to support our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five core capabilities that we believe will enable us to rapidly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 develop, and deliver heart therapies. These capabilities include: (i) Disease Models, (ii) Capsid Engineering, (iii)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contract research organizations (CROs), or contract development and manufacturing organizations (CDMOs)—providing us better control of our timelines and costs.</w:t>
      </w:r>
    </w:p>
    <w:p>
      <w:pPr>
        <w:spacing w:after="0" w:line="80" w:lineRule="exact"/>
        <w:rPr>
          <w:rFonts w:ascii="Arial" w:cs="Arial" w:eastAsia="Arial" w:hAnsi="Arial"/>
          <w:sz w:val="18"/>
          <w:szCs w:val="18"/>
          <w:color w:val="auto"/>
        </w:rPr>
      </w:pPr>
    </w:p>
    <w:p>
      <w:pPr>
        <w:ind w:left="1020" w:right="140" w:hanging="503"/>
        <w:spacing w:after="0" w:line="27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 fully integrated biopharmaceutical company with commercial capabilities. </w:t>
      </w:r>
      <w:r>
        <w:rPr>
          <w:rFonts w:ascii="Arial" w:cs="Arial" w:eastAsia="Arial" w:hAnsi="Arial"/>
          <w:sz w:val="16"/>
          <w:szCs w:val="16"/>
          <w:color w:val="auto"/>
        </w:rPr>
        <w:t>We aim to discover, develop, manufacture,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Platforms</w:t>
      </w:r>
    </w:p>
    <w:p>
      <w:pPr>
        <w:spacing w:after="0" w:line="10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7"/>
          <w:szCs w:val="17"/>
          <w:i w:val="1"/>
          <w:iCs w:val="1"/>
          <w:color w:val="auto"/>
        </w:rPr>
        <w:t>.</w:t>
      </w:r>
      <w:r>
        <w:rPr>
          <w:rFonts w:ascii="Arial" w:cs="Arial" w:eastAsia="Arial" w:hAnsi="Arial"/>
          <w:sz w:val="17"/>
          <w:szCs w:val="17"/>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ind w:right="260" w:firstLine="509"/>
        <w:spacing w:after="0" w:line="284" w:lineRule="auto"/>
        <w:rPr>
          <w:sz w:val="20"/>
          <w:szCs w:val="20"/>
          <w:color w:val="auto"/>
        </w:rPr>
      </w:pPr>
      <w:r>
        <w:rPr>
          <w:rFonts w:ascii="Arial" w:cs="Arial" w:eastAsia="Arial" w:hAnsi="Arial"/>
          <w:sz w:val="16"/>
          <w:szCs w:val="16"/>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4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Recent third-party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 where the target cells are cardiomyocytes (one of the most abundant cell types in the heart responsible for contraction). In addition, we are aware of over 1,800 patients across 40 countries that have been treated using Novartis Pharmaceutical's Zolgensma </w:t>
      </w:r>
      <w:r>
        <w:rPr>
          <w:rFonts w:ascii="Arial" w:cs="Arial" w:eastAsia="Arial" w:hAnsi="Arial"/>
          <w:sz w:val="17"/>
          <w:szCs w:val="17"/>
          <w:color w:val="231F20"/>
        </w:rPr>
        <w:t>(developed by AveXis)</w:t>
      </w:r>
      <w:r>
        <w:rPr>
          <w:rFonts w:ascii="Arial" w:cs="Arial" w:eastAsia="Arial" w:hAnsi="Arial"/>
          <w:sz w:val="17"/>
          <w:szCs w:val="17"/>
          <w:color w:val="auto"/>
        </w:rPr>
        <w:t>, a therapy utilizing IV AAV9. Based on the totality of preclinical and clinical evidence, we have also chosen to use AAV9 to support our TN-201 and TN-401 programs.</w:t>
      </w:r>
    </w:p>
    <w:p>
      <w:pPr>
        <w:spacing w:after="0" w:line="6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However, AAV9 has limitations. AAV9 has a well-established ability to also transduce the liver and the central nervous system, in addition to the heart, which may create safety considerations. Also, some individuals have neutralizing antibodies to AAV9, making them ineligible for AAV9-based treatments. Cardiac-specific promoters like cardiac troponin T (cTnT), can help limit the expression of AAV-delivered genes to cardiomyocytes, but do not enable targeted gene expression in other heart cells (e.g. cardiac fibroblasts). Additionally, the level of gene expression from these promoters may not be sufficient for therapeutic effect for some targets.</w:t>
      </w:r>
    </w:p>
    <w:p>
      <w:pPr>
        <w:spacing w:after="0" w:line="8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Additionally, we have established know-how to enable more optimal manufacturing, including of novel AAV capsids.</w:t>
      </w:r>
    </w:p>
    <w:p>
      <w:pPr>
        <w:spacing w:after="0" w:line="5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We believe our proprietary capabilities open the opportunity to deliver novel gene therapies to patients with heart disease and position us to become a leader in cardiac gene therapy. We are leveraging these capabilities to develop gene therapies for rare, genetic forms of heart disease, as well as to enable the transition to more prevalent forms as well.</w:t>
      </w:r>
    </w:p>
    <w:p>
      <w:pPr>
        <w:spacing w:after="0" w:line="7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TN-201, our most advanced product candidate from our Gene Therapy platform, involves delivering a healthy copy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to address the leading cause of gHCM. This “lock and key” gene therapy program was selected following a screen of hundreds of potential targets. We believe our TN-201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5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versatility of our Gene Therapy platform and related differentiated capabilities has enabled us to rapidly expand our portfolio of therapies beyond the initial focus. For example, TN-401, from our PKP2 program, is another example of a “lock and key” approach to addressing the leading cause of gARVC. Our DWORF program is based on the idea of delivering the recently discovered DWORF protein targeting a well-known SERCA2a pathway that has been shown to exert a therapeutic effect in a range of disease models. We continue to explore other genetic cardiomyopathies that can potentially be addressed by our Gene Therapy platform.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Scientists have long known that the human heart is not able to regenerate itself, unlike many other organs in the body. Acute myocardial infraction (MI)—more commonly referred to as a heart attack—can kill as many as 25% of cardiomyocytes from the left ventricle (LV), or approximately one billion cells. The heart has no natural way to replace cells that are lost slowly with age or suddenly due to disease.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The loss of healthy functional cells is a contributing factor to other forms of heart disease as well. One reason that disease is so prevalent and the leading cause of death in the world is due to the lack of regenerative potential of the heart. Finding ways to replace lost heart cells is one of the “holy grails” of regenerative medicine.</w:t>
      </w:r>
    </w:p>
    <w:p>
      <w:pPr>
        <w:spacing w:after="0" w:line="5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There are two abundant cell types in the heart: cardiomyocytes, which are the cells that are responsible for contraction during each heartbeat, and cardiac fibroblasts, that produce and secrete growth factors, cytokines and other signaling molecules contributing to structural, biochemical, mechanical and electrical properties of the myocardium. While cardiac fibroblasts are able to divide and proliferate, cardiomyocytes are post-mitotic, meaning they are incapable of regenerating. cardiomyocytes that are lost due to aging or disease are replaced by fibrotic scar tissue that is permanent and irreparable.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253365</wp:posOffset>
            </wp:positionV>
            <wp:extent cx="1534795" cy="1988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479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 xml:space="preserve">The field of cardiac regeneration has historically been dominated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approaches using autologous (from self) or allogeneic (from donors) cell sources to replace lost cardiomyocytes.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5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regeneration of lost cardiomyocytes. Our approach is intended to achieve this by using viral vectors to deliver a proprietary combination of three genes that when delivered together in a single AAV can permanently convert—or “reprogram”— a patient’s own resident cardiac fibroblasts into new cardiomyocytes.</w:t>
      </w:r>
    </w:p>
    <w:p>
      <w:pPr>
        <w:spacing w:after="0" w:line="8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This approach was inspired by the Nobel-prize winning discoveries of Shinya Yamanaka. He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cardiac fibroblasts to cardiomyocytes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a mouse model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with human cells. Several independent academic labs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6" w:name="page17"/>
    <w:bookmarkEnd w:id="16"/>
    <w:p>
      <w:pPr>
        <w:ind w:right="540"/>
        <w:spacing w:after="0" w:line="261" w:lineRule="auto"/>
        <w:rPr>
          <w:sz w:val="20"/>
          <w:szCs w:val="20"/>
          <w:color w:val="auto"/>
        </w:rPr>
      </w:pPr>
      <w:r>
        <w:rPr>
          <w:rFonts w:ascii="Arial" w:cs="Arial" w:eastAsia="Arial" w:hAnsi="Arial"/>
          <w:sz w:val="18"/>
          <w:szCs w:val="18"/>
          <w:color w:val="auto"/>
        </w:rPr>
        <w:t>around the world have subsequently replicated the results with direct reprogramming for cardiac regeneration using the same factors as well as new combinations.</w:t>
      </w:r>
    </w:p>
    <w:p>
      <w:pPr>
        <w:spacing w:after="0" w:line="26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figure below helps illustrate the idea of direct reprogramming of cardiac fibroblasts to cardiomyocytes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237490</wp:posOffset>
            </wp:positionV>
            <wp:extent cx="5349240" cy="2434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cardiac fibroblasts to cardiomyocytes,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heart failure following MI (i.e. following some period of time after the heart attack has occurred ) which more accurately simulates the situation that would be adopted in the clinical setting.</w:t>
      </w:r>
    </w:p>
    <w:p>
      <w:pPr>
        <w:spacing w:after="0" w:line="6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cardiac fibroblasts when compared to existing parental capsids. We have demonstrated higher transdifferentiation rates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human cardiac fibroblasts that are higher than rates reported in published studies using combinations of other factors intended to drive reprogramming. We have demonstrated robust and durable proof-of-concept of this approach in multiple rodent models of acute MI and heart failure post-MI. Most importantly, based on publicly available information to date, we believe our results in a pig model of heart failure due to prior MI represent the first-ever successful demonstration of the potential therapeutic benefit of this approach in a human-sized heart.</w:t>
      </w:r>
    </w:p>
    <w:p>
      <w:pPr>
        <w:spacing w:after="0" w:line="8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 to cardiac regeneration may have several advantages over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Because the newly formed cardiomyocytes are generated from the patients’ own cells, they are not rejected by the body and no immunosuppression is needed. Since these newly formed cardiomyocytes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6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initial focus of our Cellular Regeneration platform is on the development of disease-modifying treatments for heart failure due to prior MI. We believe the versatility of this product platform and related differentiated capabilities position us to expand our portfolio of therapies rapidly and pursue other indications involving loss of cardiomyocytes</w:t>
      </w:r>
      <w:r>
        <w:rPr>
          <w:rFonts w:ascii="Arial" w:cs="Arial" w:eastAsia="Arial" w:hAnsi="Arial"/>
          <w:sz w:val="18"/>
          <w:szCs w:val="18"/>
          <w:i w:val="1"/>
          <w:iCs w:val="1"/>
          <w:color w:val="auto"/>
        </w:rPr>
        <w:t>.</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04"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a growing ability to match therapies to specific mutations (e.g., Genentech’s Herceptin therapy for HER2+ breast cancer). We aim to bring this concept of precision medicine to the discovery and development of targeted therapies for heart disease.</w:t>
      </w:r>
    </w:p>
    <w:p>
      <w:pPr>
        <w:spacing w:after="0" w:line="4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There is an increasing understanding of the genetic basis for many cardiomyopathies, including DCM, HCM, restrictive cardiomyopathy (RCM) and arrhythmogenic cardiomyopathy (ACM). DCM provides an interesting case study. Mutations in more than 50 genes have been identified for gDCM, with more than 50% of patients presenting with multiple mutations. These mutations affect different parts of the cellular apparatus of patients’ cardiomyocytes,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heart failure. We envision a future in which therapies are more specific to the underlying cause of disease and are used to treat patients who have been categorized based on their underlying genetic mutations.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296545</wp:posOffset>
            </wp:positionV>
            <wp:extent cx="5297805" cy="2202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9780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but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80"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are also a growing number of biopharmaceutical companies that are using iPSCs for phenotypic screening and drug discovery. We are advancing a novel approach of using proprietary hiPSC-CMs disease models for target identification and drug discovery specifically for heart disease.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8" w:name="page19"/>
    <w:bookmarkEnd w:id="18"/>
    <w:p>
      <w:pPr>
        <w:ind w:right="460" w:firstLine="509"/>
        <w:spacing w:after="0" w:line="261" w:lineRule="auto"/>
        <w:rPr>
          <w:sz w:val="20"/>
          <w:szCs w:val="20"/>
          <w:color w:val="auto"/>
        </w:rPr>
      </w:pPr>
      <w:r>
        <w:rPr>
          <w:rFonts w:ascii="Arial" w:cs="Arial" w:eastAsia="Arial" w:hAnsi="Arial"/>
          <w:sz w:val="18"/>
          <w:szCs w:val="18"/>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263525</wp:posOffset>
            </wp:positionV>
            <wp:extent cx="5186045" cy="2408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TN-301,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and tolerability demonstrated in multiple heart disease models of HFpEF and gDCM.</w:t>
      </w:r>
    </w:p>
    <w:p>
      <w:pPr>
        <w:spacing w:after="0" w:line="47"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We are currently conducting target identification screens for both gene therapy and small molecule targets in multiple iPSC-CM disease models of gDCM. We are also expanding our efforts to different genetic backgrounds including the leading genetic causes of cardiomyopathy. We believe the versatility of our Precision Medicine platform and related capabilities enables us to rapidly expand our portfolio of product candidates beyond TN-301.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Capabilities</w:t>
      </w:r>
    </w:p>
    <w:p>
      <w:pPr>
        <w:spacing w:after="0" w:line="108" w:lineRule="exact"/>
        <w:rPr>
          <w:sz w:val="20"/>
          <w:szCs w:val="20"/>
          <w:color w:val="auto"/>
        </w:rPr>
      </w:pPr>
    </w:p>
    <w:p>
      <w:pPr>
        <w:jc w:val="both"/>
        <w:ind w:right="180" w:firstLine="509"/>
        <w:spacing w:after="0" w:line="284" w:lineRule="auto"/>
        <w:rPr>
          <w:sz w:val="20"/>
          <w:szCs w:val="20"/>
          <w:color w:val="auto"/>
        </w:rPr>
      </w:pPr>
      <w:r>
        <w:rPr>
          <w:rFonts w:ascii="Arial" w:cs="Arial" w:eastAsia="Arial" w:hAnsi="Arial"/>
          <w:sz w:val="16"/>
          <w:szCs w:val="16"/>
          <w:color w:val="auto"/>
        </w:rPr>
        <w:t>We utilize five core internal capabilities to support our three product platforms. Our key capabilities include the creation and development of (1) 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4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by enabling more precise delivery and more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6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By having our capabilities in-house, we believe we are able to achieve deeper insight, shorten product development cycles, and improve the probability of technical and regulatory success for our product candidates compared to what can be achieved with a more outsourced approach. This further allows us to rapidly build a diverse pipeline of product candidates. Ultimately, we believe our differentiated capabilities can support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9" w:name="page20"/>
    <w:bookmarkEnd w:id="19"/>
    <w:p>
      <w:pPr>
        <w:ind w:right="140"/>
        <w:spacing w:after="0" w:line="261" w:lineRule="auto"/>
        <w:rPr>
          <w:sz w:val="20"/>
          <w:szCs w:val="20"/>
          <w:color w:val="auto"/>
        </w:rPr>
      </w:pPr>
      <w:r>
        <w:rPr>
          <w:rFonts w:ascii="Arial" w:cs="Arial" w:eastAsia="Arial" w:hAnsi="Arial"/>
          <w:sz w:val="18"/>
          <w:szCs w:val="18"/>
          <w:color w:val="auto"/>
        </w:rPr>
        <w:t>development of product candidates that, if approved, could address the high unmet need of patients with heart diseases and could be delivered at a lower cost of goods than what is possible today.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Disease Models</w:t>
      </w:r>
    </w:p>
    <w:p>
      <w:pPr>
        <w:spacing w:after="0" w:line="104"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 xml:space="preserve">We have internalized the ability to create and integrate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 vitro cell-based disease models</w:t>
      </w:r>
      <w:r>
        <w:rPr>
          <w:rFonts w:ascii="Arial" w:cs="Arial" w:eastAsia="Arial" w:hAnsi="Arial"/>
          <w:sz w:val="18"/>
          <w:szCs w:val="18"/>
          <w:color w:val="auto"/>
        </w:rPr>
        <w:t>: For our</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disease models, we have leveraged the seminal discovery of methods used to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heart failure and transplant, sourced from commercial and academic collaborators.</w:t>
      </w:r>
    </w:p>
    <w:p>
      <w:pPr>
        <w:spacing w:after="0" w:line="8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In the figure below, we illustrate our primary disease model approaches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160655</wp:posOffset>
            </wp:positionV>
            <wp:extent cx="4732020" cy="1877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320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60" w:right="180"/>
        <w:spacing w:after="0" w:line="262" w:lineRule="auto"/>
        <w:rPr>
          <w:sz w:val="20"/>
          <w:szCs w:val="20"/>
          <w:color w:val="auto"/>
        </w:rPr>
      </w:pPr>
      <w:r>
        <w:rPr>
          <w:rFonts w:ascii="Arial" w:cs="Arial" w:eastAsia="Arial" w:hAnsi="Arial"/>
          <w:sz w:val="17"/>
          <w:szCs w:val="17"/>
          <w:color w:val="auto"/>
        </w:rPr>
        <w:t>These disease models can collectively help simulate the impact of human disease-causing mutations on the appearance and function of cardiomyocytes.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20" w:name="page21"/>
    <w:bookmarkEnd w:id="20"/>
    <w:p>
      <w:pPr>
        <w:ind w:left="503" w:right="260"/>
        <w:spacing w:after="0" w:line="248" w:lineRule="auto"/>
        <w:rPr>
          <w:sz w:val="20"/>
          <w:szCs w:val="20"/>
          <w:color w:val="auto"/>
        </w:rPr>
      </w:pPr>
      <w:r>
        <w:rPr>
          <w:rFonts w:ascii="Arial" w:cs="Arial" w:eastAsia="Arial" w:hAnsi="Arial"/>
          <w:sz w:val="18"/>
          <w:szCs w:val="18"/>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74" w:lineRule="exact"/>
        <w:rPr>
          <w:sz w:val="20"/>
          <w:szCs w:val="20"/>
          <w:color w:val="auto"/>
        </w:rPr>
      </w:pPr>
    </w:p>
    <w:p>
      <w:pPr>
        <w:ind w:left="503" w:hanging="503"/>
        <w:spacing w:after="0" w:line="324" w:lineRule="auto"/>
        <w:tabs>
          <w:tab w:leader="none" w:pos="50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iPSC production: </w:t>
      </w:r>
      <w:r>
        <w:rPr>
          <w:rFonts w:ascii="Arial" w:cs="Arial" w:eastAsia="Arial" w:hAnsi="Arial"/>
          <w:sz w:val="16"/>
          <w:szCs w:val="16"/>
          <w:color w:val="auto"/>
        </w:rPr>
        <w:t>To conduct robust target identification and drug discovery screens using our cell-based disease models, we need to produce</w:t>
      </w:r>
      <w:r>
        <w:rPr>
          <w:rFonts w:ascii="Arial" w:cs="Arial" w:eastAsia="Arial" w:hAnsi="Arial"/>
          <w:sz w:val="16"/>
          <w:szCs w:val="16"/>
          <w:i w:val="1"/>
          <w:iCs w:val="1"/>
          <w:color w:val="auto"/>
        </w:rPr>
        <w:t xml:space="preserve"> </w:t>
      </w:r>
      <w:r>
        <w:rPr>
          <w:rFonts w:ascii="Arial" w:cs="Arial" w:eastAsia="Arial" w:hAnsi="Arial"/>
          <w:sz w:val="16"/>
          <w:szCs w:val="16"/>
          <w:color w:val="auto"/>
        </w:rPr>
        <w:t>large volumes of these hiPSC-CMs. We have developed the necessary know-how to do so reliably and reproducibly at increasing scale.</w:t>
      </w:r>
    </w:p>
    <w:p>
      <w:pPr>
        <w:spacing w:after="0" w:line="16" w:lineRule="exact"/>
        <w:rPr>
          <w:rFonts w:ascii="Arial" w:cs="Arial" w:eastAsia="Arial" w:hAnsi="Arial"/>
          <w:sz w:val="16"/>
          <w:szCs w:val="16"/>
          <w:color w:val="auto"/>
        </w:rPr>
      </w:pPr>
    </w:p>
    <w:p>
      <w:pPr>
        <w:ind w:left="503" w:right="60" w:hanging="503"/>
        <w:spacing w:after="0" w:line="248"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Imaging techniques: </w:t>
      </w:r>
      <w:r>
        <w:rPr>
          <w:rFonts w:ascii="Arial" w:cs="Arial" w:eastAsia="Arial" w:hAnsi="Arial"/>
          <w:sz w:val="18"/>
          <w:szCs w:val="18"/>
          <w:color w:val="auto"/>
        </w:rPr>
        <w:t>We use a combination of immunostaining, high-resolution imaging, and imaging algorithms to visualize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phenotypic differences between our in-house iPSC-CM disease models. We can measure several details of the sarcomeres of these cell lines, including sarcomere density, disarray and Z-disc area.</w:t>
      </w:r>
    </w:p>
    <w:p>
      <w:pPr>
        <w:spacing w:after="0" w:line="73" w:lineRule="exact"/>
        <w:rPr>
          <w:rFonts w:ascii="Arial" w:cs="Arial" w:eastAsia="Arial" w:hAnsi="Arial"/>
          <w:sz w:val="18"/>
          <w:szCs w:val="18"/>
          <w:color w:val="auto"/>
        </w:rPr>
      </w:pPr>
    </w:p>
    <w:p>
      <w:pPr>
        <w:ind w:left="503" w:right="380"/>
        <w:spacing w:after="0" w:line="261" w:lineRule="auto"/>
        <w:rPr>
          <w:rFonts w:ascii="Arial" w:cs="Arial" w:eastAsia="Arial" w:hAnsi="Arial"/>
          <w:sz w:val="18"/>
          <w:szCs w:val="18"/>
          <w:color w:val="auto"/>
        </w:rPr>
      </w:pPr>
      <w:r>
        <w:rPr>
          <w:rFonts w:ascii="Arial" w:cs="Arial" w:eastAsia="Arial" w:hAnsi="Arial"/>
          <w:sz w:val="18"/>
          <w:szCs w:val="18"/>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109220</wp:posOffset>
            </wp:positionV>
            <wp:extent cx="3008630" cy="1500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86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3" w:right="240"/>
        <w:spacing w:after="0" w:line="248" w:lineRule="auto"/>
        <w:rPr>
          <w:sz w:val="20"/>
          <w:szCs w:val="20"/>
          <w:color w:val="auto"/>
        </w:rPr>
      </w:pPr>
      <w:r>
        <w:rPr>
          <w:rFonts w:ascii="Arial" w:cs="Arial" w:eastAsia="Arial" w:hAnsi="Arial"/>
          <w:sz w:val="18"/>
          <w:szCs w:val="18"/>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270510</wp:posOffset>
            </wp:positionV>
            <wp:extent cx="2854325" cy="1920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36"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474345</wp:posOffset>
            </wp:positionV>
            <wp:extent cx="2520315" cy="1954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5203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503" w:right="100" w:hanging="503"/>
        <w:spacing w:after="0" w:line="294" w:lineRule="auto"/>
        <w:tabs>
          <w:tab w:leader="none" w:pos="503"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algorithms: </w:t>
      </w:r>
      <w:r>
        <w:rPr>
          <w:rFonts w:ascii="Arial" w:cs="Arial" w:eastAsia="Arial" w:hAnsi="Arial"/>
          <w:sz w:val="16"/>
          <w:szCs w:val="16"/>
          <w:color w:val="auto"/>
        </w:rPr>
        <w:t>We have used machine learning algorithms to support high-throughput phenotypic screening of our iPSC-CM</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39" w:lineRule="exact"/>
        <w:rPr>
          <w:rFonts w:ascii="Arial" w:cs="Arial" w:eastAsia="Arial" w:hAnsi="Arial"/>
          <w:sz w:val="16"/>
          <w:szCs w:val="16"/>
          <w:color w:val="auto"/>
        </w:rPr>
      </w:pPr>
    </w:p>
    <w:p>
      <w:pPr>
        <w:ind w:left="503" w:right="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figure below illustrates the output of a screen in a disease model of DCM, using siRNA silencing of the </w:t>
      </w:r>
      <w:r>
        <w:rPr>
          <w:rFonts w:ascii="Arial" w:cs="Arial" w:eastAsia="Arial" w:hAnsi="Arial"/>
          <w:sz w:val="16"/>
          <w:szCs w:val="16"/>
          <w:i w:val="1"/>
          <w:iCs w:val="1"/>
          <w:color w:val="auto"/>
        </w:rPr>
        <w:t>BAG3</w:t>
      </w:r>
      <w:r>
        <w:rPr>
          <w:rFonts w:ascii="Arial" w:cs="Arial" w:eastAsia="Arial" w:hAnsi="Arial"/>
          <w:sz w:val="16"/>
          <w:szCs w:val="16"/>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484505</wp:posOffset>
            </wp:positionV>
            <wp:extent cx="4577715" cy="2417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771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3" w:hanging="503"/>
        <w:spacing w:after="0"/>
        <w:tabs>
          <w:tab w:leader="none" w:pos="50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 vivo models: </w:t>
      </w:r>
      <w:r>
        <w:rPr>
          <w:rFonts w:ascii="Arial" w:cs="Arial" w:eastAsia="Arial" w:hAnsi="Arial"/>
          <w:sz w:val="18"/>
          <w:szCs w:val="18"/>
          <w:color w:val="auto"/>
        </w:rPr>
        <w:t>For our</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disease models, we have a dedicated onsite</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pharmacology group and vivarium. We have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17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w:t>
      </w:r>
    </w:p>
    <w:p>
      <w:pPr>
        <w:spacing w:after="0" w:line="18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22" w:name="page23"/>
    <w:bookmarkEnd w:id="22"/>
    <w:p>
      <w:pPr>
        <w:ind w:left="1020" w:right="60"/>
        <w:spacing w:after="0" w:line="284" w:lineRule="auto"/>
        <w:rPr>
          <w:sz w:val="20"/>
          <w:szCs w:val="20"/>
          <w:color w:val="auto"/>
        </w:rPr>
      </w:pPr>
      <w:r>
        <w:rPr>
          <w:rFonts w:ascii="Arial" w:cs="Arial" w:eastAsia="Arial" w:hAnsi="Arial"/>
          <w:sz w:val="16"/>
          <w:szCs w:val="16"/>
          <w:color w:val="auto"/>
        </w:rPr>
        <w:t>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Capsid Engineering</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goal is to discover, design, and develop novel heart-tropic AAV capsids with superior attributes in order to enable more precise cardiomyocytes targeting and to improve the safety profile of our product candidates by reducing tropism for other organs, particularly the liver. A capsid is the protective protein shell which contains the AAV vector and AAV tropism is determined by interaction of capsid proteins and host cell surface receptors. To achieve our goals related to capsid engineering, we have established in-house AAV capsid engineering capabilities and have designed and screened over one billion variants from diverse, proprietary libraries to discover, design, and develop novel capsids to support our programs.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captures the breadth and depth of the focused strategies we have pursued to discover novel AAV capsids:</w:t>
      </w:r>
    </w:p>
    <w:p>
      <w:pPr>
        <w:spacing w:after="0" w:line="233" w:lineRule="exact"/>
        <w:rPr>
          <w:sz w:val="20"/>
          <w:szCs w:val="20"/>
          <w:color w:val="auto"/>
        </w:rPr>
      </w:pPr>
    </w:p>
    <w:tbl>
      <w:tblPr>
        <w:tblLayout w:type="fixed"/>
        <w:tblInd w:w="1030" w:type="dxa"/>
        <w:tblCellMar>
          <w:top w:w="0" w:type="dxa"/>
          <w:left w:w="0" w:type="dxa"/>
          <w:bottom w:w="0" w:type="dxa"/>
          <w:right w:w="0" w:type="dxa"/>
        </w:tblCellMar>
      </w:tblPr>
      <w:tr>
        <w:trPr>
          <w:trHeight w:val="270"/>
        </w:trPr>
        <w:tc>
          <w:tcPr>
            <w:tcW w:w="1600" w:type="dxa"/>
            <w:vAlign w:val="bottom"/>
            <w:tcBorders>
              <w:top w:val="single" w:sz="8" w:color="auto"/>
              <w:left w:val="single" w:sz="8" w:color="auto"/>
              <w:bottom w:val="single" w:sz="8" w:color="auto"/>
            </w:tcBorders>
          </w:tcPr>
          <w:p>
            <w:pPr>
              <w:spacing w:after="0"/>
              <w:rPr>
                <w:sz w:val="23"/>
                <w:szCs w:val="23"/>
                <w:color w:val="auto"/>
              </w:rPr>
            </w:pPr>
          </w:p>
        </w:tc>
        <w:tc>
          <w:tcPr>
            <w:tcW w:w="7600" w:type="dxa"/>
            <w:vAlign w:val="bottom"/>
            <w:tcBorders>
              <w:top w:val="single" w:sz="8" w:color="auto"/>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Focused Multi-Year AAV Screening Efforts Using Diverse Strategies</w:t>
            </w:r>
          </w:p>
        </w:tc>
      </w:tr>
      <w:tr>
        <w:trPr>
          <w:trHeight w:val="250"/>
        </w:trPr>
        <w:tc>
          <w:tcPr>
            <w:tcW w:w="16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4"/>
              </w:rPr>
              <w:t>Cell specificity</w:t>
            </w:r>
          </w:p>
        </w:tc>
        <w:tc>
          <w:tcPr>
            <w:tcW w:w="240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Capsid engineering efforts for both cardiomyocytes and cardiac</w:t>
            </w: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fibroblasts</w:t>
            </w:r>
          </w:p>
        </w:tc>
      </w:tr>
      <w:tr>
        <w:trPr>
          <w:trHeight w:val="263"/>
        </w:trPr>
        <w:tc>
          <w:tcPr>
            <w:tcW w:w="16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5"/>
              </w:rPr>
              <w:t>Library diversity</w:t>
            </w:r>
          </w:p>
        </w:tc>
        <w:tc>
          <w:tcPr>
            <w:tcW w:w="2400" w:type="dxa"/>
            <w:vAlign w:val="bottom"/>
            <w:tcBorders>
              <w:right w:val="single" w:sz="8" w:color="auto"/>
            </w:tcBorders>
          </w:tcPr>
          <w:p>
            <w:pPr>
              <w:spacing w:after="0"/>
              <w:rPr>
                <w:sz w:val="22"/>
                <w:szCs w:val="22"/>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Screened more than one billion variants from 30 diverse libraries</w:t>
            </w: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(e.g., rational design, peptide insertion, variable region, chimeric)</w:t>
            </w:r>
          </w:p>
        </w:tc>
      </w:tr>
      <w:tr>
        <w:trPr>
          <w:trHeight w:val="620"/>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63"/>
        </w:trPr>
        <w:tc>
          <w:tcPr>
            <w:tcW w:w="16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Screening models</w:t>
            </w:r>
          </w:p>
        </w:tc>
        <w:tc>
          <w:tcPr>
            <w:tcW w:w="2400" w:type="dxa"/>
            <w:vAlign w:val="bottom"/>
            <w:tcBorders>
              <w:right w:val="single" w:sz="8" w:color="auto"/>
            </w:tcBorders>
          </w:tcPr>
          <w:p>
            <w:pPr>
              <w:spacing w:after="0"/>
              <w:rPr>
                <w:sz w:val="22"/>
                <w:szCs w:val="22"/>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Screening and validation in multiple models, including human iPSC-</w:t>
            </w:r>
          </w:p>
        </w:tc>
      </w:tr>
      <w:tr>
        <w:trPr>
          <w:trHeight w:val="176"/>
        </w:trPr>
        <w:tc>
          <w:tcPr>
            <w:tcW w:w="160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52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6"/>
              </w:rPr>
              <w:t xml:space="preserve">CMs, rodent models, NHPs as well as </w:t>
            </w:r>
            <w:r>
              <w:rPr>
                <w:rFonts w:ascii="Arial" w:cs="Arial" w:eastAsia="Arial" w:hAnsi="Arial"/>
                <w:sz w:val="18"/>
                <w:szCs w:val="18"/>
                <w:i w:val="1"/>
                <w:iCs w:val="1"/>
                <w:color w:val="auto"/>
                <w:w w:val="96"/>
              </w:rPr>
              <w:t>in silico</w:t>
            </w:r>
            <w:r>
              <w:rPr>
                <w:rFonts w:ascii="Arial" w:cs="Arial" w:eastAsia="Arial" w:hAnsi="Arial"/>
                <w:sz w:val="18"/>
                <w:szCs w:val="18"/>
                <w:color w:val="auto"/>
                <w:w w:val="96"/>
              </w:rPr>
              <w:t xml:space="preserve"> / machine learning</w:t>
            </w: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models</w:t>
            </w:r>
          </w:p>
        </w:tc>
      </w:tr>
      <w:tr>
        <w:trPr>
          <w:trHeight w:val="107"/>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2400" w:type="dxa"/>
            <w:vAlign w:val="bottom"/>
            <w:tcBorders>
              <w:bottom w:val="single" w:sz="8" w:color="auto"/>
              <w:right w:val="single" w:sz="8" w:color="auto"/>
            </w:tcBorders>
          </w:tcPr>
          <w:p>
            <w:pPr>
              <w:spacing w:after="0"/>
              <w:rPr>
                <w:sz w:val="9"/>
                <w:szCs w:val="9"/>
                <w:color w:val="auto"/>
              </w:rPr>
            </w:pPr>
          </w:p>
        </w:tc>
        <w:tc>
          <w:tcPr>
            <w:tcW w:w="5200" w:type="dxa"/>
            <w:vAlign w:val="bottom"/>
            <w:tcBorders>
              <w:bottom w:val="single" w:sz="8" w:color="auto"/>
              <w:right w:val="single" w:sz="8" w:color="auto"/>
            </w:tcBorders>
          </w:tcPr>
          <w:p>
            <w:pPr>
              <w:spacing w:after="0"/>
              <w:rPr>
                <w:sz w:val="9"/>
                <w:szCs w:val="9"/>
                <w:color w:val="auto"/>
              </w:rPr>
            </w:pPr>
          </w:p>
        </w:tc>
      </w:tr>
      <w:tr>
        <w:trPr>
          <w:trHeight w:val="263"/>
        </w:trPr>
        <w:tc>
          <w:tcPr>
            <w:tcW w:w="16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Screening criteria</w:t>
            </w:r>
          </w:p>
        </w:tc>
        <w:tc>
          <w:tcPr>
            <w:tcW w:w="2400" w:type="dxa"/>
            <w:vAlign w:val="bottom"/>
            <w:tcBorders>
              <w:right w:val="single" w:sz="8" w:color="auto"/>
            </w:tcBorders>
          </w:tcPr>
          <w:p>
            <w:pPr>
              <w:spacing w:after="0"/>
              <w:rPr>
                <w:sz w:val="22"/>
                <w:szCs w:val="22"/>
                <w:color w:val="auto"/>
              </w:rPr>
            </w:pPr>
          </w:p>
        </w:tc>
        <w:tc>
          <w:tcPr>
            <w:tcW w:w="5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Evaluating novel capsids for multiple criteria including higher heart</w:t>
            </w:r>
          </w:p>
        </w:tc>
      </w:tr>
      <w:tr>
        <w:trPr>
          <w:trHeight w:val="175"/>
        </w:trPr>
        <w:tc>
          <w:tcPr>
            <w:tcW w:w="160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52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transduction, lower liver transduction, lower antigenicity, and</w:t>
            </w:r>
          </w:p>
        </w:tc>
      </w:tr>
      <w:tr>
        <w:trPr>
          <w:trHeight w:val="176"/>
        </w:trPr>
        <w:tc>
          <w:tcPr>
            <w:tcW w:w="160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52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comparable manufacturability (as compared to relevant known</w:t>
            </w: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serotypes)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-2005330</wp:posOffset>
            </wp:positionV>
            <wp:extent cx="85725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0" cy="1797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-1688465</wp:posOffset>
            </wp:positionV>
            <wp:extent cx="960120" cy="574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120" cy="57404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-462280</wp:posOffset>
            </wp:positionV>
            <wp:extent cx="968375" cy="2311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231140"/>
                    </a:xfrm>
                    <a:prstGeom prst="rect">
                      <a:avLst/>
                    </a:prstGeom>
                    <a:noFill/>
                  </pic:spPr>
                </pic:pic>
              </a:graphicData>
            </a:graphic>
          </wp:anchor>
        </w:drawing>
      </w:r>
    </w:p>
    <w:p>
      <w:pPr>
        <w:spacing w:after="0" w:line="16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are using our capsid engineering capabilities to identify novel AAV capsids with an overall higher tropism for the heart</w:t>
      </w:r>
    </w:p>
    <w:p>
      <w:pPr>
        <w:spacing w:after="0" w:line="34" w:lineRule="exact"/>
        <w:rPr>
          <w:rFonts w:ascii="Arial" w:cs="Arial" w:eastAsia="Arial" w:hAnsi="Arial"/>
          <w:sz w:val="16"/>
          <w:szCs w:val="16"/>
          <w:color w:val="auto"/>
        </w:rPr>
      </w:pPr>
    </w:p>
    <w:p>
      <w:pPr>
        <w:ind w:left="1020"/>
        <w:spacing w:after="0" w:line="260" w:lineRule="auto"/>
        <w:rPr>
          <w:rFonts w:ascii="Arial" w:cs="Arial" w:eastAsia="Arial" w:hAnsi="Arial"/>
          <w:sz w:val="16"/>
          <w:szCs w:val="16"/>
          <w:color w:val="auto"/>
        </w:rPr>
      </w:pPr>
      <w:r>
        <w:rPr>
          <w:rFonts w:ascii="Arial" w:cs="Arial" w:eastAsia="Arial" w:hAnsi="Arial"/>
          <w:sz w:val="17"/>
          <w:szCs w:val="17"/>
          <w:color w:val="auto"/>
        </w:rPr>
        <w:t xml:space="preserve">compared to other organs and selectively target the two most abundant cell types in the heart: cardiomyocytes and cardiac fibroblasts. We already have achieved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 of concept for novel vectors for both cell types. Having capsids that more specifically target one cell type over another could help improve efficacy and safety and lower cost of goods for our future product candidates.</w:t>
      </w:r>
    </w:p>
    <w:p>
      <w:pPr>
        <w:spacing w:after="0" w:line="64" w:lineRule="exact"/>
        <w:rPr>
          <w:rFonts w:ascii="Arial" w:cs="Arial" w:eastAsia="Arial" w:hAnsi="Arial"/>
          <w:sz w:val="16"/>
          <w:szCs w:val="16"/>
          <w:color w:val="auto"/>
        </w:rPr>
      </w:pPr>
    </w:p>
    <w:p>
      <w:pPr>
        <w:ind w:left="1020" w:hanging="503"/>
        <w:spacing w:after="0" w:line="24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Library diversity: </w:t>
      </w:r>
      <w:r>
        <w:rPr>
          <w:rFonts w:ascii="Arial" w:cs="Arial" w:eastAsia="Arial" w:hAnsi="Arial"/>
          <w:sz w:val="18"/>
          <w:szCs w:val="18"/>
          <w:color w:val="auto"/>
        </w:rPr>
        <w:t>We have screened more than one billion variants from 30 diverse libraries utilizing a range of strategies, including 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3" w:name="page24"/>
    <w:bookmarkEnd w:id="23"/>
    <w:p>
      <w:pPr>
        <w:ind w:left="503"/>
        <w:spacing w:after="0"/>
        <w:rPr>
          <w:sz w:val="20"/>
          <w:szCs w:val="20"/>
          <w:color w:val="auto"/>
        </w:rPr>
      </w:pPr>
      <w:r>
        <w:rPr>
          <w:rFonts w:ascii="Arial" w:cs="Arial" w:eastAsia="Arial" w:hAnsi="Arial"/>
          <w:sz w:val="18"/>
          <w:szCs w:val="18"/>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288925</wp:posOffset>
            </wp:positionV>
            <wp:extent cx="4714875" cy="1697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1487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3" w:right="60" w:hanging="503"/>
        <w:spacing w:after="0" w:line="243" w:lineRule="auto"/>
        <w:tabs>
          <w:tab w:leader="none" w:pos="50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Screening models: </w:t>
      </w:r>
      <w:r>
        <w:rPr>
          <w:rFonts w:ascii="Arial" w:cs="Arial" w:eastAsia="Arial" w:hAnsi="Arial"/>
          <w:sz w:val="18"/>
          <w:szCs w:val="18"/>
          <w:color w:val="auto"/>
        </w:rPr>
        <w:t>We have performed our screens in a variety of</w:t>
      </w:r>
      <w:r>
        <w:rPr>
          <w:rFonts w:ascii="Arial" w:cs="Arial" w:eastAsia="Arial" w:hAnsi="Arial"/>
          <w:sz w:val="18"/>
          <w:szCs w:val="18"/>
          <w:i w:val="1"/>
          <w:iCs w:val="1"/>
          <w:color w:val="auto"/>
        </w:rPr>
        <w:t xml:space="preserve"> in vitro</w:t>
      </w:r>
      <w:r>
        <w:rPr>
          <w:rFonts w:ascii="Arial" w:cs="Arial" w:eastAsia="Arial" w:hAnsi="Arial"/>
          <w:sz w:val="18"/>
          <w:szCs w:val="18"/>
          <w:color w:val="auto"/>
        </w:rPr>
        <w:t>,</w:t>
      </w:r>
      <w:r>
        <w:rPr>
          <w:rFonts w:ascii="Arial" w:cs="Arial" w:eastAsia="Arial" w:hAnsi="Arial"/>
          <w:sz w:val="18"/>
          <w:szCs w:val="18"/>
          <w:i w:val="1"/>
          <w:iCs w:val="1"/>
          <w:color w:val="auto"/>
        </w:rPr>
        <w:t xml:space="preserve"> in vivo</w:t>
      </w:r>
      <w:r>
        <w:rPr>
          <w:rFonts w:ascii="Arial" w:cs="Arial" w:eastAsia="Arial" w:hAnsi="Arial"/>
          <w:sz w:val="18"/>
          <w:szCs w:val="18"/>
          <w:color w:val="auto"/>
        </w:rPr>
        <w:t>, and</w:t>
      </w:r>
      <w:r>
        <w:rPr>
          <w:rFonts w:ascii="Arial" w:cs="Arial" w:eastAsia="Arial" w:hAnsi="Arial"/>
          <w:sz w:val="18"/>
          <w:szCs w:val="18"/>
          <w:i w:val="1"/>
          <w:iCs w:val="1"/>
          <w:color w:val="auto"/>
        </w:rPr>
        <w:t xml:space="preserve"> in silico </w:t>
      </w:r>
      <w:r>
        <w:rPr>
          <w:rFonts w:ascii="Arial" w:cs="Arial" w:eastAsia="Arial" w:hAnsi="Arial"/>
          <w:sz w:val="18"/>
          <w:szCs w:val="18"/>
          <w:color w:val="auto"/>
        </w:rPr>
        <w:t>libraries. Current efforts are focused on direct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screening in NHPs, as well as use of machine learning algorithms. We believe our probability of finding novel variants that will translate to superior attributes in humans is highest in NHPs. We believe our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approaches can complement these efforts to help predict novel variants.</w:t>
      </w:r>
    </w:p>
    <w:p>
      <w:pPr>
        <w:spacing w:after="0" w:line="79" w:lineRule="exact"/>
        <w:rPr>
          <w:rFonts w:ascii="Arial" w:cs="Arial" w:eastAsia="Arial" w:hAnsi="Arial"/>
          <w:sz w:val="18"/>
          <w:szCs w:val="18"/>
          <w:color w:val="auto"/>
        </w:rPr>
      </w:pPr>
    </w:p>
    <w:p>
      <w:pPr>
        <w:ind w:left="503" w:right="220" w:hanging="503"/>
        <w:spacing w:after="0" w:line="284" w:lineRule="auto"/>
        <w:tabs>
          <w:tab w:leader="none" w:pos="50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Screening criteria: </w:t>
      </w:r>
      <w:r>
        <w:rPr>
          <w:rFonts w:ascii="Arial" w:cs="Arial" w:eastAsia="Arial" w:hAnsi="Arial"/>
          <w:sz w:val="16"/>
          <w:szCs w:val="16"/>
          <w:color w:val="auto"/>
        </w:rPr>
        <w:t>We have broad criteria for the selection of novel capsids, including improved tropism for the heart compared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organs, with a particular interest in de-targeting the liver; improved transduction of specific heart cell types; lower susceptibility to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47" w:lineRule="exact"/>
        <w:rPr>
          <w:rFonts w:ascii="Arial" w:cs="Arial" w:eastAsia="Arial" w:hAnsi="Arial"/>
          <w:sz w:val="16"/>
          <w:szCs w:val="16"/>
          <w:color w:val="auto"/>
        </w:rPr>
      </w:pPr>
    </w:p>
    <w:p>
      <w:pPr>
        <w:ind w:left="503"/>
        <w:spacing w:after="0" w:line="262" w:lineRule="auto"/>
        <w:rPr>
          <w:rFonts w:ascii="Arial" w:cs="Arial" w:eastAsia="Arial" w:hAnsi="Arial"/>
          <w:sz w:val="16"/>
          <w:szCs w:val="16"/>
          <w:color w:val="auto"/>
        </w:rPr>
      </w:pPr>
      <w:r>
        <w:rPr>
          <w:rFonts w:ascii="Arial" w:cs="Arial" w:eastAsia="Arial" w:hAnsi="Arial"/>
          <w:sz w:val="17"/>
          <w:szCs w:val="17"/>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64" w:lineRule="exact"/>
        <w:rPr>
          <w:rFonts w:ascii="Arial" w:cs="Arial" w:eastAsia="Arial" w:hAnsi="Arial"/>
          <w:sz w:val="16"/>
          <w:szCs w:val="16"/>
          <w:color w:val="auto"/>
        </w:rPr>
      </w:pPr>
    </w:p>
    <w:p>
      <w:pPr>
        <w:ind w:left="503" w:right="100"/>
        <w:spacing w:after="0" w:line="243" w:lineRule="auto"/>
        <w:rPr>
          <w:rFonts w:ascii="Arial" w:cs="Arial" w:eastAsia="Arial" w:hAnsi="Arial"/>
          <w:sz w:val="16"/>
          <w:szCs w:val="16"/>
          <w:color w:val="auto"/>
        </w:rPr>
      </w:pPr>
      <w:r>
        <w:rPr>
          <w:rFonts w:ascii="Arial" w:cs="Arial" w:eastAsia="Arial" w:hAnsi="Arial"/>
          <w:sz w:val="18"/>
          <w:szCs w:val="18"/>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transduction ratio as validated in an NHP model. As shown below, our TNC-CM3 capsid has a five-fold better heart-to-liver transduction ratio compared to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274320</wp:posOffset>
            </wp:positionV>
            <wp:extent cx="2768600" cy="1817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86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24" w:name="page25"/>
    <w:bookmarkEnd w:id="24"/>
    <w:p>
      <w:pPr>
        <w:ind w:left="1160" w:right="160"/>
        <w:spacing w:after="0" w:line="248" w:lineRule="auto"/>
        <w:rPr>
          <w:sz w:val="20"/>
          <w:szCs w:val="20"/>
          <w:color w:val="auto"/>
        </w:rPr>
      </w:pPr>
      <w:r>
        <w:rPr>
          <w:rFonts w:ascii="Arial" w:cs="Arial" w:eastAsia="Arial" w:hAnsi="Arial"/>
          <w:sz w:val="18"/>
          <w:szCs w:val="18"/>
          <w:color w:val="auto"/>
        </w:rPr>
        <w:t>Additionally, we have shown that several capsids we identified through this effort, such as TNC-CM5, have overall better ability to evade human neutralizing antibodies compared to AAV9. We have also generated additional data that demonstrate that certain of these capsids have a greater ability to improve heart function compared to AAV9 in specific disease models.</w:t>
      </w:r>
    </w:p>
    <w:p>
      <w:pPr>
        <w:spacing w:after="0" w:line="74" w:lineRule="exact"/>
        <w:rPr>
          <w:sz w:val="20"/>
          <w:szCs w:val="20"/>
          <w:color w:val="auto"/>
        </w:rPr>
      </w:pPr>
    </w:p>
    <w:p>
      <w:pPr>
        <w:ind w:left="1160" w:right="160"/>
        <w:spacing w:after="0" w:line="248" w:lineRule="auto"/>
        <w:rPr>
          <w:sz w:val="20"/>
          <w:szCs w:val="20"/>
          <w:color w:val="auto"/>
        </w:rPr>
      </w:pPr>
      <w:r>
        <w:rPr>
          <w:rFonts w:ascii="Arial" w:cs="Arial" w:eastAsia="Arial" w:hAnsi="Arial"/>
          <w:sz w:val="18"/>
          <w:szCs w:val="18"/>
          <w:color w:val="auto"/>
        </w:rPr>
        <w:t>Overall, these initial data provide important proof of concept of the potential utility of capsid engineering. Therefore, we have taken steps to protect the intellectual property that support the novel capsids identified from our initial capsid engineering screens, and intend to continue this practice as we generate additional data from our ongoing capsid engineering efforts.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Promoters and Regulatory Elements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Enabled by our in-house molecular biology capabilities, we have created novel heart-specific promoters, as well as regulatory elements which control gene expression within the cells to support our AAV-based programs. We are designing promoters and regulatory elements to help ensure a more precise and conditional expression of therapeutic payloads in different cell types in the heart. We believe our innovations in these elements may further support the successful clinical development of our product candidates.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Illustrative examples of our innovations in this area include:</w:t>
      </w:r>
    </w:p>
    <w:p>
      <w:pPr>
        <w:spacing w:after="0" w:line="104" w:lineRule="exact"/>
        <w:rPr>
          <w:sz w:val="20"/>
          <w:szCs w:val="20"/>
          <w:color w:val="auto"/>
        </w:rPr>
      </w:pPr>
    </w:p>
    <w:p>
      <w:pPr>
        <w:ind w:left="1020" w:right="20" w:hanging="503"/>
        <w:spacing w:after="0" w:line="24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Heart specificity: </w:t>
      </w:r>
      <w:r>
        <w:rPr>
          <w:rFonts w:ascii="Arial" w:cs="Arial" w:eastAsia="Arial" w:hAnsi="Arial"/>
          <w:sz w:val="18"/>
          <w:szCs w:val="18"/>
          <w:color w:val="auto"/>
        </w:rPr>
        <w:t>We have developed cardiac-specific promoters that enable more selective and robust expression in the heart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organs. During optimization of TN-201, we discovered a cardiomyocyte-specific promoter, TNP-CM1, with improved performance attributes as compared to the standard cTnT promoter.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analyses confirmed that TNP-CM1 significantly increased expression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compared to what can be achieved with the standard cTNT promoter. In addition, we observed 1000-fold selectivity of expression in cardiac tissue relative to other tissues.</w:t>
      </w:r>
    </w:p>
    <w:p>
      <w:pPr>
        <w:spacing w:after="0" w:line="256" w:lineRule="exact"/>
        <w:rPr>
          <w:rFonts w:ascii="Arial" w:cs="Arial" w:eastAsia="Arial" w:hAnsi="Arial"/>
          <w:sz w:val="18"/>
          <w:szCs w:val="18"/>
          <w:color w:val="auto"/>
        </w:rPr>
      </w:pPr>
    </w:p>
    <w:p>
      <w:pPr>
        <w:ind w:left="1020" w:right="100"/>
        <w:spacing w:after="0" w:line="261" w:lineRule="auto"/>
        <w:rPr>
          <w:rFonts w:ascii="Arial" w:cs="Arial" w:eastAsia="Arial" w:hAnsi="Arial"/>
          <w:sz w:val="18"/>
          <w:szCs w:val="18"/>
          <w:color w:val="auto"/>
        </w:rPr>
      </w:pPr>
      <w:r>
        <w:rPr>
          <w:rFonts w:ascii="Arial" w:cs="Arial" w:eastAsia="Arial" w:hAnsi="Arial"/>
          <w:sz w:val="18"/>
          <w:szCs w:val="18"/>
          <w:color w:val="auto"/>
        </w:rPr>
        <w:t>In the figure below, we show data that demonstrate how our TNP-CM1 promoter outperformed a standard cTnT promoter in terms of robust gene expression in the heart of mice without loss of heart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263525</wp:posOffset>
            </wp:positionV>
            <wp:extent cx="3540125" cy="2459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012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Cell specificity: </w:t>
      </w:r>
      <w:r>
        <w:rPr>
          <w:rFonts w:ascii="Arial" w:cs="Arial" w:eastAsia="Arial" w:hAnsi="Arial"/>
          <w:sz w:val="18"/>
          <w:szCs w:val="18"/>
          <w:color w:val="auto"/>
        </w:rPr>
        <w:t>We have also developed a proprietary combination of regulatory elements that enable more optimal and selective expression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in one cell type in the heart compared to others. For our Reprogramming program for cellular regeneration, we discovered ways to optimize the robust co-expression of two protein-coding genes and one micro-RNA gene delivered within a single AAV in cardiac fibroblasts, which we believe supports higher efficacy in preclinical models. We also discovered how to use specific micro-RNA binding sites to silence the translation of those same genes in both existing cardiomyocytes as well as newly created cardiomyocytes, which may provide a safety benefit and reduce the chance for off-target effects.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ind w:left="503"/>
        <w:spacing w:after="0" w:line="259" w:lineRule="auto"/>
        <w:rPr>
          <w:sz w:val="20"/>
          <w:szCs w:val="20"/>
          <w:color w:val="auto"/>
        </w:rPr>
      </w:pPr>
      <w:r>
        <w:rPr>
          <w:rFonts w:ascii="Arial" w:cs="Arial" w:eastAsia="Arial" w:hAnsi="Arial"/>
          <w:sz w:val="17"/>
          <w:szCs w:val="17"/>
          <w:color w:val="auto"/>
        </w:rPr>
        <w:t>In the figure below, we illustrate how the use of a novel regulatory element, TNR-CF1, helped prevent the expression of a fluorescent protein (GFP) in the cardiomyocytes of a mouse model and only allowed expression in the cardiac fibroblasts. We have used this regulatory element in our Reprogramming program to focus the expression of our proprietary factors in resident cardiac fibroblasts for the creation of new cardiomyocytes, but to prevent the expression of those factors both in resident cardiomyocytes and in newly created cardiomyocytes, which we believe will improve the safety profile of our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496570</wp:posOffset>
            </wp:positionV>
            <wp:extent cx="4757420" cy="3566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5742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3" w:right="160" w:hanging="503"/>
        <w:spacing w:after="0" w:line="24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Tunable gene expression: </w:t>
      </w:r>
      <w:r>
        <w:rPr>
          <w:rFonts w:ascii="Arial" w:cs="Arial" w:eastAsia="Arial" w:hAnsi="Arial"/>
          <w:sz w:val="18"/>
          <w:szCs w:val="18"/>
          <w:color w:val="auto"/>
        </w:rPr>
        <w:t>We have also demonstrated the ability to develop an entire spectrum of novel promoters to titer the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genes within cardiomyocytes. Through data (not shown in the figure below) generated in our DWORF program, more than ten promoters were designed and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hiPSC-CMs,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murine models to optimize the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be higher than what can be achieved with a standard cTnT promoter.</w:t>
      </w:r>
    </w:p>
    <w:p>
      <w:pPr>
        <w:spacing w:after="0" w:line="79" w:lineRule="exact"/>
        <w:rPr>
          <w:rFonts w:ascii="Arial" w:cs="Arial" w:eastAsia="Arial" w:hAnsi="Arial"/>
          <w:sz w:val="18"/>
          <w:szCs w:val="18"/>
          <w:color w:val="auto"/>
        </w:rPr>
      </w:pPr>
    </w:p>
    <w:p>
      <w:pPr>
        <w:ind w:left="503" w:right="160"/>
        <w:spacing w:after="0" w:line="261" w:lineRule="auto"/>
        <w:rPr>
          <w:rFonts w:ascii="Arial" w:cs="Arial" w:eastAsia="Arial" w:hAnsi="Arial"/>
          <w:sz w:val="18"/>
          <w:szCs w:val="18"/>
          <w:color w:val="auto"/>
        </w:rPr>
      </w:pPr>
      <w:r>
        <w:rPr>
          <w:rFonts w:ascii="Arial" w:cs="Arial" w:eastAsia="Arial" w:hAnsi="Arial"/>
          <w:sz w:val="18"/>
          <w:szCs w:val="18"/>
          <w:color w:val="auto"/>
        </w:rPr>
        <w:t>In the figure below, we show data for six of our promoters and cassette engineering efforts that illustrate how we have been able to create a suite of cardiac-specific constructs that are able to mediate</w:t>
      </w:r>
    </w:p>
    <w:p>
      <w:pPr>
        <w:spacing w:after="0" w:line="171"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36" w:right="379" w:bottom="1440" w:gutter="0" w:footer="0" w:header="0"/>
        </w:sectPr>
      </w:pPr>
    </w:p>
    <w:bookmarkStart w:id="26" w:name="page27"/>
    <w:bookmarkEnd w:id="26"/>
    <w:p>
      <w:pPr>
        <w:ind w:left="1020"/>
        <w:spacing w:after="0"/>
        <w:rPr>
          <w:sz w:val="20"/>
          <w:szCs w:val="20"/>
          <w:color w:val="auto"/>
        </w:rPr>
      </w:pPr>
      <w:r>
        <w:rPr>
          <w:rFonts w:ascii="Arial" w:cs="Arial" w:eastAsia="Arial" w:hAnsi="Arial"/>
          <w:sz w:val="18"/>
          <w:szCs w:val="18"/>
          <w:color w:val="auto"/>
        </w:rPr>
        <w:t xml:space="preserve">significantly higher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than can be achieved with a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288925</wp:posOffset>
            </wp:positionV>
            <wp:extent cx="4277360" cy="3531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7736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Drug Delivery</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Illustrative examples of various delivery methods for the heart are shown below:</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276860</wp:posOffset>
            </wp:positionV>
            <wp:extent cx="5288915" cy="1225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8891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_________________________</w:t>
      </w:r>
    </w:p>
    <w:p>
      <w:pPr>
        <w:ind w:left="700" w:hanging="183"/>
        <w:spacing w:after="0" w:line="211" w:lineRule="auto"/>
        <w:tabs>
          <w:tab w:leader="none" w:pos="7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 xml:space="preserve">Source: Duan </w:t>
      </w:r>
      <w:r>
        <w:rPr>
          <w:rFonts w:ascii="Arial" w:cs="Arial" w:eastAsia="Arial" w:hAnsi="Arial"/>
          <w:sz w:val="17"/>
          <w:szCs w:val="17"/>
          <w:b w:val="1"/>
          <w:bCs w:val="1"/>
          <w:color w:val="auto"/>
        </w:rPr>
        <w:t>J Transl Int. Med</w:t>
      </w:r>
      <w:r>
        <w:rPr>
          <w:rFonts w:ascii="Arial" w:cs="Arial" w:eastAsia="Arial" w:hAnsi="Arial"/>
          <w:sz w:val="17"/>
          <w:szCs w:val="17"/>
          <w:color w:val="auto"/>
        </w:rPr>
        <w:t xml:space="preserve"> 2020.</w:t>
      </w:r>
    </w:p>
    <w:p>
      <w:pPr>
        <w:spacing w:after="0" w:line="18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For the initial product candidates emerging from our Gene Therapy platform, including TN-201,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Illustrative examples of our innovations and capabilities in drug delivery include:</w:t>
      </w:r>
    </w:p>
    <w:p>
      <w:pPr>
        <w:spacing w:after="0" w:line="104" w:lineRule="exact"/>
        <w:rPr>
          <w:sz w:val="20"/>
          <w:szCs w:val="20"/>
          <w:color w:val="auto"/>
        </w:rPr>
      </w:pPr>
    </w:p>
    <w:p>
      <w:pPr>
        <w:ind w:left="1020" w:hanging="503"/>
        <w:spacing w:after="0" w:line="25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Catheters</w:t>
      </w:r>
      <w:r>
        <w:rPr>
          <w:rFonts w:ascii="Arial" w:cs="Arial" w:eastAsia="Arial" w:hAnsi="Arial"/>
          <w:sz w:val="17"/>
          <w:szCs w:val="17"/>
          <w:color w:val="auto"/>
        </w:rPr>
        <w:t>: To support our Reprogramming program for cardiac regeneration, we are developing a novel transendocardial injection catheter</w:t>
      </w:r>
      <w:r>
        <w:rPr>
          <w:rFonts w:ascii="Arial" w:cs="Arial" w:eastAsia="Arial" w:hAnsi="Arial"/>
          <w:sz w:val="17"/>
          <w:szCs w:val="17"/>
          <w:i w:val="1"/>
          <w:iCs w:val="1"/>
          <w:color w:val="auto"/>
        </w:rPr>
        <w:t xml:space="preserve"> </w:t>
      </w:r>
      <w:r>
        <w:rPr>
          <w:rFonts w:ascii="Arial" w:cs="Arial" w:eastAsia="Arial" w:hAnsi="Arial"/>
          <w:sz w:val="17"/>
          <w:szCs w:val="17"/>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71" w:lineRule="exact"/>
        <w:rPr>
          <w:rFonts w:ascii="Arial" w:cs="Arial" w:eastAsia="Arial" w:hAnsi="Arial"/>
          <w:sz w:val="17"/>
          <w:szCs w:val="17"/>
          <w:color w:val="auto"/>
        </w:rPr>
      </w:pPr>
    </w:p>
    <w:p>
      <w:pPr>
        <w:ind w:left="1020" w:right="140"/>
        <w:spacing w:after="0" w:line="324" w:lineRule="auto"/>
        <w:rPr>
          <w:rFonts w:ascii="Arial" w:cs="Arial" w:eastAsia="Arial" w:hAnsi="Arial"/>
          <w:sz w:val="17"/>
          <w:szCs w:val="17"/>
          <w:color w:val="auto"/>
        </w:rPr>
      </w:pPr>
      <w:r>
        <w:rPr>
          <w:rFonts w:ascii="Arial" w:cs="Arial" w:eastAsia="Arial" w:hAnsi="Arial"/>
          <w:sz w:val="16"/>
          <w:szCs w:val="16"/>
          <w:color w:val="auto"/>
        </w:rPr>
        <w:t>The figures below include a picture of an initial prototype of our novel injection-based catheter for our Reprogramming program for cardiac regeneration, plus an illustration of how a deflectable tip plus embedded mapping electrodes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105410</wp:posOffset>
            </wp:positionV>
            <wp:extent cx="2057400" cy="1962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20" w:right="100" w:hanging="503"/>
        <w:spacing w:after="0" w:line="29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ROAs</w:t>
      </w:r>
      <w:r>
        <w:rPr>
          <w:rFonts w:ascii="Arial" w:cs="Arial" w:eastAsia="Arial" w:hAnsi="Arial"/>
          <w:sz w:val="16"/>
          <w:szCs w:val="16"/>
          <w:color w:val="auto"/>
        </w:rPr>
        <w:t>: We prioritize head-to-head comparison of different ROAs in large animal models to confirm the optimal method for delivery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candidate. For our Reprogramming program, we have conducted experiments in pig models to demonstrate that a less invasive catheter-based transendocardial injection to the LV inside wall can achieve a similar degree of drug uptake and biodistribution as a more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left="1020" w:right="320"/>
        <w:spacing w:after="0" w:line="248" w:lineRule="auto"/>
        <w:rPr>
          <w:sz w:val="20"/>
          <w:szCs w:val="20"/>
          <w:color w:val="auto"/>
        </w:rPr>
      </w:pPr>
      <w:r>
        <w:rPr>
          <w:rFonts w:ascii="Arial" w:cs="Arial" w:eastAsia="Arial" w:hAnsi="Arial"/>
          <w:sz w:val="18"/>
          <w:szCs w:val="18"/>
          <w:color w:val="auto"/>
        </w:rPr>
        <w:t>invasive direct epicardial injection to the LV outside wall requiring open-heart surgery. For our MYBPC3 program, we have conducted experiments in NHPs to compare the degree of drug uptake and biodistribution for peripheral IV infusion and infusions delivered directly into the heart.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Manufacturing</w:t>
      </w:r>
    </w:p>
    <w:p>
      <w:pPr>
        <w:spacing w:after="0" w:line="10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We are internalizing AAV manufacturing capabilities to support our Gene Therapy and Cellular Regeneration platforms. Our overall strategy is to have complete ownership of our PD, AD, MFG and QC so that we have deep insight into the attributes of our drug substance (DS) and drug product. Internalized manufacturing will enable continuous process improvement, consistency (quality and productivity)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66"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Overall, the internalization of these efforts provides us with know-how that yields several advantages that allow us to be in a better position to support our future capacity expansion needs or swiftly transfer technology know-how to CDMOs to achieve dual sourcing for product candidates for risk mitigation purposes.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134620</wp:posOffset>
            </wp:positionV>
            <wp:extent cx="5349240" cy="2271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hanging="503"/>
        <w:spacing w:after="0" w:line="26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Vector core: </w:t>
      </w:r>
      <w:r>
        <w:rPr>
          <w:rFonts w:ascii="Arial" w:cs="Arial" w:eastAsia="Arial" w:hAnsi="Arial"/>
          <w:sz w:val="17"/>
          <w:szCs w:val="17"/>
          <w:color w:val="auto"/>
        </w:rPr>
        <w:t>We have established vector production to support early research involving both parental and novel AAV capsids at the 50L scale.</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hired key process development, AD and QC personnel to internalize those capabilities. We have also established the necessary process development expertise to support comparable product efficacy in both HEK293-based and Sf9/rBV-based manufacturing systems for both existing AAV serotypes as well as for novel capsids discovered from our capsid engineering efforts.</w:t>
      </w:r>
    </w:p>
    <w:p>
      <w:pPr>
        <w:spacing w:after="0" w:line="64" w:lineRule="exact"/>
        <w:rPr>
          <w:rFonts w:ascii="Arial" w:cs="Arial" w:eastAsia="Arial" w:hAnsi="Arial"/>
          <w:sz w:val="17"/>
          <w:szCs w:val="17"/>
          <w:color w:val="auto"/>
        </w:rPr>
      </w:pPr>
    </w:p>
    <w:p>
      <w:pPr>
        <w:ind w:left="1020" w:right="6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Pilot plant operation: </w:t>
      </w:r>
      <w:r>
        <w:rPr>
          <w:rFonts w:ascii="Arial" w:cs="Arial" w:eastAsia="Arial" w:hAnsi="Arial"/>
          <w:sz w:val="18"/>
          <w:szCs w:val="18"/>
          <w:color w:val="auto"/>
        </w:rPr>
        <w:t>We have established an in-house Pilot Plant Operation at the 200L scale to support all non-clinical studies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73" w:lineRule="exact"/>
        <w:rPr>
          <w:rFonts w:ascii="Arial" w:cs="Arial" w:eastAsia="Arial" w:hAnsi="Arial"/>
          <w:sz w:val="18"/>
          <w:szCs w:val="18"/>
          <w:color w:val="auto"/>
        </w:rPr>
      </w:pPr>
    </w:p>
    <w:p>
      <w:pPr>
        <w:ind w:left="1020" w:right="100" w:hanging="503"/>
        <w:spacing w:after="0" w:line="24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cGMP facility: </w:t>
      </w:r>
      <w:r>
        <w:rPr>
          <w:rFonts w:ascii="Arial" w:cs="Arial" w:eastAsia="Arial" w:hAnsi="Arial"/>
          <w:sz w:val="18"/>
          <w:szCs w:val="18"/>
          <w:color w:val="auto"/>
        </w:rPr>
        <w:t>We have initiated construction of a dedicated cGMP facility for drug product manufacturing in the San Francisco Bay Area.</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will initially produce drug product at the 1000L scale to support FIH studies for our MYBPC3 program. The facility will use a modular design that will support scale-out and scale-up of manufacturing capacity in response to evolving needs. We expect this facility will be operational in the first half of 2022.</w:t>
      </w:r>
    </w:p>
    <w:p>
      <w:pPr>
        <w:spacing w:after="0" w:line="79"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We have in-licensed certain manufacturing-related intellectual property to support our programs. We have filed a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on process improvements that will support scale-up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left="1020" w:right="420"/>
        <w:spacing w:after="0" w:line="261" w:lineRule="auto"/>
        <w:rPr>
          <w:sz w:val="20"/>
          <w:szCs w:val="20"/>
          <w:color w:val="auto"/>
        </w:rPr>
      </w:pPr>
      <w:r>
        <w:rPr>
          <w:rFonts w:ascii="Arial" w:cs="Arial" w:eastAsia="Arial" w:hAnsi="Arial"/>
          <w:sz w:val="18"/>
          <w:szCs w:val="18"/>
          <w:color w:val="auto"/>
        </w:rPr>
        <w:t>AAV manufacturing to larger bioreactors necessary for supply of our gene therapy product candidates intended for more prevalent heart disease populations.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MYBPC3 Program for gHCM</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We are developing an AAV-based gene therapy designed to deliver a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adults and children with gHCM due to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heart failure, and sudden cardiac death in some adults and children. Based on publicly available information to date, we believe there are currently no approved treatments that address the underlying genetic cause of this disease. Our product candidate, TN-201, uses a differentiated approach that enables more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We have demonstrated significant and durable disease reversal and survival benefit in a relevant murine model after a single dose, as well as tolerability in mice and NHPs in pilot non-GLP toxicology and biodistribution studies. We have obtained feedback from multiple regulatory agencies, including the FDA, to guide our preclinical, clinical development and manufacturing plans. We will continue to seek additional feedback from these regulatory agencies as necessary. In 2021, the FDA granted orphan drug designation for TN -201 for the potential treatment of </w:t>
      </w:r>
      <w:r>
        <w:rPr>
          <w:rFonts w:ascii="Arial" w:cs="Arial" w:eastAsia="Arial" w:hAnsi="Arial"/>
          <w:sz w:val="16"/>
          <w:szCs w:val="16"/>
          <w:i w:val="1"/>
          <w:iCs w:val="1"/>
          <w:color w:val="auto"/>
        </w:rPr>
        <w:t>MYBPC3</w:t>
      </w:r>
      <w:r>
        <w:rPr>
          <w:rFonts w:ascii="Arial" w:cs="Arial" w:eastAsia="Arial" w:hAnsi="Arial"/>
          <w:sz w:val="16"/>
          <w:szCs w:val="16"/>
          <w:color w:val="auto"/>
        </w:rPr>
        <w:t>-associated gHCM. TN-201 is currently in IND-enabling studies and we intend to submit an IND to the FDA in the second half of 2022.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Hypertrophic Cardiomyopathy</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heart failure, malignant VA sometimes leading to sudden cardiac death, or stroke. HCM with onset in childhood and adolescence is, in particular, associated with significant unmet medical need. When compared with adult-onset HCM, childhood-onset HCM is 36% more likely to develop life-threatening VA and twice as likely to require transplant or ventricular assist device.</w:t>
      </w:r>
    </w:p>
    <w:p>
      <w:pPr>
        <w:spacing w:after="0" w:line="86" w:lineRule="exact"/>
        <w:rPr>
          <w:sz w:val="20"/>
          <w:szCs w:val="20"/>
          <w:color w:val="auto"/>
        </w:rPr>
      </w:pPr>
    </w:p>
    <w:p>
      <w:pPr>
        <w:ind w:right="380" w:firstLine="509"/>
        <w:spacing w:after="0" w:line="271" w:lineRule="auto"/>
        <w:rPr>
          <w:sz w:val="20"/>
          <w:szCs w:val="20"/>
          <w:color w:val="auto"/>
        </w:rPr>
      </w:pPr>
      <w:r>
        <w:rPr>
          <w:rFonts w:ascii="Arial" w:cs="Arial" w:eastAsia="Arial" w:hAnsi="Arial"/>
          <w:sz w:val="16"/>
          <w:szCs w:val="16"/>
          <w:color w:val="auto"/>
        </w:rPr>
        <w:t>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out of the LV to the rest of the body. We estimate approximately 50%-65% of HCM patients have oHCM while</w:t>
      </w:r>
    </w:p>
    <w:p>
      <w:pPr>
        <w:ind w:right="220"/>
        <w:spacing w:after="0" w:line="277" w:lineRule="auto"/>
        <w:rPr>
          <w:sz w:val="20"/>
          <w:szCs w:val="20"/>
          <w:color w:val="auto"/>
        </w:rPr>
      </w:pPr>
      <w:r>
        <w:rPr>
          <w:rFonts w:ascii="Arial" w:cs="Arial" w:eastAsia="Arial" w:hAnsi="Arial"/>
          <w:sz w:val="16"/>
          <w:szCs w:val="16"/>
          <w:color w:val="auto"/>
        </w:rPr>
        <w:t>35%-50% have nHCM. Both oHCM and nHCM can have equally severe disease presentation involving arrhythmia, heart failure, reduced quality of life, sudden cardiac death, and overall early mortality. Young adult patients with HCM have four-fold higher mortality than the general U.S. population at a similar age. Even a heart transplant is not a cure, as the ten-year survival after transplant for pediatric HCM patients remains less than 50%. Adult HCM patients with LV systolic dysfunction have increased mortality and high rates of heart transplantation and LV assist device (LVAD) implantation.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20" w:firstLine="509"/>
        <w:spacing w:after="0" w:line="261" w:lineRule="auto"/>
        <w:rPr>
          <w:sz w:val="20"/>
          <w:szCs w:val="20"/>
          <w:color w:val="auto"/>
        </w:rPr>
      </w:pPr>
      <w:r>
        <w:rPr>
          <w:rFonts w:ascii="Arial" w:cs="Arial" w:eastAsia="Arial" w:hAnsi="Arial"/>
          <w:sz w:val="18"/>
          <w:szCs w:val="18"/>
          <w:color w:val="auto"/>
        </w:rPr>
        <w:t>An example of a heart from a patient who had oHCM is shown below, characterized by LV hypertrophy, high LV mass, LVOT narrowing, an overall small LV, and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263525</wp:posOffset>
            </wp:positionV>
            <wp:extent cx="1714500" cy="2031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HCM is the most common form of heritable cardiomyopathy and is estimated to affect one in every 500 people, approximating more than 600,000 potential patients in the United States. A majority of HCM patients are currently undiagnosed, with diagnosis typically starting with the onset of symptoms, family screening, or the discovery of an abnormal electrocardiogram (ECG) pattern.</w:t>
      </w:r>
    </w:p>
    <w:p>
      <w:pPr>
        <w:spacing w:after="0" w:line="7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 xml:space="preserve">More than 2,000 mutations in eleven or more genes have been linked to HCM. The onset of disease is on average earlier and the disease severity is on average greater for HCM patients with pathogenic mutations in genes involving the sarcomere structure, including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in the </w:t>
      </w:r>
      <w:r>
        <w:rPr>
          <w:rFonts w:ascii="Arial" w:cs="Arial" w:eastAsia="Arial" w:hAnsi="Arial"/>
          <w:sz w:val="16"/>
          <w:szCs w:val="16"/>
          <w:i w:val="1"/>
          <w:iCs w:val="1"/>
          <w:color w:val="auto"/>
        </w:rPr>
        <w:t xml:space="preserve">MYBPC3 </w:t>
      </w:r>
      <w:r>
        <w:rPr>
          <w:rFonts w:ascii="Arial" w:cs="Arial" w:eastAsia="Arial" w:hAnsi="Arial"/>
          <w:sz w:val="16"/>
          <w:szCs w:val="16"/>
          <w:color w:val="auto"/>
        </w:rPr>
        <w:t>gene are in fact the most common cause of HCM, estimated to represent approximately 19% of the overall HCM population and to affect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115,000 patients in the United States.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have also been associated with other forms of cardiomyopathy, including DCM, RCM, mixed cardiomyopathy, and ventricular non-compaction, which can lead to poor outcomes, particularly in children.</w:t>
      </w:r>
    </w:p>
    <w:p>
      <w:pPr>
        <w:spacing w:after="0" w:line="5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Disease-causing mutations occur throughout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most mutations being truncating mutations. The phenotype of the patients with these mutations is the same, regardless of the location of the truncation.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result in both oHCM and nHCM, with one study involving a series of more than 1000 patients finding that 31% of patients with truncating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presented with LVOT characteristic of oHCM, while 69% of patients had nHCM.</w:t>
      </w:r>
    </w:p>
    <w:p>
      <w:pPr>
        <w:spacing w:after="0" w:line="80"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 xml:space="preserve">The schematic below illustrates the cellular localization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within the heart. Cardiomyocytes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w:t>
      </w:r>
      <w:r>
        <w:rPr>
          <w:rFonts w:ascii="Arial" w:cs="Arial" w:eastAsia="Arial" w:hAnsi="Arial"/>
          <w:sz w:val="18"/>
          <w:szCs w:val="18"/>
          <w:i w:val="1"/>
          <w:iCs w:val="1"/>
          <w:color w:val="auto"/>
        </w:rPr>
        <w:t>MYBPC3</w:t>
      </w:r>
      <w:r>
        <w:rPr>
          <w:rFonts w:ascii="Arial" w:cs="Arial" w:eastAsia="Arial" w:hAnsi="Arial"/>
          <w:sz w:val="18"/>
          <w:szCs w:val="18"/>
          <w:color w:val="auto"/>
        </w:rPr>
        <w:t xml:space="preserve"> (in yellow) is located between the thin and thick filaments and regulates the folding of the myosin head and its interaction with actin, and in this way, is also a critical element supporting normal muscle contraction. Based on published findings, it has been shown that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 xml:space="preserve">MYBPC3 </w:t>
      </w:r>
      <w:r>
        <w:rPr>
          <w:rFonts w:ascii="Arial" w:cs="Arial" w:eastAsia="Arial" w:hAnsi="Arial"/>
          <w:sz w:val="18"/>
          <w:szCs w:val="18"/>
          <w:color w:val="auto"/>
        </w:rPr>
        <w:t>is involved in the folding of the myosin head into a state in which the head does not interact with actin or contribute to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288925</wp:posOffset>
            </wp:positionV>
            <wp:extent cx="5297805" cy="1945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9780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The reduced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levels associated with heterozygous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LVADs or transplantation, in the most severely affected patients. Fibrosis and muscle cell disarray may also lead to arrhythmias in some patients, including life-threatening VA and atrial fibrillation, which can lead to stroke.</w:t>
      </w:r>
    </w:p>
    <w:p>
      <w:pPr>
        <w:spacing w:after="0" w:line="67"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 xml:space="preserve">Infants with homozygous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represent a particularly severe patient group with high risk of death within a year after birth without heart transplantation. HCM patients who are heterozygous for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are typically diagnosed earlier in life, have more severe disease associated with increases in arrhythmia, sudden cardiac death and cardiovascular mortality as compared to genotype negative HCM patients.</w:t>
      </w:r>
    </w:p>
    <w:p>
      <w:pPr>
        <w:spacing w:after="0" w:line="3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 xml:space="preserve">Analysis of the hearts of patients who carry truncation mutations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show on average an approximately 40% reduction in the level of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protein. In the most severe cases in which both copies of the gene are affected, there is a complete lack of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protein expression. We believe these findings support the idea that mutations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cause human disease through haploinsufficiency, and also support the hypothesis that gene replacement may address the underlying cause of disease by increasing the levels of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protein.</w:t>
      </w:r>
    </w:p>
    <w:p>
      <w:pPr>
        <w:spacing w:after="0" w:line="47"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such surgical interventions are not an option and implantation of an LVAD or a heart transplant may be the only options.</w:t>
      </w:r>
    </w:p>
    <w:p>
      <w:pPr>
        <w:spacing w:after="0" w:line="73"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 xml:space="preserve">Based on publicly available information to date, we believe there are currently no approved therapies specifically for the treatment of specific genetic forms of HCM. In recent years, an investigational class of agents known as myosin inhibitors have emerged as potential treatments for oHCM. One of these agents, mavacamten, is currently being reviewed for approval by the FDA and another, aficamten, is in mid-stage clinical studies. Currently, there are no therapies in clinical development specifically for HCM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Our Solution: MYBPC3 Gene Therapy</w:t>
      </w:r>
    </w:p>
    <w:p>
      <w:pPr>
        <w:spacing w:after="0" w:line="10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 xml:space="preserve">We are developing an AAV-based gene therapy designed to deliver a fully-functional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cardiac specific promoter to restore normal levels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We believe our product candidate, TN-201, has the potential to address the underlying biological basis of disease in adult and pediatric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 xml:space="preserve">Based on our preclinical data, we believe that gene replacement, to achieve highly specific and robust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w:t>
      </w:r>
      <w:r>
        <w:rPr>
          <w:rFonts w:ascii="Arial" w:cs="Arial" w:eastAsia="Arial" w:hAnsi="Arial"/>
          <w:sz w:val="17"/>
          <w:szCs w:val="17"/>
          <w:i w:val="1"/>
          <w:iCs w:val="1"/>
          <w:color w:val="auto"/>
        </w:rPr>
        <w:t>,</w:t>
      </w:r>
      <w:r>
        <w:rPr>
          <w:rFonts w:ascii="Arial" w:cs="Arial" w:eastAsia="Arial" w:hAnsi="Arial"/>
          <w:sz w:val="17"/>
          <w:szCs w:val="17"/>
          <w:color w:val="auto"/>
        </w:rPr>
        <w:t xml:space="preserve"> has the potential to slow or even reverse the course of gHCM disease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including LV hypertrophy and disease progression leading to outflow tract obstruction, heart failure, atrial fibrillation, and malignant arrhythmias. By improving upon these aspects of disease, TN-201 may improve heart functional capacity, stabilize or reverse disease symptoms, reduce the need for invasive treatments and improve survival. As with other AAV-based gene therapies, benefits are expected to be durable and a one-time dose may be sufficient for disease stabilization and potentially reversal. The idea of “lock and key” gene therapy is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137160</wp:posOffset>
            </wp:positionV>
            <wp:extent cx="5288915" cy="2100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891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 xml:space="preserve">We developed a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knockout (KO) mouse model that simulates key aspects of the severe gHCM phenotype starting as early as two weeks of age. It is worth noting that this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is homozygous, i.e., both copies of the gene are missing and so there is no production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As expected, the severity of disease and the rate of disease progression are both greater than what is normally observed in most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patients, the majority of whom are heterozygous for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i.e., they have one normal, healthy copy of the gene that is producing at least some of the necessary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plus one defective copy of the gene that is either producing no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at all or that is producing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that does not function properly in the sarcomere.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is nonetheless useful as it provides important proof of concept for the potentially beneficial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effect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replacement via a gene therapy approach.</w:t>
      </w:r>
    </w:p>
    <w:p>
      <w:pPr>
        <w:spacing w:after="0" w:line="68" w:lineRule="exact"/>
        <w:rPr>
          <w:sz w:val="20"/>
          <w:szCs w:val="20"/>
          <w:color w:val="auto"/>
        </w:rPr>
      </w:pPr>
    </w:p>
    <w:p>
      <w:pPr>
        <w:ind w:right="80" w:firstLine="509"/>
        <w:spacing w:after="0" w:line="250" w:lineRule="auto"/>
        <w:rPr>
          <w:sz w:val="20"/>
          <w:szCs w:val="20"/>
          <w:color w:val="auto"/>
        </w:rPr>
      </w:pPr>
      <w:r>
        <w:rPr>
          <w:rFonts w:ascii="Arial" w:cs="Arial" w:eastAsia="Arial" w:hAnsi="Arial"/>
          <w:sz w:val="17"/>
          <w:szCs w:val="17"/>
          <w:color w:val="auto"/>
        </w:rPr>
        <w:t>In preclinical studies, we systemically administered a version of TN-201 optimized for the mouse (AAV:mMYBPC3) at 1×10</w:t>
      </w:r>
      <w:r>
        <w:rPr>
          <w:rFonts w:ascii="Arial" w:cs="Arial" w:eastAsia="Arial" w:hAnsi="Arial"/>
          <w:sz w:val="19"/>
          <w:szCs w:val="19"/>
          <w:color w:val="auto"/>
          <w:vertAlign w:val="superscript"/>
        </w:rPr>
        <w:t>14</w:t>
      </w:r>
      <w:r>
        <w:rPr>
          <w:rFonts w:ascii="Arial" w:cs="Arial" w:eastAsia="Arial" w:hAnsi="Arial"/>
          <w:sz w:val="17"/>
          <w:szCs w:val="17"/>
          <w:color w:val="auto"/>
        </w:rPr>
        <w:t xml:space="preserve"> vg/kg in two-week-old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As shown in the figures below, treatment with AAV:mMYBPC3 improved heart function for the KO mice above their pre-treatment baseline levels, indicating partial reversal of the disease with an initial improvement of EF of more than 20% versus untreated controls that eventually increases to more than 30% at 13 months. At more than 13 months post treatment, these measures had not diminished, suggesting that a single systemic dose may be sufficient for a durable reversal of gHCM caused by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AAV:mMYBPC3 treatment also led to sustained improvements in LV mass normalized to body weight (BW) and EF. There is also a clear survival benefit with 100% survival in the AAV:mMYBPC3 arm and 100% mortality in the untreated control arm out to 16 months following dosing. Additionally, we observed improvements in LV diameter and ECG measurements. A summary of certain preclinical data supporting TN-201 was presented at both the American Society of Gene and Cell Therapy (ASGCT) and European Society for Gene and Cell Therapy (ESGCT) conferences in 2021. Based on publicly available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right="100"/>
        <w:spacing w:after="0" w:line="324" w:lineRule="auto"/>
        <w:rPr>
          <w:sz w:val="20"/>
          <w:szCs w:val="20"/>
          <w:color w:val="auto"/>
        </w:rPr>
      </w:pPr>
      <w:r>
        <w:rPr>
          <w:rFonts w:ascii="Arial" w:cs="Arial" w:eastAsia="Arial" w:hAnsi="Arial"/>
          <w:sz w:val="16"/>
          <w:szCs w:val="16"/>
          <w:color w:val="auto"/>
        </w:rPr>
        <w:t xml:space="preserve">information, we believe these data are the first known demonstration of significant and durable disease reversal in a severe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Similar data have been observed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mouse model with our product candidate TN-201, using a human version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233680</wp:posOffset>
            </wp:positionV>
            <wp:extent cx="5297805" cy="4612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97805"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In addition, a dose-response relationship has been demonstrated with AAV:mMYBPC3. As shown below, 1×10</w:t>
      </w:r>
      <w:r>
        <w:rPr>
          <w:rFonts w:ascii="Arial" w:cs="Arial" w:eastAsia="Arial" w:hAnsi="Arial"/>
          <w:sz w:val="18"/>
          <w:szCs w:val="18"/>
          <w:color w:val="auto"/>
          <w:vertAlign w:val="superscript"/>
        </w:rPr>
        <w:t>13</w:t>
      </w:r>
      <w:r>
        <w:rPr>
          <w:rFonts w:ascii="Arial" w:cs="Arial" w:eastAsia="Arial" w:hAnsi="Arial"/>
          <w:sz w:val="16"/>
          <w:szCs w:val="16"/>
          <w:color w:val="auto"/>
        </w:rPr>
        <w:t xml:space="preserve"> vg/kg, 3×10</w:t>
      </w:r>
      <w:r>
        <w:rPr>
          <w:rFonts w:ascii="Arial" w:cs="Arial" w:eastAsia="Arial" w:hAnsi="Arial"/>
          <w:sz w:val="18"/>
          <w:szCs w:val="18"/>
          <w:color w:val="auto"/>
          <w:vertAlign w:val="superscript"/>
        </w:rPr>
        <w:t>13</w:t>
      </w:r>
      <w:r>
        <w:rPr>
          <w:rFonts w:ascii="Arial" w:cs="Arial" w:eastAsia="Arial" w:hAnsi="Arial"/>
          <w:sz w:val="16"/>
          <w:szCs w:val="16"/>
          <w:color w:val="auto"/>
        </w:rPr>
        <w:t xml:space="preserve"> vg/kg and 1×10</w:t>
      </w:r>
      <w:r>
        <w:rPr>
          <w:rFonts w:ascii="Arial" w:cs="Arial" w:eastAsia="Arial" w:hAnsi="Arial"/>
          <w:sz w:val="18"/>
          <w:szCs w:val="18"/>
          <w:color w:val="auto"/>
          <w:vertAlign w:val="superscript"/>
        </w:rPr>
        <w:t>14</w:t>
      </w:r>
      <w:r>
        <w:rPr>
          <w:rFonts w:ascii="Arial" w:cs="Arial" w:eastAsia="Arial" w:hAnsi="Arial"/>
          <w:sz w:val="16"/>
          <w:szCs w:val="16"/>
          <w:color w:val="auto"/>
        </w:rPr>
        <w:t xml:space="preserve"> vg/kg weight-based doses all produced significant improvements in EF, LV mass normalized to body mass, and measures of electrophysiological function (QT interval) at eight months post-injection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HCM mouse model. The 1×10</w:t>
      </w:r>
      <w:r>
        <w:rPr>
          <w:rFonts w:ascii="Arial" w:cs="Arial" w:eastAsia="Arial" w:hAnsi="Arial"/>
          <w:sz w:val="18"/>
          <w:szCs w:val="18"/>
          <w:color w:val="auto"/>
          <w:vertAlign w:val="superscript"/>
        </w:rPr>
        <w:t>13</w:t>
      </w:r>
      <w:r>
        <w:rPr>
          <w:rFonts w:ascii="Arial" w:cs="Arial" w:eastAsia="Arial" w:hAnsi="Arial"/>
          <w:sz w:val="16"/>
          <w:szCs w:val="16"/>
          <w:color w:val="auto"/>
        </w:rPr>
        <w:t xml:space="preserve"> vg/kg dose had the lowest levels of efficacy, while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34" w:name="page35"/>
    <w:bookmarkEnd w:id="34"/>
    <w:p>
      <w:pPr>
        <w:ind w:right="200"/>
        <w:spacing w:after="0" w:line="239" w:lineRule="auto"/>
        <w:rPr>
          <w:sz w:val="20"/>
          <w:szCs w:val="20"/>
          <w:color w:val="auto"/>
        </w:rPr>
      </w:pPr>
      <w:r>
        <w:rPr>
          <w:rFonts w:ascii="Arial" w:cs="Arial" w:eastAsia="Arial" w:hAnsi="Arial"/>
          <w:sz w:val="18"/>
          <w:szCs w:val="18"/>
          <w:color w:val="auto"/>
        </w:rPr>
        <w:t>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had high improvement in the EF, similar to the 1×10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dose, suggesting a plateau in the dose-response curve. A similar dose response has also been observed with TN-201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275590</wp:posOffset>
            </wp:positionV>
            <wp:extent cx="5109210" cy="2245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0921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20" w:firstLine="509"/>
        <w:spacing w:after="0" w:line="257" w:lineRule="auto"/>
        <w:rPr>
          <w:sz w:val="20"/>
          <w:szCs w:val="20"/>
          <w:color w:val="auto"/>
        </w:rPr>
      </w:pPr>
      <w:r>
        <w:rPr>
          <w:rFonts w:ascii="Arial" w:cs="Arial" w:eastAsia="Arial" w:hAnsi="Arial"/>
          <w:sz w:val="16"/>
          <w:szCs w:val="16"/>
          <w:color w:val="auto"/>
        </w:rPr>
        <w:t>Based on these data, it may be feasible to consider doses for TN-201 in the 3×10</w:t>
      </w:r>
      <w:r>
        <w:rPr>
          <w:rFonts w:ascii="Arial" w:cs="Arial" w:eastAsia="Arial" w:hAnsi="Arial"/>
          <w:sz w:val="21"/>
          <w:szCs w:val="21"/>
          <w:color w:val="auto"/>
          <w:vertAlign w:val="superscript"/>
        </w:rPr>
        <w:t>13</w:t>
      </w:r>
      <w:r>
        <w:rPr>
          <w:rFonts w:ascii="Arial" w:cs="Arial" w:eastAsia="Arial" w:hAnsi="Arial"/>
          <w:sz w:val="16"/>
          <w:szCs w:val="16"/>
          <w:color w:val="auto"/>
        </w:rPr>
        <w:t xml:space="preserve"> vg/kg to 1×10</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vg/kg range during clinical development. This dose range is also within the dose ranges reported by other companies in connection with an FDA-approved product and clinical studies of product candidates using AAV9 for gene therapy, including where the primary intended organ for the product candidate is the heart. Additional data from IND enabling studies, as well as feedback from the FDA, will inform the specific doses we use for early clinical development of TN-201.</w:t>
      </w:r>
    </w:p>
    <w:p>
      <w:pPr>
        <w:spacing w:after="0" w:line="6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 xml:space="preserve">At these doses of AAV9:mMYBPC3, we found that the vector copy number (VCN) from the heart samples of mice and NHPs are equal to or greater than the desired one vector genome per diploid genome (vg/dg) threshold. The significance of this threshold is that with a VCN greater than one, each cardiomyocyte in the heart sample has on average at least one functional copy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which we believe may be enough to compensate for the mutated gene. Data in the public domain presented by other companies also demonstrated that AAV9 gene therapies administered at similar doses also resulted in VCN greater than one in multiple species including mice and pigs as well as in clinical studies with children and adults.</w:t>
      </w:r>
    </w:p>
    <w:p>
      <w:pPr>
        <w:spacing w:after="0" w:line="47"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One-time dosing of AAV:mMYBPC3 at 3x10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and 1x10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achieved normal levels of protein expression in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mouse model hearts within two to six weeks following delivery. As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does not produce any 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these data illustrate that AAV:mMYBPC3 is able to express 100% of the normal level of the protein. By comparison, severe symptomatic patients that are heterozygous for </w:t>
      </w:r>
      <w:r>
        <w:rPr>
          <w:rFonts w:ascii="Arial" w:cs="Arial" w:eastAsia="Arial" w:hAnsi="Arial"/>
          <w:sz w:val="18"/>
          <w:szCs w:val="18"/>
          <w:i w:val="1"/>
          <w:iCs w:val="1"/>
          <w:color w:val="auto"/>
        </w:rPr>
        <w:t xml:space="preserve">MYBPC3 </w:t>
      </w:r>
      <w:r>
        <w:rPr>
          <w:rFonts w:ascii="Arial" w:cs="Arial" w:eastAsia="Arial" w:hAnsi="Arial"/>
          <w:sz w:val="18"/>
          <w:szCs w:val="18"/>
          <w:color w:val="auto"/>
        </w:rPr>
        <w:t>truncation mutations on average produce 60% of the normal level of this protein, suggesting that TN-201 needs to produce no more than 40%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normal level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in such patients. From our preclinical studies with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we have not observed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levels substantially above normal levels, suggesting that protein accumulation does not occur and lowers the potential concern of overexpression-related toxicities.</w:t>
      </w:r>
    </w:p>
    <w:p>
      <w:pPr>
        <w:spacing w:after="0" w:line="82"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 xml:space="preserve">In addition, histological assessments of AAV:mMYBPC3 treated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murine hearts support the uniform and robust distribution of expression following AAV:mMYBPC3 infusion, suggesting gene therapy may be able to replace the missing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uniformly across the heart. This observation is consistent with heart biopsy samples from patients treated with other AAV9-based gene therapies in development.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5" w:name="page36"/>
    <w:bookmarkEnd w:id="35"/>
    <w:p>
      <w:pPr>
        <w:ind w:right="920" w:firstLine="509"/>
        <w:spacing w:after="0" w:line="269" w:lineRule="auto"/>
        <w:rPr>
          <w:sz w:val="20"/>
          <w:szCs w:val="20"/>
          <w:color w:val="auto"/>
        </w:rPr>
      </w:pPr>
      <w:r>
        <w:rPr>
          <w:rFonts w:ascii="Arial" w:cs="Arial" w:eastAsia="Arial" w:hAnsi="Arial"/>
          <w:sz w:val="18"/>
          <w:szCs w:val="18"/>
          <w:color w:val="auto"/>
        </w:rPr>
        <w:t xml:space="preserve">The figure below demonstrates a restoration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protein levels to wildtype levels within two weeks following a single dose of AAV:mMYBPC3 at the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1×10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118110</wp:posOffset>
            </wp:positionV>
            <wp:extent cx="5854700" cy="2383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547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Consistent with observed therapeutic benefit, treatment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with AAV:mMYBPC3 is also associated with a substantial reduction of expression of genes associated with fibrosis and B-type natriuretic peptide (BNP), a circulating factor associated with cardiac wall stress. We intend to evaluate the impact of treatment on BNP as a potential pharmacodynamic (PD) biomarker in initial clinical studies.</w:t>
      </w:r>
    </w:p>
    <w:p>
      <w:pPr>
        <w:spacing w:after="0" w:line="56" w:lineRule="exact"/>
        <w:rPr>
          <w:sz w:val="20"/>
          <w:szCs w:val="20"/>
          <w:color w:val="auto"/>
        </w:rPr>
      </w:pPr>
    </w:p>
    <w:p>
      <w:pPr>
        <w:ind w:right="280" w:firstLine="509"/>
        <w:spacing w:after="0" w:line="295" w:lineRule="auto"/>
        <w:rPr>
          <w:sz w:val="20"/>
          <w:szCs w:val="20"/>
          <w:color w:val="auto"/>
        </w:rPr>
      </w:pPr>
      <w:r>
        <w:rPr>
          <w:rFonts w:ascii="Arial" w:cs="Arial" w:eastAsia="Arial" w:hAnsi="Arial"/>
          <w:sz w:val="17"/>
          <w:szCs w:val="17"/>
          <w:color w:val="auto"/>
        </w:rPr>
        <w:t>The figures below shows dose-dependent inhibition of expression of genes associated with cardiac strain (Nppa, Nppb, and Myh7) and fibrosis (</w:t>
      </w:r>
      <w:r>
        <w:rPr>
          <w:rFonts w:ascii="Arial" w:cs="Arial" w:eastAsia="Arial" w:hAnsi="Arial"/>
          <w:sz w:val="17"/>
          <w:szCs w:val="17"/>
          <w:i w:val="1"/>
          <w:iCs w:val="1"/>
          <w:color w:val="auto"/>
        </w:rPr>
        <w:t>Col1a1, Col4a1, and Postn</w:t>
      </w:r>
      <w:r>
        <w:rPr>
          <w:rFonts w:ascii="Arial" w:cs="Arial" w:eastAsia="Arial" w:hAnsi="Arial"/>
          <w:sz w:val="17"/>
          <w:szCs w:val="17"/>
          <w:color w:val="auto"/>
        </w:rPr>
        <w:t>) following a single dose of AAV:mMYBPC3 at the 1×10</w:t>
      </w:r>
      <w:r>
        <w:rPr>
          <w:rFonts w:ascii="Arial" w:cs="Arial" w:eastAsia="Arial" w:hAnsi="Arial"/>
          <w:sz w:val="19"/>
          <w:szCs w:val="19"/>
          <w:color w:val="auto"/>
          <w:vertAlign w:val="superscript"/>
        </w:rPr>
        <w:t>13</w:t>
      </w:r>
      <w:r>
        <w:rPr>
          <w:rFonts w:ascii="Arial" w:cs="Arial" w:eastAsia="Arial" w:hAnsi="Arial"/>
          <w:sz w:val="17"/>
          <w:szCs w:val="17"/>
          <w:color w:val="auto"/>
        </w:rPr>
        <w:t xml:space="preserve"> vg/kg and 3×10</w:t>
      </w:r>
      <w:r>
        <w:rPr>
          <w:rFonts w:ascii="Arial" w:cs="Arial" w:eastAsia="Arial" w:hAnsi="Arial"/>
          <w:sz w:val="19"/>
          <w:szCs w:val="19"/>
          <w:color w:val="auto"/>
          <w:vertAlign w:val="superscript"/>
        </w:rPr>
        <w:t>13</w:t>
      </w:r>
      <w:r>
        <w:rPr>
          <w:rFonts w:ascii="Arial" w:cs="Arial" w:eastAsia="Arial" w:hAnsi="Arial"/>
          <w:sz w:val="17"/>
          <w:szCs w:val="17"/>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208915</wp:posOffset>
            </wp:positionV>
            <wp:extent cx="3265805" cy="1543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58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6" w:right="47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371475</wp:posOffset>
            </wp:positionV>
            <wp:extent cx="3265805" cy="1543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32658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509"/>
        <w:spacing w:after="0" w:line="230" w:lineRule="auto"/>
        <w:rPr>
          <w:sz w:val="20"/>
          <w:szCs w:val="20"/>
          <w:color w:val="auto"/>
        </w:rPr>
      </w:pPr>
      <w:r>
        <w:rPr>
          <w:rFonts w:ascii="Arial" w:cs="Arial" w:eastAsia="Arial" w:hAnsi="Arial"/>
          <w:sz w:val="18"/>
          <w:szCs w:val="18"/>
          <w:color w:val="auto"/>
        </w:rPr>
        <w:t xml:space="preserve">Treatment with either TN-201 or AAV:mMYBPC3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6×10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in pilot safety studies in wildtype neonatal mice twelve weeks after dosing. The 6×10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dose level is estimated to be six to 20 times greater than the approximated target dose.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Differentiating Characteristics for Our MYBPC3 Gene Therapy</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Promoters are essential to controlling the expression of the therapeutic gene and we have invested in a library of novel promoters and regulatory elements. During optimization of our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therapies, we discovered a cardiomyocyte-specific promoter, TNP-CM1, with improved performance attributes as compared to the standard cTnT promoter.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analyses confirmed that TNP-CM1 significantly increased expression of the </w:t>
      </w:r>
      <w:r>
        <w:rPr>
          <w:rFonts w:ascii="Arial" w:cs="Arial" w:eastAsia="Arial" w:hAnsi="Arial"/>
          <w:sz w:val="16"/>
          <w:szCs w:val="16"/>
          <w:i w:val="1"/>
          <w:iCs w:val="1"/>
          <w:color w:val="auto"/>
        </w:rPr>
        <w:t xml:space="preserve">MYBPC3 </w:t>
      </w:r>
      <w:r>
        <w:rPr>
          <w:rFonts w:ascii="Arial" w:cs="Arial" w:eastAsia="Arial" w:hAnsi="Arial"/>
          <w:sz w:val="16"/>
          <w:szCs w:val="16"/>
          <w:color w:val="auto"/>
        </w:rPr>
        <w:t>gene compared to what can be achieved with the standard cTnT promoter. See “</w:t>
      </w:r>
      <w:r>
        <w:rPr>
          <w:rFonts w:ascii="Arial" w:cs="Arial" w:eastAsia="Arial" w:hAnsi="Arial"/>
          <w:sz w:val="16"/>
          <w:szCs w:val="16"/>
          <w:i w:val="1"/>
          <w:iCs w:val="1"/>
          <w:color w:val="auto"/>
        </w:rPr>
        <w:t>Business—Our Approach and Capabilities—3. Promoters and Regulatory Elements</w:t>
      </w:r>
      <w:r>
        <w:rPr>
          <w:rFonts w:ascii="Arial" w:cs="Arial" w:eastAsia="Arial" w:hAnsi="Arial"/>
          <w:sz w:val="16"/>
          <w:szCs w:val="16"/>
          <w:color w:val="auto"/>
        </w:rPr>
        <w:t>.” TNP-CM1 has been tested in a hiPSC-CM disease model, in multiple murine models, and in NHPs. As demonstrated below,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proprietary cassette significantly improved heart function in our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mouse model in comparison to a published construct containing a standard cTnT promoter and utilizing the same AAV capsid. These data are also significant as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models were treated at three months of age (rather than two weeks) suggesting that it is possible to reverse cardiac dysfunction even after significant onset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261620</wp:posOffset>
            </wp:positionV>
            <wp:extent cx="2940050" cy="1765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400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 xml:space="preserve">TN-201 was selected as the development candidate for the MYBPC3 gene therapy program and has been granted orphan drug designation by the FDA. We intend to submit an IND to the FDA for TN-201 in the second half of 2022 and if approved, plan to initiate global FIH studies in patients with </w:t>
      </w:r>
      <w:r>
        <w:rPr>
          <w:rFonts w:ascii="Arial" w:cs="Arial" w:eastAsia="Arial" w:hAnsi="Arial"/>
          <w:sz w:val="18"/>
          <w:szCs w:val="18"/>
          <w:i w:val="1"/>
          <w:iCs w:val="1"/>
          <w:color w:val="auto"/>
        </w:rPr>
        <w:t xml:space="preserve">MYBPC3 </w:t>
      </w:r>
      <w:r>
        <w:rPr>
          <w:rFonts w:ascii="Arial" w:cs="Arial" w:eastAsia="Arial" w:hAnsi="Arial"/>
          <w:sz w:val="18"/>
          <w:szCs w:val="18"/>
          <w:color w:val="auto"/>
        </w:rPr>
        <w:t>gene mutations. As part of our clinical development planning efforts, we have obtained useful feedback from regulatory authorities in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to inform the study design.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7" w:name="page38"/>
    <w:bookmarkEnd w:id="37"/>
    <w:p>
      <w:pPr>
        <w:ind w:firstLine="509"/>
        <w:spacing w:after="0" w:line="284" w:lineRule="auto"/>
        <w:rPr>
          <w:sz w:val="20"/>
          <w:szCs w:val="20"/>
          <w:color w:val="auto"/>
        </w:rPr>
      </w:pPr>
      <w:r>
        <w:rPr>
          <w:rFonts w:ascii="Arial" w:cs="Arial" w:eastAsia="Arial" w:hAnsi="Arial"/>
          <w:sz w:val="16"/>
          <w:szCs w:val="16"/>
          <w:color w:val="auto"/>
        </w:rPr>
        <w:t xml:space="preserve">As the mechanism of action for TN-201 is relevant for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that present with either oHCM or nHCM, we intend to explore the effect of TN-201 in both populations. However, as the majority of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mutations have the nonobstructive form of HCM, we intend to focus initial clinical development on symptomatic adult nHCM patients. During clinical development, we plan to assess clinically relevant PD markers and echo parameters that have been shown to have meaningful changes within a few weeks to months in prior trials of HCM patients.</w:t>
      </w:r>
    </w:p>
    <w:p>
      <w:pPr>
        <w:spacing w:after="0" w:line="47"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 xml:space="preserve">Additionally, in support of our development efforts for TN-201, in 2021 we initiated MyClimb, a prospective and retrospective global natural history study in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mutation-associated cardiomyopathy. The objective of the natural history study, a non-interventional clinical study that follows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as well as treatments, procedures, and patient outcomes. This study complements existing disease registries focused primarily on adult patient HCM populations and may support and expedite the development of TN-201 in the pediatric patient population.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HDAC6i Program for HFpEF and gDCM</w:t>
      </w:r>
    </w:p>
    <w:p>
      <w:pPr>
        <w:spacing w:after="0" w:line="104"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 xml:space="preserve">We are developing an HDAC6 small molecule inhibitor (HDAC6i) for various forms of heart failure, including HFpEF. This disease involves systemic inflammation, LV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TN-301, is a differentiated compound with unique chemical structures and high specificity for HDAC6. We have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our HDAC6 molecules in multiple animal models, including significant disease reversal in two different models of HFpEF as well as tolerability in mice and NHPs in pilot non-GLP toxicology and biodistribution studies. Based on publicly available information to date, we believe, TN-301 is the first HDAC6i being developed for heart disease. We have initiated IND-enabling activities and intend to submit an IND to the FDA in the second half of 2022. We intend to seek feedback from multiple regulatory agencies, including the FDA, as necessary.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HFpEF</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81"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Patients with HFpEF represent approximately half of heart failure patients. There are estimated to be over 3,000,000 patients diagnosed with HFpEF in the United States. HFpEF prevalence is rapidly increasing, with prevalence anticipated to increase by more than 45% by 2030. The increase in HFpEF prevalence is at least in part due to the high overlap of this condition with diabetes and obesity which are also on the rise in the United States and globally.</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least half of all hospital admissions for heart failure are related to HFpEF and approximately 24% of the HFpEF population is considered to have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 York Heart Association Class III or Class IV disease, representing a disease burden that markedly impacts quality of life and limits physical activity.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Among patients hospitalized for HFpEF, readmission for heart failure and mortality rates over a five-year period are as high as 40% and 75%, respectively.</w:t>
      </w:r>
    </w:p>
    <w:p>
      <w:pPr>
        <w:spacing w:after="0" w:line="11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i w:val="1"/>
          <w:iCs w:val="1"/>
          <w:color w:val="auto"/>
        </w:rPr>
        <w:t>Overview of gDCM</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Dilated cardiomyopathies, in which the LV is weak and distended and therefore unable to properly pump blood, effect approximately one million people in the U.S. 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 gDCM are present in proteins with diverse cellular locations within the cardiomyocyte,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7"/>
          <w:szCs w:val="17"/>
          <w:i w:val="1"/>
          <w:iCs w:val="1"/>
          <w:color w:val="auto"/>
        </w:rPr>
        <w:t>DWORF Program for DCM— Overview of DCM</w:t>
      </w:r>
      <w:r>
        <w:rPr>
          <w:rFonts w:ascii="Arial" w:cs="Arial" w:eastAsia="Arial" w:hAnsi="Arial"/>
          <w:sz w:val="17"/>
          <w:szCs w:val="17"/>
          <w:color w:val="auto"/>
        </w:rPr>
        <w:t>”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 HDAC6 inhibitor (TN-301)</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HDAC inhibitors have long been considered promising targets for many indications in a range of therapeutic areas, including oncology and other indications. Several partially selective HDAC6i are already in clinical development, but none yet for heart disease. We have developed a number of highly selective proprietary HDAC6i, including TYA-11018 and our product candidate, TN-301. We intend to be the first to advance a selective HDAC6i into clinical development for the treatment of heart failure.</w:t>
      </w:r>
    </w:p>
    <w:p>
      <w:pPr>
        <w:spacing w:after="0" w:line="8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Less selective HDAC inhibitors in development in other indications have been associated with dose-limiting toxicities and safety liabilities, such as thrombocytopenia. In contrast, we have identified a number of highly selective and potent HDAC6i with high levels of selectivity for HDAC6. As demonstrated in the figure below, some of our proprietary inhibitors are greater than 1,000 times more selective for HDAC6 than for other HDAC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274320</wp:posOffset>
            </wp:positionV>
            <wp:extent cx="4757420" cy="2100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5742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20" w:firstLine="554"/>
        <w:spacing w:after="0" w:line="248" w:lineRule="auto"/>
        <w:rPr>
          <w:sz w:val="20"/>
          <w:szCs w:val="20"/>
          <w:color w:val="auto"/>
        </w:rPr>
      </w:pPr>
      <w:r>
        <w:rPr>
          <w:rFonts w:ascii="Arial" w:cs="Arial" w:eastAsia="Arial" w:hAnsi="Arial"/>
          <w:sz w:val="18"/>
          <w:szCs w:val="18"/>
          <w:color w:val="auto"/>
        </w:rPr>
        <w:t xml:space="preserve">Internal data indicate that the higher selectivity of our compounds may translate to certain lower safety risks as compared to other less selective compounds. As shown below,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we have observed reduced off-target effects relative to other pan-HDACi or partially selective HDAC6i in clinical development, as measured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9" w:name="page40"/>
    <w:bookmarkEnd w:id="39"/>
    <w:p>
      <w:pPr>
        <w:ind w:right="160"/>
        <w:spacing w:after="0" w:line="261" w:lineRule="auto"/>
        <w:rPr>
          <w:sz w:val="20"/>
          <w:szCs w:val="20"/>
          <w:color w:val="auto"/>
        </w:rPr>
      </w:pPr>
      <w:r>
        <w:rPr>
          <w:rFonts w:ascii="Arial" w:cs="Arial" w:eastAsia="Arial" w:hAnsi="Arial"/>
          <w:sz w:val="18"/>
          <w:szCs w:val="18"/>
          <w:color w:val="auto"/>
        </w:rPr>
        <w:t>by the relative number of megakaryocyte colonies formed in the presence of the compounds tested at different concentrations. No thrombocytopenia has been observed in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263525</wp:posOffset>
            </wp:positionV>
            <wp:extent cx="2922905" cy="2948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2290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product candidate, TN-301, has favorable drug-like properties, including pharmacokinetics (PK), oral bioavailability, panel selectivity, protein-binding activity, and cellular toxicity, supporting the potential for once-daily oral dosing in humans. To date, there have been no adverse findings in multiple pilot non-GLP toxicology and biodistribution studies in rats and NHPs with TN-301 and TYA-11018, including no treatment-related mortality, adverse effects in clinical signs, body weight, food consumption, or clinical pathology. We have initiated IND-enabling activities for TN-301.</w:t>
      </w:r>
    </w:p>
    <w:p>
      <w:pPr>
        <w:spacing w:after="0" w:line="15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We have filed patent applications across multiple chemical series encompassing TN-301, TYA-11018, and other potential back-up molecules, as well as patent applications related to methods of use.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i w:val="1"/>
          <w:iCs w:val="1"/>
          <w:color w:val="auto"/>
        </w:rPr>
        <w:t>TN-301: Preclinical Studies in HFpEF</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Treatment with TN-301 has reversed measures of HFpEF, including heart filling defects known as diastolic dysfunction, in multiple animal models. In one HFpEF model developed in-house, we surgically applied moderate aortic banding (mTAC) in wild type mice fed a high fat diet for eight weeks. These interventions induced a cardio-metabolic heart failure phenotype that simulated the systemic and cardiovascular features of HFpEF in humans. Aspects of the HFpEF phenotype included increased LV wall thickness, LV hypertrophy, increased diastolic pressure, impaired LV relaxation and filling, and glucose intolerance, while maintaining EF at or above 50%.</w:t>
      </w:r>
    </w:p>
    <w:p>
      <w:pPr>
        <w:spacing w:after="0" w:line="81"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After the HFpEF phenotypes were established, animals were dosed orally with TN-301 or vehicle for six weeks. As illustrated below, TN-301 treatment reversed HFpEF disease phenotype across all studied parameters, including restoration of LV wall thickness, LV end diastolic pressure, LV relaxation and filling, and LV mass, compared to control. In addition, as shown below, the treated mice exhibited a clear trend of decreased lung weight, indicative of improvement in pulmonary congestion consistent with the reduction of filling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212725</wp:posOffset>
            </wp:positionV>
            <wp:extent cx="5366385" cy="3935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66385" cy="393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41" w:name="page42"/>
    <w:bookmarkEnd w:id="41"/>
    <w:p>
      <w:pPr>
        <w:ind w:right="140" w:firstLine="509"/>
        <w:spacing w:after="0" w:line="261" w:lineRule="auto"/>
        <w:rPr>
          <w:sz w:val="20"/>
          <w:szCs w:val="20"/>
          <w:color w:val="auto"/>
        </w:rPr>
      </w:pPr>
      <w:r>
        <w:rPr>
          <w:rFonts w:ascii="Arial" w:cs="Arial" w:eastAsia="Arial" w:hAnsi="Arial"/>
          <w:sz w:val="18"/>
          <w:szCs w:val="18"/>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134620</wp:posOffset>
            </wp:positionV>
            <wp:extent cx="2682875" cy="1843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287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Consistent with the observed improvement in HFpEF phenotype, TN-301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270510</wp:posOffset>
            </wp:positionV>
            <wp:extent cx="5349240" cy="2863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TN-301: Preclinical Studies in Models of Metabolic Disease</w:t>
      </w:r>
    </w:p>
    <w:p>
      <w:pPr>
        <w:spacing w:after="0" w:line="104"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In addition to improvements in glucose metabolism associated with TN-301 treatment in HFpEF mouse models, treatment with TN-301 has also led to improvements in glucose tolerance and insulin sensitivity in a Diet Induced Obesity (DIO) mouse model. As shown below, treatment with a single dose of TN-301 improves glucose tolerance in a dose-dependent manner in the DIO model. Furthermore, TN-301 treatment improves glucose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tolerance in a dose-dependent manner after daily dosing for two weeks and insulin sensitivity in a dose-dependent manner after daily dosing for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303530</wp:posOffset>
            </wp:positionV>
            <wp:extent cx="5349240" cy="2194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A single dose treatment of TN-301 in the DIO model is also associated with a significant reduction in inflammatory markers in adipose tissue relative to controls as shown below. Inflammatory biomarkers in adipose tissue are thought to be linked to glucose tolerance and insulin sensitivity. For example, adipose IL-6 deficiency has been associated with improvements in glucose tolerance. Loss of IL-10 has also been shown to protect mice from DIO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HDAC6 Inhibitors: Preclinical Studies in DCM</w:t>
      </w:r>
    </w:p>
    <w:p>
      <w:pPr>
        <w:spacing w:after="0" w:line="10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 xml:space="preserve">We have validated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by testing our HDAC6i compounds in BAG3 mutant mice models. As shown in the figure below, treatment of a rapidly worsening mouse model of BAG3 mutant DCM 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TYA-11018 resulted in a greater than 20% improvement in EF after eight weeks of treatment compared to a control group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296545</wp:posOffset>
            </wp:positionV>
            <wp:extent cx="3737610" cy="2477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3761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cardiomyocyte and cardiac dysfunction. The BAG3 mutant DCM patient population may be particularly sensitive to this mechanism of action for HDAC6 inhibition. BAG3 facilitates autophagy as a co-chaperone protein with heat shock proteins and mutations in the BAG3 gene may lead to potentially defective autophagy in the heart.</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schematic below shows promotion of autophagy as a potential mechanism of action for HDAC6 inhibition in DCM based 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303530</wp:posOffset>
            </wp:positionV>
            <wp:extent cx="3086100" cy="2151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8610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 xml:space="preserve">The role of HDAC6 inhibition in the promotion of autophagy is supported by biomarker analyses in TYA-11018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studies in the BAG3 DCM mouse model. As shown in the figure below, one autophagy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44" w:name="page45"/>
    <w:bookmarkEnd w:id="44"/>
    <w:p>
      <w:pPr>
        <w:ind w:right="60"/>
        <w:spacing w:after="0" w:line="261" w:lineRule="auto"/>
        <w:rPr>
          <w:sz w:val="20"/>
          <w:szCs w:val="20"/>
          <w:color w:val="auto"/>
        </w:rPr>
      </w:pPr>
      <w:r>
        <w:rPr>
          <w:rFonts w:ascii="Arial" w:cs="Arial" w:eastAsia="Arial" w:hAnsi="Arial"/>
          <w:sz w:val="18"/>
          <w:szCs w:val="18"/>
          <w:color w:val="auto"/>
        </w:rPr>
        <w:t>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263525</wp:posOffset>
            </wp:positionV>
            <wp:extent cx="3326130" cy="1962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2613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HDAC6 Inhibitors: Potential Mechanism of Action in HFpEF</w:t>
      </w:r>
    </w:p>
    <w:p>
      <w:pPr>
        <w:spacing w:after="0" w:line="10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The pathophysiological mechanisms underlying HFpEF is an active area of scientific research. 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in the HFpEF population with diabetes and obesity as comorbidities.</w:t>
      </w:r>
    </w:p>
    <w:p>
      <w:pPr>
        <w:spacing w:after="0" w:line="47"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HDAC6 has been generally associated with several of these potential HFpEF mechanisms. Our preclinical data generated to date is consistent with what is known in the published literature and is suggestive of a multi-modal mechanism of action that may address multiple aspects of disease.</w:t>
      </w:r>
    </w:p>
    <w:p>
      <w:pPr>
        <w:spacing w:after="0" w:line="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117475</wp:posOffset>
            </wp:positionV>
            <wp:extent cx="4277360" cy="1971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773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20" w:right="20" w:hanging="503"/>
        <w:spacing w:after="0" w:line="270"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Inflammation / Oxidative stress: </w:t>
      </w:r>
      <w:r>
        <w:rPr>
          <w:rFonts w:ascii="Arial" w:cs="Arial" w:eastAsia="Arial" w:hAnsi="Arial"/>
          <w:sz w:val="17"/>
          <w:szCs w:val="17"/>
          <w:color w:val="auto"/>
        </w:rPr>
        <w:t>Published studies have linked inhibition of HDAC6 with inflammasome biology and enhancement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T cell activity. In our preclinical studies, TN-301 has shown improvement in inflammatory markers in adipose tissue from the DIO model, while TYA-11018 has shown improvement in inflammatory markers in a BAG3 model of DCM.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020" w:right="20" w:hanging="503"/>
        <w:spacing w:after="0" w:line="279"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Defective metabolism / glucose metabolism: </w:t>
      </w:r>
      <w:r>
        <w:rPr>
          <w:rFonts w:ascii="Arial" w:cs="Arial" w:eastAsia="Arial" w:hAnsi="Arial"/>
          <w:sz w:val="16"/>
          <w:szCs w:val="16"/>
          <w:color w:val="auto"/>
        </w:rPr>
        <w:t>In a published study, HDAC6 KO mice had a significant improvement in dexamethasone-induced whole-body glucose intolerance and insulin resistance compared to wildtype mice, suggesting that HDAC6 may be an important regulator of gluconeogenesis and glucose metabolism. In our preclinical studies, TN-301 has also shown improvement in glucose tolerance in a HFpEF model; dose-dependent improvements in glucose tolerance and insulin resistance in a DIO mouse model; and improvement in glucose uptake in iPSC-CMs. TYA-11018 has also shown improvement in dysregulated metabolic pathways in a BAG model of DCM.</w:t>
      </w:r>
    </w:p>
    <w:p>
      <w:pPr>
        <w:spacing w:after="0" w:line="51" w:lineRule="exact"/>
        <w:rPr>
          <w:rFonts w:ascii="Arial" w:cs="Arial" w:eastAsia="Arial" w:hAnsi="Arial"/>
          <w:sz w:val="16"/>
          <w:szCs w:val="16"/>
          <w:color w:val="auto"/>
        </w:rPr>
      </w:pPr>
    </w:p>
    <w:p>
      <w:pPr>
        <w:ind w:left="1020" w:right="24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In published studies, HDAC6 inhibition by siRNA or partially selective inhibitors attenuates myofibroblast markers and HDAC6</w:t>
      </w:r>
      <w:r>
        <w:rPr>
          <w:rFonts w:ascii="Arial" w:cs="Arial" w:eastAsia="Arial" w:hAnsi="Arial"/>
          <w:sz w:val="18"/>
          <w:szCs w:val="18"/>
          <w:i w:val="1"/>
          <w:iCs w:val="1"/>
          <w:color w:val="auto"/>
        </w:rPr>
        <w:t xml:space="preserve"> </w:t>
      </w:r>
      <w:r>
        <w:rPr>
          <w:rFonts w:ascii="Arial" w:cs="Arial" w:eastAsia="Arial" w:hAnsi="Arial"/>
          <w:sz w:val="18"/>
          <w:szCs w:val="18"/>
          <w:color w:val="auto"/>
        </w:rPr>
        <w:t>knockdown has been demonstrated to inhibit cardiac fibroblast proliferation. In our preclinical studies, TN-301 significantly improved markers of cardiac fibrosis in a HFpEF model.</w:t>
      </w:r>
    </w:p>
    <w:p>
      <w:pPr>
        <w:spacing w:after="0" w:line="87" w:lineRule="exact"/>
        <w:rPr>
          <w:rFonts w:ascii="Arial" w:cs="Arial" w:eastAsia="Arial" w:hAnsi="Arial"/>
          <w:sz w:val="18"/>
          <w:szCs w:val="18"/>
          <w:color w:val="auto"/>
        </w:rPr>
      </w:pPr>
    </w:p>
    <w:p>
      <w:pPr>
        <w:ind w:left="1020" w:right="80" w:hanging="503"/>
        <w:spacing w:after="0" w:line="24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Hypertrophy: </w:t>
      </w:r>
      <w:r>
        <w:rPr>
          <w:rFonts w:ascii="Arial" w:cs="Arial" w:eastAsia="Arial" w:hAnsi="Arial"/>
          <w:sz w:val="18"/>
          <w:szCs w:val="18"/>
          <w:color w:val="auto"/>
        </w:rPr>
        <w:t>Published studies illustrate that HDAC inhibitors can prevent cardiac hypertrophy in animal models in response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hypertrophic stimuli. In a published study, HDAC inhibition suppressed cardiac hypertrophy and fibrosis in a model of hypertension through regulation of HDAC6/HDAC8 enzyme activity. In our preclinical studies, TN-301 has also shown improved in LV hypertrophy in multiple HFpEF models.</w:t>
      </w:r>
    </w:p>
    <w:p>
      <w:pPr>
        <w:spacing w:after="0" w:line="79" w:lineRule="exact"/>
        <w:rPr>
          <w:rFonts w:ascii="Arial" w:cs="Arial" w:eastAsia="Arial" w:hAnsi="Arial"/>
          <w:sz w:val="18"/>
          <w:szCs w:val="18"/>
          <w:color w:val="auto"/>
        </w:rPr>
      </w:pPr>
    </w:p>
    <w:p>
      <w:pPr>
        <w:ind w:left="1020" w:right="44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Impaired autophagy: </w:t>
      </w:r>
      <w:r>
        <w:rPr>
          <w:rFonts w:ascii="Arial" w:cs="Arial" w:eastAsia="Arial" w:hAnsi="Arial"/>
          <w:sz w:val="16"/>
          <w:szCs w:val="16"/>
          <w:color w:val="auto"/>
        </w:rPr>
        <w:t>Published studies illustrate the role of reduced autophagy in HFpEF and in aging hearts. In our preclinical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TYA-11018 has shown improvement in autophagy in a BAG model of DCM that was correlated with improvement in heart function.</w:t>
      </w:r>
    </w:p>
    <w:p>
      <w:pPr>
        <w:spacing w:after="0" w:line="16" w:lineRule="exact"/>
        <w:rPr>
          <w:rFonts w:ascii="Arial" w:cs="Arial" w:eastAsia="Arial" w:hAnsi="Arial"/>
          <w:sz w:val="16"/>
          <w:szCs w:val="16"/>
          <w:color w:val="auto"/>
        </w:rPr>
      </w:pPr>
    </w:p>
    <w:p>
      <w:pPr>
        <w:jc w:val="both"/>
        <w:ind w:left="1020" w:right="18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Diastolic dysfunction: </w:t>
      </w:r>
      <w:r>
        <w:rPr>
          <w:rFonts w:ascii="Arial" w:cs="Arial" w:eastAsia="Arial" w:hAnsi="Arial"/>
          <w:sz w:val="18"/>
          <w:szCs w:val="18"/>
          <w:color w:val="auto"/>
        </w:rPr>
        <w:t>In a published study, pan-HDAC inhibitors improved diastolic dysfunction in two distinct murine models of HFpEF</w:t>
      </w:r>
      <w:r>
        <w:rPr>
          <w:rFonts w:ascii="Arial" w:cs="Arial" w:eastAsia="Arial" w:hAnsi="Arial"/>
          <w:sz w:val="18"/>
          <w:szCs w:val="18"/>
          <w:i w:val="1"/>
          <w:iCs w:val="1"/>
          <w:color w:val="auto"/>
        </w:rPr>
        <w:t xml:space="preserve"> </w:t>
      </w:r>
      <w:r>
        <w:rPr>
          <w:rFonts w:ascii="Arial" w:cs="Arial" w:eastAsia="Arial" w:hAnsi="Arial"/>
          <w:sz w:val="18"/>
          <w:szCs w:val="18"/>
          <w:color w:val="auto"/>
        </w:rPr>
        <w:t>and HDAC inhibition improved cardiopulmonary function in a feline model of diastolic dysfunction. In our preclinical studies, TN-301 has also shown improved diastolic dysfunction in multiple HFpEF models.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Pharmacodynamic (PD) marker</w:t>
      </w:r>
    </w:p>
    <w:p>
      <w:pPr>
        <w:spacing w:after="0" w:line="212" w:lineRule="exact"/>
        <w:rPr>
          <w:sz w:val="20"/>
          <w:szCs w:val="20"/>
          <w:color w:val="auto"/>
        </w:rPr>
      </w:pPr>
    </w:p>
    <w:p>
      <w:pPr>
        <w:jc w:val="both"/>
        <w:ind w:right="340" w:firstLine="509"/>
        <w:spacing w:after="0" w:line="294" w:lineRule="auto"/>
        <w:rPr>
          <w:sz w:val="20"/>
          <w:szCs w:val="20"/>
          <w:color w:val="auto"/>
        </w:rPr>
      </w:pPr>
      <w:r>
        <w:rPr>
          <w:rFonts w:ascii="Arial" w:cs="Arial" w:eastAsia="Arial" w:hAnsi="Arial"/>
          <w:sz w:val="16"/>
          <w:szCs w:val="16"/>
          <w:color w:val="auto"/>
        </w:rPr>
        <w:t>HDAC6 is a cytoplasmic enzyme and one of its main substrates is tubulin. Increase in acetylated tubulin is a robust and reproducible PD marker with a high dynamic range that can be measured in both the heart and in circulating cells. We have developed an assay suitable for testing PD effect in human peripheral blood mononuclear cells that we intend to use to demonstrate proof-of-activity and target engagement in our clinical trials.</w:t>
      </w:r>
    </w:p>
    <w:p>
      <w:pPr>
        <w:spacing w:after="0" w:line="147"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The figure below illustrates dose-dependent increases in tubulin acetylation levels in the heart of a mouse model following administration of TN-301 (left axis), and how tubulin acetylation levels appear to correspond to levels of TN-301 as measured in plasma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102235</wp:posOffset>
            </wp:positionV>
            <wp:extent cx="2023110" cy="1594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2311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figure below illustrates dose-dependent increases in tubulin acetylation levels in human peripheral blood mononuclear cells (PBMCs), illustrating how this PD marker can also be measured in human blood, including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healthy volunteers. This PD assay format is the same as intended for testing clinical samples from TN-301 FIH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6350</wp:posOffset>
            </wp:positionV>
            <wp:extent cx="2339975" cy="1637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3997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TN-301: Planned Clinical Development</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plan to submit an IND to the FDA for TN -301 in the second half of 2022 and, if approved, initiate first-in-human safety studies in healthy volunteers before initiating proof-of-concept studies and proof-of activity studies. During clinical development, we plan to examine the role of TN-301 in sub-populations of HFpEF patients with obesity, diabetes or metabolic syndrome as well as potentially in sub-populations of gDCM where there is stronger alignment between the multi-modal mechanism of action of TN-301 with the pathophysiology of the disease.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PKP2 Program for gARVC</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i w:val="1"/>
          <w:iCs w:val="1"/>
          <w:color w:val="auto"/>
        </w:rPr>
        <w:t xml:space="preserve">PKP2 </w:t>
      </w:r>
      <w:r>
        <w:rPr>
          <w:rFonts w:ascii="Arial" w:cs="Arial" w:eastAsia="Arial" w:hAnsi="Arial"/>
          <w:sz w:val="16"/>
          <w:szCs w:val="16"/>
          <w:color w:val="auto"/>
        </w:rPr>
        <w:t>gene mutations are estimated to affect more than 70,000 patients in the United States. These mutations can cause enlargement of the RV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are developing TN-401, an AAV-based gene therapy designed to address gARVC caused by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We are initiating IND enabling studies for TN-401 and expect to submit an IND to the FDA in 2023. We intend to seek feedback from multiple regulatory agencies, including the FDA, as necessary.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ARVC</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VA and particularly ventricular tachycardia (abnormally high heart rate).</w:t>
      </w:r>
    </w:p>
    <w:p>
      <w:pPr>
        <w:spacing w:after="0" w:line="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When symptoms are present, they tend to occur around 30 years of age, with the mean age of presentation in patients before the age of 40 years old. Patients with ARVC most commonly present with symptoms related to VA (such as palpitations, lightheadedness, and fainting) or cardiac arrest. ARVC is an important cause of sudden cardiac arrest in young patients, and particularly in athletes. The median age at cardiac arrest in ARVC patients is 25 years old.</w:t>
      </w:r>
    </w:p>
    <w:p>
      <w:pPr>
        <w:spacing w:after="0" w:line="80"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 xml:space="preserve">ARVC has an estimated prevalence in the general population of approximately 1:2000. Mutations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are the most common genetic cause of ARVC, with approximately 41% to 46% of ARVC patients carrying pathogenic variants. We therefore estimate more than 70,000 patients in the United States are affected by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w:t>
      </w:r>
    </w:p>
    <w:p>
      <w:pPr>
        <w:spacing w:after="0" w:line="16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 xml:space="preserve">Mutations of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are inherited in an autosomal dominant fashion i.e. a mutation in one gene is sufficient to cause the disease. Over 14 mutations have been linked to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Most of these mutations are predicted to result in a truncated protein product, which suggests a disease mechanism due to loss of function, resulting in haploinsufficiency.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7" w:name="page48"/>
    <w:bookmarkEnd w:id="47"/>
    <w:p>
      <w:pPr>
        <w:jc w:val="both"/>
        <w:ind w:right="40" w:firstLine="509"/>
        <w:spacing w:after="0" w:line="243" w:lineRule="auto"/>
        <w:rPr>
          <w:sz w:val="20"/>
          <w:szCs w:val="20"/>
          <w:color w:val="auto"/>
        </w:rPr>
      </w:pPr>
      <w:r>
        <w:rPr>
          <w:rFonts w:ascii="Arial" w:cs="Arial" w:eastAsia="Arial" w:hAnsi="Arial"/>
          <w:sz w:val="18"/>
          <w:szCs w:val="18"/>
          <w:color w:val="auto"/>
        </w:rPr>
        <w:t xml:space="preserve">As illustrated below,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protein is an integral component of cell adhesion protein complexes known as desmosomes which connect adjacent cardiomyocytes in the heart. Desmosomes are responsible for stabilizing the heart and for maintaining channels called gap junctions that allow for cellular communication among heart cells, which in turn is important to proper synchronization of cardiomyocyte contractions across the myocardium contributing to each heartbeat.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274320</wp:posOffset>
            </wp:positionV>
            <wp:extent cx="5288915" cy="127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8891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Other components of desmosome include desmoplakin (</w:t>
      </w:r>
      <w:r>
        <w:rPr>
          <w:rFonts w:ascii="Arial" w:cs="Arial" w:eastAsia="Arial" w:hAnsi="Arial"/>
          <w:sz w:val="18"/>
          <w:szCs w:val="18"/>
          <w:i w:val="1"/>
          <w:iCs w:val="1"/>
          <w:color w:val="auto"/>
        </w:rPr>
        <w:t>DSP</w:t>
      </w:r>
      <w:r>
        <w:rPr>
          <w:rFonts w:ascii="Arial" w:cs="Arial" w:eastAsia="Arial" w:hAnsi="Arial"/>
          <w:sz w:val="18"/>
          <w:szCs w:val="18"/>
          <w:color w:val="auto"/>
        </w:rPr>
        <w:t xml:space="preserve"> gene), desmoglein 2 (</w:t>
      </w:r>
      <w:r>
        <w:rPr>
          <w:rFonts w:ascii="Arial" w:cs="Arial" w:eastAsia="Arial" w:hAnsi="Arial"/>
          <w:sz w:val="18"/>
          <w:szCs w:val="18"/>
          <w:i w:val="1"/>
          <w:iCs w:val="1"/>
          <w:color w:val="auto"/>
        </w:rPr>
        <w:t>DSG2</w:t>
      </w:r>
      <w:r>
        <w:rPr>
          <w:rFonts w:ascii="Arial" w:cs="Arial" w:eastAsia="Arial" w:hAnsi="Arial"/>
          <w:sz w:val="18"/>
          <w:szCs w:val="18"/>
          <w:color w:val="auto"/>
        </w:rPr>
        <w:t xml:space="preserve"> gene), desmocollin 2 (</w:t>
      </w:r>
      <w:r>
        <w:rPr>
          <w:rFonts w:ascii="Arial" w:cs="Arial" w:eastAsia="Arial" w:hAnsi="Arial"/>
          <w:sz w:val="18"/>
          <w:szCs w:val="18"/>
          <w:i w:val="1"/>
          <w:iCs w:val="1"/>
          <w:color w:val="auto"/>
        </w:rPr>
        <w:t>DSC2</w:t>
      </w:r>
      <w:r>
        <w:rPr>
          <w:rFonts w:ascii="Arial" w:cs="Arial" w:eastAsia="Arial" w:hAnsi="Arial"/>
          <w:sz w:val="18"/>
          <w:szCs w:val="18"/>
          <w:color w:val="auto"/>
        </w:rPr>
        <w:t xml:space="preserve"> gene), desmin (</w:t>
      </w:r>
      <w:r>
        <w:rPr>
          <w:rFonts w:ascii="Arial" w:cs="Arial" w:eastAsia="Arial" w:hAnsi="Arial"/>
          <w:sz w:val="18"/>
          <w:szCs w:val="18"/>
          <w:i w:val="1"/>
          <w:iCs w:val="1"/>
          <w:color w:val="auto"/>
        </w:rPr>
        <w:t>DES</w:t>
      </w:r>
      <w:r>
        <w:rPr>
          <w:rFonts w:ascii="Arial" w:cs="Arial" w:eastAsia="Arial" w:hAnsi="Arial"/>
          <w:sz w:val="18"/>
          <w:szCs w:val="18"/>
          <w:color w:val="auto"/>
        </w:rPr>
        <w:t xml:space="preserve"> gene), and plakoglobin (</w:t>
      </w:r>
      <w:r>
        <w:rPr>
          <w:rFonts w:ascii="Arial" w:cs="Arial" w:eastAsia="Arial" w:hAnsi="Arial"/>
          <w:sz w:val="18"/>
          <w:szCs w:val="18"/>
          <w:i w:val="1"/>
          <w:iCs w:val="1"/>
          <w:color w:val="auto"/>
        </w:rPr>
        <w:t>JUP</w:t>
      </w:r>
      <w:r>
        <w:rPr>
          <w:rFonts w:ascii="Arial" w:cs="Arial" w:eastAsia="Arial" w:hAnsi="Arial"/>
          <w:sz w:val="18"/>
          <w:szCs w:val="18"/>
          <w:color w:val="auto"/>
        </w:rPr>
        <w:t xml:space="preserve"> gene). Mutations of the </w:t>
      </w:r>
      <w:r>
        <w:rPr>
          <w:rFonts w:ascii="Arial" w:cs="Arial" w:eastAsia="Arial" w:hAnsi="Arial"/>
          <w:sz w:val="18"/>
          <w:szCs w:val="18"/>
          <w:i w:val="1"/>
          <w:iCs w:val="1"/>
          <w:color w:val="auto"/>
        </w:rPr>
        <w:t>DSP</w:t>
      </w:r>
      <w:r>
        <w:rPr>
          <w:rFonts w:ascii="Arial" w:cs="Arial" w:eastAsia="Arial" w:hAnsi="Arial"/>
          <w:sz w:val="18"/>
          <w:szCs w:val="18"/>
          <w:color w:val="auto"/>
        </w:rPr>
        <w:t xml:space="preserve">, </w:t>
      </w:r>
      <w:r>
        <w:rPr>
          <w:rFonts w:ascii="Arial" w:cs="Arial" w:eastAsia="Arial" w:hAnsi="Arial"/>
          <w:sz w:val="18"/>
          <w:szCs w:val="18"/>
          <w:i w:val="1"/>
          <w:iCs w:val="1"/>
          <w:color w:val="auto"/>
        </w:rPr>
        <w:t>DSG2</w:t>
      </w:r>
      <w:r>
        <w:rPr>
          <w:rFonts w:ascii="Arial" w:cs="Arial" w:eastAsia="Arial" w:hAnsi="Arial"/>
          <w:sz w:val="18"/>
          <w:szCs w:val="18"/>
          <w:color w:val="auto"/>
        </w:rPr>
        <w:t xml:space="preserve">, </w:t>
      </w:r>
      <w:r>
        <w:rPr>
          <w:rFonts w:ascii="Arial" w:cs="Arial" w:eastAsia="Arial" w:hAnsi="Arial"/>
          <w:sz w:val="18"/>
          <w:szCs w:val="18"/>
          <w:i w:val="1"/>
          <w:iCs w:val="1"/>
          <w:color w:val="auto"/>
        </w:rPr>
        <w:t>DSC2</w:t>
      </w:r>
      <w:r>
        <w:rPr>
          <w:rFonts w:ascii="Arial" w:cs="Arial" w:eastAsia="Arial" w:hAnsi="Arial"/>
          <w:sz w:val="18"/>
          <w:szCs w:val="18"/>
          <w:color w:val="auto"/>
        </w:rPr>
        <w:t xml:space="preserve">, </w:t>
      </w:r>
      <w:r>
        <w:rPr>
          <w:rFonts w:ascii="Arial" w:cs="Arial" w:eastAsia="Arial" w:hAnsi="Arial"/>
          <w:sz w:val="18"/>
          <w:szCs w:val="18"/>
          <w:i w:val="1"/>
          <w:iCs w:val="1"/>
          <w:color w:val="auto"/>
        </w:rPr>
        <w:t>DES, JUP</w:t>
      </w:r>
      <w:r>
        <w:rPr>
          <w:rFonts w:ascii="Arial" w:cs="Arial" w:eastAsia="Arial" w:hAnsi="Arial"/>
          <w:sz w:val="18"/>
          <w:szCs w:val="18"/>
          <w:color w:val="auto"/>
        </w:rPr>
        <w:t xml:space="preserve"> can also cause gARVC, illustrating the importance of the structural integrity of the desmosome complex. Patients with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 typically present at a younger age than patients carrying other mutations linked to ARVC and are thought to follow a similar disease progression to other ARVC patients.</w:t>
      </w:r>
    </w:p>
    <w:p>
      <w:pPr>
        <w:spacing w:after="0" w:line="7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figure below</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analyzes heart tissue from an ARVC patient with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 and compares it to the heart tissue from a normal individual. The tissue has been stained for desmosome proteins </w:t>
      </w:r>
      <w:r>
        <w:rPr>
          <w:rFonts w:ascii="Arial" w:cs="Arial" w:eastAsia="Arial" w:hAnsi="Arial"/>
          <w:sz w:val="17"/>
          <w:szCs w:val="17"/>
          <w:i w:val="1"/>
          <w:iCs w:val="1"/>
          <w:color w:val="auto"/>
        </w:rPr>
        <w:t>PKP2</w:t>
      </w:r>
      <w:r>
        <w:rPr>
          <w:rFonts w:ascii="Arial" w:cs="Arial" w:eastAsia="Arial" w:hAnsi="Arial"/>
          <w:sz w:val="17"/>
          <w:szCs w:val="17"/>
          <w:color w:val="auto"/>
        </w:rPr>
        <w:t xml:space="preserve"> and plakoglobin as well as other transmembrane proteins that are not part of the desmosome but that are also present at cell-cell junctions in different body organs (e.g., N-cadherin). As illustrated, N-cadherin, </w:t>
      </w:r>
      <w:r>
        <w:rPr>
          <w:rFonts w:ascii="Arial" w:cs="Arial" w:eastAsia="Arial" w:hAnsi="Arial"/>
          <w:sz w:val="17"/>
          <w:szCs w:val="17"/>
          <w:i w:val="1"/>
          <w:iCs w:val="1"/>
          <w:color w:val="auto"/>
        </w:rPr>
        <w:t>PKP2</w:t>
      </w:r>
      <w:r>
        <w:rPr>
          <w:rFonts w:ascii="Arial" w:cs="Arial" w:eastAsia="Arial" w:hAnsi="Arial"/>
          <w:sz w:val="17"/>
          <w:szCs w:val="17"/>
          <w:color w:val="auto"/>
        </w:rPr>
        <w:t xml:space="preserve">, and plakoglobin are all correctly localized to the junctions between cardiomyocytes in the healthy control sample. However, when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is mutated, N-cadherin continues to correctly localize but both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and plakoglobin proteins are no longer properly localized to the desmosome. Based on publicly available information to date, we believe these data illustrate how </w:t>
      </w:r>
      <w:r>
        <w:rPr>
          <w:rFonts w:ascii="Arial" w:cs="Arial" w:eastAsia="Arial" w:hAnsi="Arial"/>
          <w:sz w:val="17"/>
          <w:szCs w:val="17"/>
          <w:i w:val="1"/>
          <w:iCs w:val="1"/>
          <w:color w:val="auto"/>
        </w:rPr>
        <w:t>PKP2</w:t>
      </w:r>
      <w:r>
        <w:rPr>
          <w:rFonts w:ascii="Arial" w:cs="Arial" w:eastAsia="Arial" w:hAnsi="Arial"/>
          <w:sz w:val="17"/>
          <w:szCs w:val="17"/>
          <w:color w:val="auto"/>
        </w:rPr>
        <w:t xml:space="preserve"> protein is critical to maintaining the structural integrity of the desmosome, and that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enough to disrupt this complex in human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270510</wp:posOffset>
            </wp:positionV>
            <wp:extent cx="4740275" cy="2657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402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8" w:name="page49"/>
    <w:bookmarkEnd w:id="48"/>
    <w:p>
      <w:pPr>
        <w:ind w:firstLine="509"/>
        <w:spacing w:after="0" w:line="248" w:lineRule="auto"/>
        <w:rPr>
          <w:sz w:val="20"/>
          <w:szCs w:val="20"/>
          <w:color w:val="auto"/>
        </w:rPr>
      </w:pPr>
      <w:r>
        <w:rPr>
          <w:rFonts w:ascii="Arial" w:cs="Arial" w:eastAsia="Arial" w:hAnsi="Arial"/>
          <w:sz w:val="18"/>
          <w:szCs w:val="18"/>
          <w:color w:val="auto"/>
        </w:rPr>
        <w:t>As a result of this impairment, cardiomyocytes can become detached from each other when placed under the normal mechanical stress of the beating heart, or under the extra mechanical stress in the heart caused by athletic activity. This detachment causes cell death, which in turn causes inflammation, scar formation, and fat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3742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16"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4"/>
          <w:szCs w:val="24"/>
          <w:color w:val="auto"/>
          <w:vertAlign w:val="superscript"/>
        </w:rPr>
      </w:pPr>
      <w:r>
        <w:rPr>
          <w:rFonts w:ascii="Arial" w:cs="Arial" w:eastAsia="Arial" w:hAnsi="Arial"/>
          <w:sz w:val="18"/>
          <w:szCs w:val="18"/>
          <w:color w:val="auto"/>
        </w:rPr>
        <w:t xml:space="preserve">Source: Asimaki et. al. </w:t>
      </w:r>
      <w:r>
        <w:rPr>
          <w:rFonts w:ascii="Arial" w:cs="Arial" w:eastAsia="Arial" w:hAnsi="Arial"/>
          <w:sz w:val="18"/>
          <w:szCs w:val="18"/>
          <w:b w:val="1"/>
          <w:bCs w:val="1"/>
          <w:color w:val="auto"/>
        </w:rPr>
        <w:t>NEJM</w:t>
      </w:r>
      <w:r>
        <w:rPr>
          <w:rFonts w:ascii="Arial" w:cs="Arial" w:eastAsia="Arial" w:hAnsi="Arial"/>
          <w:sz w:val="18"/>
          <w:szCs w:val="18"/>
          <w:color w:val="auto"/>
        </w:rPr>
        <w:t xml:space="preserve"> 2009.</w:t>
      </w:r>
    </w:p>
    <w:p>
      <w:pPr>
        <w:spacing w:after="0" w:line="373"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8"/>
          <w:szCs w:val="18"/>
          <w:color w:val="auto"/>
        </w:rPr>
        <w:t>An example of a heart from a patient who had ARVC is shown below</w:t>
      </w:r>
      <w:r>
        <w:rPr>
          <w:rFonts w:ascii="Arial" w:cs="Arial" w:eastAsia="Arial" w:hAnsi="Arial"/>
          <w:sz w:val="20"/>
          <w:szCs w:val="20"/>
          <w:color w:val="auto"/>
          <w:vertAlign w:val="superscript"/>
        </w:rPr>
        <w:t>(3)</w:t>
      </w:r>
      <w:r>
        <w:rPr>
          <w:rFonts w:ascii="Arial" w:cs="Arial" w:eastAsia="Arial" w:hAnsi="Arial"/>
          <w:sz w:val="18"/>
          <w:szCs w:val="18"/>
          <w:color w:val="auto"/>
        </w:rPr>
        <w:t>. This illustrates commonly seen abnormalities in ARVC hearts as a result of the improper function of the desmosome, including dilation (enlargement) of the RV chamber and replacement of healthy heart tissue by fibrotic tissue and fatty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274955</wp:posOffset>
            </wp:positionV>
            <wp:extent cx="2151380" cy="2794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13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Following a diagnosis, ARVC patients are typically implanted with an Implantable Cardioverter Defibrillator (ICD) placed to control arrhythmias and treated with beta-blockers. ICD implantation may be associated with complications in some patients, including potential for heart perforation and additional surgery. Patients may progress to catheter ablation procedures which have a high rate of recurrence of VA and have not been shown to reduce risk of sudden cardiac death or improve survival. Despite the availability of these treatments, clinical heart failure has been documented in up to 40% of ARVC patients, and when heart transplantation is required, transplants occur at an average age of 40 and within seven years of the onset of heart failure symptoms. There are currently no approved therapies that address the underlying genetic causes of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742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3"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24"/>
          <w:szCs w:val="24"/>
          <w:color w:val="auto"/>
          <w:vertAlign w:val="superscript"/>
        </w:rPr>
      </w:pPr>
      <w:r>
        <w:rPr>
          <w:rFonts w:ascii="Arial" w:cs="Arial" w:eastAsia="Arial" w:hAnsi="Arial"/>
          <w:sz w:val="18"/>
          <w:szCs w:val="18"/>
          <w:color w:val="auto"/>
        </w:rPr>
        <w:t xml:space="preserve">Source: Pinamonti et. al </w:t>
      </w:r>
      <w:r>
        <w:rPr>
          <w:rFonts w:ascii="Arial" w:cs="Arial" w:eastAsia="Arial" w:hAnsi="Arial"/>
          <w:sz w:val="18"/>
          <w:szCs w:val="18"/>
          <w:b w:val="1"/>
          <w:bCs w:val="1"/>
          <w:color w:val="auto"/>
        </w:rPr>
        <w:t>World J Cardiol</w:t>
      </w:r>
      <w:r>
        <w:rPr>
          <w:rFonts w:ascii="Arial" w:cs="Arial" w:eastAsia="Arial" w:hAnsi="Arial"/>
          <w:sz w:val="18"/>
          <w:szCs w:val="18"/>
          <w:color w:val="auto"/>
        </w:rPr>
        <w:t xml:space="preserve"> 2014.</w:t>
      </w:r>
    </w:p>
    <w:p>
      <w:pPr>
        <w:spacing w:after="0" w:line="377" w:lineRule="exact"/>
        <w:rPr>
          <w:rFonts w:ascii="Arial" w:cs="Arial" w:eastAsia="Arial" w:hAnsi="Arial"/>
          <w:sz w:val="24"/>
          <w:szCs w:val="24"/>
          <w:color w:val="auto"/>
          <w:vertAlign w:val="superscript"/>
        </w:rPr>
      </w:pPr>
    </w:p>
    <w:p>
      <w:pPr>
        <w:ind w:left="520"/>
        <w:spacing w:after="0"/>
        <w:rPr>
          <w:rFonts w:ascii="Arial" w:cs="Arial" w:eastAsia="Arial" w:hAnsi="Arial"/>
          <w:sz w:val="24"/>
          <w:szCs w:val="24"/>
          <w:color w:val="auto"/>
          <w:vertAlign w:val="superscript"/>
        </w:rPr>
      </w:pPr>
      <w:r>
        <w:rPr>
          <w:rFonts w:ascii="Arial" w:cs="Arial" w:eastAsia="Arial" w:hAnsi="Arial"/>
          <w:sz w:val="18"/>
          <w:szCs w:val="18"/>
          <w:i w:val="1"/>
          <w:iCs w:val="1"/>
          <w:color w:val="auto"/>
        </w:rPr>
        <w:t>Our Solution: PKP2 Gene Therapy</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 xml:space="preserve">We are developing an AAV-based gene therapy to deliver the fully-functional copy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to deliver a fully functional copy of the human </w:t>
      </w:r>
      <w:r>
        <w:rPr>
          <w:rFonts w:ascii="Arial" w:cs="Arial" w:eastAsia="Arial" w:hAnsi="Arial"/>
          <w:sz w:val="16"/>
          <w:szCs w:val="16"/>
          <w:i w:val="1"/>
          <w:iCs w:val="1"/>
          <w:color w:val="auto"/>
        </w:rPr>
        <w:t xml:space="preserve">PKP2 </w:t>
      </w:r>
      <w:r>
        <w:rPr>
          <w:rFonts w:ascii="Arial" w:cs="Arial" w:eastAsia="Arial" w:hAnsi="Arial"/>
          <w:sz w:val="16"/>
          <w:szCs w:val="16"/>
          <w:color w:val="auto"/>
        </w:rPr>
        <w:t>gene to the hearts of gARVC patients carrying</w:t>
      </w:r>
      <w:r>
        <w:rPr>
          <w:rFonts w:ascii="Arial" w:cs="Arial" w:eastAsia="Arial" w:hAnsi="Arial"/>
          <w:sz w:val="16"/>
          <w:szCs w:val="16"/>
          <w:i w:val="1"/>
          <w:iCs w:val="1"/>
          <w:color w:val="auto"/>
        </w:rPr>
        <w:t xml:space="preserve"> PKP2 </w:t>
      </w:r>
      <w:r>
        <w:rPr>
          <w:rFonts w:ascii="Arial" w:cs="Arial" w:eastAsia="Arial" w:hAnsi="Arial"/>
          <w:sz w:val="16"/>
          <w:szCs w:val="16"/>
          <w:color w:val="auto"/>
        </w:rPr>
        <w:t>mutations. We believe that gene replacement through delivery of the</w:t>
      </w:r>
      <w:r>
        <w:rPr>
          <w:rFonts w:ascii="Arial" w:cs="Arial" w:eastAsia="Arial" w:hAnsi="Arial"/>
          <w:sz w:val="16"/>
          <w:szCs w:val="16"/>
          <w:i w:val="1"/>
          <w:iCs w:val="1"/>
          <w:color w:val="auto"/>
        </w:rPr>
        <w:t xml:space="preserve"> PKP2 </w:t>
      </w:r>
      <w:r>
        <w:rPr>
          <w:rFonts w:ascii="Arial" w:cs="Arial" w:eastAsia="Arial" w:hAnsi="Arial"/>
          <w:sz w:val="16"/>
          <w:szCs w:val="16"/>
          <w:color w:val="auto"/>
        </w:rPr>
        <w:t>gene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cardiomyocytes represents a promising “lock and key” treatment that can address the underlying cause of this disease. As the disease is most often caused by haploinsufficiency, expression of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to replace the missing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in cardiomyocytes is expected to restore proper structure and function of the desmosome. This in turn can help prevent adverse heart remodeling and improve heart contraction and electrical function.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will be delivered using AAVs with tropism for the heart and expression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will limited to the heart through use of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cardiomyocyte-specific promoter. TN-401, the product candidate from our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therapy program,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160655</wp:posOffset>
            </wp:positionV>
            <wp:extent cx="5288915" cy="2168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8891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in PKP2-cKO Model</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 xml:space="preserve">We developed a </w:t>
      </w:r>
      <w:r>
        <w:rPr>
          <w:rFonts w:ascii="Arial" w:cs="Arial" w:eastAsia="Arial" w:hAnsi="Arial"/>
          <w:sz w:val="16"/>
          <w:szCs w:val="16"/>
          <w:i w:val="1"/>
          <w:iCs w:val="1"/>
          <w:color w:val="auto"/>
        </w:rPr>
        <w:t>PKP2</w:t>
      </w:r>
      <w:r>
        <w:rPr>
          <w:rFonts w:ascii="Arial" w:cs="Arial" w:eastAsia="Arial" w:hAnsi="Arial"/>
          <w:sz w:val="16"/>
          <w:szCs w:val="16"/>
          <w:color w:val="auto"/>
        </w:rPr>
        <w:t xml:space="preserve"> conditional knockout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mouse model that simulates key aspects of gARVC including dilation of the RV, decline in LV heart function, severe arrhythmia, abnormal ECG trace, and early mortality. The onset of symptoms is very rapid and within three weeks after induction of the phenotype. It is worth noting that this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homozygous, i.e., both copies of the gene are missing and so there is no production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As expected, the severity of disease and the rate of disease progression in this are both greater than what is normally observed in most </w:t>
      </w:r>
      <w:r>
        <w:rPr>
          <w:rFonts w:ascii="Arial" w:cs="Arial" w:eastAsia="Arial" w:hAnsi="Arial"/>
          <w:sz w:val="16"/>
          <w:szCs w:val="16"/>
          <w:i w:val="1"/>
          <w:iCs w:val="1"/>
          <w:color w:val="auto"/>
        </w:rPr>
        <w:t>PKP2</w:t>
      </w:r>
      <w:r>
        <w:rPr>
          <w:rFonts w:ascii="Arial" w:cs="Arial" w:eastAsia="Arial" w:hAnsi="Arial"/>
          <w:sz w:val="16"/>
          <w:szCs w:val="16"/>
          <w:color w:val="auto"/>
        </w:rPr>
        <w:t xml:space="preserve"> patients who are almost all heterozygous for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i.e., they have one normal, healthy copy of the gene that is producing at least some of the necessary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plus one defective copy of the gene that is either producing no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at all or that is producing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that does not function properly in the desmosome.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nonetheless useful as it provides important proof of concept for the potentially beneficial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protein replacement via a gene therapy approach.</w:t>
      </w:r>
    </w:p>
    <w:p>
      <w:pPr>
        <w:spacing w:after="0" w:line="6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In preclinical studies, we systematically administered AAV:mPKP2 in </w:t>
      </w:r>
      <w:r>
        <w:rPr>
          <w:rFonts w:ascii="Arial" w:cs="Arial" w:eastAsia="Arial" w:hAnsi="Arial"/>
          <w:sz w:val="18"/>
          <w:szCs w:val="18"/>
          <w:i w:val="1"/>
          <w:iCs w:val="1"/>
          <w:color w:val="auto"/>
        </w:rPr>
        <w:t>PKP2</w:t>
      </w:r>
      <w:r>
        <w:rPr>
          <w:rFonts w:ascii="Arial" w:cs="Arial" w:eastAsia="Arial" w:hAnsi="Arial"/>
          <w:sz w:val="18"/>
          <w:szCs w:val="18"/>
          <w:color w:val="auto"/>
        </w:rPr>
        <w:t>-cKO mice in parallel with induction of the ARVC phenotype. As shown in the figures below, AAV:mPKP2 treatment improved several ARVC phenotypes compared to saline-treated controls (HBSS), including preventing right ventricular enlargement, preventing decline of LV function, and improving survival after a single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270510</wp:posOffset>
            </wp:positionV>
            <wp:extent cx="5349240" cy="22199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0" w:name="page51"/>
    <w:bookmarkEnd w:id="50"/>
    <w:p>
      <w:pPr>
        <w:ind w:firstLine="509"/>
        <w:spacing w:after="0" w:line="284" w:lineRule="auto"/>
        <w:rPr>
          <w:sz w:val="20"/>
          <w:szCs w:val="20"/>
          <w:color w:val="auto"/>
        </w:rPr>
      </w:pPr>
      <w:r>
        <w:rPr>
          <w:rFonts w:ascii="Arial" w:cs="Arial" w:eastAsia="Arial" w:hAnsi="Arial"/>
          <w:sz w:val="16"/>
          <w:szCs w:val="16"/>
          <w:color w:val="auto"/>
        </w:rPr>
        <w:t xml:space="preserve">In addition,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therapy also corrected the hallmark electrophysiological defects associated with ARVC. The graphs below show nearly complete prevention of the arrhythmia in </w:t>
      </w:r>
      <w:r>
        <w:rPr>
          <w:rFonts w:ascii="Arial" w:cs="Arial" w:eastAsia="Arial" w:hAnsi="Arial"/>
          <w:sz w:val="16"/>
          <w:szCs w:val="16"/>
          <w:i w:val="1"/>
          <w:iCs w:val="1"/>
          <w:color w:val="auto"/>
        </w:rPr>
        <w:t>PKP2</w:t>
      </w:r>
      <w:r>
        <w:rPr>
          <w:rFonts w:ascii="Arial" w:cs="Arial" w:eastAsia="Arial" w:hAnsi="Arial"/>
          <w:sz w:val="16"/>
          <w:szCs w:val="16"/>
          <w:color w:val="auto"/>
        </w:rPr>
        <w:t>-cKO animals treated with AAV:mPKP2 versus controls, including prevention of nonsustained ventricular tachycardia (NSVT) and premature ventricular contractions (PVCs), which were reduced nearly to wild levels as apparent from the ECG trace and the from the quantification with a Ventricular Arrythmia Score measuring the incidence of spontaneous arrhythmias during 30 minutes of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253365</wp:posOffset>
            </wp:positionV>
            <wp:extent cx="5306060" cy="44234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06060" cy="442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ind w:right="160" w:firstLine="509"/>
        <w:spacing w:after="0" w:line="291" w:lineRule="auto"/>
        <w:rPr>
          <w:sz w:val="20"/>
          <w:szCs w:val="20"/>
          <w:color w:val="auto"/>
        </w:rPr>
      </w:pPr>
      <w:r>
        <w:rPr>
          <w:rFonts w:ascii="Arial" w:cs="Arial" w:eastAsia="Arial" w:hAnsi="Arial"/>
          <w:sz w:val="17"/>
          <w:szCs w:val="17"/>
          <w:color w:val="auto"/>
        </w:rPr>
        <w:t xml:space="preserve">The graphs below show normalization of the QRS complex in </w:t>
      </w:r>
      <w:r>
        <w:rPr>
          <w:rFonts w:ascii="Arial" w:cs="Arial" w:eastAsia="Arial" w:hAnsi="Arial"/>
          <w:sz w:val="17"/>
          <w:szCs w:val="17"/>
          <w:i w:val="1"/>
          <w:iCs w:val="1"/>
          <w:color w:val="auto"/>
        </w:rPr>
        <w:t>PKP2</w:t>
      </w:r>
      <w:r>
        <w:rPr>
          <w:rFonts w:ascii="Arial" w:cs="Arial" w:eastAsia="Arial" w:hAnsi="Arial"/>
          <w:sz w:val="17"/>
          <w:szCs w:val="17"/>
          <w:color w:val="auto"/>
        </w:rPr>
        <w:t>-cKO animals treated with AAV:mPKP2 versus controls, including prevention of QT elongation (as measured by QT interval) and abnormal P wave and R wave amplitudes (as measured by the P/R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248285</wp:posOffset>
            </wp:positionV>
            <wp:extent cx="5297805" cy="2168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9780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 xml:space="preserve">Based on publicly available information to date, we believe these data are the first known demonstration of durable disease modification, survival benefit, and prevention of arrhythmia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using an AAV:PKP2 gene therapy construct.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We intend to support establishment of a global natural history study in 2022 and expect to submit an IND to the FDA for TN-401 in 2023. We intend to seek feedback from multiple regulatory agencies, including the FDA, as necessary. If our IND is approved, we plan to initiate global FIH studies in patients with truncation mutations of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DWORF Program for DCM and HFrEF</w:t>
      </w:r>
    </w:p>
    <w:p>
      <w:pPr>
        <w:spacing w:after="0" w:line="10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 xml:space="preserve">We are developing an AAV-based gene therapy designed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for patients with DCM. Dilated cardiomyopathies are estimated to affect about one million patients in the United States. DCM is a progressive and life-threatening disease that causes enlargement and wall thinning of the LV, insufficient contraction, reduced blood flow, VA,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heart failure.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DCM</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DCM is broadly defined as heart failure where the EF is below 40% and the walls of the LV are thin and over-expanded, leading to insufficient contraction, reduced blood flow pumped by the heart, and abnormal heart rhythms. DCM can be caused by a variety of mechanisms, including genetics, CAD, high blood pressure, heart attack, and viral infection due to a high risk of ventricular arrythmias.</w:t>
      </w:r>
    </w:p>
    <w:p>
      <w:pPr>
        <w:spacing w:after="0" w:line="7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DCM is a life-threatening and progressive disease. Once symptoms appear, a patient’s condition typically declines progressively. Typical symptoms of heart failure due to DCM include shortness of breath, fatigue, swelling in the extremities, or an irregular heartbeat. As the disease progresses, patients become increasingly debilitated and experience sustained shortness of breath, even at rest. Diastolic function, or the heart’s ability to relax and fill with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ind w:right="80"/>
        <w:spacing w:after="0" w:line="248" w:lineRule="auto"/>
        <w:rPr>
          <w:sz w:val="20"/>
          <w:szCs w:val="20"/>
          <w:color w:val="auto"/>
        </w:rPr>
      </w:pPr>
      <w:r>
        <w:rPr>
          <w:rFonts w:ascii="Arial" w:cs="Arial" w:eastAsia="Arial" w:hAnsi="Arial"/>
          <w:sz w:val="18"/>
          <w:szCs w:val="18"/>
          <w:color w:val="auto"/>
        </w:rPr>
        <w:t>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7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It is estimated that DCM affects about one million people in the United States, with genetic abnormalities linked to DCM estimated to be present in about 30% to 40% of DCM patients.</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heart failure over time. Some patients with PLN mutations have a high severity of disease, including patients with R9C and R14del mutations. PLN mutations are rare with an estimated 0.5% of DCM patients carrying PLN mutations.</w:t>
      </w:r>
    </w:p>
    <w:p>
      <w:pPr>
        <w:spacing w:after="0" w:line="6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Current therapy for DCM generally uses therapies developed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novel and more individualized therapeutic options.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HFrEF</w:t>
      </w:r>
    </w:p>
    <w:p>
      <w:pPr>
        <w:spacing w:after="0" w:line="104"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Among patients with heart failure, the amount of blood that is pumped out of the LV (LVEF), can vary significantly, and is often characterized as reduced if below 40% (HFrEF), mid-range if between 40% to 50% (HFmrEF) or preserved if greater than or equal to 50% of normal LVEF (HFpEF).</w:t>
      </w:r>
    </w:p>
    <w:p>
      <w:pPr>
        <w:spacing w:after="0" w:line="16"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Approximately 50% of heart failure cases are HFrEF, representing a prevalence of nearly four million patients in the United States.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7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HFrEF patients continue to have substantial unmet need despite advances in pharmacological treatments, with up to 30% of treated patients experiencing a significant limitation in physical activity. Development of heart failure continues to be associated with significant morbidity and mortality, with a one-year mortality rate of 7% and one-year hospitalization rate of 32%. Over a five-year period, readmission for heart failure and mortality rates are as high as 48% and 75%, respectively, highlighting the significant and increasing burden of illness for patients and healthcare systems.</w:t>
      </w:r>
    </w:p>
    <w:p>
      <w:pPr>
        <w:spacing w:after="0" w:line="4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 DWORF Gene Therapy</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We are developing an AAV-based gene therapy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to cardiomyocytes for the treatment of DCM and HFrEF. DWORF is a recently discovered small peptide that localizes primarily to the sarcoplasmic 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cardiomyocytes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firstLine="509"/>
        <w:spacing w:after="0" w:line="243" w:lineRule="auto"/>
        <w:rPr>
          <w:sz w:val="20"/>
          <w:szCs w:val="20"/>
          <w:color w:val="auto"/>
        </w:rPr>
      </w:pPr>
      <w:r>
        <w:rPr>
          <w:rFonts w:ascii="Arial" w:cs="Arial" w:eastAsia="Arial" w:hAnsi="Arial"/>
          <w:sz w:val="18"/>
          <w:szCs w:val="18"/>
          <w:color w:val="auto"/>
        </w:rPr>
        <w:t xml:space="preserve">We believe DWORF is an ideal target for the treatment of HFrEF. DWORF is a small peptide that is readily expressed when delivered by AAV. The small size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leaves additional room in the AAV capsid to include optimized combinations or promoters and regulatory elements to tailor </w:t>
      </w:r>
      <w:r>
        <w:rPr>
          <w:rFonts w:ascii="Arial" w:cs="Arial" w:eastAsia="Arial" w:hAnsi="Arial"/>
          <w:sz w:val="18"/>
          <w:szCs w:val="18"/>
          <w:i w:val="1"/>
          <w:iCs w:val="1"/>
          <w:color w:val="auto"/>
        </w:rPr>
        <w:t xml:space="preserve">DWORF </w:t>
      </w:r>
      <w:r>
        <w:rPr>
          <w:rFonts w:ascii="Arial" w:cs="Arial" w:eastAsia="Arial" w:hAnsi="Arial"/>
          <w:sz w:val="18"/>
          <w:szCs w:val="18"/>
          <w:color w:val="auto"/>
        </w:rPr>
        <w:t>gene expression levels. In addition, published studies have shown that</w:t>
      </w:r>
      <w:r>
        <w:rPr>
          <w:rFonts w:ascii="Arial" w:cs="Arial" w:eastAsia="Arial" w:hAnsi="Arial"/>
          <w:sz w:val="18"/>
          <w:szCs w:val="18"/>
          <w:i w:val="1"/>
          <w:iCs w:val="1"/>
          <w:color w:val="auto"/>
        </w:rPr>
        <w:t xml:space="preserve"> DWORF </w:t>
      </w:r>
      <w:r>
        <w:rPr>
          <w:rFonts w:ascii="Arial" w:cs="Arial" w:eastAsia="Arial" w:hAnsi="Arial"/>
          <w:sz w:val="18"/>
          <w:szCs w:val="18"/>
          <w:color w:val="auto"/>
        </w:rPr>
        <w:t>gene expression is lower in failing human hearts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non-diseased hearts.</w:t>
      </w:r>
    </w:p>
    <w:p>
      <w:pPr>
        <w:spacing w:after="0" w:line="80"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figure below shows expression analyses in human heart failure tissue. DWORF mRNA is reduced in failing hearts whereas atrial natriuretic peptide (NPPA) mRNA, a marker of congestive heart failure,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263525</wp:posOffset>
            </wp:positionV>
            <wp:extent cx="1174115" cy="14490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411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 xml:space="preserve">One therapeutic hypothesis is that restoring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to normal levels, through treatment with a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may normalize calcium flux in cardiomyocytes and increase contractile strength in DCM patients as well as the broader HFrEF patient population. In addition, DCM patients carrying PLN mutations have mutant PLN peptides that inhibit SERCA2a and decrease contraction.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81"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 xml:space="preserve">Our DWORF program, illustrated below, is currently at the candidate selection stage with multiple constructs under consideration.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expression is limited to the cardiomyocyte through use of a novel cardiomyocyte-specific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7"/>
          <w:szCs w:val="17"/>
          <w:i w:val="1"/>
          <w:iCs w:val="1"/>
          <w:color w:val="auto"/>
        </w:rPr>
        <w:t xml:space="preserve">DWORF </w:t>
      </w:r>
      <w:r>
        <w:rPr>
          <w:rFonts w:ascii="Arial" w:cs="Arial" w:eastAsia="Arial" w:hAnsi="Arial"/>
          <w:sz w:val="17"/>
          <w:szCs w:val="17"/>
          <w:color w:val="auto"/>
        </w:rPr>
        <w:t>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264160</wp:posOffset>
            </wp:positionV>
            <wp:extent cx="5349240" cy="2305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Results in DCM (with MLP KO model)</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led to improvements in multiple parameters in mouse models of DCM.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co-founder Eric Olson, Ph.D. has demonstrated that overexpression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145415</wp:posOffset>
            </wp:positionV>
            <wp:extent cx="5288915" cy="2220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8891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In addition to improvement in heart function, as shown in the figure below, Tg DWORF overexpression also prevents muscle cell disarray and fibrosis in the MLP KO model of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391795</wp:posOffset>
            </wp:positionV>
            <wp:extent cx="5288915" cy="2451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8891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55" w:name="page56"/>
    <w:bookmarkEnd w:id="55"/>
    <w:p>
      <w:pPr>
        <w:ind w:right="120" w:firstLine="509"/>
        <w:spacing w:after="0" w:line="324" w:lineRule="auto"/>
        <w:rPr>
          <w:sz w:val="20"/>
          <w:szCs w:val="20"/>
          <w:color w:val="auto"/>
        </w:rPr>
      </w:pPr>
      <w:r>
        <w:rPr>
          <w:rFonts w:ascii="Arial" w:cs="Arial" w:eastAsia="Arial" w:hAnsi="Arial"/>
          <w:sz w:val="16"/>
          <w:szCs w:val="16"/>
          <w:color w:val="auto"/>
        </w:rPr>
        <w:t>Treatment with AAV:DWORF constructs has shown similar improvements in heart remodeling following treatment. As shown below, experiments conducted in the lab of Eric Olson demonstrated improvements in heart remodeling with an AAV:DWORF construct in the MLP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105410</wp:posOffset>
            </wp:positionV>
            <wp:extent cx="2271395" cy="30429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7139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EF relative to a saline control in the MLP KO mouse model of DCM, with improvements in EF as high as approximately 14% achieved with constructs containing the TNP-CM4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145415</wp:posOffset>
            </wp:positionV>
            <wp:extent cx="4543425" cy="25285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4342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i w:val="1"/>
          <w:iCs w:val="1"/>
          <w:color w:val="auto"/>
        </w:rPr>
        <w:t>Results in DCM (with PLN Mutant Models)</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also demonstrated meaningful improvements in mouse models of PLN</w:t>
      </w:r>
      <w:r>
        <w:rPr>
          <w:rFonts w:ascii="Arial" w:cs="Arial" w:eastAsia="Arial" w:hAnsi="Arial"/>
          <w:sz w:val="18"/>
          <w:szCs w:val="18"/>
          <w:i w:val="1"/>
          <w:iCs w:val="1"/>
          <w:color w:val="auto"/>
        </w:rPr>
        <w:t xml:space="preserve"> </w:t>
      </w:r>
      <w:r>
        <w:rPr>
          <w:rFonts w:ascii="Arial" w:cs="Arial" w:eastAsia="Arial" w:hAnsi="Arial"/>
          <w:sz w:val="18"/>
          <w:szCs w:val="18"/>
          <w:color w:val="auto"/>
        </w:rPr>
        <w:t>mutant DCM. In experiments conducted in the lab of Eric Olson, mice with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18"/>
          <w:szCs w:val="18"/>
          <w:color w:val="auto"/>
        </w:rPr>
        <w:t xml:space="preserve">PLN R9C mutations are characterized by strong PLN inhibition of the SERCA2a calcium pump, resulting in decreased calcium flux, reduced heart muscle contraction, and decreased heart function. Tg overexpression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has been shown, as illustrated below, to improve fibrosis and heart remodeling in animals six months of age and improve survival in this genetic model of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270510</wp:posOffset>
            </wp:positionV>
            <wp:extent cx="3077210" cy="2143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77210" cy="214312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2953385</wp:posOffset>
            </wp:positionV>
            <wp:extent cx="2940050" cy="2305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400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1725295</wp:posOffset>
            </wp:positionH>
            <wp:positionV relativeFrom="page">
              <wp:posOffset>500380</wp:posOffset>
            </wp:positionV>
            <wp:extent cx="4063365" cy="2160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406336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overexpression.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ind w:right="540" w:firstLine="509"/>
        <w:spacing w:after="0" w:line="248" w:lineRule="auto"/>
        <w:rPr>
          <w:sz w:val="20"/>
          <w:szCs w:val="20"/>
          <w:color w:val="auto"/>
        </w:rPr>
      </w:pPr>
      <w:r>
        <w:rPr>
          <w:rFonts w:ascii="Arial" w:cs="Arial" w:eastAsia="Arial" w:hAnsi="Arial"/>
          <w:sz w:val="18"/>
          <w:szCs w:val="18"/>
          <w:color w:val="auto"/>
        </w:rPr>
        <w:t>After selection of our product candidate, we plan to initiate IND-enabling studies. We intend to submit an IND or CTA to the FDA or EMA, respectively, no earlier than 2023. During clinical development, we plan to examine the role of AAV:DWORF in DCM, as well as potentially in sub-populations of HFrEF where there is alignment between AAV:DWORF with the pathophysiology of the disease.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Reprogramming Program for Heart Failure due to Prior MI</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 xml:space="preserve">We are developing an AAV-based approach to cellular regeneration that involves converting (or reprogramming) existing cardiac fibroblasts within the heart to turn into new cardiomyocytes and to replace cells permanently lost due to MI. There are estimated to be more than four million patients in the United States living with heart failure due to prior MI. The loss of cardiomyocytes in affected individuals permanently impairs heart contraction, leading to heart failure and potentially fatal arrhythmias, and the death of approximately 5% to 10% of MI survivors within the first year. There are currently no approved treatments that address the underlying loss of heart tissue. The potential utility of our unique approach to creating new cardiomyocytes was first demonstrated by our co-founder Deepak Srivastava, M.D. We have discovered a proprietary combination of three genes that can drive robust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cardiac fibroblasts to cardiomyocytes when delivered together in a single AAV capsid. Based on publicly available information to date, we believe our results in a pig model of heart failure due to prior MI represent the first-ever successful demonstration of the potential benefit of this approach in a human-sized heart. This program is currently at the candidate selection stage.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heart failure due to prior MI</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CAD is the single most common cause of heart failure and is often associated with an MI, in which blood flow to a section of the heart, usually the LV, becomes limited, causing the cells in that section of the heart, including cardiomyocytes and cardiac fibroblasts, to die. The heart cannot replace the lost cardiomyocytes while the cardiac fibroblasts multiply significantly, resulting in scar tissue formation and stiffening of the LV walls, leading to progressive and irreversible cardiovascular remodeling. As a result, the heart continues to lose its ability to pump as strongly and may fail over time. In addition to heart failure, these patients also have a persistent risk of arrhythmias and increased likelihood of a second heart attack or sudden death.</w:t>
      </w:r>
    </w:p>
    <w:p>
      <w:pPr>
        <w:spacing w:after="0" w:line="5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ind w:right="20"/>
        <w:spacing w:after="0" w:line="261" w:lineRule="auto"/>
        <w:rPr>
          <w:sz w:val="20"/>
          <w:szCs w:val="20"/>
          <w:color w:val="auto"/>
        </w:rPr>
      </w:pPr>
      <w:r>
        <w:rPr>
          <w:rFonts w:ascii="Arial" w:cs="Arial" w:eastAsia="Arial" w:hAnsi="Arial"/>
          <w:sz w:val="18"/>
          <w:szCs w:val="18"/>
          <w:color w:val="auto"/>
        </w:rPr>
        <w:t>high; data from the U.S. National Vital Statistics Reports shows the median life expectancy among individuals aged 65 to 69 who have had a heart attack is just 8.3 years as compared to 18.7 years among those who have not.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known therapies that address the loss of cardiomyocytes associated with MI and the resulting morbidity and mortality.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 Direct In Vivo Reprogramming of Resident Cardiac Fibroblasts to Create Cardiomyocytes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cardiac fibroblasts into cardiomyocytes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creating the potential for a new approach to cardiac regeneration.</w:t>
      </w:r>
    </w:p>
    <w:p>
      <w:pPr>
        <w:spacing w:after="0" w:line="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Building on this pioneering work, we have developed a novel AAV-based therapy for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of resident cardiac fibroblasts into cardiomyocytes to replace the cardiomyocytes lost due to an MI. Our goal is to convert the cardiac fibroblasts into new cardiomyocytes to help repair the heart after an MI, and ultimately slow down, stabilize or even potentially reverse the progression to heart failure. Our approach leverages substantial in-house advances in our reprogramming factors, capsid engineering, regulatory elements, and drug delivery to translate cardiac reprogramming science towards clinically relevant solutions.</w:t>
      </w:r>
    </w:p>
    <w:p>
      <w:pPr>
        <w:spacing w:after="0" w:line="81" w:lineRule="exact"/>
        <w:rPr>
          <w:sz w:val="20"/>
          <w:szCs w:val="20"/>
          <w:color w:val="auto"/>
        </w:rPr>
      </w:pPr>
    </w:p>
    <w:p>
      <w:pPr>
        <w:ind w:left="1020" w:right="40" w:hanging="503"/>
        <w:spacing w:after="0" w:line="24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Reprogramming factors</w:t>
      </w:r>
      <w:r>
        <w:rPr>
          <w:rFonts w:ascii="Arial" w:cs="Arial" w:eastAsia="Arial" w:hAnsi="Arial"/>
          <w:sz w:val="18"/>
          <w:szCs w:val="18"/>
          <w:color w:val="auto"/>
        </w:rPr>
        <w:t>. Through extensive</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screening efforts in actual human cardiac fibroblasts, we identified a unique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genes encoding Myocardin and ASCL1, that together, can drive robust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of cardiac fibroblasts to cardiomyocytes, and that we have designed to fit into a single AAV. We use the term reprogramming factors to refer to such combination of genes and any other combinations of genes that when delivered together in a single AAV into cardiac fibroblasts, result in the direct reprogramming of the cardiac fibroblasts into cardiomyocytes.</w:t>
      </w:r>
    </w:p>
    <w:p>
      <w:pPr>
        <w:spacing w:after="0" w:line="81" w:lineRule="exact"/>
        <w:rPr>
          <w:rFonts w:ascii="Arial" w:cs="Arial" w:eastAsia="Arial" w:hAnsi="Arial"/>
          <w:sz w:val="18"/>
          <w:szCs w:val="18"/>
          <w:color w:val="auto"/>
        </w:rPr>
      </w:pPr>
    </w:p>
    <w:p>
      <w:pPr>
        <w:ind w:left="1020" w:right="400" w:hanging="503"/>
        <w:spacing w:after="0" w:line="24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Capsid engineering</w:t>
      </w:r>
      <w:r>
        <w:rPr>
          <w:rFonts w:ascii="Arial" w:cs="Arial" w:eastAsia="Arial" w:hAnsi="Arial"/>
          <w:sz w:val="18"/>
          <w:szCs w:val="18"/>
          <w:color w:val="auto"/>
        </w:rPr>
        <w:t>. While AAV9 can be used to target cardiomyocytes, it does not sufficiently transduce cardiac fibroblasts.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a novel capsid, TNC-CF1, which has a higher transduction efficiency for human cardiac fibroblasts as compared to currently known AAV serotypes. Initial data suggest this novel capsid may also be less susceptible to neutralizing antibodies compared to known serotypes.</w:t>
      </w:r>
    </w:p>
    <w:p>
      <w:pPr>
        <w:spacing w:after="0" w:line="79" w:lineRule="exact"/>
        <w:rPr>
          <w:rFonts w:ascii="Arial" w:cs="Arial" w:eastAsia="Arial" w:hAnsi="Arial"/>
          <w:sz w:val="18"/>
          <w:szCs w:val="18"/>
          <w:color w:val="auto"/>
        </w:rPr>
      </w:pPr>
    </w:p>
    <w:p>
      <w:pPr>
        <w:ind w:left="1020" w:right="20" w:hanging="503"/>
        <w:spacing w:after="0" w:line="259"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Regulatory elements</w:t>
      </w:r>
      <w:r>
        <w:rPr>
          <w:rFonts w:ascii="Arial" w:cs="Arial" w:eastAsia="Arial" w:hAnsi="Arial"/>
          <w:sz w:val="17"/>
          <w:szCs w:val="17"/>
          <w:color w:val="auto"/>
        </w:rPr>
        <w:t>. We have pursued rigorous, iterative optimization efforts to create proprietary reprogramming products. We have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cardiomyocytes by including a miR-208 binding site that decreases reprogramming factor expression in mature cardiomyocytes after differentiation from fibroblasts.</w:t>
      </w:r>
    </w:p>
    <w:p>
      <w:pPr>
        <w:spacing w:after="0" w:line="65" w:lineRule="exact"/>
        <w:rPr>
          <w:rFonts w:ascii="Arial" w:cs="Arial" w:eastAsia="Arial" w:hAnsi="Arial"/>
          <w:sz w:val="17"/>
          <w:szCs w:val="17"/>
          <w:color w:val="auto"/>
        </w:rPr>
      </w:pPr>
    </w:p>
    <w:p>
      <w:pPr>
        <w:ind w:left="1020" w:right="360" w:hanging="503"/>
        <w:spacing w:after="0" w:line="24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We are developing, in conjunction with leaders in interventional cardiology, a proprietary percutaneous endomyocardial</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7"/>
          <w:szCs w:val="17"/>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296545</wp:posOffset>
            </wp:positionV>
            <wp:extent cx="5349240" cy="2305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4924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to optimize our direct reprogramming approach</w:t>
      </w:r>
      <w:r>
        <w:rPr>
          <w:rFonts w:ascii="Arial" w:cs="Arial" w:eastAsia="Arial" w:hAnsi="Arial"/>
          <w:sz w:val="18"/>
          <w:szCs w:val="18"/>
          <w:i w:val="1"/>
          <w:iCs w:val="1"/>
          <w:color w:val="auto"/>
        </w:rPr>
        <w:t>.</w:t>
      </w:r>
      <w:r>
        <w:rPr>
          <w:rFonts w:ascii="Arial" w:cs="Arial" w:eastAsia="Arial" w:hAnsi="Arial"/>
          <w:sz w:val="18"/>
          <w:szCs w:val="18"/>
          <w:color w:val="auto"/>
        </w:rPr>
        <w:t xml:space="preserve"> Our most advanced results have been achieved primarily with two different constructs, TN1-002 and TN1-006. A summary of certain preclinical data supporting the Reprogramming program in general and TN1-002 in particular was presented at the ASGCT conference in 2020.</w:t>
      </w:r>
    </w:p>
    <w:p>
      <w:pPr>
        <w:spacing w:after="0" w:line="7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Results from in vitro conversion of human cardiac fibroblasts</w:t>
      </w:r>
      <w:r>
        <w:rPr>
          <w:rFonts w:ascii="Arial" w:cs="Arial" w:eastAsia="Arial" w:hAnsi="Arial"/>
          <w:sz w:val="17"/>
          <w:szCs w:val="17"/>
          <w:color w:val="auto"/>
        </w:rPr>
        <w:t>. Our reprogramming approach has been optimized</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in adult human</w:t>
      </w:r>
    </w:p>
    <w:p>
      <w:pPr>
        <w:spacing w:after="0" w:line="23" w:lineRule="exact"/>
        <w:rPr>
          <w:sz w:val="20"/>
          <w:szCs w:val="20"/>
          <w:color w:val="auto"/>
        </w:rPr>
      </w:pPr>
    </w:p>
    <w:p>
      <w:pPr>
        <w:ind w:left="1020" w:right="20"/>
        <w:spacing w:after="0" w:line="239" w:lineRule="auto"/>
        <w:rPr>
          <w:sz w:val="20"/>
          <w:szCs w:val="20"/>
          <w:color w:val="auto"/>
        </w:rPr>
      </w:pPr>
      <w:r>
        <w:rPr>
          <w:rFonts w:ascii="Arial" w:cs="Arial" w:eastAsia="Arial" w:hAnsi="Arial"/>
          <w:sz w:val="18"/>
          <w:szCs w:val="18"/>
          <w:color w:val="auto"/>
        </w:rPr>
        <w:t>cardiac fibroblasts. We have conducted extensive iterative experiments to compare the relative efficiency of various constructs to convert cardiac fibroblasts to cardiomyocytes. cardiomyocyte-specific markers like cTnT and -Actinin are measured to determine the proportion of cells that have been converted from cardiac fibroblasts to cardiomyocytes. The figure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60" w:name="page61"/>
    <w:bookmarkEnd w:id="60"/>
    <w:p>
      <w:pPr>
        <w:ind w:left="503" w:right="100"/>
        <w:spacing w:after="0" w:line="261" w:lineRule="auto"/>
        <w:rPr>
          <w:sz w:val="20"/>
          <w:szCs w:val="20"/>
          <w:color w:val="auto"/>
        </w:rPr>
      </w:pPr>
      <w:r>
        <w:rPr>
          <w:rFonts w:ascii="Arial" w:cs="Arial" w:eastAsia="Arial" w:hAnsi="Arial"/>
          <w:sz w:val="18"/>
          <w:szCs w:val="18"/>
          <w:color w:val="auto"/>
        </w:rPr>
        <w:t>below illustrates the results from such an experiment, demonstrating how our TN1-006 construct can convert approximately 40% of human cardiac fibroblasts to cardiomyocytes: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83185</wp:posOffset>
            </wp:positionV>
            <wp:extent cx="4491990" cy="52717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91990"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3" w:hanging="503"/>
        <w:spacing w:after="0" w:line="294" w:lineRule="auto"/>
        <w:tabs>
          <w:tab w:leader="none" w:pos="50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Results from rodent disease models</w:t>
      </w:r>
      <w:r>
        <w:rPr>
          <w:rFonts w:ascii="Arial" w:cs="Arial" w:eastAsia="Arial" w:hAnsi="Arial"/>
          <w:sz w:val="16"/>
          <w:szCs w:val="16"/>
          <w:color w:val="auto"/>
        </w:rPr>
        <w:t>. We have demonstrated durable and dose-dependent improvement in EF in both mouse and rat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heart failure following an induced MI. In our rat model, TN1-006 was injected directly around the scar area formed two weeks after an induced MI. The figure below demonstrates dose-dependent improvement in EF, with an approximately 10% improvement in EF</w:t>
      </w:r>
    </w:p>
    <w:p>
      <w:pPr>
        <w:spacing w:after="0" w:line="147"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436" w:right="419" w:bottom="1440" w:gutter="0" w:footer="0" w:header="0"/>
        </w:sectPr>
      </w:pPr>
    </w:p>
    <w:bookmarkStart w:id="61" w:name="page62"/>
    <w:bookmarkEnd w:id="61"/>
    <w:p>
      <w:pPr>
        <w:ind w:left="503"/>
        <w:spacing w:after="0"/>
        <w:rPr>
          <w:sz w:val="20"/>
          <w:szCs w:val="20"/>
          <w:color w:val="auto"/>
        </w:rPr>
      </w:pPr>
      <w:r>
        <w:rPr>
          <w:rFonts w:ascii="Arial" w:cs="Arial" w:eastAsia="Arial" w:hAnsi="Arial"/>
          <w:sz w:val="18"/>
          <w:szCs w:val="18"/>
          <w:color w:val="auto"/>
        </w:rPr>
        <w:t>achieved at the highest dose compared to controls that was sustained up to the end of the experiment at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288925</wp:posOffset>
            </wp:positionV>
            <wp:extent cx="3282950" cy="3343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8295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3" w:hanging="503"/>
        <w:spacing w:after="0" w:line="294" w:lineRule="auto"/>
        <w:tabs>
          <w:tab w:leader="none" w:pos="503"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Results from pig disease model</w:t>
      </w:r>
      <w:r>
        <w:rPr>
          <w:rFonts w:ascii="Arial" w:cs="Arial" w:eastAsia="Arial" w:hAnsi="Arial"/>
          <w:sz w:val="16"/>
          <w:szCs w:val="16"/>
          <w:color w:val="auto"/>
        </w:rPr>
        <w:t>. We have demonstrated durable improvement in EF in a pig model of heart failure following an induced MI.</w:t>
      </w:r>
      <w:r>
        <w:rPr>
          <w:rFonts w:ascii="Arial" w:cs="Arial" w:eastAsia="Arial" w:hAnsi="Arial"/>
          <w:sz w:val="16"/>
          <w:szCs w:val="16"/>
          <w:i w:val="1"/>
          <w:iCs w:val="1"/>
          <w:color w:val="auto"/>
        </w:rPr>
        <w:t xml:space="preserve"> </w:t>
      </w:r>
      <w:r>
        <w:rPr>
          <w:rFonts w:ascii="Arial" w:cs="Arial" w:eastAsia="Arial" w:hAnsi="Arial"/>
          <w:sz w:val="16"/>
          <w:szCs w:val="16"/>
          <w:color w:val="auto"/>
        </w:rPr>
        <w:t>In a pig model, TN1-002 was injected directly around the scar area formed 28 days after an induced MI. The figure below demonstrates approximately 10% improvement in EF compared to each animal’s own pre-dose baseline and more than 11% improvement</w:t>
      </w:r>
    </w:p>
    <w:p>
      <w:pPr>
        <w:spacing w:after="0" w:line="147" w:lineRule="exact"/>
        <w:rPr>
          <w:sz w:val="20"/>
          <w:szCs w:val="20"/>
          <w:color w:val="auto"/>
        </w:rPr>
      </w:pPr>
    </w:p>
    <w:p>
      <w:pPr>
        <w:jc w:val="center"/>
        <w:ind w:right="337"/>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436"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compared to control-treated animals that remained sustained until the end of the experiment at nine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288925</wp:posOffset>
            </wp:positionV>
            <wp:extent cx="4406265" cy="3728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0626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right="80"/>
        <w:spacing w:after="0" w:line="284" w:lineRule="auto"/>
        <w:rPr>
          <w:sz w:val="20"/>
          <w:szCs w:val="20"/>
          <w:color w:val="auto"/>
        </w:rPr>
      </w:pPr>
      <w:r>
        <w:rPr>
          <w:rFonts w:ascii="Arial" w:cs="Arial" w:eastAsia="Arial" w:hAnsi="Arial"/>
          <w:sz w:val="16"/>
          <w:szCs w:val="16"/>
          <w:color w:val="auto"/>
        </w:rPr>
        <w:t>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47" w:lineRule="exact"/>
        <w:rPr>
          <w:sz w:val="20"/>
          <w:szCs w:val="20"/>
          <w:color w:val="auto"/>
        </w:rPr>
      </w:pPr>
    </w:p>
    <w:p>
      <w:pPr>
        <w:ind w:left="140"/>
        <w:spacing w:after="0" w:line="276" w:lineRule="auto"/>
        <w:rPr>
          <w:sz w:val="20"/>
          <w:szCs w:val="20"/>
          <w:color w:val="auto"/>
        </w:rPr>
      </w:pPr>
      <w:r>
        <w:rPr>
          <w:rFonts w:ascii="Arial" w:cs="Arial" w:eastAsia="Arial" w:hAnsi="Arial"/>
          <w:sz w:val="16"/>
          <w:szCs w:val="16"/>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percentage among individual animal responses to TN1-002 from a decline of -2% to improvement of +24%, and that seven out of ten treated animals were considered “responders”</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340" w:top="436" w:right="399" w:bottom="1440" w:gutter="0" w:footer="0" w:header="0"/>
        </w:sectPr>
      </w:pPr>
    </w:p>
    <w:bookmarkStart w:id="63" w:name="page64"/>
    <w:bookmarkEnd w:id="63"/>
    <w:p>
      <w:pPr>
        <w:ind w:left="140"/>
        <w:spacing w:after="0"/>
        <w:rPr>
          <w:sz w:val="20"/>
          <w:szCs w:val="20"/>
          <w:color w:val="auto"/>
        </w:rPr>
      </w:pPr>
      <w:r>
        <w:rPr>
          <w:rFonts w:ascii="Arial" w:cs="Arial" w:eastAsia="Arial" w:hAnsi="Arial"/>
          <w:sz w:val="16"/>
          <w:szCs w:val="16"/>
          <w:color w:val="auto"/>
        </w:rPr>
        <w:t>(based on EF percentage increase of greater than 5% over pre-dose baseline) while three out of ten were considered “non-responders”.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535305</wp:posOffset>
            </wp:positionV>
            <wp:extent cx="3215005" cy="3505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1500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340" w:top="436" w:right="579" w:bottom="1440" w:gutter="0" w:footer="0" w:header="0"/>
        </w:sectPr>
      </w:pPr>
    </w:p>
    <w:bookmarkStart w:id="64" w:name="page65"/>
    <w:bookmarkEnd w:id="64"/>
    <w:p>
      <w:pPr>
        <w:spacing w:after="0" w:line="261" w:lineRule="auto"/>
        <w:rPr>
          <w:sz w:val="20"/>
          <w:szCs w:val="20"/>
          <w:color w:val="auto"/>
        </w:rPr>
      </w:pPr>
      <w:r>
        <w:rPr>
          <w:rFonts w:ascii="Arial" w:cs="Arial" w:eastAsia="Arial" w:hAnsi="Arial"/>
          <w:sz w:val="18"/>
          <w:szCs w:val="18"/>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263525</wp:posOffset>
            </wp:positionV>
            <wp:extent cx="4200525" cy="2459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0052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80"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The figures below illustrate that the level of AAV transduction and transgene expression was observed to be higher in samples obtained from responders compared to non-responders to TN1-002 in the study of reprogramming in the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233680</wp:posOffset>
            </wp:positionV>
            <wp:extent cx="3360420" cy="1834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04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40" w:top="436" w:right="3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2077085</wp:posOffset>
            </wp:positionH>
            <wp:positionV relativeFrom="page">
              <wp:posOffset>500380</wp:posOffset>
            </wp:positionV>
            <wp:extent cx="3360420" cy="2125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336042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20" w:right="360"/>
        <w:spacing w:after="0" w:line="248" w:lineRule="auto"/>
        <w:rPr>
          <w:sz w:val="20"/>
          <w:szCs w:val="20"/>
          <w:color w:val="auto"/>
        </w:rPr>
      </w:pPr>
      <w:r>
        <w:rPr>
          <w:rFonts w:ascii="Arial" w:cs="Arial" w:eastAsia="Arial" w:hAnsi="Arial"/>
          <w:sz w:val="18"/>
          <w:szCs w:val="18"/>
          <w:color w:val="auto"/>
        </w:rPr>
        <w:t>Our preclinical findings to date provide direction to our ongoing candidate selection efforts. We continue to seek ways to ensure more consistent delivery and expression of our reprogramming factors to cardiac fibroblasts, including with the use of novel capsids and novel delivery methods.</w:t>
      </w:r>
    </w:p>
    <w:p>
      <w:pPr>
        <w:spacing w:after="0" w:line="74" w:lineRule="exact"/>
        <w:rPr>
          <w:sz w:val="20"/>
          <w:szCs w:val="20"/>
          <w:color w:val="auto"/>
        </w:rPr>
      </w:pPr>
    </w:p>
    <w:p>
      <w:pPr>
        <w:ind w:left="1020" w:right="5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To date, no negative safety findings have been associated with either TN1-002 or TN1-006 in</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experiments in rat and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including clinical findings, histopathology, assessment of arrhythmia, and other measures.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have received feedback from the FDA through an INTERACT (INitial Targeted Engagement for Regulatory Advice on CBER producTs) review to inform the design of our future preclinical studies. After selection of our product candidate, we plan to initiate IND-enabling studies. We intend to submit an IND or CTA to the FDA or EMA, respectively, no earlier than 2023.</w:t>
      </w:r>
    </w:p>
    <w:p>
      <w:pPr>
        <w:spacing w:after="0" w:line="7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Our development plan is anticipated to include patients with advanced heart failure due to prior MI who meet qualifications for a heart transplant or LVAD as well as a broader patient population with severe ischemic cardiomyopathy. In the future, we also may explore potential for development in other forms of heart failure caused by a loss of cardiomyocytes, but not involving a myocardial infarction.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Pipeline Expansion Opportunities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Agreements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License Agreement with The Board of Regents of the University of Texas System on behalf of UTSW</w:t>
      </w:r>
    </w:p>
    <w:p>
      <w:pPr>
        <w:spacing w:after="0" w:line="104"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We have licensed intellectual property from UTSW in a license agreement effective January 10, 2020 with regard to our DWORF program.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43" w:lineRule="auto"/>
        <w:rPr>
          <w:sz w:val="20"/>
          <w:szCs w:val="20"/>
          <w:color w:val="auto"/>
        </w:rPr>
      </w:pPr>
      <w:r>
        <w:rPr>
          <w:rFonts w:ascii="Arial" w:cs="Arial" w:eastAsia="Arial" w:hAnsi="Arial"/>
          <w:sz w:val="18"/>
          <w:szCs w:val="18"/>
          <w:color w:val="auto"/>
        </w:rPr>
        <w:t>uses. Our license under the license agreement is exclusive with respect to the UTSW patent rights licensed thereunder and non-exclusive with respect to the UTSW tangible materials provided thereunder. All of the DWORF gene therapy product candidates currently in our pipeline rely upon the license granted to us under this agreement. Such license is subject to (a) certain non-commercial rights reserved by UTSW and (b) certain rights retained by the U.S. government, including so called march-in rights.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6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7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 and required payments for such extensions.</w:t>
      </w:r>
    </w:p>
    <w:p>
      <w:pPr>
        <w:spacing w:after="0" w:line="74"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UTSW has the right to terminate the license agreement for our uncured material breach of the license agreement, including if we fail to use a certain level of effort to achieve specified development or regulatory approval milestones within specified timeframes, or if we unsuccessfully challenge the validity of the UTSW licensed patent rights or for certain events related to our bankruptcy. We have the right to terminate the agreement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Due to the depth and diversity of our pipeline, we may face competition from a variety of companies, including:</w:t>
      </w:r>
    </w:p>
    <w:p>
      <w:pPr>
        <w:spacing w:after="0" w:line="100" w:lineRule="exact"/>
        <w:rPr>
          <w:sz w:val="20"/>
          <w:szCs w:val="20"/>
          <w:color w:val="auto"/>
        </w:rPr>
      </w:pPr>
    </w:p>
    <w:p>
      <w:pPr>
        <w:ind w:left="1020" w:hanging="503"/>
        <w:spacing w:after="0" w:line="25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General cardiovascular drug development: </w:t>
      </w:r>
      <w:r>
        <w:rPr>
          <w:rFonts w:ascii="Arial" w:cs="Arial" w:eastAsia="Arial" w:hAnsi="Arial"/>
          <w:sz w:val="18"/>
          <w:szCs w:val="18"/>
          <w:color w:val="auto"/>
        </w:rPr>
        <w:t>Companies known to have approved products and active drug development efforts for</w:t>
      </w:r>
      <w:r>
        <w:rPr>
          <w:rFonts w:ascii="Arial" w:cs="Arial" w:eastAsia="Arial" w:hAnsi="Arial"/>
          <w:sz w:val="18"/>
          <w:szCs w:val="18"/>
          <w:b w:val="1"/>
          <w:bCs w:val="1"/>
          <w:color w:val="auto"/>
        </w:rPr>
        <w:t xml:space="preserve"> </w:t>
      </w:r>
      <w:r>
        <w:rPr>
          <w:rFonts w:ascii="Arial" w:cs="Arial" w:eastAsia="Arial" w:hAnsi="Arial"/>
          <w:sz w:val="18"/>
          <w:szCs w:val="18"/>
          <w:color w:val="auto"/>
        </w:rPr>
        <w:t>cardiovascular disease include but are not limited to AstraZeneca, Bayer, BioMarin, Bristol Myers Squibb, Cytokinetics, Eli Lilly, Johnson &amp; Johnson/Janssen, Maze Therapeutics, Merck, Novartis and Novo Nordisk;</w:t>
      </w:r>
    </w:p>
    <w:p>
      <w:pPr>
        <w:spacing w:after="0" w:line="68" w:lineRule="exact"/>
        <w:rPr>
          <w:rFonts w:ascii="Arial" w:cs="Arial" w:eastAsia="Arial" w:hAnsi="Arial"/>
          <w:sz w:val="18"/>
          <w:szCs w:val="18"/>
          <w:color w:val="auto"/>
        </w:rPr>
      </w:pPr>
    </w:p>
    <w:p>
      <w:pPr>
        <w:ind w:left="1020" w:right="700" w:hanging="503"/>
        <w:spacing w:after="0" w:line="25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platform: </w:t>
      </w:r>
      <w:r>
        <w:rPr>
          <w:rFonts w:ascii="Arial" w:cs="Arial" w:eastAsia="Arial" w:hAnsi="Arial"/>
          <w:sz w:val="18"/>
          <w:szCs w:val="18"/>
          <w:color w:val="auto"/>
        </w:rPr>
        <w:t>Companies known to be pursuing gene therapy approaches for the heart include but are not limited to 4D</w:t>
      </w:r>
      <w:r>
        <w:rPr>
          <w:rFonts w:ascii="Arial" w:cs="Arial" w:eastAsia="Arial" w:hAnsi="Arial"/>
          <w:sz w:val="18"/>
          <w:szCs w:val="18"/>
          <w:b w:val="1"/>
          <w:bCs w:val="1"/>
          <w:color w:val="auto"/>
        </w:rPr>
        <w:t xml:space="preserve"> </w:t>
      </w:r>
      <w:r>
        <w:rPr>
          <w:rFonts w:ascii="Arial" w:cs="Arial" w:eastAsia="Arial" w:hAnsi="Arial"/>
          <w:sz w:val="18"/>
          <w:szCs w:val="18"/>
          <w:color w:val="auto"/>
        </w:rPr>
        <w:t>Molecular Therapeutics, Bayer, Bristol Myers Squibb, BioMarin Pharmaceutical, DiNAQOR, Lexeo, Nuevocor, Precigen, Renova Therapeutics, Renovacor, Rocket Pharmaceuticals, Sardicor, Stride Bio and uniQure;</w:t>
      </w:r>
    </w:p>
    <w:p>
      <w:pPr>
        <w:spacing w:after="0" w:line="68" w:lineRule="exact"/>
        <w:rPr>
          <w:rFonts w:ascii="Arial" w:cs="Arial" w:eastAsia="Arial" w:hAnsi="Arial"/>
          <w:sz w:val="18"/>
          <w:szCs w:val="18"/>
          <w:color w:val="auto"/>
        </w:rPr>
      </w:pPr>
    </w:p>
    <w:p>
      <w:pPr>
        <w:ind w:left="1020" w:right="280" w:hanging="503"/>
        <w:spacing w:after="0" w:line="25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Cellular Regeneration platform: </w:t>
      </w:r>
      <w:r>
        <w:rPr>
          <w:rFonts w:ascii="Arial" w:cs="Arial" w:eastAsia="Arial" w:hAnsi="Arial"/>
          <w:sz w:val="18"/>
          <w:szCs w:val="18"/>
          <w:color w:val="auto"/>
        </w:rPr>
        <w:t>Companies known to be pursuing approaches to cellular regeneration for the heart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AstraZeneca, Bayer, BioCardia, Cardior Pharmaceuticals, Jaan Biotherapeutics, Khloris Biosciences, Mesoblast, Mogrify, Sana Biotechnologies and Xylocor Therapeutics;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7" w:name="page68"/>
    <w:bookmarkEnd w:id="67"/>
    <w:p>
      <w:pPr>
        <w:ind w:left="1020" w:right="180" w:hanging="503"/>
        <w:spacing w:after="0" w:line="26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Precision Medicine platform: </w:t>
      </w:r>
      <w:r>
        <w:rPr>
          <w:rFonts w:ascii="Arial" w:cs="Arial" w:eastAsia="Arial" w:hAnsi="Arial"/>
          <w:sz w:val="18"/>
          <w:szCs w:val="18"/>
          <w:color w:val="auto"/>
        </w:rPr>
        <w:t>Companies known to be pursuing approaches to drug discovery for the heart using disease models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iPSC-CMs include but are not limited to DiNAQOR and Tara Biosystems.</w:t>
      </w:r>
    </w:p>
    <w:p>
      <w:pPr>
        <w:spacing w:after="0" w:line="58"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7"/>
          <w:szCs w:val="17"/>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Nevertheless, each of lead products in our gene therapy and cellular reprogramming programs are already covered by at least one issued U.S. patent, which are described below.</w:t>
      </w:r>
    </w:p>
    <w:p>
      <w:pPr>
        <w:spacing w:after="0" w:line="78"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Beyond these issued patents, 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i w:val="1"/>
          <w:iCs w:val="1"/>
          <w:color w:val="auto"/>
        </w:rPr>
        <w:t>MYBPC3</w:t>
      </w:r>
      <w:r>
        <w:rPr>
          <w:rFonts w:ascii="Arial" w:cs="Arial" w:eastAsia="Arial" w:hAnsi="Arial"/>
          <w:sz w:val="18"/>
          <w:szCs w:val="18"/>
          <w:color w:val="auto"/>
        </w:rPr>
        <w:t>: With regard to our MYBPC3 program, we own one issued patent covering a recombinant adeno-associated virus (rAAV) virion whose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vector genome encodes </w:t>
      </w:r>
      <w:r>
        <w:rPr>
          <w:rFonts w:ascii="Arial" w:cs="Arial" w:eastAsia="Arial" w:hAnsi="Arial"/>
          <w:sz w:val="18"/>
          <w:szCs w:val="18"/>
          <w:i w:val="1"/>
          <w:iCs w:val="1"/>
          <w:color w:val="auto"/>
        </w:rPr>
        <w:t>MYBPC3</w:t>
      </w:r>
      <w:r>
        <w:rPr>
          <w:rFonts w:ascii="Arial" w:cs="Arial" w:eastAsia="Arial" w:hAnsi="Arial"/>
          <w:sz w:val="18"/>
          <w:szCs w:val="18"/>
          <w:color w:val="auto"/>
        </w:rPr>
        <w:t xml:space="preserve"> and two pending Patent Cooperation Treaty (PCT) patent applications.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8"/>
          <w:szCs w:val="18"/>
          <w:i w:val="1"/>
          <w:iCs w:val="1"/>
          <w:color w:val="auto"/>
        </w:rPr>
        <w:t xml:space="preserve">MYBPC3 </w:t>
      </w:r>
      <w:r>
        <w:rPr>
          <w:rFonts w:ascii="Arial" w:cs="Arial" w:eastAsia="Arial" w:hAnsi="Arial"/>
          <w:sz w:val="18"/>
          <w:szCs w:val="18"/>
          <w:color w:val="auto"/>
        </w:rPr>
        <w:t>gene expression vectors, recombinant AAV (rAAV) virions, rAAV viral genomes, expression cassettes, and methods of using such compositions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therapeutic indications.</w:t>
      </w:r>
    </w:p>
    <w:p>
      <w:pPr>
        <w:spacing w:after="0" w:line="75" w:lineRule="exact"/>
        <w:rPr>
          <w:sz w:val="20"/>
          <w:szCs w:val="20"/>
          <w:color w:val="auto"/>
        </w:rPr>
      </w:pPr>
    </w:p>
    <w:p>
      <w:pPr>
        <w:ind w:right="320" w:firstLine="509"/>
        <w:spacing w:after="0" w:line="236" w:lineRule="auto"/>
        <w:rPr>
          <w:sz w:val="20"/>
          <w:szCs w:val="20"/>
          <w:color w:val="auto"/>
        </w:rPr>
      </w:pPr>
      <w:r>
        <w:rPr>
          <w:rFonts w:ascii="Arial" w:cs="Arial" w:eastAsia="Arial" w:hAnsi="Arial"/>
          <w:sz w:val="19"/>
          <w:szCs w:val="19"/>
          <w:i w:val="1"/>
          <w:iCs w:val="1"/>
          <w:color w:val="auto"/>
        </w:rPr>
        <w:t xml:space="preserve">PKP2: </w:t>
      </w:r>
      <w:r>
        <w:rPr>
          <w:rFonts w:ascii="Arial" w:cs="Arial" w:eastAsia="Arial" w:hAnsi="Arial"/>
          <w:sz w:val="19"/>
          <w:szCs w:val="19"/>
          <w:color w:val="auto"/>
        </w:rPr>
        <w:t>With regard to our PKP2 program, we own one pending U.S. non-provisional patent application and one pending PCT patent</w:t>
      </w:r>
      <w:r>
        <w:rPr>
          <w:rFonts w:ascii="Arial" w:cs="Arial" w:eastAsia="Arial" w:hAnsi="Arial"/>
          <w:sz w:val="19"/>
          <w:szCs w:val="19"/>
          <w:i w:val="1"/>
          <w:iCs w:val="1"/>
          <w:color w:val="auto"/>
        </w:rPr>
        <w:t xml:space="preserve"> </w:t>
      </w:r>
      <w:r>
        <w:rPr>
          <w:rFonts w:ascii="Arial" w:cs="Arial" w:eastAsia="Arial" w:hAnsi="Arial"/>
          <w:sz w:val="19"/>
          <w:szCs w:val="19"/>
          <w:color w:val="auto"/>
        </w:rPr>
        <w:t>application. Patents claiming priority to these patent applications, if issued, are expected to expire by 2041, assuming payment of all appropriate maintenance, renewal, annuity or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ind w:right="740"/>
        <w:spacing w:after="0" w:line="246" w:lineRule="auto"/>
        <w:rPr>
          <w:sz w:val="20"/>
          <w:szCs w:val="20"/>
          <w:color w:val="auto"/>
        </w:rPr>
      </w:pPr>
      <w:r>
        <w:rPr>
          <w:rFonts w:ascii="Arial" w:cs="Arial" w:eastAsia="Arial" w:hAnsi="Arial"/>
          <w:sz w:val="19"/>
          <w:szCs w:val="19"/>
          <w:color w:val="auto"/>
        </w:rPr>
        <w:t xml:space="preserve">governmental fees and without taking potential patent term extensions or adjustments into account. These patent applications are related to proprietary </w:t>
      </w:r>
      <w:r>
        <w:rPr>
          <w:rFonts w:ascii="Arial" w:cs="Arial" w:eastAsia="Arial" w:hAnsi="Arial"/>
          <w:sz w:val="19"/>
          <w:szCs w:val="19"/>
          <w:i w:val="1"/>
          <w:iCs w:val="1"/>
          <w:color w:val="auto"/>
        </w:rPr>
        <w:t>PKP2</w:t>
      </w:r>
      <w:r>
        <w:rPr>
          <w:rFonts w:ascii="Arial" w:cs="Arial" w:eastAsia="Arial" w:hAnsi="Arial"/>
          <w:sz w:val="19"/>
          <w:szCs w:val="19"/>
          <w:color w:val="auto"/>
        </w:rPr>
        <w:t xml:space="preserve"> gene expression vectors and methods of use.</w:t>
      </w:r>
    </w:p>
    <w:p>
      <w:pPr>
        <w:spacing w:after="0" w:line="7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i w:val="1"/>
          <w:iCs w:val="1"/>
          <w:color w:val="auto"/>
        </w:rPr>
        <w:t>DWORF</w:t>
      </w:r>
      <w:r>
        <w:rPr>
          <w:rFonts w:ascii="Arial" w:cs="Arial" w:eastAsia="Arial" w:hAnsi="Arial"/>
          <w:sz w:val="17"/>
          <w:szCs w:val="17"/>
          <w:color w:val="auto"/>
        </w:rPr>
        <w:t>: With regard to our DWORF program, we exclusively license two U.S. patents and one pending U.S. patent application from UTSW (the</w:t>
      </w:r>
      <w:r>
        <w:rPr>
          <w:rFonts w:ascii="Arial" w:cs="Arial" w:eastAsia="Arial" w:hAnsi="Arial"/>
          <w:sz w:val="17"/>
          <w:szCs w:val="17"/>
          <w:i w:val="1"/>
          <w:iCs w:val="1"/>
          <w:color w:val="auto"/>
        </w:rPr>
        <w:t xml:space="preserve"> </w:t>
      </w:r>
      <w:r>
        <w:rPr>
          <w:rFonts w:ascii="Arial" w:cs="Arial" w:eastAsia="Arial" w:hAnsi="Arial"/>
          <w:sz w:val="17"/>
          <w:szCs w:val="17"/>
          <w:color w:val="auto"/>
        </w:rPr>
        <w:t>UT Patents). The U.S. patents and the pending U.S. patent application, if issued, are expected to expire in 2037, assuming payment of all appropriate maintenance, renewal, annuity or other governmental fees and without taking potential patent term extensions or adjustments into account. The UT Patents cover methods of enhancing activity of the SERCA pump using the DWORF peptide and using such methods to treat heart disease. Furthermore, we own a pending U.S. provisional patent application related to proprietary vectors and methods of use. Patents claiming priority to this U.S. provisional patent application, if issued, are expected to expire in 2041, assuming payment of all appropriate maintenance, renewal, annuity or other governmental fees, and without taking potential patent term extensions or adjustments into account.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0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With regard to our HDAC6i program, we own one pending PCT patent application and four pending U.S. provisional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PCT patent application covers our lead HDAC6i compound and various analogs, and our U.S. provisional patent applications cover methods of treatment for various diseases and disorders with that compound.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With respect to our Cellular Regeneration platform, we own three patent families directed to product candidates in our Reprogramming program, including one pending PCT patent application, one issued U.S. patent, two pending non-provisional U.S. patent application, and ten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w:t>
      </w:r>
    </w:p>
    <w:p>
      <w:pPr>
        <w:spacing w:after="0" w:line="7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Additionally, we own a fourth patent family that is directed to AAV-based gene vectors for cardiac cell transduction, with one pending non-provisional U.S. patent application and eight foreign counterparts of this patent application. Any U.S. or foreign patents issued from 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Trade Secrets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9" w:name="page70"/>
    <w:bookmarkEnd w:id="69"/>
    <w:p>
      <w:pPr>
        <w:ind w:left="520" w:right="580" w:hanging="508"/>
        <w:spacing w:after="0" w:line="465" w:lineRule="auto"/>
        <w:rPr>
          <w:sz w:val="20"/>
          <w:szCs w:val="20"/>
          <w:color w:val="auto"/>
        </w:rPr>
      </w:pPr>
      <w:r>
        <w:rPr>
          <w:rFonts w:ascii="Arial" w:cs="Arial" w:eastAsia="Arial" w:hAnsi="Arial"/>
          <w:sz w:val="16"/>
          <w:szCs w:val="16"/>
          <w:color w:val="auto"/>
        </w:rPr>
        <w:t>information technology systems. However, such security measures may be breached and we may not have adequate remedies for such breaches. For more information regarding the risks related to our intellectual property, see “</w:t>
      </w:r>
      <w:r>
        <w:rPr>
          <w:rFonts w:ascii="Arial" w:cs="Arial" w:eastAsia="Arial" w:hAnsi="Arial"/>
          <w:sz w:val="16"/>
          <w:szCs w:val="16"/>
          <w:i w:val="1"/>
          <w:iCs w:val="1"/>
          <w:color w:val="auto"/>
        </w:rPr>
        <w:t>Risk Factors—Risks Related to Our Intellectual Property.</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intend to rely on our internal manufacturing capabilities for the production of drug substance and drug product for initial clinical trials of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TN-201 and TN-401 gene therapy programs. Over time we intend to rely on a combination of our internal manufacturing capabilities as well as on external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CDMOs for our portfolio programs as they progress through various stages of clinical development and eventually to commercialization, if approved.</w:t>
      </w:r>
    </w:p>
    <w:p>
      <w:pPr>
        <w:spacing w:after="0" w:line="9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plan to fully integrate and internalize AAV manufacturing capabilities to support our initial product candidates from our Gene Therapy and Cellular Regeneration platforms. We have established an in-house Pilot Plant Operation facility that operates at the 200L scale to support all non-clinical studies including IND-enabling efficacy, pharmacology and toxicology studies. This facility can produce materials sufficient for large animal studies including pigs and NHPs. Our initial production at this scale has been at yields and with full to empty capsid ratios that compare favorably to industry standards.</w:t>
      </w:r>
    </w:p>
    <w:p>
      <w:pPr>
        <w:spacing w:after="0" w:line="8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initiated construction of a dedicated cGMP facility for drug product manufacturing in the San Francisco Bay Area and expect that it will be operational in the first half of 2022. The facility will initially produce drug product at the 1000L scale to support FIH studies for our TN-201 program. The facility will use a modular design that will support scale-out and/or scale-up of manufacturing capacity in response to evolving needs.</w:t>
      </w:r>
    </w:p>
    <w:p>
      <w:pPr>
        <w:spacing w:after="0" w:line="5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addition to our internal cGMP manufacturing capabilities, we have also negotiated and entered into master service agreements with two CDMOs for additional AAV manufacturing capacity and related risk mitigation. Additionally, we will rely on third parties for certain manufacturing of ancillary materials and release assays, for which we have already secured or intend to secure dual-sourced capacity for risk mitigation.</w:t>
      </w:r>
    </w:p>
    <w:p>
      <w:pPr>
        <w:spacing w:after="0" w:line="56"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To optimize our use of resources and utilize extensive experience in small molecule manufacturing, we intend to work with CDMOs for our small molecule programs. We initiated cGMP manufacturing for our HDAC6 inhibitor program, TN-301,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Biologic and Small Molecule Drug Product Development</w:t>
      </w:r>
    </w:p>
    <w:p>
      <w:pPr>
        <w:spacing w:after="0" w:line="104"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0" w:name="page71"/>
    <w:bookmarkEnd w:id="70"/>
    <w:p>
      <w:pPr>
        <w:ind w:right="360"/>
        <w:spacing w:after="0" w:line="261" w:lineRule="auto"/>
        <w:rPr>
          <w:sz w:val="20"/>
          <w:szCs w:val="20"/>
          <w:color w:val="auto"/>
        </w:rPr>
      </w:pPr>
      <w:r>
        <w:rPr>
          <w:rFonts w:ascii="Arial" w:cs="Arial" w:eastAsia="Arial" w:hAnsi="Arial"/>
          <w:sz w:val="18"/>
          <w:szCs w:val="18"/>
          <w:color w:val="auto"/>
        </w:rPr>
        <w:t>production or distribution, injunctions, fines, refusals of government contracts, restitution, disgorgement and civil or criminal penalties. Any agency or judicial enforcement action could have a material adverse effect on us.</w:t>
      </w:r>
    </w:p>
    <w:p>
      <w:pPr>
        <w:spacing w:after="0" w:line="63"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16" w:lineRule="exact"/>
        <w:rPr>
          <w:sz w:val="20"/>
          <w:szCs w:val="20"/>
          <w:color w:val="auto"/>
        </w:rPr>
      </w:pPr>
    </w:p>
    <w:p>
      <w:pPr>
        <w:ind w:left="1020" w:right="16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trial site before each trial may be initiated;</w:t>
      </w:r>
    </w:p>
    <w:p>
      <w:pPr>
        <w:spacing w:after="0" w:line="126" w:lineRule="exact"/>
        <w:rPr>
          <w:rFonts w:ascii="Arial" w:cs="Arial" w:eastAsia="Arial" w:hAnsi="Arial"/>
          <w:sz w:val="16"/>
          <w:szCs w:val="16"/>
          <w:color w:val="auto"/>
        </w:rPr>
      </w:pPr>
    </w:p>
    <w:p>
      <w:pPr>
        <w:ind w:left="1020" w:right="30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to the FDA of a BLA or NDA;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accept the filing for review;</w:t>
      </w:r>
    </w:p>
    <w:p>
      <w:pPr>
        <w:spacing w:after="0" w:line="103"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BLA or NDA;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Satisfactory completion of other studies required by the FDA, including immunogenicity, carcinogenicity, genotoxicity, and stability studies;</w:t>
      </w:r>
    </w:p>
    <w:p>
      <w:pPr>
        <w:spacing w:after="0" w:line="126" w:lineRule="exact"/>
        <w:rPr>
          <w:rFonts w:ascii="Arial" w:cs="Arial" w:eastAsia="Arial" w:hAnsi="Arial"/>
          <w:sz w:val="16"/>
          <w:szCs w:val="16"/>
          <w:color w:val="auto"/>
        </w:rPr>
      </w:pPr>
    </w:p>
    <w:p>
      <w:pPr>
        <w:ind w:left="1020" w:right="8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6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0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 xml:space="preserve">Preclinical studies include laboratory evaluation of product biochemistry, formulation and stability,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ind w:right="100"/>
        <w:spacing w:after="0" w:line="261" w:lineRule="auto"/>
        <w:rPr>
          <w:sz w:val="20"/>
          <w:szCs w:val="20"/>
          <w:color w:val="auto"/>
        </w:rPr>
      </w:pPr>
      <w:r>
        <w:rPr>
          <w:rFonts w:ascii="Arial" w:cs="Arial" w:eastAsia="Arial" w:hAnsi="Arial"/>
          <w:sz w:val="18"/>
          <w:szCs w:val="18"/>
          <w:color w:val="auto"/>
        </w:rPr>
        <w:t>resolve any outstanding concerns before the clinical trial can begin. As a result, submission of an IND may not result in the FDA allowing clinical trials to commence.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61"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27" w:lineRule="exact"/>
        <w:rPr>
          <w:sz w:val="20"/>
          <w:szCs w:val="20"/>
          <w:color w:val="auto"/>
        </w:rPr>
      </w:pPr>
    </w:p>
    <w:p>
      <w:pPr>
        <w:jc w:val="both"/>
        <w:ind w:left="102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73" w:lineRule="exact"/>
        <w:rPr>
          <w:rFonts w:ascii="Arial" w:cs="Arial" w:eastAsia="Arial" w:hAnsi="Arial"/>
          <w:sz w:val="18"/>
          <w:szCs w:val="18"/>
          <w:color w:val="auto"/>
        </w:rPr>
      </w:pPr>
    </w:p>
    <w:p>
      <w:pPr>
        <w:ind w:left="1020" w:right="10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3" w:lineRule="exact"/>
        <w:rPr>
          <w:rFonts w:ascii="Arial" w:cs="Arial" w:eastAsia="Arial" w:hAnsi="Arial"/>
          <w:sz w:val="18"/>
          <w:szCs w:val="18"/>
          <w:color w:val="auto"/>
        </w:rPr>
      </w:pPr>
    </w:p>
    <w:p>
      <w:pPr>
        <w:ind w:left="1020" w:right="200" w:hanging="503"/>
        <w:spacing w:after="0" w:line="262"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7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suggesting a significant risk to humans exposed to the investigational product,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47"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or the sponsor may suspend or terminate a clinical trial at any time on various grounds, including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ind w:right="40"/>
        <w:spacing w:after="0" w:line="270" w:lineRule="auto"/>
        <w:rPr>
          <w:sz w:val="20"/>
          <w:szCs w:val="20"/>
          <w:color w:val="auto"/>
        </w:rPr>
      </w:pPr>
      <w:r>
        <w:rPr>
          <w:rFonts w:ascii="Arial" w:cs="Arial" w:eastAsia="Arial" w:hAnsi="Arial"/>
          <w:sz w:val="16"/>
          <w:szCs w:val="16"/>
          <w:color w:val="auto"/>
        </w:rPr>
        <w:t>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appointments, any interruption in trial drug supply, or other consequence that may result in incomplete data being generated during a trial as a result of the pandemic must be adequately documented and justified. The FDA, along with other global health authorities, has issued guidance on conducting clinical trials during the pandemic. Such guidance describes a number of considerations for sponsors of clinical trials, including, among others, the requirement to implement contingency measures to manage the trial and any disruption of the trial as a result of COVID-19.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6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Under the Prescription Drug User Fee Act (PDUFA), as amended, each BLA or NDA must be accompanied by a user fee. FDA adjusts the PDUFA user fees on an annual basis. According to the FDA’s FY 2022 fee schedule, effective through September 30, 2022, the user fee for an application requiring clinical data, such as a BLA or NDA, is approximately $3.1 million. PDUFA also imposes an annual program fee for each marketed human prescription drug product ($369,413 in 2022)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firstLine="509"/>
        <w:spacing w:after="0" w:line="257" w:lineRule="auto"/>
        <w:rPr>
          <w:sz w:val="20"/>
          <w:szCs w:val="20"/>
          <w:color w:val="auto"/>
        </w:rPr>
      </w:pPr>
      <w:r>
        <w:rPr>
          <w:rFonts w:ascii="Arial" w:cs="Arial" w:eastAsia="Arial" w:hAnsi="Arial"/>
          <w:sz w:val="17"/>
          <w:szCs w:val="17"/>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67"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80" w:lineRule="exact"/>
        <w:rPr>
          <w:sz w:val="20"/>
          <w:szCs w:val="20"/>
          <w:color w:val="auto"/>
        </w:rPr>
      </w:pPr>
    </w:p>
    <w:p>
      <w:pPr>
        <w:ind w:right="440" w:firstLine="509"/>
        <w:spacing w:after="0" w:line="270" w:lineRule="auto"/>
        <w:rPr>
          <w:sz w:val="20"/>
          <w:szCs w:val="20"/>
          <w:color w:val="auto"/>
        </w:rPr>
      </w:pPr>
      <w:r>
        <w:rPr>
          <w:rFonts w:ascii="Arial" w:cs="Arial" w:eastAsia="Arial" w:hAnsi="Arial"/>
          <w:sz w:val="17"/>
          <w:szCs w:val="17"/>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5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81"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39"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Such restrictions could have a materially adverse effect on our business and our ability to obtain profitability.</w:t>
      </w:r>
    </w:p>
    <w:p>
      <w:pPr>
        <w:spacing w:after="0" w:line="73"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Biosimilars or Interchangeable Biosimilars</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1" w:lineRule="exact"/>
        <w:rPr>
          <w:sz w:val="20"/>
          <w:szCs w:val="20"/>
          <w:color w:val="auto"/>
        </w:rPr>
      </w:pPr>
    </w:p>
    <w:p>
      <w:pPr>
        <w:ind w:left="1020" w:right="4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03" w:lineRule="exact"/>
        <w:rPr>
          <w:rFonts w:ascii="Arial" w:cs="Arial" w:eastAsia="Arial" w:hAnsi="Arial"/>
          <w:sz w:val="18"/>
          <w:szCs w:val="18"/>
          <w:color w:val="auto"/>
        </w:rPr>
      </w:pPr>
    </w:p>
    <w:p>
      <w:pPr>
        <w:ind w:left="1020" w:right="160" w:hanging="503"/>
        <w:spacing w:after="0" w:line="32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04" w:lineRule="exact"/>
        <w:rPr>
          <w:sz w:val="20"/>
          <w:szCs w:val="20"/>
          <w:color w:val="auto"/>
        </w:rPr>
      </w:pPr>
    </w:p>
    <w:p>
      <w:pPr>
        <w:ind w:left="1020" w:right="80" w:hanging="503"/>
        <w:spacing w:after="0" w:line="324"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75" w:name="page76"/>
    <w:bookmarkEnd w:id="75"/>
    <w:p>
      <w:pPr>
        <w:ind w:left="1020" w:right="4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66"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03"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80"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6" w:name="page77"/>
    <w:bookmarkEnd w:id="76"/>
    <w:p>
      <w:pPr>
        <w:ind w:right="100"/>
        <w:spacing w:after="0" w:line="243" w:lineRule="auto"/>
        <w:rPr>
          <w:sz w:val="20"/>
          <w:szCs w:val="20"/>
          <w:color w:val="auto"/>
        </w:rPr>
      </w:pPr>
      <w:r>
        <w:rPr>
          <w:rFonts w:ascii="Arial" w:cs="Arial" w:eastAsia="Arial" w:hAnsi="Arial"/>
          <w:sz w:val="18"/>
          <w:szCs w:val="18"/>
          <w:color w:val="auto"/>
        </w:rPr>
        <w:t>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0"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Abbreviated NDA Pathway for Generic Drug Products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6"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1"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ind w:right="260"/>
        <w:spacing w:after="0" w:line="261" w:lineRule="auto"/>
        <w:rPr>
          <w:sz w:val="20"/>
          <w:szCs w:val="20"/>
          <w:color w:val="auto"/>
        </w:rPr>
      </w:pPr>
      <w:r>
        <w:rPr>
          <w:rFonts w:ascii="Arial" w:cs="Arial" w:eastAsia="Arial" w:hAnsi="Arial"/>
          <w:sz w:val="18"/>
          <w:szCs w:val="18"/>
          <w:color w:val="auto"/>
        </w:rPr>
        <w:t>information; imposition of post-market studies or clinical studies to assess new safety risks or imposition of distribution restrictions or other restrictions under a REMS program. Other potential consequences include, among other things:</w:t>
      </w:r>
    </w:p>
    <w:p>
      <w:pPr>
        <w:spacing w:after="0" w:line="63"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 or holds on post-approval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Regulation of Combination Biologic-Medical Device Products</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5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5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Application (PMA).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54"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PMA approval process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QA and GMP requirements.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47"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right="20"/>
        <w:spacing w:after="0" w:line="262" w:lineRule="auto"/>
        <w:rPr>
          <w:sz w:val="20"/>
          <w:szCs w:val="20"/>
          <w:color w:val="auto"/>
        </w:rPr>
      </w:pPr>
      <w:r>
        <w:rPr>
          <w:rFonts w:ascii="Arial" w:cs="Arial" w:eastAsia="Arial" w:hAnsi="Arial"/>
          <w:sz w:val="17"/>
          <w:szCs w:val="17"/>
          <w:color w:val="auto"/>
        </w:rPr>
        <w:t>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64" w:lineRule="exact"/>
        <w:rPr>
          <w:sz w:val="20"/>
          <w:szCs w:val="20"/>
          <w:color w:val="auto"/>
        </w:rPr>
      </w:pPr>
    </w:p>
    <w:p>
      <w:pPr>
        <w:jc w:val="both"/>
        <w:ind w:right="40" w:firstLine="509"/>
        <w:spacing w:after="0" w:line="284"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67" w:lineRule="exact"/>
        <w:rPr>
          <w:sz w:val="20"/>
          <w:szCs w:val="20"/>
          <w:color w:val="auto"/>
        </w:rPr>
      </w:pPr>
    </w:p>
    <w:p>
      <w:pPr>
        <w:ind w:right="420" w:firstLine="509"/>
        <w:spacing w:after="0" w:line="29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Data Privacy and Security Laws</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spacing w:after="0" w:line="262"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Risk Factors— Risks Related to Regulatory Approval and Other Legal Compliance Matters.</w:t>
      </w:r>
      <w:r>
        <w:rPr>
          <w:rFonts w:ascii="Arial" w:cs="Arial" w:eastAsia="Arial" w:hAnsi="Arial"/>
          <w:sz w:val="17"/>
          <w:szCs w:val="17"/>
          <w:color w:val="auto"/>
        </w:rPr>
        <w:t>”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0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75"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1" w:name="page82"/>
    <w:bookmarkEnd w:id="81"/>
    <w:p>
      <w:pPr>
        <w:ind w:right="40"/>
        <w:spacing w:after="0" w:line="261" w:lineRule="auto"/>
        <w:rPr>
          <w:sz w:val="20"/>
          <w:szCs w:val="20"/>
          <w:color w:val="auto"/>
        </w:rPr>
      </w:pPr>
      <w:r>
        <w:rPr>
          <w:rFonts w:ascii="Arial" w:cs="Arial" w:eastAsia="Arial" w:hAnsi="Arial"/>
          <w:sz w:val="18"/>
          <w:szCs w:val="18"/>
          <w:color w:val="auto"/>
        </w:rPr>
        <w:t>reference to all of the preclinical studies and adequate and well-controlled clinical trials necessary to demonstrate safety and effectiveness or generate such data themselves.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04"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55" w:lineRule="exact"/>
        <w:rPr>
          <w:sz w:val="20"/>
          <w:szCs w:val="20"/>
          <w:color w:val="auto"/>
        </w:rPr>
      </w:pPr>
    </w:p>
    <w:p>
      <w:pPr>
        <w:ind w:right="440" w:firstLine="509"/>
        <w:spacing w:after="0" w:line="262" w:lineRule="auto"/>
        <w:rPr>
          <w:sz w:val="20"/>
          <w:szCs w:val="20"/>
          <w:color w:val="auto"/>
        </w:rPr>
      </w:pPr>
      <w:r>
        <w:rPr>
          <w:rFonts w:ascii="Arial" w:cs="Arial" w:eastAsia="Arial" w:hAnsi="Arial"/>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 Drug Review and Approval</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74" w:lineRule="exact"/>
        <w:rPr>
          <w:sz w:val="20"/>
          <w:szCs w:val="20"/>
          <w:color w:val="auto"/>
        </w:rPr>
      </w:pPr>
    </w:p>
    <w:p>
      <w:pPr>
        <w:ind w:left="1020" w:right="20" w:hanging="503"/>
        <w:spacing w:after="0" w:line="23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5" w:lineRule="exact"/>
        <w:rPr>
          <w:rFonts w:ascii="Arial" w:cs="Arial" w:eastAsia="Arial" w:hAnsi="Arial"/>
          <w:sz w:val="18"/>
          <w:szCs w:val="18"/>
          <w:color w:val="auto"/>
        </w:rPr>
      </w:pPr>
    </w:p>
    <w:p>
      <w:pPr>
        <w:ind w:left="1020" w:hanging="503"/>
        <w:spacing w:after="0" w:line="252"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78"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b w:val="1"/>
          <w:bCs w:val="1"/>
          <w:i w:val="1"/>
          <w:iCs w:val="1"/>
          <w:color w:val="auto"/>
        </w:rPr>
        <w:t>Foreign Data Privacy and Security Laws</w:t>
      </w:r>
    </w:p>
    <w:p>
      <w:pPr>
        <w:spacing w:after="0" w:line="104"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Other Legal Compliance Matters.</w:t>
      </w:r>
      <w:r>
        <w:rPr>
          <w:rFonts w:ascii="Arial" w:cs="Arial" w:eastAsia="Arial" w:hAnsi="Arial"/>
          <w:sz w:val="17"/>
          <w:szCs w:val="17"/>
          <w:color w:val="auto"/>
        </w:rPr>
        <w:t>” We are subject to stringent laws, rules, regulations, policies, industry standards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 Further,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3" w:name="page84"/>
    <w:bookmarkEnd w:id="83"/>
    <w:p>
      <w:pPr>
        <w:jc w:val="both"/>
        <w:ind w:right="800"/>
        <w:spacing w:after="0" w:line="248" w:lineRule="auto"/>
        <w:rPr>
          <w:sz w:val="20"/>
          <w:szCs w:val="20"/>
          <w:color w:val="auto"/>
        </w:rPr>
      </w:pPr>
      <w:r>
        <w:rPr>
          <w:rFonts w:ascii="Arial" w:cs="Arial" w:eastAsia="Arial" w:hAnsi="Arial"/>
          <w:sz w:val="18"/>
          <w:szCs w:val="18"/>
          <w:color w:val="auto"/>
        </w:rPr>
        <w:t>to, among other things, bring more transparency to product pricing, impose limitations on drug price increases and reform government program reimbursement methodologies for drug products, could also have a material and adverse effect on our business, financial condition and results of operations.</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5"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5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6"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6"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As of December 31, 2021, we had 106 full-time employees, representing an over 45% increase in our employee workforce as compared to December 31, 2020. Of these employees, 82 are engaged in research, development and technical operations. 24 of our employees hold Ph.D. or M.D. (or foreign equivalent) degrees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4" w:name="page85"/>
    <w:bookmarkEnd w:id="84"/>
    <w:p>
      <w:pPr>
        <w:ind w:right="160"/>
        <w:spacing w:after="0" w:line="248" w:lineRule="auto"/>
        <w:rPr>
          <w:sz w:val="20"/>
          <w:szCs w:val="20"/>
          <w:color w:val="auto"/>
        </w:rPr>
      </w:pPr>
      <w:r>
        <w:rPr>
          <w:rFonts w:ascii="Arial" w:cs="Arial" w:eastAsia="Arial" w:hAnsi="Arial"/>
          <w:sz w:val="18"/>
          <w:szCs w:val="18"/>
          <w:color w:val="auto"/>
        </w:rPr>
        <w:t>12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provide a variety of programs and services to help employees meet and balance their needs at work, at home and in life, including a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7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2021, was approximately 54% non-white and 57%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81" w:lineRule="exact"/>
        <w:rPr>
          <w:sz w:val="20"/>
          <w:szCs w:val="20"/>
          <w:color w:val="auto"/>
        </w:rPr>
      </w:pPr>
    </w:p>
    <w:p>
      <w:pPr>
        <w:ind w:right="80" w:firstLine="554"/>
        <w:spacing w:after="0" w:line="259" w:lineRule="auto"/>
        <w:rPr>
          <w:sz w:val="20"/>
          <w:szCs w:val="20"/>
          <w:color w:val="auto"/>
        </w:rPr>
      </w:pPr>
      <w:r>
        <w:rPr>
          <w:rFonts w:ascii="Arial" w:cs="Arial" w:eastAsia="Arial" w:hAnsi="Arial"/>
          <w:sz w:val="17"/>
          <w:szCs w:val="17"/>
          <w:color w:val="auto"/>
        </w:rPr>
        <w:t>We are committed to advancing diversity and inclusion (D&amp;I) in our workforce and established the D&amp;I Committee in 2020. We acknowledge that diversity in thought, experience, background, and culture makes our science and our community stronger. Our mission is to foster and create a unique culture where belonging and empowerment are at the forefront of our community. We advocate for diverse perspectives and encourage employees to be authentic, inclusive, and respectful to each other. We discourage behaviors that do not have a positive impact on our community or support our mission to discover, develop, and deliver curative therapies that target the underlying causes of heart disease.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firstLine="509"/>
        <w:spacing w:after="0" w:line="221" w:lineRule="auto"/>
        <w:rPr>
          <w:sz w:val="20"/>
          <w:szCs w:val="20"/>
          <w:color w:val="auto"/>
        </w:rPr>
      </w:pPr>
      <w:r>
        <w:rPr>
          <w:rFonts w:ascii="Arial" w:cs="Arial" w:eastAsia="Arial" w:hAnsi="Arial"/>
          <w:sz w:val="18"/>
          <w:szCs w:val="18"/>
          <w:color w:val="auto"/>
        </w:rPr>
        <w:t>We were incorporated in Delaware in August 2016. Our principal executive offices are located at 171 Oyster Point Boulevard,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spacing w:after="0" w:line="8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20" w:firstLine="509"/>
        <w:spacing w:after="0" w:line="279" w:lineRule="auto"/>
        <w:rPr>
          <w:sz w:val="20"/>
          <w:szCs w:val="20"/>
          <w:color w:val="auto"/>
        </w:rPr>
      </w:pPr>
      <w:r>
        <w:rPr>
          <w:rFonts w:ascii="Arial" w:cs="Arial" w:eastAsia="Arial" w:hAnsi="Arial"/>
          <w:sz w:val="16"/>
          <w:szCs w:val="16"/>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76" w:lineRule="exact"/>
        <w:rPr>
          <w:sz w:val="20"/>
          <w:szCs w:val="20"/>
          <w:color w:val="auto"/>
        </w:rPr>
      </w:pPr>
    </w:p>
    <w:p>
      <w:pPr>
        <w:ind w:left="900" w:right="320" w:hanging="383"/>
        <w:spacing w:after="0" w:line="248"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3" w:lineRule="exact"/>
        <w:rPr>
          <w:rFonts w:ascii="Arial" w:cs="Arial" w:eastAsia="Arial" w:hAnsi="Arial"/>
          <w:sz w:val="13"/>
          <w:szCs w:val="13"/>
          <w:color w:val="auto"/>
        </w:rPr>
      </w:pPr>
    </w:p>
    <w:p>
      <w:pPr>
        <w:ind w:left="900" w:right="240" w:hanging="383"/>
        <w:spacing w:after="0" w:line="261"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62" w:lineRule="exact"/>
        <w:rPr>
          <w:rFonts w:ascii="Arial" w:cs="Arial" w:eastAsia="Arial" w:hAnsi="Arial"/>
          <w:sz w:val="13"/>
          <w:szCs w:val="13"/>
          <w:color w:val="auto"/>
        </w:rPr>
      </w:pPr>
    </w:p>
    <w:p>
      <w:pPr>
        <w:ind w:left="900" w:right="480" w:hanging="383"/>
        <w:spacing w:after="0" w:line="261"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rFonts w:ascii="Arial" w:cs="Arial" w:eastAsia="Arial" w:hAnsi="Arial"/>
          <w:sz w:val="13"/>
          <w:szCs w:val="13"/>
          <w:color w:val="auto"/>
        </w:rPr>
      </w:pPr>
    </w:p>
    <w:p>
      <w:pPr>
        <w:ind w:left="900" w:right="240" w:hanging="383"/>
        <w:spacing w:after="0" w:line="248"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Our operations and financial results could be adversely impacted by the effects of the COVID-19 pandemic in the United States and the rest of the world.</w:t>
      </w:r>
    </w:p>
    <w:p>
      <w:pPr>
        <w:spacing w:after="0" w:line="62" w:lineRule="exact"/>
        <w:rPr>
          <w:rFonts w:ascii="Arial" w:cs="Arial" w:eastAsia="Arial" w:hAnsi="Arial"/>
          <w:sz w:val="13"/>
          <w:szCs w:val="13"/>
          <w:color w:val="auto"/>
        </w:rPr>
      </w:pPr>
    </w:p>
    <w:p>
      <w:pPr>
        <w:ind w:left="900" w:right="300" w:hanging="383"/>
        <w:spacing w:after="0" w:line="270" w:lineRule="auto"/>
        <w:tabs>
          <w:tab w:leader="none" w:pos="900" w:val="left"/>
        </w:tabs>
        <w:numPr>
          <w:ilvl w:val="0"/>
          <w:numId w:val="46"/>
        </w:numPr>
        <w:rPr>
          <w:rFonts w:ascii="Arial" w:cs="Arial" w:eastAsia="Arial" w:hAnsi="Arial"/>
          <w:sz w:val="12"/>
          <w:szCs w:val="12"/>
          <w:color w:val="auto"/>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55" w:lineRule="exact"/>
        <w:rPr>
          <w:rFonts w:ascii="Arial" w:cs="Arial" w:eastAsia="Arial" w:hAnsi="Arial"/>
          <w:sz w:val="12"/>
          <w:szCs w:val="12"/>
          <w:color w:val="auto"/>
        </w:rPr>
      </w:pPr>
    </w:p>
    <w:p>
      <w:pPr>
        <w:ind w:left="900" w:right="60" w:hanging="383"/>
        <w:spacing w:after="0" w:line="270" w:lineRule="auto"/>
        <w:tabs>
          <w:tab w:leader="none" w:pos="900" w:val="left"/>
        </w:tabs>
        <w:numPr>
          <w:ilvl w:val="0"/>
          <w:numId w:val="46"/>
        </w:numPr>
        <w:rPr>
          <w:rFonts w:ascii="Arial" w:cs="Arial" w:eastAsia="Arial" w:hAnsi="Arial"/>
          <w:sz w:val="12"/>
          <w:szCs w:val="12"/>
          <w:color w:val="auto"/>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55" w:lineRule="exact"/>
        <w:rPr>
          <w:rFonts w:ascii="Arial" w:cs="Arial" w:eastAsia="Arial" w:hAnsi="Arial"/>
          <w:sz w:val="12"/>
          <w:szCs w:val="12"/>
          <w:color w:val="auto"/>
        </w:rPr>
      </w:pPr>
    </w:p>
    <w:p>
      <w:pPr>
        <w:ind w:left="900" w:right="520" w:hanging="383"/>
        <w:spacing w:after="0" w:line="261"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62" w:lineRule="exact"/>
        <w:rPr>
          <w:rFonts w:ascii="Arial" w:cs="Arial" w:eastAsia="Arial" w:hAnsi="Arial"/>
          <w:sz w:val="13"/>
          <w:szCs w:val="13"/>
          <w:color w:val="auto"/>
        </w:rPr>
      </w:pPr>
    </w:p>
    <w:p>
      <w:pPr>
        <w:ind w:left="900" w:hanging="383"/>
        <w:spacing w:after="0" w:line="241"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1" w:lineRule="exact"/>
        <w:rPr>
          <w:rFonts w:ascii="Arial" w:cs="Arial" w:eastAsia="Arial" w:hAnsi="Arial"/>
          <w:sz w:val="13"/>
          <w:szCs w:val="13"/>
          <w:color w:val="auto"/>
        </w:rPr>
      </w:pPr>
    </w:p>
    <w:p>
      <w:pPr>
        <w:ind w:left="900" w:right="40" w:hanging="383"/>
        <w:spacing w:after="0" w:line="248"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3" w:lineRule="exact"/>
        <w:rPr>
          <w:rFonts w:ascii="Arial" w:cs="Arial" w:eastAsia="Arial" w:hAnsi="Arial"/>
          <w:sz w:val="13"/>
          <w:szCs w:val="13"/>
          <w:color w:val="auto"/>
        </w:rPr>
      </w:pPr>
    </w:p>
    <w:p>
      <w:pPr>
        <w:jc w:val="both"/>
        <w:ind w:left="900" w:right="160" w:hanging="383"/>
        <w:spacing w:after="0" w:line="248"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86" w:name="page87"/>
    <w:bookmarkEnd w:id="86"/>
    <w:p>
      <w:pPr>
        <w:ind w:left="900" w:right="640"/>
        <w:spacing w:after="0" w:line="261" w:lineRule="auto"/>
        <w:rPr>
          <w:sz w:val="20"/>
          <w:szCs w:val="20"/>
          <w:color w:val="auto"/>
        </w:rPr>
      </w:pPr>
      <w:r>
        <w:rPr>
          <w:rFonts w:ascii="Arial" w:cs="Arial" w:eastAsia="Arial" w:hAnsi="Arial"/>
          <w:sz w:val="18"/>
          <w:szCs w:val="18"/>
          <w:color w:val="231F20"/>
        </w:rPr>
        <w:t>successful product and fail to capitalize on product candidates or indications that may be more profitable or for which there is a greater likelihood of success.</w:t>
      </w:r>
    </w:p>
    <w:p>
      <w:pPr>
        <w:spacing w:after="0" w:line="63" w:lineRule="exact"/>
        <w:rPr>
          <w:sz w:val="20"/>
          <w:szCs w:val="20"/>
          <w:color w:val="auto"/>
        </w:rPr>
      </w:pPr>
    </w:p>
    <w:p>
      <w:pPr>
        <w:jc w:val="both"/>
        <w:ind w:left="900" w:right="300" w:hanging="383"/>
        <w:spacing w:after="0" w:line="248" w:lineRule="auto"/>
        <w:tabs>
          <w:tab w:leader="none" w:pos="900" w:val="left"/>
        </w:tabs>
        <w:numPr>
          <w:ilvl w:val="0"/>
          <w:numId w:val="47"/>
        </w:numPr>
        <w:rPr>
          <w:rFonts w:ascii="Arial" w:cs="Arial" w:eastAsia="Arial" w:hAnsi="Arial"/>
          <w:sz w:val="13"/>
          <w:szCs w:val="13"/>
          <w:color w:val="auto"/>
        </w:rPr>
      </w:pPr>
      <w:r>
        <w:rPr>
          <w:rFonts w:ascii="Arial" w:cs="Arial" w:eastAsia="Arial" w:hAnsi="Arial"/>
          <w:sz w:val="18"/>
          <w:szCs w:val="18"/>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3" w:lineRule="exact"/>
        <w:rPr>
          <w:rFonts w:ascii="Arial" w:cs="Arial" w:eastAsia="Arial" w:hAnsi="Arial"/>
          <w:sz w:val="13"/>
          <w:szCs w:val="13"/>
          <w:color w:val="auto"/>
        </w:rPr>
      </w:pPr>
    </w:p>
    <w:p>
      <w:pPr>
        <w:jc w:val="both"/>
        <w:ind w:left="900" w:right="340" w:hanging="383"/>
        <w:spacing w:after="0" w:line="248" w:lineRule="auto"/>
        <w:tabs>
          <w:tab w:leader="none" w:pos="900" w:val="left"/>
        </w:tabs>
        <w:numPr>
          <w:ilvl w:val="0"/>
          <w:numId w:val="47"/>
        </w:numPr>
        <w:rPr>
          <w:rFonts w:ascii="Arial" w:cs="Arial" w:eastAsia="Arial" w:hAnsi="Arial"/>
          <w:sz w:val="13"/>
          <w:szCs w:val="13"/>
          <w:color w:val="auto"/>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3" w:lineRule="exact"/>
        <w:rPr>
          <w:rFonts w:ascii="Arial" w:cs="Arial" w:eastAsia="Arial" w:hAnsi="Arial"/>
          <w:sz w:val="13"/>
          <w:szCs w:val="13"/>
          <w:color w:val="auto"/>
        </w:rPr>
      </w:pPr>
    </w:p>
    <w:p>
      <w:pPr>
        <w:jc w:val="both"/>
        <w:ind w:left="900" w:right="40" w:hanging="383"/>
        <w:spacing w:after="0" w:line="248" w:lineRule="auto"/>
        <w:tabs>
          <w:tab w:leader="none" w:pos="900" w:val="left"/>
        </w:tabs>
        <w:numPr>
          <w:ilvl w:val="0"/>
          <w:numId w:val="47"/>
        </w:numPr>
        <w:rPr>
          <w:rFonts w:ascii="Arial" w:cs="Arial" w:eastAsia="Arial" w:hAnsi="Arial"/>
          <w:sz w:val="13"/>
          <w:szCs w:val="13"/>
          <w:color w:val="auto"/>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73" w:lineRule="exact"/>
        <w:rPr>
          <w:rFonts w:ascii="Arial" w:cs="Arial" w:eastAsia="Arial" w:hAnsi="Arial"/>
          <w:sz w:val="13"/>
          <w:szCs w:val="13"/>
          <w:color w:val="auto"/>
        </w:rPr>
      </w:pPr>
    </w:p>
    <w:p>
      <w:pPr>
        <w:ind w:left="900" w:right="120" w:hanging="383"/>
        <w:spacing w:after="0" w:line="262" w:lineRule="auto"/>
        <w:tabs>
          <w:tab w:leader="none" w:pos="900" w:val="left"/>
        </w:tabs>
        <w:numPr>
          <w:ilvl w:val="0"/>
          <w:numId w:val="47"/>
        </w:numPr>
        <w:rPr>
          <w:rFonts w:ascii="Arial" w:cs="Arial" w:eastAsia="Arial" w:hAnsi="Arial"/>
          <w:sz w:val="12"/>
          <w:szCs w:val="12"/>
          <w:color w:val="auto"/>
        </w:rPr>
      </w:pPr>
      <w:r>
        <w:rPr>
          <w:rFonts w:ascii="Arial" w:cs="Arial" w:eastAsia="Arial" w:hAnsi="Arial"/>
          <w:sz w:val="17"/>
          <w:szCs w:val="17"/>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4" w:lineRule="exact"/>
        <w:rPr>
          <w:rFonts w:ascii="Arial" w:cs="Arial" w:eastAsia="Arial" w:hAnsi="Arial"/>
          <w:sz w:val="12"/>
          <w:szCs w:val="12"/>
          <w:color w:val="auto"/>
        </w:rPr>
      </w:pPr>
    </w:p>
    <w:p>
      <w:pPr>
        <w:ind w:left="900" w:right="60" w:hanging="383"/>
        <w:spacing w:after="0" w:line="248" w:lineRule="auto"/>
        <w:tabs>
          <w:tab w:leader="none" w:pos="900" w:val="left"/>
        </w:tabs>
        <w:numPr>
          <w:ilvl w:val="0"/>
          <w:numId w:val="47"/>
        </w:numPr>
        <w:rPr>
          <w:rFonts w:ascii="Arial" w:cs="Arial" w:eastAsia="Arial" w:hAnsi="Arial"/>
          <w:sz w:val="13"/>
          <w:szCs w:val="13"/>
          <w:color w:val="auto"/>
        </w:rPr>
      </w:pPr>
      <w:r>
        <w:rPr>
          <w:rFonts w:ascii="Arial" w:cs="Arial" w:eastAsia="Arial" w:hAnsi="Arial"/>
          <w:sz w:val="18"/>
          <w:szCs w:val="18"/>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121" w:lineRule="exact"/>
        <w:rPr>
          <w:sz w:val="20"/>
          <w:szCs w:val="20"/>
          <w:color w:val="auto"/>
        </w:rPr>
      </w:pPr>
    </w:p>
    <w:p>
      <w:pPr>
        <w:jc w:val="both"/>
        <w:ind w:right="500"/>
        <w:spacing w:after="0" w:line="362"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6"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231F20"/>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7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We have not yet demonstrated our ability to successfully initiate and complete any clinical trials, obtain marketing approvals, manufacture a clinical-or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ind w:right="40"/>
        <w:spacing w:after="0" w:line="261"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231F20"/>
        </w:rPr>
        <w:t>We have incurred significant net losses since our inception, have not generated any product revenue to date and have financed our operations principally through issuances of our common stock (including in our IPO) and, up until the date of our IPO in July 2021, through private placements of our convertible preferred stock. Our net loss was $72.7 million for the year ended December 31, 2021. As of December 31, 2021, we had an accumulated deficit of $155.5 million. Substantially all of our losses have resulted from expenses incurred in connection with our research and development programs and from general and administrative costs associated with our operations. We are still in the early stages of development of our 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80" w:lineRule="exact"/>
        <w:rPr>
          <w:sz w:val="20"/>
          <w:szCs w:val="20"/>
          <w:color w:val="auto"/>
        </w:rPr>
      </w:pPr>
    </w:p>
    <w:p>
      <w:pPr>
        <w:ind w:left="900" w:right="28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obtaining regulatory approval to commence clinical trials of our product candidates;</w:t>
      </w:r>
    </w:p>
    <w:p>
      <w:pPr>
        <w:spacing w:after="0" w:line="103" w:lineRule="exact"/>
        <w:rPr>
          <w:rFonts w:ascii="Arial" w:cs="Arial" w:eastAsia="Arial" w:hAnsi="Arial"/>
          <w:sz w:val="13"/>
          <w:szCs w:val="13"/>
          <w:color w:val="auto"/>
        </w:rPr>
      </w:pPr>
    </w:p>
    <w:p>
      <w:pPr>
        <w:ind w:left="900" w:right="28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the initiation and successful patient enrollment and completion of clinical trials on a timely basis;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acceptable frequency and severity of adverse events in the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2"/>
          <w:szCs w:val="12"/>
          <w:color w:val="auto"/>
        </w:rPr>
      </w:pPr>
      <w:r>
        <w:rPr>
          <w:rFonts w:ascii="Arial" w:cs="Arial" w:eastAsia="Arial" w:hAnsi="Arial"/>
          <w:sz w:val="17"/>
          <w:szCs w:val="17"/>
          <w:color w:val="231F20"/>
        </w:rPr>
        <w:t>the efficacy and safety profiles that are satisfactory to the FDA or any comparable foreign regulatory authority for marketing approval;</w:t>
      </w:r>
    </w:p>
    <w:p>
      <w:pPr>
        <w:spacing w:after="0" w:line="115" w:lineRule="exact"/>
        <w:rPr>
          <w:rFonts w:ascii="Arial" w:cs="Arial" w:eastAsia="Arial" w:hAnsi="Arial"/>
          <w:sz w:val="12"/>
          <w:szCs w:val="12"/>
          <w:color w:val="auto"/>
        </w:rPr>
      </w:pPr>
    </w:p>
    <w:p>
      <w:pPr>
        <w:ind w:left="900" w:right="30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complying with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1"/>
          <w:szCs w:val="11"/>
          <w:color w:val="auto"/>
        </w:rPr>
      </w:pPr>
      <w:r>
        <w:rPr>
          <w:rFonts w:ascii="Arial" w:cs="Arial" w:eastAsia="Arial" w:hAnsi="Arial"/>
          <w:sz w:val="16"/>
          <w:szCs w:val="16"/>
          <w:color w:val="231F20"/>
        </w:rPr>
        <w:t>establishing and operating a manufacturing facility and developing an efficient and scalable manufacturing process for our product candidates;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ind w:left="900" w:right="80" w:hanging="383"/>
        <w:spacing w:after="0" w:line="248"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3"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a continued acceptable safety profile following any marketing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commercial acceptance of our product candidates by patients, the medical community and third-party payors;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satisfying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identifying, assessing and developing new product candidates;</w:t>
      </w:r>
    </w:p>
    <w:p>
      <w:pPr>
        <w:spacing w:after="0" w:line="103" w:lineRule="exact"/>
        <w:rPr>
          <w:rFonts w:ascii="Arial" w:cs="Arial" w:eastAsia="Arial" w:hAnsi="Arial"/>
          <w:sz w:val="13"/>
          <w:szCs w:val="13"/>
          <w:color w:val="auto"/>
        </w:rPr>
      </w:pPr>
    </w:p>
    <w:p>
      <w:pPr>
        <w:ind w:left="900" w:right="4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obtaining, maintaining, and expanding patent and other intellectual property protection, trade secret protection and regulatory exclusivity, both in the United States and internationally;</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protecting and enforcing our rights in our intellectual property portfolio;</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defending against third-party infringement, misappropriation, or other claims, if any;</w:t>
      </w:r>
    </w:p>
    <w:p>
      <w:pPr>
        <w:spacing w:after="0" w:line="103" w:lineRule="exact"/>
        <w:rPr>
          <w:rFonts w:ascii="Arial" w:cs="Arial" w:eastAsia="Arial" w:hAnsi="Arial"/>
          <w:sz w:val="13"/>
          <w:szCs w:val="13"/>
          <w:color w:val="auto"/>
        </w:rPr>
      </w:pPr>
    </w:p>
    <w:p>
      <w:pPr>
        <w:ind w:left="900" w:right="88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obtaining additional funding to develop, manufacture and commercialize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addressing any competing therapies and technological and market developments;</w:t>
      </w:r>
    </w:p>
    <w:p>
      <w:pPr>
        <w:spacing w:after="0" w:line="103" w:lineRule="exact"/>
        <w:rPr>
          <w:rFonts w:ascii="Arial" w:cs="Arial" w:eastAsia="Arial" w:hAnsi="Arial"/>
          <w:sz w:val="13"/>
          <w:szCs w:val="13"/>
          <w:color w:val="auto"/>
        </w:rPr>
      </w:pPr>
    </w:p>
    <w:p>
      <w:pPr>
        <w:ind w:left="900" w:right="18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managing costs, including any unforeseen costs, that we may incur as a result of nonclinical study or clinical trial delays due to the effects of the COVID-19 pandemic, including the emergence of recent variants, or other causes;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2"/>
          <w:szCs w:val="12"/>
          <w:color w:val="auto"/>
        </w:rPr>
      </w:pPr>
      <w:r>
        <w:rPr>
          <w:rFonts w:ascii="Arial" w:cs="Arial" w:eastAsia="Arial" w:hAnsi="Arial"/>
          <w:sz w:val="17"/>
          <w:szCs w:val="17"/>
          <w:color w:val="231F20"/>
        </w:rPr>
        <w:t>attracting, hiring and retaining qualified and key personnel including clinical, scientific, management and administrative personnel.</w:t>
      </w:r>
    </w:p>
    <w:p>
      <w:pPr>
        <w:spacing w:after="0" w:line="115"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20"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As of December 31, 2021, we had $251.3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Annual Report on Form 10-K.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6"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product candidates. Even if one or more of the product candidates that we develop is approved for commercial sale, we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9" w:name="page90"/>
    <w:bookmarkEnd w:id="89"/>
    <w:p>
      <w:pPr>
        <w:ind w:right="140"/>
        <w:spacing w:after="0" w:line="255" w:lineRule="auto"/>
        <w:rPr>
          <w:sz w:val="20"/>
          <w:szCs w:val="20"/>
          <w:color w:val="auto"/>
        </w:rPr>
      </w:pPr>
      <w:r>
        <w:rPr>
          <w:rFonts w:ascii="Arial" w:cs="Arial" w:eastAsia="Arial" w:hAnsi="Arial"/>
          <w:sz w:val="17"/>
          <w:szCs w:val="17"/>
          <w:color w:val="231F20"/>
        </w:rPr>
        <w:t>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04" w:lineRule="exact"/>
        <w:rPr>
          <w:sz w:val="20"/>
          <w:szCs w:val="20"/>
          <w:color w:val="auto"/>
        </w:rPr>
      </w:pPr>
    </w:p>
    <w:p>
      <w:pPr>
        <w:ind w:left="900" w:right="2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costs, timing and outcome of regulatory review of our product candidates or any future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number and characteristics of other product candidates that we pursue or acquire;</w:t>
      </w:r>
    </w:p>
    <w:p>
      <w:pPr>
        <w:spacing w:after="0" w:line="103" w:lineRule="exact"/>
        <w:rPr>
          <w:rFonts w:ascii="Arial" w:cs="Arial" w:eastAsia="Arial" w:hAnsi="Arial"/>
          <w:sz w:val="13"/>
          <w:szCs w:val="13"/>
          <w:color w:val="auto"/>
        </w:rPr>
      </w:pPr>
    </w:p>
    <w:p>
      <w:pPr>
        <w:ind w:left="900" w:right="62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costs of establishing and operating our own manufacturing facility;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costs of manufacturing commercial-grade products and sufficient inventory to support commercial launch;</w:t>
      </w:r>
    </w:p>
    <w:p>
      <w:pPr>
        <w:spacing w:after="0" w:line="103"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2"/>
          <w:szCs w:val="12"/>
          <w:color w:val="auto"/>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 and timing of hiring new employees to support our continued growth;</w:t>
      </w:r>
    </w:p>
    <w:p>
      <w:pPr>
        <w:spacing w:after="0" w:line="103" w:lineRule="exact"/>
        <w:rPr>
          <w:rFonts w:ascii="Arial" w:cs="Arial" w:eastAsia="Arial" w:hAnsi="Arial"/>
          <w:sz w:val="13"/>
          <w:szCs w:val="13"/>
          <w:color w:val="auto"/>
        </w:rPr>
      </w:pPr>
    </w:p>
    <w:p>
      <w:pPr>
        <w:ind w:left="900" w:right="38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effect of competing products that may limit market penetration of our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ability to establish and maintain collaborations on favorable terms, if at all;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extent to which we acquire or in-license other product candidates and technologies;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1"/>
          <w:szCs w:val="11"/>
          <w:color w:val="auto"/>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our need to implement additional internal systems and infrastructure, including financial and reporting systems;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compliance and administrative costs associated with being a public company; and</w:t>
      </w:r>
    </w:p>
    <w:p>
      <w:pPr>
        <w:spacing w:after="0" w:line="103"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extent to which we acquire or invest in businesses, products, or technologies, although we currently have no commitments or agreements relating to any of these types of transactions.</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ind w:right="20" w:firstLine="509"/>
        <w:spacing w:after="0" w:line="259" w:lineRule="auto"/>
        <w:rPr>
          <w:sz w:val="20"/>
          <w:szCs w:val="20"/>
          <w:color w:val="auto"/>
        </w:rPr>
      </w:pPr>
      <w:r>
        <w:rPr>
          <w:rFonts w:ascii="Arial" w:cs="Arial" w:eastAsia="Arial" w:hAnsi="Arial"/>
          <w:sz w:val="17"/>
          <w:szCs w:val="17"/>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Our operations and financial results could be adversely impacted by the effects of the COVID-19 pandemic, including the emergence of recent variants, in the United States and the rest of the world.</w:t>
      </w:r>
    </w:p>
    <w:p>
      <w:pPr>
        <w:spacing w:after="0" w:line="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including the effects of recent variants, that could severely impact our business, including:</w:t>
      </w:r>
    </w:p>
    <w:p>
      <w:pPr>
        <w:spacing w:after="0" w:line="83" w:lineRule="exact"/>
        <w:rPr>
          <w:sz w:val="20"/>
          <w:szCs w:val="20"/>
          <w:color w:val="auto"/>
        </w:rPr>
      </w:pPr>
    </w:p>
    <w:p>
      <w:pPr>
        <w:ind w:left="900" w:right="22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interruptions, difficulties or delays arising in our existing operations and company culture as a result of a majority of our employees working remotely, including those hired during the COVID-19 pandemic;</w:t>
      </w:r>
    </w:p>
    <w:p>
      <w:pPr>
        <w:spacing w:after="0" w:line="62" w:lineRule="exact"/>
        <w:rPr>
          <w:rFonts w:ascii="Arial" w:cs="Arial" w:eastAsia="Arial" w:hAnsi="Arial"/>
          <w:sz w:val="13"/>
          <w:szCs w:val="13"/>
          <w:color w:val="231F20"/>
        </w:rPr>
      </w:pPr>
    </w:p>
    <w:p>
      <w:pPr>
        <w:ind w:left="900" w:right="18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delays in the build out of our manufacturing facility and receipt of materials integral to the production of drug product to support our planned clinical trials;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delays in receiving approval from local regulatory authorities to initiate our planned clinical trials;</w:t>
      </w:r>
    </w:p>
    <w:p>
      <w:pPr>
        <w:spacing w:after="0" w:line="103" w:lineRule="exact"/>
        <w:rPr>
          <w:rFonts w:ascii="Arial" w:cs="Arial" w:eastAsia="Arial" w:hAnsi="Arial"/>
          <w:sz w:val="13"/>
          <w:szCs w:val="13"/>
          <w:color w:val="231F20"/>
        </w:rPr>
      </w:pPr>
    </w:p>
    <w:p>
      <w:pPr>
        <w:ind w:left="900" w:right="26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challenges related to ongoing and increased operational expenses related to the COVID-19 pandemic;</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103" w:lineRule="exact"/>
        <w:rPr>
          <w:rFonts w:ascii="Arial" w:cs="Arial" w:eastAsia="Arial" w:hAnsi="Arial"/>
          <w:sz w:val="13"/>
          <w:szCs w:val="13"/>
          <w:color w:val="231F20"/>
        </w:rPr>
      </w:pPr>
    </w:p>
    <w:p>
      <w:pPr>
        <w:ind w:left="900" w:hanging="383"/>
        <w:spacing w:after="0" w:line="261" w:lineRule="auto"/>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auto"/>
        </w:rPr>
        <w:t>delays or difficulties in obtaining supplies, supply chain specialists, vendors or other contractors related to clinical trial operations and logistics, which can delay the submission of an IND or our ability to commence a clinical trial on a timely manner;</w:t>
      </w:r>
    </w:p>
    <w:p>
      <w:pPr>
        <w:spacing w:after="0" w:line="62" w:lineRule="exact"/>
        <w:rPr>
          <w:rFonts w:ascii="Arial" w:cs="Arial" w:eastAsia="Arial" w:hAnsi="Arial"/>
          <w:sz w:val="13"/>
          <w:szCs w:val="13"/>
          <w:color w:val="auto"/>
        </w:rPr>
      </w:pPr>
    </w:p>
    <w:p>
      <w:pPr>
        <w:ind w:left="900" w:right="60" w:hanging="383"/>
        <w:spacing w:after="0" w:line="259" w:lineRule="auto"/>
        <w:tabs>
          <w:tab w:leader="none" w:pos="900" w:val="left"/>
        </w:tabs>
        <w:numPr>
          <w:ilvl w:val="0"/>
          <w:numId w:val="51"/>
        </w:numPr>
        <w:rPr>
          <w:rFonts w:ascii="Arial" w:cs="Arial" w:eastAsia="Arial" w:hAnsi="Arial"/>
          <w:sz w:val="12"/>
          <w:szCs w:val="12"/>
          <w:color w:val="auto"/>
        </w:rPr>
      </w:pPr>
      <w:r>
        <w:rPr>
          <w:rFonts w:ascii="Arial" w:cs="Arial" w:eastAsia="Arial" w:hAnsi="Arial"/>
          <w:sz w:val="17"/>
          <w:szCs w:val="17"/>
          <w:color w:val="auto"/>
        </w:rPr>
        <w:t>changes made to manufacturing plans due to delays or interruptions in obtaining manufacturing supplies or other disruptions to the supply chain, which can negatively impact our clinical plans, delay our clinical development timelines, and increase our costs; if supply chain or manufacturing issues result in material changes to our manufacturing process, such material changes could impact the quality and performance of our product candidates, which could delay our clinical trials, require the conduct of bridging clinical trials or the repetition of one or more clinical trials, increase clinical trial costs, and delay approval of our product candidates;</w:t>
      </w:r>
    </w:p>
    <w:p>
      <w:pPr>
        <w:spacing w:after="0" w:line="65" w:lineRule="exact"/>
        <w:rPr>
          <w:rFonts w:ascii="Arial" w:cs="Arial" w:eastAsia="Arial" w:hAnsi="Arial"/>
          <w:sz w:val="12"/>
          <w:szCs w:val="12"/>
          <w:color w:val="auto"/>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delays, difficulties or increased costs to comply with COVID-19 protocols at our leased facilities and clinical sites;</w:t>
      </w:r>
    </w:p>
    <w:p>
      <w:pPr>
        <w:spacing w:after="0" w:line="103" w:lineRule="exact"/>
        <w:rPr>
          <w:rFonts w:ascii="Arial" w:cs="Arial" w:eastAsia="Arial" w:hAnsi="Arial"/>
          <w:sz w:val="13"/>
          <w:szCs w:val="13"/>
          <w:color w:val="231F20"/>
        </w:rPr>
      </w:pPr>
    </w:p>
    <w:p>
      <w:pPr>
        <w:ind w:left="900" w:right="22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62" w:lineRule="exact"/>
        <w:rPr>
          <w:rFonts w:ascii="Arial" w:cs="Arial" w:eastAsia="Arial" w:hAnsi="Arial"/>
          <w:sz w:val="13"/>
          <w:szCs w:val="13"/>
          <w:color w:val="231F20"/>
        </w:rPr>
      </w:pPr>
    </w:p>
    <w:p>
      <w:pPr>
        <w:ind w:left="900" w:right="2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3"/>
          <w:szCs w:val="13"/>
          <w:color w:val="231F20"/>
        </w:rPr>
      </w:pPr>
    </w:p>
    <w:p>
      <w:pPr>
        <w:ind w:left="900" w:right="180" w:hanging="383"/>
        <w:spacing w:after="0" w:line="248"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1" w:name="page92"/>
    <w:bookmarkEnd w:id="91"/>
    <w:p>
      <w:pPr>
        <w:ind w:left="900" w:hanging="383"/>
        <w:spacing w:after="0"/>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delays in preclinical and clinical sites receiving the supplies and materials needed to conduct our planned clinical trials;</w:t>
      </w:r>
    </w:p>
    <w:p>
      <w:pPr>
        <w:spacing w:after="0" w:line="103" w:lineRule="exact"/>
        <w:rPr>
          <w:rFonts w:ascii="Arial" w:cs="Arial" w:eastAsia="Arial" w:hAnsi="Arial"/>
          <w:sz w:val="13"/>
          <w:szCs w:val="13"/>
          <w:color w:val="231F20"/>
        </w:rPr>
      </w:pPr>
    </w:p>
    <w:p>
      <w:pPr>
        <w:ind w:left="900" w:right="340" w:hanging="383"/>
        <w:spacing w:after="0" w:line="261" w:lineRule="auto"/>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62" w:lineRule="exact"/>
        <w:rPr>
          <w:rFonts w:ascii="Arial" w:cs="Arial" w:eastAsia="Arial" w:hAnsi="Arial"/>
          <w:sz w:val="13"/>
          <w:szCs w:val="13"/>
          <w:color w:val="231F20"/>
        </w:rPr>
      </w:pPr>
    </w:p>
    <w:p>
      <w:pPr>
        <w:ind w:left="900" w:right="220" w:hanging="383"/>
        <w:spacing w:after="0" w:line="261" w:lineRule="auto"/>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62" w:lineRule="exact"/>
        <w:rPr>
          <w:rFonts w:ascii="Arial" w:cs="Arial" w:eastAsia="Arial" w:hAnsi="Arial"/>
          <w:sz w:val="13"/>
          <w:szCs w:val="13"/>
          <w:color w:val="231F20"/>
        </w:rPr>
      </w:pPr>
    </w:p>
    <w:p>
      <w:pPr>
        <w:ind w:left="900" w:right="60" w:hanging="383"/>
        <w:spacing w:after="0" w:line="261" w:lineRule="auto"/>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refusal of the FDA to accept data from clinical trials in affected geographies outside the United States;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2"/>
        </w:numPr>
        <w:rPr>
          <w:rFonts w:ascii="Arial" w:cs="Arial" w:eastAsia="Arial" w:hAnsi="Arial"/>
          <w:sz w:val="13"/>
          <w:szCs w:val="13"/>
          <w:color w:val="231F20"/>
        </w:rPr>
      </w:pPr>
      <w:r>
        <w:rPr>
          <w:rFonts w:ascii="Arial" w:cs="Arial" w:eastAsia="Arial" w:hAnsi="Arial"/>
          <w:sz w:val="18"/>
          <w:szCs w:val="18"/>
          <w:color w:val="231F20"/>
        </w:rPr>
        <w:t>increased competition for CROs, contract development and manufacturing organizations (CDMOs), suppliers and vendors; and</w:t>
      </w:r>
    </w:p>
    <w:p>
      <w:pPr>
        <w:spacing w:after="0" w:line="103" w:lineRule="exact"/>
        <w:rPr>
          <w:rFonts w:ascii="Arial" w:cs="Arial" w:eastAsia="Arial" w:hAnsi="Arial"/>
          <w:sz w:val="13"/>
          <w:szCs w:val="13"/>
          <w:color w:val="231F20"/>
        </w:rPr>
      </w:pPr>
    </w:p>
    <w:p>
      <w:pPr>
        <w:ind w:left="900" w:right="140" w:hanging="383"/>
        <w:spacing w:after="0" w:line="291" w:lineRule="auto"/>
        <w:tabs>
          <w:tab w:leader="none" w:pos="900" w:val="left"/>
        </w:tabs>
        <w:numPr>
          <w:ilvl w:val="0"/>
          <w:numId w:val="52"/>
        </w:numPr>
        <w:rPr>
          <w:rFonts w:ascii="Arial" w:cs="Arial" w:eastAsia="Arial" w:hAnsi="Arial"/>
          <w:sz w:val="12"/>
          <w:szCs w:val="12"/>
          <w:color w:val="231F20"/>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3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231F20"/>
        </w:rPr>
        <w:t>We will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7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231F20"/>
        </w:rPr>
        <w:t>Three vaccines for COVID-19 have been granted Emergency Use Authorization (EUA) by the FDA, and more may be authorized in the coming months. On August 23, 2021, the FDA approved the first COVID-19 vaccine, which will continue to be available under an EUA as well and on October 22, 2020, the FDA approved an antiviral drug to treat COVID-19. Other COVID-19 treatment options have also been authorized by the FDA, including monoclonal antibodies and additional antiviral drugs. The demand for vaccines and these treatment options, and potential for manufacturing facilities and materials to be commandeered under the Defense Production Act of 1950, or equivalent foreign legislation, have made it more difficult to obtain materials and manufacturing slots for our product candidates needed for our preclinical studies and clinical trials, which could lead to delays in these studies and trials.</w:t>
      </w:r>
    </w:p>
    <w:p>
      <w:pPr>
        <w:spacing w:after="0" w:line="8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231F20"/>
        </w:rPr>
        <w:t>The extent to which the COVID-19 pandemic, including recent variants, impacts our business will depend on future developments such as the rate of the spread of the disease, new travel restrictions and social distancing in the United States and other countries, business closures or business disruptions, supply of and continued demand for vaccines, the continued effectiveness of the vaccines, and the effectiveness of actions taken in the United States and other countries to contain and treat the disease and to address its impact, including on financial markets or otherwise. Further, a lack of coordinated response on risk mitigation and continued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231F20"/>
        </w:rPr>
        <w:t>crisis such as the COVID-19 pandemic could have a material negative impact on our business, financial condition and operating results.</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17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7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7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15"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231F20"/>
        </w:rPr>
        <w:t>Our net operating loss (NOL) carryforwards may be unavailable to offset future taxable income because of restrictions under U.S. tax law. Under current law, our federal NOLs generated in tax years beginning after December 31, 2017 may be carried forward indefinitely, but is limited to 80% of our current year taxable income. Federal NOLs generated in tax years ending on or prior to December 31, 2017 expire after 20 taxable years. Different restrictions apply under state law. As of December 31, 2021, we had available federal NOL carry forwards of approximately $143.8 million, of which $140.7 million do not expire.</w:t>
      </w:r>
    </w:p>
    <w:p>
      <w:pPr>
        <w:spacing w:after="0" w:line="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21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i w:val="1"/>
          <w:iCs w:val="1"/>
          <w:color w:val="231F20"/>
        </w:rPr>
        <w:t>our product candidates, or successfully develop any other product candidates, or experience significant delays in doing so, our business will be harmed.</w:t>
      </w:r>
    </w:p>
    <w:p>
      <w:pPr>
        <w:spacing w:after="0" w:line="15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231F20"/>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7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231F20"/>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55"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63" w:lineRule="exact"/>
        <w:rPr>
          <w:sz w:val="20"/>
          <w:szCs w:val="20"/>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successful and timely completion of our ongoing preclinical studies;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generating sufficient data to support the initiation or continuation of clinical trials;</w:t>
      </w:r>
    </w:p>
    <w:p>
      <w:pPr>
        <w:spacing w:after="0" w:line="103" w:lineRule="exact"/>
        <w:rPr>
          <w:rFonts w:ascii="Arial" w:cs="Arial" w:eastAsia="Arial" w:hAnsi="Arial"/>
          <w:sz w:val="13"/>
          <w:szCs w:val="13"/>
          <w:color w:val="auto"/>
        </w:rPr>
      </w:pPr>
    </w:p>
    <w:p>
      <w:pPr>
        <w:ind w:left="900" w:right="180" w:hanging="383"/>
        <w:spacing w:after="0" w:line="261"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addressing any delays, necessary adjustments and additional costs in preclinical studies and clinical trials resulting from factors related to the COVID-19 pandemic;</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1"/>
          <w:szCs w:val="11"/>
          <w:color w:val="auto"/>
        </w:rPr>
      </w:pPr>
      <w:r>
        <w:rPr>
          <w:rFonts w:ascii="Arial" w:cs="Arial" w:eastAsia="Arial" w:hAnsi="Arial"/>
          <w:sz w:val="16"/>
          <w:szCs w:val="16"/>
          <w:color w:val="231F20"/>
        </w:rPr>
        <w:t>submission of INDs or other regulatory applications for our planned clinical trials and authorizations from regulators to initiate clinical trials;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contracting with the necessary parties to conduct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successful enrollment in, and completion of, clinical trials on a timely basis;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achieving favorable results from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timely manufacture of sufficient quantities of a product candidate for use in clinical trials and, if approved, commercialization;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03" w:lineRule="exact"/>
        <w:rPr>
          <w:rFonts w:ascii="Arial" w:cs="Arial" w:eastAsia="Arial" w:hAnsi="Arial"/>
          <w:sz w:val="13"/>
          <w:szCs w:val="13"/>
          <w:color w:val="auto"/>
        </w:rPr>
      </w:pPr>
    </w:p>
    <w:p>
      <w:pPr>
        <w:ind w:left="900" w:right="720" w:hanging="383"/>
        <w:spacing w:after="0" w:line="261"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sufficiency of our financial and other resources to complete the necessary preclinical studies and clinical trials and commercialization activities;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frequency and severity of adverse events in clinical trials;</w:t>
      </w:r>
    </w:p>
    <w:p>
      <w:pPr>
        <w:spacing w:after="0" w:line="103"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timely receipt of marketing approvals from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extent of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4" w:name="page95"/>
    <w:bookmarkEnd w:id="94"/>
    <w:p>
      <w:pPr>
        <w:ind w:left="900" w:right="100" w:hanging="383"/>
        <w:spacing w:after="0" w:line="248"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73" w:lineRule="exact"/>
        <w:rPr>
          <w:rFonts w:ascii="Arial" w:cs="Arial" w:eastAsia="Arial" w:hAnsi="Arial"/>
          <w:sz w:val="13"/>
          <w:szCs w:val="13"/>
          <w:color w:val="auto"/>
        </w:rPr>
      </w:pPr>
    </w:p>
    <w:p>
      <w:pPr>
        <w:ind w:left="900" w:right="300" w:hanging="383"/>
        <w:spacing w:after="0" w:line="261"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maintaining consistent quality, purity, and potency across clinical supplies and commercial supplies for any approved products;</w:t>
      </w:r>
    </w:p>
    <w:p>
      <w:pPr>
        <w:spacing w:after="0" w:line="103" w:lineRule="exact"/>
        <w:rPr>
          <w:rFonts w:ascii="Arial" w:cs="Arial" w:eastAsia="Arial" w:hAnsi="Arial"/>
          <w:sz w:val="13"/>
          <w:szCs w:val="13"/>
          <w:color w:val="auto"/>
        </w:rPr>
      </w:pPr>
    </w:p>
    <w:p>
      <w:pPr>
        <w:ind w:left="900" w:right="500" w:hanging="383"/>
        <w:spacing w:after="0" w:line="261"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obtaining and maintaining patent and other intellectual property protection, trade secret protection and regulatory exclusivity, both in the United States and internationally;</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protecting, enforcing and defending our rights in our intellectual property portfolio;</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our ability to expand into multiple indications;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the successful launch of commercial sales following any marketing approval;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a continued acceptable safety profile and sustained therapeutic effect of our therapies following any marketing approval;</w:t>
      </w:r>
    </w:p>
    <w:p>
      <w:pPr>
        <w:spacing w:after="0" w:line="103"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the actual market-size, ability to identify patients and the demographics of patients eligible for our product candidates, which may be different than expected;</w:t>
      </w:r>
    </w:p>
    <w:p>
      <w:pPr>
        <w:spacing w:after="0" w:line="62" w:lineRule="exact"/>
        <w:rPr>
          <w:rFonts w:ascii="Arial" w:cs="Arial" w:eastAsia="Arial" w:hAnsi="Arial"/>
          <w:sz w:val="13"/>
          <w:szCs w:val="13"/>
          <w:color w:val="auto"/>
        </w:rPr>
      </w:pPr>
    </w:p>
    <w:p>
      <w:pPr>
        <w:ind w:left="900" w:right="160" w:hanging="383"/>
        <w:spacing w:after="0" w:line="261"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commercial acceptance by patients, the medical community and third-party payors, particularly since the product candidates we develop may be novel;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our ability to compete with other therapies.</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231F20"/>
        </w:rPr>
        <w:t>To become and remain profitable, we must develop, obtain approval for and eventually commercialize products candidates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80" w:lineRule="exact"/>
        <w:rPr>
          <w:sz w:val="20"/>
          <w:szCs w:val="20"/>
          <w:color w:val="auto"/>
        </w:rPr>
      </w:pPr>
    </w:p>
    <w:p>
      <w:pPr>
        <w:jc w:val="both"/>
        <w:ind w:right="540" w:firstLine="509"/>
        <w:spacing w:after="0" w:line="294"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5" w:name="page96"/>
    <w:bookmarkEnd w:id="95"/>
    <w:p>
      <w:pPr>
        <w:ind w:right="540"/>
        <w:spacing w:after="0" w:line="261" w:lineRule="auto"/>
        <w:rPr>
          <w:sz w:val="20"/>
          <w:szCs w:val="20"/>
          <w:color w:val="auto"/>
        </w:rPr>
      </w:pPr>
      <w:r>
        <w:rPr>
          <w:rFonts w:ascii="Arial" w:cs="Arial" w:eastAsia="Arial" w:hAnsi="Arial"/>
          <w:sz w:val="18"/>
          <w:szCs w:val="18"/>
          <w:b w:val="1"/>
          <w:bCs w:val="1"/>
          <w:i w:val="1"/>
          <w:iCs w:val="1"/>
          <w:color w:val="231F20"/>
        </w:rPr>
        <w:t>subject to change, we cannot predict the time and cost of obtaining regulatory approval, if we receive it at all, for any product candidates we may develop.</w:t>
      </w:r>
    </w:p>
    <w:p>
      <w:pPr>
        <w:spacing w:after="0" w:line="6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5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231F20"/>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8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7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6"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55"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231F20"/>
        </w:rPr>
        <w:t>Approvals by the EMA may not be indicative of what the FDA may require for approval. Delay or failure to obtain, or unexpected costs in obtaining, the regulatory approvals necessary to bring a potential product to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ind w:right="660"/>
        <w:spacing w:after="0" w:line="261" w:lineRule="auto"/>
        <w:rPr>
          <w:sz w:val="20"/>
          <w:szCs w:val="20"/>
          <w:color w:val="auto"/>
        </w:rPr>
      </w:pPr>
      <w:r>
        <w:rPr>
          <w:rFonts w:ascii="Arial" w:cs="Arial" w:eastAsia="Arial" w:hAnsi="Arial"/>
          <w:sz w:val="18"/>
          <w:szCs w:val="18"/>
          <w:color w:val="231F20"/>
        </w:rPr>
        <w:t>could decrease our ability to generate sufficient product revenue and our business, financial condition, results of operations and prospects could be materially harmed.</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Adverse developments in preclinical studies or clinical trials conducted by others in the field of gene therapy and gene regulation products may cause the FDA, EMA, and other regulatory bodies to revise the requirements for the conduct of the clinical studies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7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6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78"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7" w:name="page98"/>
    <w:bookmarkEnd w:id="97"/>
    <w:p>
      <w:pPr>
        <w:ind w:right="120"/>
        <w:spacing w:after="0" w:line="243" w:lineRule="auto"/>
        <w:rPr>
          <w:sz w:val="20"/>
          <w:szCs w:val="20"/>
          <w:color w:val="auto"/>
        </w:rPr>
      </w:pPr>
      <w:r>
        <w:rPr>
          <w:rFonts w:ascii="Arial" w:cs="Arial" w:eastAsia="Arial" w:hAnsi="Arial"/>
          <w:sz w:val="18"/>
          <w:szCs w:val="18"/>
          <w:color w:val="231F20"/>
        </w:rPr>
        <w:t>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231F20"/>
        </w:rPr>
        <w:t xml:space="preserve">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w:t>
      </w:r>
      <w:r>
        <w:rPr>
          <w:rFonts w:ascii="Arial" w:cs="Arial" w:eastAsia="Arial" w:hAnsi="Arial"/>
          <w:sz w:val="18"/>
          <w:szCs w:val="18"/>
          <w:color w:val="000000"/>
        </w:rPr>
        <w:t>lengthy, complex and extensive</w:t>
      </w:r>
      <w:r>
        <w:rPr>
          <w:rFonts w:ascii="Arial" w:cs="Arial" w:eastAsia="Arial" w:hAnsi="Arial"/>
          <w:sz w:val="18"/>
          <w:szCs w:val="18"/>
          <w:color w:val="231F20"/>
        </w:rPr>
        <w:t xml:space="preserve"> preclinical studies and clinical trials to demonstrate with substantial evidence the safety and efficacy of such product candidates.</w:t>
      </w:r>
    </w:p>
    <w:p>
      <w:pPr>
        <w:spacing w:after="0" w:line="8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 xml:space="preserve">Preclinical and </w:t>
      </w:r>
      <w:r>
        <w:rPr>
          <w:rFonts w:ascii="Arial" w:cs="Arial" w:eastAsia="Arial" w:hAnsi="Arial"/>
          <w:sz w:val="17"/>
          <w:szCs w:val="17"/>
          <w:color w:val="231F20"/>
        </w:rPr>
        <w:t>clinical testing is expensive, difficult to design and implement, can take many years to complete and its ultimate outcome is</w:t>
      </w:r>
      <w:r>
        <w:rPr>
          <w:rFonts w:ascii="Arial" w:cs="Arial" w:eastAsia="Arial" w:hAnsi="Arial"/>
          <w:sz w:val="17"/>
          <w:szCs w:val="17"/>
          <w:color w:val="auto"/>
        </w:rPr>
        <w:t xml:space="preserve"> </w:t>
      </w:r>
      <w:r>
        <w:rPr>
          <w:rFonts w:ascii="Arial" w:cs="Arial" w:eastAsia="Arial" w:hAnsi="Arial"/>
          <w:sz w:val="17"/>
          <w:szCs w:val="17"/>
          <w:color w:val="231F20"/>
        </w:rPr>
        <w:t xml:space="preserve">uncertain. We cannot guarantee that any of our preclinical studies, clinical trials or post-marketing studies will be initiated, conducted or completed on schedule or as planned, or at all. </w:t>
      </w:r>
      <w:r>
        <w:rPr>
          <w:rFonts w:ascii="Arial" w:cs="Arial" w:eastAsia="Arial" w:hAnsi="Arial"/>
          <w:sz w:val="17"/>
          <w:szCs w:val="17"/>
          <w:color w:val="000000"/>
        </w:rPr>
        <w:t>Failure can occur at any stage of testing.</w:t>
      </w:r>
      <w:r>
        <w:rPr>
          <w:rFonts w:ascii="Arial" w:cs="Arial" w:eastAsia="Arial" w:hAnsi="Arial"/>
          <w:sz w:val="17"/>
          <w:szCs w:val="17"/>
          <w:color w:val="231F20"/>
        </w:rPr>
        <w:t xml:space="preserve">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clinical trials,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and post-marketing studies.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or maintain marketing approval.</w:t>
      </w:r>
    </w:p>
    <w:p>
      <w:pPr>
        <w:spacing w:after="0" w:line="7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8" w:name="page99"/>
    <w:bookmarkEnd w:id="98"/>
    <w:p>
      <w:pPr>
        <w:ind w:right="60"/>
        <w:spacing w:after="0" w:line="241" w:lineRule="auto"/>
        <w:rPr>
          <w:sz w:val="20"/>
          <w:szCs w:val="20"/>
          <w:color w:val="auto"/>
        </w:rPr>
      </w:pPr>
      <w:r>
        <w:rPr>
          <w:rFonts w:ascii="Arial" w:cs="Arial" w:eastAsia="Arial" w:hAnsi="Arial"/>
          <w:sz w:val="18"/>
          <w:szCs w:val="18"/>
          <w:color w:val="231F20"/>
        </w:rPr>
        <w:t>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1"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231F20"/>
        </w:rPr>
        <w:t>To date, we have not initiated or completed any clinical trials. We may experience numerous unforeseen events during, or as a result of, preclinical studies or clinical trials that could delay or prevent receipt of marketing approval or our ability to commercialize our product candidates, including:</w:t>
      </w:r>
    </w:p>
    <w:p>
      <w:pPr>
        <w:spacing w:after="0" w:line="30" w:lineRule="exact"/>
        <w:rPr>
          <w:sz w:val="20"/>
          <w:szCs w:val="20"/>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delays in sufficiently developing, characterizing or controlling a manufacturing process suitable for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receipt of feedback from regulatory authorities that requires us to modify the design of our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preclinical study or clinical trial observations or results that require us to modify the design of our clinical trials;</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obtaining approval from one or more IRBs;</w:t>
      </w:r>
    </w:p>
    <w:p>
      <w:pPr>
        <w:spacing w:after="0" w:line="103" w:lineRule="exact"/>
        <w:rPr>
          <w:rFonts w:ascii="Arial" w:cs="Arial" w:eastAsia="Arial" w:hAnsi="Arial"/>
          <w:sz w:val="13"/>
          <w:szCs w:val="13"/>
          <w:color w:val="auto"/>
        </w:rPr>
      </w:pPr>
    </w:p>
    <w:p>
      <w:pPr>
        <w:ind w:left="900" w:right="140" w:hanging="383"/>
        <w:spacing w:after="0" w:line="261"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3"/>
          <w:szCs w:val="13"/>
          <w:color w:val="auto"/>
        </w:rPr>
      </w:pPr>
    </w:p>
    <w:p>
      <w:pPr>
        <w:ind w:left="900" w:right="420" w:hanging="383"/>
        <w:spacing w:after="0" w:line="248"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 xml:space="preserve">the suspension or termination of our clinical trials, as a result of </w:t>
      </w:r>
      <w:r>
        <w:rPr>
          <w:rFonts w:ascii="Arial" w:cs="Arial" w:eastAsia="Arial" w:hAnsi="Arial"/>
          <w:sz w:val="18"/>
          <w:szCs w:val="18"/>
          <w:color w:val="000000"/>
        </w:rPr>
        <w:t>a clinical hold by regulatory authorities or otherwise,</w:t>
      </w:r>
      <w:r>
        <w:rPr>
          <w:rFonts w:ascii="Arial" w:cs="Arial" w:eastAsia="Arial" w:hAnsi="Arial"/>
          <w:sz w:val="18"/>
          <w:szCs w:val="18"/>
          <w:color w:val="231F20"/>
        </w:rPr>
        <w:t xml:space="preserve"> for various reasons, including non-compliance with regulatory requirements, a finding that our product candidates have undesirable side effects or other unfavorable or unexpected characteristics or risks;</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changes to clinical trial protocol;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clinical sites deviating from trial protocol or dropping out of a trial;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the costs of preclinical studies or clinical trials being greater than anticipated;</w:t>
      </w:r>
    </w:p>
    <w:p>
      <w:pPr>
        <w:spacing w:after="0" w:line="103" w:lineRule="exact"/>
        <w:rPr>
          <w:rFonts w:ascii="Arial" w:cs="Arial" w:eastAsia="Arial" w:hAnsi="Arial"/>
          <w:sz w:val="13"/>
          <w:szCs w:val="13"/>
          <w:color w:val="auto"/>
        </w:rPr>
      </w:pPr>
    </w:p>
    <w:p>
      <w:pPr>
        <w:ind w:left="900" w:right="800" w:hanging="383"/>
        <w:spacing w:after="0" w:line="261"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subjects experiencing severe or unexpected drug-related adverse effects;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03" w:lineRule="exact"/>
        <w:rPr>
          <w:rFonts w:ascii="Arial" w:cs="Arial" w:eastAsia="Arial" w:hAnsi="Arial"/>
          <w:sz w:val="13"/>
          <w:szCs w:val="13"/>
          <w:color w:val="auto"/>
        </w:rPr>
      </w:pPr>
    </w:p>
    <w:p>
      <w:pPr>
        <w:ind w:left="900" w:right="260" w:hanging="383"/>
        <w:spacing w:after="0" w:line="294" w:lineRule="auto"/>
        <w:tabs>
          <w:tab w:leader="none" w:pos="900" w:val="left"/>
        </w:tabs>
        <w:numPr>
          <w:ilvl w:val="0"/>
          <w:numId w:val="55"/>
        </w:numPr>
        <w:rPr>
          <w:rFonts w:ascii="Arial" w:cs="Arial" w:eastAsia="Arial" w:hAnsi="Arial"/>
          <w:sz w:val="11"/>
          <w:szCs w:val="11"/>
          <w:color w:val="auto"/>
        </w:rPr>
      </w:pPr>
      <w:r>
        <w:rPr>
          <w:rFonts w:ascii="Arial" w:cs="Arial" w:eastAsia="Arial" w:hAnsi="Arial"/>
          <w:sz w:val="16"/>
          <w:szCs w:val="16"/>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9" w:lineRule="exact"/>
        <w:rPr>
          <w:rFonts w:ascii="Arial" w:cs="Arial" w:eastAsia="Arial" w:hAnsi="Arial"/>
          <w:sz w:val="11"/>
          <w:szCs w:val="11"/>
          <w:color w:val="auto"/>
        </w:rPr>
      </w:pPr>
    </w:p>
    <w:p>
      <w:pPr>
        <w:ind w:left="900" w:hanging="383"/>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any changes to our manufacturing process that may be necessary or desired;</w:t>
      </w:r>
    </w:p>
    <w:p>
      <w:pPr>
        <w:spacing w:after="0" w:line="103" w:lineRule="exact"/>
        <w:rPr>
          <w:rFonts w:ascii="Arial" w:cs="Arial" w:eastAsia="Arial" w:hAnsi="Arial"/>
          <w:sz w:val="13"/>
          <w:szCs w:val="13"/>
          <w:color w:val="auto"/>
        </w:rPr>
      </w:pPr>
    </w:p>
    <w:p>
      <w:pPr>
        <w:ind w:left="900" w:right="120" w:hanging="383"/>
        <w:spacing w:after="0" w:line="291" w:lineRule="auto"/>
        <w:tabs>
          <w:tab w:leader="none" w:pos="900" w:val="left"/>
        </w:tabs>
        <w:numPr>
          <w:ilvl w:val="0"/>
          <w:numId w:val="55"/>
        </w:numPr>
        <w:rPr>
          <w:rFonts w:ascii="Arial" w:cs="Arial" w:eastAsia="Arial" w:hAnsi="Arial"/>
          <w:sz w:val="12"/>
          <w:szCs w:val="12"/>
          <w:color w:val="auto"/>
        </w:rPr>
      </w:pPr>
      <w:r>
        <w:rPr>
          <w:rFonts w:ascii="Arial" w:cs="Arial" w:eastAsia="Arial" w:hAnsi="Arial"/>
          <w:sz w:val="17"/>
          <w:szCs w:val="17"/>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9" w:name="page100"/>
    <w:bookmarkEnd w:id="99"/>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third-party contractors not performing data collection or analysis in a timely or accurate manner;</w:t>
      </w:r>
    </w:p>
    <w:p>
      <w:pPr>
        <w:spacing w:after="0" w:line="103" w:lineRule="exact"/>
        <w:rPr>
          <w:rFonts w:ascii="Arial" w:cs="Arial" w:eastAsia="Arial" w:hAnsi="Arial"/>
          <w:sz w:val="13"/>
          <w:szCs w:val="13"/>
          <w:color w:val="auto"/>
        </w:rPr>
      </w:pPr>
    </w:p>
    <w:p>
      <w:pPr>
        <w:jc w:val="both"/>
        <w:ind w:left="900" w:right="160" w:hanging="383"/>
        <w:spacing w:after="0" w:line="248" w:lineRule="auto"/>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regulators revising the requirements for approving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an unsuccessful post-marketing study or failure to complete such a study;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6"/>
        </w:numPr>
        <w:rPr>
          <w:rFonts w:ascii="Arial" w:cs="Arial" w:eastAsia="Arial" w:hAnsi="Arial"/>
          <w:sz w:val="12"/>
          <w:szCs w:val="12"/>
          <w:color w:val="auto"/>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15" w:lineRule="exact"/>
        <w:rPr>
          <w:rFonts w:ascii="Arial" w:cs="Arial" w:eastAsia="Arial" w:hAnsi="Arial"/>
          <w:sz w:val="12"/>
          <w:szCs w:val="12"/>
          <w:color w:val="auto"/>
        </w:rPr>
      </w:pPr>
    </w:p>
    <w:p>
      <w:pPr>
        <w:ind w:left="900" w:right="280" w:hanging="383"/>
        <w:spacing w:after="0" w:line="261" w:lineRule="auto"/>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Arial" w:cs="Arial" w:eastAsia="Arial" w:hAnsi="Arial"/>
          <w:sz w:val="16"/>
          <w:szCs w:val="16"/>
          <w:color w:val="000000"/>
        </w:rPr>
        <w:t>mitting an IND, initiating clinical trials or seek</w:t>
      </w:r>
      <w:r>
        <w:rPr>
          <w:rFonts w:ascii="Arial" w:cs="Arial" w:eastAsia="Arial" w:hAnsi="Arial"/>
          <w:sz w:val="16"/>
          <w:szCs w:val="16"/>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If we receive approval, it is possible that we may receive limited or restrictive marketing approval, be subject to additional post-marketing testing requirements or have the drug removed from the market after obtaining marketing approval.</w:t>
      </w:r>
    </w:p>
    <w:p>
      <w:pPr>
        <w:spacing w:after="0" w:line="6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0" w:name="page101"/>
    <w:bookmarkEnd w:id="100"/>
    <w:p>
      <w:pPr>
        <w:ind w:right="300"/>
        <w:spacing w:after="0" w:line="261" w:lineRule="auto"/>
        <w:rPr>
          <w:sz w:val="20"/>
          <w:szCs w:val="20"/>
          <w:color w:val="auto"/>
        </w:rPr>
      </w:pPr>
      <w:r>
        <w:rPr>
          <w:rFonts w:ascii="Arial" w:cs="Arial" w:eastAsia="Arial" w:hAnsi="Arial"/>
          <w:sz w:val="18"/>
          <w:szCs w:val="18"/>
          <w:color w:val="231F20"/>
        </w:rPr>
        <w:t>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67"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231F20"/>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171"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1" w:name="page102"/>
    <w:bookmarkEnd w:id="101"/>
    <w:p>
      <w:pPr>
        <w:ind w:right="440"/>
        <w:spacing w:after="0" w:line="261"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63"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8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We may experience delays if our clinical trial sites limit their onsite staff or temporarily close as a result of the COVID-19 pandemic, including the effects of the most recent variants.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8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8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56" w:lineRule="exact"/>
        <w:rPr>
          <w:sz w:val="20"/>
          <w:szCs w:val="20"/>
          <w:color w:val="auto"/>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size and nature of the patient population;</w:t>
      </w:r>
    </w:p>
    <w:p>
      <w:pPr>
        <w:spacing w:after="0" w:line="103" w:lineRule="exact"/>
        <w:rPr>
          <w:rFonts w:ascii="Arial" w:cs="Arial" w:eastAsia="Arial" w:hAnsi="Arial"/>
          <w:sz w:val="13"/>
          <w:szCs w:val="13"/>
          <w:color w:val="231F20"/>
        </w:rPr>
      </w:pPr>
    </w:p>
    <w:p>
      <w:pPr>
        <w:ind w:left="900" w:right="220" w:hanging="383"/>
        <w:spacing w:after="0" w:line="294" w:lineRule="auto"/>
        <w:tabs>
          <w:tab w:leader="none" w:pos="900" w:val="left"/>
        </w:tabs>
        <w:numPr>
          <w:ilvl w:val="0"/>
          <w:numId w:val="57"/>
        </w:numPr>
        <w:rPr>
          <w:rFonts w:ascii="Arial" w:cs="Arial" w:eastAsia="Arial" w:hAnsi="Arial"/>
          <w:sz w:val="11"/>
          <w:szCs w:val="11"/>
          <w:color w:val="231F20"/>
        </w:rPr>
      </w:pPr>
      <w:r>
        <w:rPr>
          <w:rFonts w:ascii="Arial" w:cs="Arial" w:eastAsia="Arial" w:hAnsi="Arial"/>
          <w:sz w:val="16"/>
          <w:szCs w:val="16"/>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39" w:lineRule="exact"/>
        <w:rPr>
          <w:rFonts w:ascii="Arial" w:cs="Arial" w:eastAsia="Arial" w:hAnsi="Arial"/>
          <w:sz w:val="11"/>
          <w:szCs w:val="11"/>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perceived risks and benefits of novel, unproven approaches;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severity of the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availability and efficacy of approved drugs for the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ongoing clinical trials evaluating other product candidates in the same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patient eligibility criteria for the trial in question as defined in the protocol;</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perceived risks and benefits of the product candidate under study;</w:t>
      </w:r>
    </w:p>
    <w:p>
      <w:pPr>
        <w:spacing w:after="0" w:line="103" w:lineRule="exact"/>
        <w:rPr>
          <w:rFonts w:ascii="Arial" w:cs="Arial" w:eastAsia="Arial" w:hAnsi="Arial"/>
          <w:sz w:val="13"/>
          <w:szCs w:val="13"/>
          <w:color w:val="231F20"/>
        </w:rPr>
      </w:pPr>
    </w:p>
    <w:p>
      <w:pPr>
        <w:jc w:val="both"/>
        <w:ind w:left="900" w:right="640" w:hanging="383"/>
        <w:spacing w:after="0" w:line="248" w:lineRule="auto"/>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patient referral practices of physicians;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the ability to monitor patients adequately during and after treatment;</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the activities of key opinion leaders (KOLs) and patient advocacy groups;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proximity and availability of clinical trial sites for prospective patients; and</w:t>
      </w:r>
    </w:p>
    <w:p>
      <w:pPr>
        <w:spacing w:after="0" w:line="103" w:lineRule="exact"/>
        <w:rPr>
          <w:rFonts w:ascii="Arial" w:cs="Arial" w:eastAsia="Arial" w:hAnsi="Arial"/>
          <w:sz w:val="13"/>
          <w:szCs w:val="13"/>
          <w:color w:val="231F20"/>
        </w:rPr>
      </w:pPr>
    </w:p>
    <w:p>
      <w:pPr>
        <w:ind w:left="900" w:hanging="383"/>
        <w:spacing w:after="0" w:line="261" w:lineRule="auto"/>
        <w:tabs>
          <w:tab w:leader="none" w:pos="900" w:val="left"/>
        </w:tabs>
        <w:numPr>
          <w:ilvl w:val="0"/>
          <w:numId w:val="57"/>
        </w:numPr>
        <w:rPr>
          <w:rFonts w:ascii="Arial" w:cs="Arial" w:eastAsia="Arial" w:hAnsi="Arial"/>
          <w:sz w:val="13"/>
          <w:szCs w:val="13"/>
          <w:color w:val="231F20"/>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102" w:name="page103"/>
    <w:bookmarkEnd w:id="102"/>
    <w:p>
      <w:pPr>
        <w:jc w:val="both"/>
        <w:ind w:right="380"/>
        <w:spacing w:after="0" w:line="248" w:lineRule="auto"/>
        <w:rPr>
          <w:sz w:val="20"/>
          <w:szCs w:val="20"/>
          <w:color w:val="auto"/>
        </w:rPr>
      </w:pPr>
      <w:r>
        <w:rPr>
          <w:rFonts w:ascii="Arial" w:cs="Arial" w:eastAsia="Arial" w:hAnsi="Arial"/>
          <w:sz w:val="18"/>
          <w:szCs w:val="18"/>
          <w:color w:val="231F20"/>
        </w:rPr>
        <w:t>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8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3" w:name="page104"/>
    <w:bookmarkEnd w:id="103"/>
    <w:p>
      <w:pPr>
        <w:jc w:val="both"/>
        <w:ind w:right="140"/>
        <w:spacing w:after="0" w:line="248" w:lineRule="auto"/>
        <w:rPr>
          <w:sz w:val="20"/>
          <w:szCs w:val="20"/>
          <w:color w:val="auto"/>
        </w:rPr>
      </w:pPr>
      <w:r>
        <w:rPr>
          <w:rFonts w:ascii="Arial" w:cs="Arial" w:eastAsia="Arial" w:hAnsi="Arial"/>
          <w:sz w:val="18"/>
          <w:szCs w:val="18"/>
          <w:color w:val="231F20"/>
        </w:rPr>
        <w:t>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7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6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6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15"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4" w:name="page105"/>
    <w:bookmarkEnd w:id="104"/>
    <w:p>
      <w:pPr>
        <w:spacing w:after="0" w:line="324" w:lineRule="auto"/>
        <w:rPr>
          <w:sz w:val="20"/>
          <w:szCs w:val="20"/>
          <w:color w:val="auto"/>
        </w:rPr>
      </w:pPr>
      <w:r>
        <w:rPr>
          <w:rFonts w:ascii="Arial" w:cs="Arial" w:eastAsia="Arial" w:hAnsi="Arial"/>
          <w:sz w:val="16"/>
          <w:szCs w:val="16"/>
          <w:color w:val="231F20"/>
        </w:rPr>
        <w:t>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1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8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184"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b w:val="1"/>
          <w:bCs w:val="1"/>
          <w:i w:val="1"/>
          <w:iCs w:val="1"/>
          <w:color w:val="231F20"/>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7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91" w:lineRule="exact"/>
        <w:rPr>
          <w:sz w:val="20"/>
          <w:szCs w:val="20"/>
          <w:color w:val="auto"/>
        </w:rPr>
      </w:pPr>
    </w:p>
    <w:p>
      <w:pPr>
        <w:ind w:right="440"/>
        <w:spacing w:after="0" w:line="356"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5" w:name="page106"/>
    <w:bookmarkEnd w:id="105"/>
    <w:p>
      <w:pPr>
        <w:ind w:right="80" w:firstLine="509"/>
        <w:spacing w:after="0" w:line="279" w:lineRule="auto"/>
        <w:rPr>
          <w:sz w:val="20"/>
          <w:szCs w:val="20"/>
          <w:color w:val="auto"/>
        </w:rPr>
      </w:pPr>
      <w:r>
        <w:rPr>
          <w:rFonts w:ascii="Arial" w:cs="Arial" w:eastAsia="Arial" w:hAnsi="Arial"/>
          <w:sz w:val="16"/>
          <w:szCs w:val="16"/>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51"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6"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4"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initiated cGMP manufacturing activities for our HDAC6 inhibitor program, TN-301, in December 2021. We have and may continue to experience delays in supply chain activities due to disruptions caused by the COVID-19 pandemic.</w:t>
      </w:r>
    </w:p>
    <w:p>
      <w:pPr>
        <w:spacing w:after="0" w:line="8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231F20"/>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including as a result of COVID-19 or otherwise. Once operational, we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6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231F20"/>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6" w:name="page107"/>
    <w:bookmarkEnd w:id="106"/>
    <w:p>
      <w:pPr>
        <w:ind w:right="640"/>
        <w:spacing w:after="0" w:line="261" w:lineRule="auto"/>
        <w:rPr>
          <w:sz w:val="20"/>
          <w:szCs w:val="20"/>
          <w:color w:val="auto"/>
        </w:rPr>
      </w:pPr>
      <w:r>
        <w:rPr>
          <w:rFonts w:ascii="Arial" w:cs="Arial" w:eastAsia="Arial" w:hAnsi="Arial"/>
          <w:sz w:val="18"/>
          <w:szCs w:val="18"/>
          <w:color w:val="231F20"/>
        </w:rPr>
        <w:t>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63"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231F20"/>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11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231F20"/>
        </w:rPr>
        <w:t>Even if approved, we may not successfully commercialize our product candidates.</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53" w:lineRule="exact"/>
        <w:rPr>
          <w:sz w:val="20"/>
          <w:szCs w:val="20"/>
          <w:color w:val="auto"/>
        </w:rPr>
      </w:pPr>
    </w:p>
    <w:p>
      <w:pPr>
        <w:ind w:left="900" w:right="420" w:hanging="383"/>
        <w:spacing w:after="0" w:line="248" w:lineRule="auto"/>
        <w:tabs>
          <w:tab w:leader="none" w:pos="900" w:val="left"/>
        </w:tabs>
        <w:numPr>
          <w:ilvl w:val="0"/>
          <w:numId w:val="58"/>
        </w:numPr>
        <w:rPr>
          <w:rFonts w:ascii="Arial" w:cs="Arial" w:eastAsia="Arial" w:hAnsi="Arial"/>
          <w:sz w:val="13"/>
          <w:szCs w:val="13"/>
          <w:color w:val="auto"/>
        </w:rPr>
      </w:pPr>
      <w:r>
        <w:rPr>
          <w:rFonts w:ascii="Arial" w:cs="Arial" w:eastAsia="Arial" w:hAnsi="Arial"/>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58"/>
        </w:numPr>
        <w:rPr>
          <w:rFonts w:ascii="Arial" w:cs="Arial" w:eastAsia="Arial" w:hAnsi="Arial"/>
          <w:sz w:val="11"/>
          <w:szCs w:val="11"/>
          <w:color w:val="auto"/>
        </w:rPr>
      </w:pPr>
      <w:r>
        <w:rPr>
          <w:rFonts w:ascii="Arial" w:cs="Arial" w:eastAsia="Arial" w:hAnsi="Arial"/>
          <w:sz w:val="16"/>
          <w:szCs w:val="16"/>
          <w:color w:val="231F20"/>
        </w:rPr>
        <w:t>it may be difficult to manufacture or market our product candidates on a scale that is necessary to ultimately deliver our products to end-users;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58"/>
        </w:numPr>
        <w:rPr>
          <w:rFonts w:ascii="Arial" w:cs="Arial" w:eastAsia="Arial" w:hAnsi="Arial"/>
          <w:sz w:val="13"/>
          <w:szCs w:val="13"/>
          <w:color w:val="auto"/>
        </w:rPr>
      </w:pPr>
      <w:r>
        <w:rPr>
          <w:rFonts w:ascii="Arial" w:cs="Arial" w:eastAsia="Arial" w:hAnsi="Arial"/>
          <w:sz w:val="18"/>
          <w:szCs w:val="18"/>
          <w:color w:val="231F20"/>
        </w:rPr>
        <w:t>intellectual property and proprietary rights of third parties may preclude us from marketing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8"/>
        </w:numPr>
        <w:rPr>
          <w:rFonts w:ascii="Arial" w:cs="Arial" w:eastAsia="Arial" w:hAnsi="Arial"/>
          <w:sz w:val="13"/>
          <w:szCs w:val="13"/>
          <w:color w:val="auto"/>
        </w:rPr>
      </w:pPr>
      <w:r>
        <w:rPr>
          <w:rFonts w:ascii="Arial" w:cs="Arial" w:eastAsia="Arial" w:hAnsi="Arial"/>
          <w:sz w:val="18"/>
          <w:szCs w:val="18"/>
          <w:color w:val="231F20"/>
        </w:rPr>
        <w:t>the nature of our indications as rare diseases means that the potential market size may be limited; and</w:t>
      </w:r>
    </w:p>
    <w:p>
      <w:pPr>
        <w:spacing w:after="0" w:line="103" w:lineRule="exact"/>
        <w:rPr>
          <w:rFonts w:ascii="Arial" w:cs="Arial" w:eastAsia="Arial" w:hAnsi="Arial"/>
          <w:sz w:val="13"/>
          <w:szCs w:val="13"/>
          <w:color w:val="auto"/>
        </w:rPr>
      </w:pPr>
    </w:p>
    <w:p>
      <w:pPr>
        <w:ind w:left="900" w:right="640" w:hanging="383"/>
        <w:spacing w:after="0" w:line="261" w:lineRule="auto"/>
        <w:tabs>
          <w:tab w:leader="none" w:pos="900" w:val="left"/>
        </w:tabs>
        <w:numPr>
          <w:ilvl w:val="0"/>
          <w:numId w:val="58"/>
        </w:numPr>
        <w:rPr>
          <w:rFonts w:ascii="Arial" w:cs="Arial" w:eastAsia="Arial" w:hAnsi="Arial"/>
          <w:sz w:val="13"/>
          <w:szCs w:val="13"/>
          <w:color w:val="auto"/>
        </w:rPr>
      </w:pPr>
      <w:r>
        <w:rPr>
          <w:rFonts w:ascii="Arial" w:cs="Arial" w:eastAsia="Arial" w:hAnsi="Arial"/>
          <w:sz w:val="18"/>
          <w:szCs w:val="18"/>
          <w:color w:val="231F20"/>
        </w:rPr>
        <w:t>third parties may market superior or equivalent drugs which could adversely affect the commercial viability and success of our product candidates.</w:t>
      </w:r>
    </w:p>
    <w:p>
      <w:pPr>
        <w:spacing w:after="0" w:line="17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right="200" w:firstLine="509"/>
        <w:spacing w:after="0" w:line="243"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103" w:lineRule="exact"/>
        <w:rPr>
          <w:rFonts w:ascii="Arial" w:cs="Arial" w:eastAsia="Arial" w:hAnsi="Arial"/>
          <w:sz w:val="13"/>
          <w:szCs w:val="13"/>
          <w:color w:val="auto"/>
        </w:rPr>
      </w:pPr>
    </w:p>
    <w:p>
      <w:pPr>
        <w:ind w:left="900" w:right="260" w:hanging="383"/>
        <w:spacing w:after="0" w:line="261" w:lineRule="auto"/>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perceive safety and efficacy profile and ease of use for pediatric patient population if approved for a pediatric indication;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timing of market introduction of the product candidate as well as competitive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clinical indications for which a product candidate is approved;</w:t>
      </w:r>
    </w:p>
    <w:p>
      <w:pPr>
        <w:spacing w:after="0" w:line="103" w:lineRule="exact"/>
        <w:rPr>
          <w:rFonts w:ascii="Arial" w:cs="Arial" w:eastAsia="Arial" w:hAnsi="Arial"/>
          <w:sz w:val="13"/>
          <w:szCs w:val="13"/>
          <w:color w:val="auto"/>
        </w:rPr>
      </w:pPr>
    </w:p>
    <w:p>
      <w:pPr>
        <w:ind w:left="900" w:right="120" w:hanging="383"/>
        <w:spacing w:after="0" w:line="324" w:lineRule="auto"/>
        <w:tabs>
          <w:tab w:leader="none" w:pos="900" w:val="left"/>
        </w:tabs>
        <w:numPr>
          <w:ilvl w:val="0"/>
          <w:numId w:val="59"/>
        </w:numPr>
        <w:rPr>
          <w:rFonts w:ascii="Arial" w:cs="Arial" w:eastAsia="Arial" w:hAnsi="Arial"/>
          <w:sz w:val="11"/>
          <w:szCs w:val="11"/>
          <w:color w:val="auto"/>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6" w:lineRule="exact"/>
        <w:rPr>
          <w:rFonts w:ascii="Arial" w:cs="Arial" w:eastAsia="Arial" w:hAnsi="Arial"/>
          <w:sz w:val="11"/>
          <w:szCs w:val="11"/>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physicians, hospitals, treatment centers and patients considering our product candidates as a safe, pure and effective treatment;</w:t>
      </w:r>
    </w:p>
    <w:p>
      <w:pPr>
        <w:spacing w:after="0" w:line="103" w:lineRule="exact"/>
        <w:rPr>
          <w:rFonts w:ascii="Arial" w:cs="Arial" w:eastAsia="Arial" w:hAnsi="Arial"/>
          <w:sz w:val="13"/>
          <w:szCs w:val="13"/>
          <w:color w:val="auto"/>
        </w:rPr>
      </w:pPr>
    </w:p>
    <w:p>
      <w:pPr>
        <w:ind w:left="900" w:right="40" w:hanging="383"/>
        <w:spacing w:after="0" w:line="261" w:lineRule="auto"/>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potential and perceived advantages of our product candidates over alternative treatments;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the cost of treatment in relation to alternative treatments;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8"/>
          <w:szCs w:val="18"/>
          <w:color w:val="231F20"/>
        </w:rPr>
        <w:t>relative convenience and ease of administration;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9"/>
        </w:numPr>
        <w:rPr>
          <w:rFonts w:ascii="Arial" w:cs="Arial" w:eastAsia="Arial" w:hAnsi="Arial"/>
          <w:sz w:val="12"/>
          <w:szCs w:val="12"/>
          <w:color w:val="auto"/>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the availability of coverage and adequate reimbursement by third-party payors, including government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patients’ willingness to pay for these therapies in the absence of such coverage and adequate reimbursement;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the effectiveness of sales and marketing efforts;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support from KOLs and patient advocacy groups;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unfavorable publicity relating to our product candidates;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0"/>
        </w:numPr>
        <w:rPr>
          <w:rFonts w:ascii="Arial" w:cs="Arial" w:eastAsia="Arial" w:hAnsi="Arial"/>
          <w:sz w:val="13"/>
          <w:szCs w:val="13"/>
          <w:color w:val="auto"/>
        </w:rPr>
      </w:pPr>
      <w:r>
        <w:rPr>
          <w:rFonts w:ascii="Arial" w:cs="Arial" w:eastAsia="Arial" w:hAnsi="Arial"/>
          <w:sz w:val="18"/>
          <w:szCs w:val="18"/>
          <w:color w:val="231F20"/>
        </w:rPr>
        <w:t>the approval of other new therapies for the same indications.</w:t>
      </w:r>
    </w:p>
    <w:p>
      <w:pPr>
        <w:spacing w:after="0" w:line="10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2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63"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8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5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1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8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9" w:name="page110"/>
    <w:bookmarkEnd w:id="109"/>
    <w:p>
      <w:pPr>
        <w:ind w:right="100"/>
        <w:spacing w:after="0"/>
        <w:rPr>
          <w:sz w:val="20"/>
          <w:szCs w:val="20"/>
          <w:color w:val="auto"/>
        </w:rPr>
      </w:pPr>
      <w:r>
        <w:rPr>
          <w:rFonts w:ascii="Arial" w:cs="Arial" w:eastAsia="Arial" w:hAnsi="Arial"/>
          <w:sz w:val="18"/>
          <w:szCs w:val="18"/>
          <w:color w:val="231F20"/>
        </w:rPr>
        <w:t>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1" w:lineRule="exact"/>
        <w:rPr>
          <w:sz w:val="20"/>
          <w:szCs w:val="20"/>
          <w:color w:val="auto"/>
        </w:rPr>
      </w:pPr>
    </w:p>
    <w:p>
      <w:pPr>
        <w:jc w:val="both"/>
        <w:ind w:right="40" w:firstLine="509"/>
        <w:spacing w:after="0" w:line="243"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8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0" w:name="page111"/>
    <w:bookmarkEnd w:id="110"/>
    <w:p>
      <w:pPr>
        <w:ind w:right="20" w:firstLine="509"/>
        <w:spacing w:after="0" w:line="270"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60"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104" w:lineRule="exact"/>
        <w:rPr>
          <w:sz w:val="20"/>
          <w:szCs w:val="20"/>
          <w:color w:val="auto"/>
        </w:rPr>
      </w:pPr>
    </w:p>
    <w:p>
      <w:pPr>
        <w:ind w:left="900" w:hanging="383"/>
        <w:spacing w:after="0"/>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delays in the development of our product candidates;</w:t>
      </w:r>
    </w:p>
    <w:p>
      <w:pPr>
        <w:spacing w:after="0" w:line="103" w:lineRule="exact"/>
        <w:rPr>
          <w:rFonts w:ascii="Arial" w:cs="Arial" w:eastAsia="Arial" w:hAnsi="Arial"/>
          <w:sz w:val="13"/>
          <w:szCs w:val="13"/>
          <w:color w:val="auto"/>
        </w:rPr>
      </w:pPr>
    </w:p>
    <w:p>
      <w:pPr>
        <w:ind w:left="900" w:right="580" w:hanging="383"/>
        <w:spacing w:after="0" w:line="261" w:lineRule="auto"/>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decreased or interrupted demand for our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injury to our reputation;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withdrawal of clinical trial participants and inability to continue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1"/>
        </w:numPr>
        <w:rPr>
          <w:rFonts w:ascii="Arial" w:cs="Arial" w:eastAsia="Arial" w:hAnsi="Arial"/>
          <w:sz w:val="13"/>
          <w:szCs w:val="13"/>
          <w:color w:val="auto"/>
        </w:rPr>
      </w:pPr>
      <w:r>
        <w:rPr>
          <w:rFonts w:ascii="Arial" w:cs="Arial" w:eastAsia="Arial" w:hAnsi="Arial"/>
          <w:sz w:val="18"/>
          <w:szCs w:val="18"/>
          <w:color w:val="231F20"/>
        </w:rPr>
        <w:t>initiation of investigations by regulators;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1" w:name="page112"/>
    <w:bookmarkEnd w:id="111"/>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costs to defend the related litigation;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a diversion of management’s time and our resources;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substantial monetary awards to trial participants or patients;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product recalls, withdrawals or labeling, marketing, or promotional restrictions;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loss of revenue;</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exhaustion of any available insurance and our capital resources;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8"/>
          <w:szCs w:val="18"/>
          <w:color w:val="231F20"/>
        </w:rPr>
        <w:t>the inability to commercialize any products.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216"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0" w:lineRule="exact"/>
        <w:rPr>
          <w:sz w:val="20"/>
          <w:szCs w:val="20"/>
          <w:color w:val="auto"/>
        </w:rPr>
      </w:pPr>
    </w:p>
    <w:p>
      <w:pPr>
        <w:ind w:right="20" w:firstLine="509"/>
        <w:spacing w:after="0" w:line="235" w:lineRule="auto"/>
        <w:rPr>
          <w:sz w:val="20"/>
          <w:szCs w:val="20"/>
          <w:color w:val="auto"/>
        </w:rPr>
      </w:pPr>
      <w:r>
        <w:rPr>
          <w:rFonts w:ascii="Arial" w:cs="Arial" w:eastAsia="Arial" w:hAnsi="Arial"/>
          <w:sz w:val="17"/>
          <w:szCs w:val="17"/>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83"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231F20"/>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52" w:lineRule="exact"/>
        <w:rPr>
          <w:sz w:val="20"/>
          <w:szCs w:val="20"/>
          <w:color w:val="auto"/>
        </w:rPr>
      </w:pPr>
    </w:p>
    <w:p>
      <w:pPr>
        <w:ind w:left="900" w:hanging="383"/>
        <w:spacing w:after="0"/>
        <w:tabs>
          <w:tab w:leader="none" w:pos="900" w:val="left"/>
        </w:tabs>
        <w:numPr>
          <w:ilvl w:val="0"/>
          <w:numId w:val="63"/>
        </w:numPr>
        <w:rPr>
          <w:rFonts w:ascii="Arial" w:cs="Arial" w:eastAsia="Arial" w:hAnsi="Arial"/>
          <w:sz w:val="11"/>
          <w:szCs w:val="11"/>
          <w:color w:val="auto"/>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26" w:lineRule="exact"/>
        <w:rPr>
          <w:rFonts w:ascii="Arial" w:cs="Arial" w:eastAsia="Arial" w:hAnsi="Arial"/>
          <w:sz w:val="11"/>
          <w:szCs w:val="11"/>
          <w:color w:val="auto"/>
        </w:rPr>
      </w:pPr>
    </w:p>
    <w:p>
      <w:pPr>
        <w:ind w:left="900" w:right="300" w:hanging="383"/>
        <w:spacing w:after="0" w:line="248" w:lineRule="auto"/>
        <w:tabs>
          <w:tab w:leader="none" w:pos="900" w:val="left"/>
        </w:tabs>
        <w:numPr>
          <w:ilvl w:val="0"/>
          <w:numId w:val="63"/>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3"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63"/>
        </w:numPr>
        <w:rPr>
          <w:rFonts w:ascii="Arial" w:cs="Arial" w:eastAsia="Arial" w:hAnsi="Arial"/>
          <w:sz w:val="13"/>
          <w:szCs w:val="13"/>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63"/>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2" w:name="page113"/>
    <w:bookmarkEnd w:id="112"/>
    <w:p>
      <w:pPr>
        <w:ind w:left="900" w:right="20" w:hanging="383"/>
        <w:spacing w:after="0" w:line="261" w:lineRule="auto"/>
        <w:tabs>
          <w:tab w:leader="none" w:pos="900" w:val="left"/>
        </w:tabs>
        <w:numPr>
          <w:ilvl w:val="0"/>
          <w:numId w:val="64"/>
        </w:numPr>
        <w:rPr>
          <w:rFonts w:ascii="Arial" w:cs="Arial" w:eastAsia="Arial" w:hAnsi="Arial"/>
          <w:sz w:val="13"/>
          <w:szCs w:val="13"/>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3"/>
          <w:szCs w:val="13"/>
          <w:color w:val="auto"/>
        </w:rPr>
      </w:pPr>
    </w:p>
    <w:p>
      <w:pPr>
        <w:ind w:left="900" w:right="560" w:hanging="383"/>
        <w:spacing w:after="0" w:line="324" w:lineRule="auto"/>
        <w:tabs>
          <w:tab w:leader="none" w:pos="900" w:val="left"/>
        </w:tabs>
        <w:numPr>
          <w:ilvl w:val="0"/>
          <w:numId w:val="64"/>
        </w:numPr>
        <w:rPr>
          <w:rFonts w:ascii="Arial" w:cs="Arial" w:eastAsia="Arial" w:hAnsi="Arial"/>
          <w:sz w:val="11"/>
          <w:szCs w:val="11"/>
          <w:color w:val="auto"/>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6" w:lineRule="exact"/>
        <w:rPr>
          <w:rFonts w:ascii="Arial" w:cs="Arial" w:eastAsia="Arial" w:hAnsi="Arial"/>
          <w:sz w:val="11"/>
          <w:szCs w:val="11"/>
          <w:color w:val="auto"/>
        </w:rPr>
      </w:pPr>
    </w:p>
    <w:p>
      <w:pPr>
        <w:ind w:left="900" w:right="60" w:hanging="383"/>
        <w:spacing w:after="0" w:line="261" w:lineRule="auto"/>
        <w:tabs>
          <w:tab w:leader="none" w:pos="900" w:val="left"/>
        </w:tabs>
        <w:numPr>
          <w:ilvl w:val="0"/>
          <w:numId w:val="64"/>
        </w:numPr>
        <w:rPr>
          <w:rFonts w:ascii="Arial" w:cs="Arial" w:eastAsia="Arial" w:hAnsi="Arial"/>
          <w:sz w:val="13"/>
          <w:szCs w:val="13"/>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2"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17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6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3" w:name="page114"/>
    <w:bookmarkEnd w:id="113"/>
    <w:p>
      <w:pPr>
        <w:ind w:right="20" w:firstLine="509"/>
        <w:spacing w:after="0" w:line="243"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We may also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8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Even if our product candidates receive regulatory approval, they will be subject to significant post- marketing regulatory requirements and oversight.</w:t>
      </w:r>
    </w:p>
    <w:p>
      <w:pPr>
        <w:spacing w:after="0" w:line="13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4" w:name="page115"/>
    <w:bookmarkEnd w:id="114"/>
    <w:p>
      <w:pPr>
        <w:ind w:right="40"/>
        <w:spacing w:after="0" w:line="261" w:lineRule="auto"/>
        <w:rPr>
          <w:sz w:val="20"/>
          <w:szCs w:val="20"/>
          <w:color w:val="auto"/>
        </w:rPr>
      </w:pPr>
      <w:r>
        <w:rPr>
          <w:rFonts w:ascii="Arial" w:cs="Arial" w:eastAsia="Arial" w:hAnsi="Arial"/>
          <w:sz w:val="18"/>
          <w:szCs w:val="18"/>
          <w:color w:val="231F20"/>
        </w:rPr>
        <w:t>failure to comply with FDA, EMA and other comparable foreign regulatory requirements may subject our company to administrative or judicially imposed sanctions, including:</w:t>
      </w:r>
    </w:p>
    <w:p>
      <w:pPr>
        <w:spacing w:after="0" w:line="76" w:lineRule="exact"/>
        <w:rPr>
          <w:sz w:val="20"/>
          <w:szCs w:val="20"/>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delays in or the rejection of product approvals;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restrictions on the products, manufacturers or manufacturing process;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warning or untitled letters;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civil and criminal penalties;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injunctions;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suspension or withdrawal of regulatory approvals;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product seizures, detentions or import bans;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voluntary or mandatory product recalls and publicity requirements;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total or partial suspension of production;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8"/>
          <w:szCs w:val="18"/>
          <w:color w:val="231F20"/>
        </w:rPr>
        <w:t>imposition of restrictions on operations, including costly new manufacturing requirements.</w:t>
      </w:r>
    </w:p>
    <w:p>
      <w:pPr>
        <w:spacing w:after="0" w:line="104"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6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75"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5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231F20"/>
        </w:rPr>
        <w:t>The FDA has granted orphan drug designation for TN-201, the most advanced product candidate from our MYBPC3 program, and we may seek orphan drug designation for other product candidates in the United States,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5" w:name="page116"/>
    <w:bookmarkEnd w:id="115"/>
    <w:p>
      <w:pPr>
        <w:ind w:right="80"/>
        <w:spacing w:after="0" w:line="252" w:lineRule="auto"/>
        <w:rPr>
          <w:sz w:val="20"/>
          <w:szCs w:val="20"/>
          <w:color w:val="auto"/>
        </w:rPr>
      </w:pPr>
      <w:r>
        <w:rPr>
          <w:rFonts w:ascii="Arial" w:cs="Arial" w:eastAsia="Arial" w:hAnsi="Arial"/>
          <w:sz w:val="17"/>
          <w:szCs w:val="17"/>
          <w:color w:val="231F20"/>
        </w:rPr>
        <w:t>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7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7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2031, with the exception of a temporary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6" w:name="page117"/>
    <w:bookmarkEnd w:id="116"/>
    <w:p>
      <w:pPr>
        <w:ind w:right="100"/>
        <w:spacing w:after="0"/>
        <w:rPr>
          <w:sz w:val="20"/>
          <w:szCs w:val="20"/>
          <w:color w:val="auto"/>
        </w:rPr>
      </w:pPr>
      <w:r>
        <w:rPr>
          <w:rFonts w:ascii="Arial" w:cs="Arial" w:eastAsia="Arial" w:hAnsi="Arial"/>
          <w:sz w:val="18"/>
          <w:szCs w:val="18"/>
          <w:color w:val="231F20"/>
        </w:rPr>
        <w:t>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8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As a result, the Biden administration and HHS have delayed the implementation or published rules rescinding some of these policies of the prior administration.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72"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3"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231F20"/>
        </w:rPr>
        <w:t>product candidates. It is also possible that additional governmental action is taken to address the COVID-19 pandemic.</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8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80"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Court of Justice of the European Union (CJEU) invalidated the EU-U.S. Privacy Shield, which had enabled the transfer of personal data from the European Union to the United States for companies that had self-certified to the Privacy Shield. The CJEU decision also raised questions about the continued validity of one of the primary alternatives to the EU-U.S. Privacy Shield, namely the European Commission’s Standard Contractual Clauses (SCCs), and EU regulators have issued additional guidance regarding considerations and requirements that we and other companies must consider and undertake when using the SCCs. Although the European Commission has presented a new set of SCCs in June 2021, which are required to be implemented, there are few, if any, viable alternatives to the EU-U.S. Privacy Shield and the SCCs and it remains to be seen whether additional means for lawful data transfers will become available. On September 8, 2020, the Swiss Federal Data Protection and Information Commissioner invalidated the Swiss-U.S. Privacy Shield in light of the CJEU's decision. To the extent that we were to rely on the EU-U.S. or Swiss-U.S. Privacy Shield programs, we will not be able to do so in the future, and the CJEU’s decision and other regulatory guidance or developments may impose additional obligations with respect to the transfer of personal data from the European Economic Area and Switzerland to the United States,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European Economic Area and Switzerland to the United States.</w:t>
      </w:r>
    </w:p>
    <w:p>
      <w:pPr>
        <w:spacing w:after="0" w:line="27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231F20"/>
        </w:rPr>
        <w:t>Further, the exit of the United Kingdom from the European Union, often referred to as Brexit, has created uncertainty with regard to data protection regulation in the United Kingdom. Specifically, the United Kingdom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8" w:name="page119"/>
    <w:bookmarkEnd w:id="118"/>
    <w:p>
      <w:pPr>
        <w:spacing w:after="0" w:line="252" w:lineRule="auto"/>
        <w:rPr>
          <w:sz w:val="20"/>
          <w:szCs w:val="20"/>
          <w:color w:val="auto"/>
        </w:rPr>
      </w:pPr>
      <w:r>
        <w:rPr>
          <w:rFonts w:ascii="Arial" w:cs="Arial" w:eastAsia="Arial" w:hAnsi="Arial"/>
          <w:sz w:val="17"/>
          <w:szCs w:val="17"/>
          <w:color w:val="231F20"/>
        </w:rPr>
        <w:t>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75"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231F20"/>
        </w:rPr>
        <w:t xml:space="preserve">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t>
      </w:r>
      <w:r>
        <w:rPr>
          <w:rFonts w:ascii="Arial" w:cs="Arial" w:eastAsia="Arial" w:hAnsi="Arial"/>
          <w:sz w:val="16"/>
          <w:szCs w:val="16"/>
          <w:color w:val="000000"/>
        </w:rPr>
        <w:t>Additionally, other state legislatures have enacted or are currently contemplating, and may pass, their own comprehensive data privacy and security laws, with potentially greater penalties and more rigorous compliance requirements relevant to our business. For example, in March 2021, Virginia enacted the Virginia Consumer Data Protection Act, or CDPA, which becomes effective on January 1, 2023, and in June 2021, Colorado enacted the Colorado Privacy Act, or CPA, which takes effect on July 1, 2023. The CPA and CDPA share similarities with the CCPA, the CPRA, and legislation proposed in other states.</w:t>
      </w:r>
    </w:p>
    <w:p>
      <w:pPr>
        <w:spacing w:after="0" w:line="60"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9" w:name="page120"/>
    <w:bookmarkEnd w:id="119"/>
    <w:p>
      <w:pPr>
        <w:ind w:right="260"/>
        <w:spacing w:after="0" w:line="261" w:lineRule="auto"/>
        <w:rPr>
          <w:sz w:val="20"/>
          <w:szCs w:val="20"/>
          <w:color w:val="auto"/>
        </w:rPr>
      </w:pPr>
      <w:r>
        <w:rPr>
          <w:rFonts w:ascii="Arial" w:cs="Arial" w:eastAsia="Arial" w:hAnsi="Arial"/>
          <w:sz w:val="18"/>
          <w:szCs w:val="18"/>
          <w:color w:val="231F20"/>
        </w:rPr>
        <w:t>rules or regulations or our policies, such violations may also put our or our customers’ data, including personal data, at risk, which could in turn have an adverse effect on our business.</w:t>
      </w:r>
    </w:p>
    <w:p>
      <w:pPr>
        <w:spacing w:after="0" w:line="6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94"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As of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Good Manufacturing Practices.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1" w:lineRule="exact"/>
        <w:rPr>
          <w:sz w:val="20"/>
          <w:szCs w:val="20"/>
          <w:color w:val="auto"/>
        </w:rPr>
      </w:pPr>
    </w:p>
    <w:p>
      <w:pPr>
        <w:ind w:right="340" w:firstLine="509"/>
        <w:spacing w:after="0" w:line="284" w:lineRule="auto"/>
        <w:rPr>
          <w:sz w:val="20"/>
          <w:szCs w:val="20"/>
          <w:color w:val="auto"/>
        </w:rPr>
      </w:pPr>
      <w:r>
        <w:rPr>
          <w:rFonts w:ascii="Arial" w:cs="Arial" w:eastAsia="Arial" w:hAnsi="Arial"/>
          <w:sz w:val="16"/>
          <w:szCs w:val="16"/>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231F20"/>
        </w:rPr>
        <w:t>marketing approval. Restrictions under applicable federal and state healthcare laws and regulations may include the following:</w:t>
      </w:r>
    </w:p>
    <w:p>
      <w:pPr>
        <w:spacing w:after="0" w:line="104" w:lineRule="exact"/>
        <w:rPr>
          <w:sz w:val="20"/>
          <w:szCs w:val="20"/>
          <w:color w:val="auto"/>
        </w:rPr>
      </w:pPr>
    </w:p>
    <w:p>
      <w:pPr>
        <w:ind w:left="900" w:right="180" w:hanging="383"/>
        <w:spacing w:after="0" w:line="243" w:lineRule="auto"/>
        <w:tabs>
          <w:tab w:leader="none" w:pos="900" w:val="left"/>
        </w:tabs>
        <w:numPr>
          <w:ilvl w:val="0"/>
          <w:numId w:val="66"/>
        </w:numPr>
        <w:rPr>
          <w:rFonts w:ascii="Arial" w:cs="Arial" w:eastAsia="Arial" w:hAnsi="Arial"/>
          <w:sz w:val="13"/>
          <w:szCs w:val="13"/>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9" w:lineRule="exact"/>
        <w:rPr>
          <w:rFonts w:ascii="Arial" w:cs="Arial" w:eastAsia="Arial" w:hAnsi="Arial"/>
          <w:sz w:val="13"/>
          <w:szCs w:val="13"/>
          <w:color w:val="auto"/>
        </w:rPr>
      </w:pPr>
    </w:p>
    <w:p>
      <w:pPr>
        <w:ind w:left="900" w:right="20" w:hanging="383"/>
        <w:spacing w:after="0" w:line="243" w:lineRule="auto"/>
        <w:tabs>
          <w:tab w:leader="none" w:pos="900" w:val="left"/>
        </w:tabs>
        <w:numPr>
          <w:ilvl w:val="0"/>
          <w:numId w:val="66"/>
        </w:numPr>
        <w:rPr>
          <w:rFonts w:ascii="Arial" w:cs="Arial" w:eastAsia="Arial" w:hAnsi="Arial"/>
          <w:sz w:val="13"/>
          <w:szCs w:val="13"/>
          <w:color w:val="auto"/>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9" w:lineRule="exact"/>
        <w:rPr>
          <w:rFonts w:ascii="Arial" w:cs="Arial" w:eastAsia="Arial" w:hAnsi="Arial"/>
          <w:sz w:val="13"/>
          <w:szCs w:val="13"/>
          <w:color w:val="auto"/>
        </w:rPr>
      </w:pPr>
    </w:p>
    <w:p>
      <w:pPr>
        <w:ind w:left="900" w:right="280" w:hanging="383"/>
        <w:spacing w:after="0" w:line="291" w:lineRule="auto"/>
        <w:tabs>
          <w:tab w:leader="none" w:pos="900" w:val="left"/>
        </w:tabs>
        <w:numPr>
          <w:ilvl w:val="0"/>
          <w:numId w:val="66"/>
        </w:numPr>
        <w:rPr>
          <w:rFonts w:ascii="Arial" w:cs="Arial" w:eastAsia="Arial" w:hAnsi="Arial"/>
          <w:sz w:val="12"/>
          <w:szCs w:val="12"/>
          <w:color w:val="auto"/>
        </w:rPr>
      </w:pPr>
      <w:r>
        <w:rPr>
          <w:rFonts w:ascii="Arial" w:cs="Arial" w:eastAsia="Arial" w:hAnsi="Arial"/>
          <w:sz w:val="17"/>
          <w:szCs w:val="17"/>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38" w:lineRule="exact"/>
        <w:rPr>
          <w:rFonts w:ascii="Arial" w:cs="Arial" w:eastAsia="Arial" w:hAnsi="Arial"/>
          <w:sz w:val="12"/>
          <w:szCs w:val="12"/>
          <w:color w:val="auto"/>
        </w:rPr>
      </w:pPr>
    </w:p>
    <w:p>
      <w:pPr>
        <w:ind w:left="900" w:right="20" w:hanging="383"/>
        <w:spacing w:after="0" w:line="241" w:lineRule="auto"/>
        <w:tabs>
          <w:tab w:leader="none" w:pos="900" w:val="left"/>
        </w:tabs>
        <w:numPr>
          <w:ilvl w:val="0"/>
          <w:numId w:val="66"/>
        </w:numPr>
        <w:rPr>
          <w:rFonts w:ascii="Arial" w:cs="Arial" w:eastAsia="Arial" w:hAnsi="Arial"/>
          <w:sz w:val="13"/>
          <w:szCs w:val="13"/>
          <w:color w:val="auto"/>
        </w:rPr>
      </w:pPr>
      <w:r>
        <w:rPr>
          <w:rFonts w:ascii="Arial" w:cs="Arial" w:eastAsia="Arial" w:hAnsi="Arial"/>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1" w:lineRule="exact"/>
        <w:rPr>
          <w:rFonts w:ascii="Arial" w:cs="Arial" w:eastAsia="Arial" w:hAnsi="Arial"/>
          <w:sz w:val="13"/>
          <w:szCs w:val="13"/>
          <w:color w:val="auto"/>
        </w:rPr>
      </w:pPr>
    </w:p>
    <w:p>
      <w:pPr>
        <w:ind w:left="900" w:right="460" w:hanging="383"/>
        <w:spacing w:after="0" w:line="284" w:lineRule="auto"/>
        <w:tabs>
          <w:tab w:leader="none" w:pos="900" w:val="left"/>
        </w:tabs>
        <w:numPr>
          <w:ilvl w:val="0"/>
          <w:numId w:val="66"/>
        </w:numPr>
        <w:rPr>
          <w:rFonts w:ascii="Arial" w:cs="Arial" w:eastAsia="Arial" w:hAnsi="Arial"/>
          <w:sz w:val="11"/>
          <w:szCs w:val="11"/>
          <w:color w:val="auto"/>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47" w:lineRule="exact"/>
        <w:rPr>
          <w:rFonts w:ascii="Arial" w:cs="Arial" w:eastAsia="Arial" w:hAnsi="Arial"/>
          <w:sz w:val="11"/>
          <w:szCs w:val="11"/>
          <w:color w:val="auto"/>
        </w:rPr>
      </w:pPr>
    </w:p>
    <w:p>
      <w:pPr>
        <w:ind w:left="900" w:right="340" w:hanging="383"/>
        <w:spacing w:after="0" w:line="261" w:lineRule="auto"/>
        <w:tabs>
          <w:tab w:leader="none" w:pos="900" w:val="left"/>
        </w:tabs>
        <w:numPr>
          <w:ilvl w:val="0"/>
          <w:numId w:val="66"/>
        </w:numPr>
        <w:rPr>
          <w:rFonts w:ascii="Arial" w:cs="Arial" w:eastAsia="Arial" w:hAnsi="Arial"/>
          <w:sz w:val="13"/>
          <w:szCs w:val="13"/>
          <w:color w:val="auto"/>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3"/>
          <w:szCs w:val="13"/>
          <w:color w:val="auto"/>
        </w:rPr>
      </w:pPr>
    </w:p>
    <w:p>
      <w:pPr>
        <w:ind w:left="900" w:right="40" w:hanging="383"/>
        <w:spacing w:after="0"/>
        <w:tabs>
          <w:tab w:leader="none" w:pos="900" w:val="left"/>
        </w:tabs>
        <w:numPr>
          <w:ilvl w:val="0"/>
          <w:numId w:val="66"/>
        </w:numPr>
        <w:rPr>
          <w:rFonts w:ascii="Arial" w:cs="Arial" w:eastAsia="Arial" w:hAnsi="Arial"/>
          <w:sz w:val="13"/>
          <w:szCs w:val="13"/>
          <w:color w:val="auto"/>
        </w:rPr>
      </w:pPr>
      <w:r>
        <w:rPr>
          <w:rFonts w:ascii="Arial" w:cs="Arial" w:eastAsia="Arial" w:hAnsi="Arial"/>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81" w:lineRule="exact"/>
        <w:rPr>
          <w:rFonts w:ascii="Arial" w:cs="Arial" w:eastAsia="Arial" w:hAnsi="Arial"/>
          <w:sz w:val="13"/>
          <w:szCs w:val="13"/>
          <w:color w:val="auto"/>
        </w:rPr>
      </w:pPr>
    </w:p>
    <w:p>
      <w:pPr>
        <w:ind w:left="900" w:hanging="383"/>
        <w:spacing w:after="0" w:line="254" w:lineRule="auto"/>
        <w:tabs>
          <w:tab w:leader="none" w:pos="900" w:val="left"/>
        </w:tabs>
        <w:numPr>
          <w:ilvl w:val="0"/>
          <w:numId w:val="66"/>
        </w:numPr>
        <w:rPr>
          <w:rFonts w:ascii="Arial" w:cs="Arial" w:eastAsia="Arial" w:hAnsi="Arial"/>
          <w:sz w:val="12"/>
          <w:szCs w:val="12"/>
          <w:color w:val="auto"/>
        </w:rPr>
      </w:pPr>
      <w:r>
        <w:rPr>
          <w:rFonts w:ascii="Arial" w:cs="Arial" w:eastAsia="Arial" w:hAnsi="Arial"/>
          <w:sz w:val="17"/>
          <w:szCs w:val="17"/>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1" w:name="page122"/>
    <w:bookmarkEnd w:id="121"/>
    <w:p>
      <w:pPr>
        <w:ind w:right="160"/>
        <w:spacing w:after="0" w:line="252" w:lineRule="auto"/>
        <w:rPr>
          <w:sz w:val="20"/>
          <w:szCs w:val="20"/>
          <w:color w:val="auto"/>
        </w:rPr>
      </w:pPr>
      <w:r>
        <w:rPr>
          <w:rFonts w:ascii="Arial" w:cs="Arial" w:eastAsia="Arial" w:hAnsi="Arial"/>
          <w:sz w:val="17"/>
          <w:szCs w:val="17"/>
          <w:color w:val="231F20"/>
        </w:rPr>
        <w:t>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39"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2" w:name="page123"/>
    <w:bookmarkEnd w:id="122"/>
    <w:p>
      <w:pPr>
        <w:ind w:right="220" w:firstLine="509"/>
        <w:spacing w:after="0" w:line="248"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3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6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67"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there is no certainty that all of our employees, agents, representatives, business partners and third-party intermediaries, or those of our affiliates, will comply with our policies or applicable laws and regulations, for which we may be ultimately held responsible.</w:t>
      </w:r>
    </w:p>
    <w:p>
      <w:pPr>
        <w:spacing w:after="0" w:line="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3" w:name="page124"/>
    <w:bookmarkEnd w:id="123"/>
    <w:p>
      <w:pPr>
        <w:ind w:right="240"/>
        <w:spacing w:after="0" w:line="248" w:lineRule="auto"/>
        <w:rPr>
          <w:sz w:val="20"/>
          <w:szCs w:val="20"/>
          <w:color w:val="auto"/>
        </w:rPr>
      </w:pPr>
      <w:r>
        <w:rPr>
          <w:rFonts w:ascii="Arial" w:cs="Arial" w:eastAsia="Arial" w:hAnsi="Arial"/>
          <w:sz w:val="18"/>
          <w:szCs w:val="18"/>
          <w:color w:val="231F20"/>
        </w:rPr>
        <w:t>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Changes in tax law could increase the tax burden on our orphan drug programs and adversely affect our business and financial condition.</w:t>
      </w:r>
    </w:p>
    <w:p>
      <w:pPr>
        <w:spacing w:after="0" w:line="11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In 2017, the U.S. government enacted the Tax Act, which as modified by the CARES Act, includes significant changes to the taxation of business entities. These changes include, among others, a reduction in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may increase our total federal tax liability attributable to such programs. Additionally, the current administration has proposed an increase of the corporate tax rate and other changes, including a global minimum tax, which, if enacted would further increase our total federal tax liability when and if we become profitable.</w:t>
      </w:r>
    </w:p>
    <w:p>
      <w:pPr>
        <w:spacing w:after="0" w:line="6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231F20"/>
        </w:rPr>
        <w:t>In addition, it is uncertain if and to what extent various states will conform to the Tax Act and proposed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the Tax Act and any proposed tax legislation on holders of our common stock is also uncertain and could be adverse. Investors should consult with their legal and tax advisors with respect to the Tax Act and any proposed tax legislation and the potential tax consequences of investing in or holding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effects of the COVID-19 pandemic may interfere with our ability to hire or retain qualified and key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7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p>
      <w:pPr>
        <w:ind w:right="320"/>
        <w:spacing w:after="0" w:line="261"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231F20"/>
        </w:rPr>
        <w:t>As of December 31, 2021, we had more than 100 full-time employees.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spacing w:after="0" w:line="39" w:lineRule="exact"/>
        <w:rPr>
          <w:sz w:val="20"/>
          <w:szCs w:val="20"/>
          <w:color w:val="auto"/>
        </w:rPr>
      </w:pPr>
    </w:p>
    <w:p>
      <w:pPr>
        <w:ind w:left="900" w:hanging="383"/>
        <w:spacing w:after="0"/>
        <w:tabs>
          <w:tab w:leader="none" w:pos="900" w:val="left"/>
        </w:tabs>
        <w:numPr>
          <w:ilvl w:val="0"/>
          <w:numId w:val="67"/>
        </w:numPr>
        <w:rPr>
          <w:rFonts w:ascii="Arial" w:cs="Arial" w:eastAsia="Arial" w:hAnsi="Arial"/>
          <w:sz w:val="13"/>
          <w:szCs w:val="13"/>
          <w:color w:val="auto"/>
        </w:rPr>
      </w:pPr>
      <w:r>
        <w:rPr>
          <w:rFonts w:ascii="Arial" w:cs="Arial" w:eastAsia="Arial" w:hAnsi="Arial"/>
          <w:sz w:val="18"/>
          <w:szCs w:val="18"/>
          <w:color w:val="231F20"/>
        </w:rPr>
        <w:t>identifying, recruiting, integrating, maintaining and motivating additional employees;</w:t>
      </w:r>
    </w:p>
    <w:p>
      <w:pPr>
        <w:spacing w:after="0" w:line="103" w:lineRule="exact"/>
        <w:rPr>
          <w:rFonts w:ascii="Arial" w:cs="Arial" w:eastAsia="Arial" w:hAnsi="Arial"/>
          <w:sz w:val="13"/>
          <w:szCs w:val="13"/>
          <w:color w:val="auto"/>
        </w:rPr>
      </w:pPr>
    </w:p>
    <w:p>
      <w:pPr>
        <w:ind w:left="900" w:right="220" w:hanging="383"/>
        <w:spacing w:after="0" w:line="248" w:lineRule="auto"/>
        <w:tabs>
          <w:tab w:leader="none" w:pos="900" w:val="left"/>
        </w:tabs>
        <w:numPr>
          <w:ilvl w:val="0"/>
          <w:numId w:val="67"/>
        </w:numPr>
        <w:rPr>
          <w:rFonts w:ascii="Arial" w:cs="Arial" w:eastAsia="Arial" w:hAnsi="Arial"/>
          <w:sz w:val="13"/>
          <w:szCs w:val="13"/>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67"/>
        </w:numPr>
        <w:rPr>
          <w:rFonts w:ascii="Arial" w:cs="Arial" w:eastAsia="Arial" w:hAnsi="Arial"/>
          <w:sz w:val="13"/>
          <w:szCs w:val="13"/>
          <w:color w:val="auto"/>
        </w:rPr>
      </w:pPr>
      <w:r>
        <w:rPr>
          <w:rFonts w:ascii="Arial" w:cs="Arial" w:eastAsia="Arial" w:hAnsi="Arial"/>
          <w:sz w:val="18"/>
          <w:szCs w:val="18"/>
          <w:color w:val="231F20"/>
        </w:rPr>
        <w:t>improving our operational, financial and management controls, reporting systems and procedures.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7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80"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5" w:name="page126"/>
    <w:bookmarkEnd w:id="125"/>
    <w:p>
      <w:pPr>
        <w:ind w:right="880"/>
        <w:spacing w:after="0" w:line="324" w:lineRule="auto"/>
        <w:rPr>
          <w:sz w:val="20"/>
          <w:szCs w:val="20"/>
          <w:color w:val="auto"/>
        </w:rPr>
      </w:pPr>
      <w:r>
        <w:rPr>
          <w:rFonts w:ascii="Arial" w:cs="Arial" w:eastAsia="Arial" w:hAnsi="Arial"/>
          <w:sz w:val="16"/>
          <w:szCs w:val="16"/>
          <w:color w:val="231F20"/>
        </w:rPr>
        <w:t>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2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8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(DDoS)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75"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231F20"/>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67"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231F20"/>
        </w:rPr>
        <w:t>connection with a breach or other cybersecurity-related matter could adversely affect our business, financial condition, results of operations and prospects.</w:t>
      </w:r>
    </w:p>
    <w:p>
      <w:pPr>
        <w:spacing w:after="0" w:line="127"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6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0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3" w:lineRule="exact"/>
        <w:rPr>
          <w:sz w:val="20"/>
          <w:szCs w:val="20"/>
          <w:color w:val="auto"/>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differing regulatory requirements and reimbursement regimes in foreign countries;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compliance with tax, employment, immigration and labor laws for employees living or traveling abroad;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foreign taxes, including withholding of payroll taxes;</w:t>
      </w:r>
    </w:p>
    <w:p>
      <w:pPr>
        <w:spacing w:after="0" w:line="103" w:lineRule="exact"/>
        <w:rPr>
          <w:rFonts w:ascii="Arial" w:cs="Arial" w:eastAsia="Arial" w:hAnsi="Arial"/>
          <w:sz w:val="13"/>
          <w:szCs w:val="13"/>
          <w:color w:val="231F20"/>
        </w:rPr>
      </w:pPr>
    </w:p>
    <w:p>
      <w:pPr>
        <w:ind w:left="900" w:right="60" w:hanging="383"/>
        <w:spacing w:after="0" w:line="261" w:lineRule="auto"/>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difficulties staffing and managing foreign operations;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workforce uncertainty in countries where labor unrest is more common than in the United States;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8"/>
        </w:numPr>
        <w:rPr>
          <w:rFonts w:ascii="Arial" w:cs="Arial" w:eastAsia="Arial" w:hAnsi="Arial"/>
          <w:sz w:val="13"/>
          <w:szCs w:val="13"/>
          <w:color w:val="231F20"/>
        </w:rPr>
      </w:pPr>
      <w:r>
        <w:rPr>
          <w:rFonts w:ascii="Arial" w:cs="Arial" w:eastAsia="Arial" w:hAnsi="Arial"/>
          <w:sz w:val="18"/>
          <w:szCs w:val="18"/>
          <w:color w:val="231F20"/>
        </w:rPr>
        <w:t>potential liability under the FCPA or comparable foreign regulations;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27" w:name="page128"/>
    <w:bookmarkEnd w:id="127"/>
    <w:p>
      <w:pPr>
        <w:ind w:left="900" w:right="420" w:hanging="383"/>
        <w:spacing w:after="0" w:line="291" w:lineRule="auto"/>
        <w:tabs>
          <w:tab w:leader="none" w:pos="900" w:val="left"/>
        </w:tabs>
        <w:numPr>
          <w:ilvl w:val="0"/>
          <w:numId w:val="69"/>
        </w:numPr>
        <w:rPr>
          <w:rFonts w:ascii="Arial" w:cs="Arial" w:eastAsia="Arial" w:hAnsi="Arial"/>
          <w:sz w:val="12"/>
          <w:szCs w:val="12"/>
          <w:color w:val="231F20"/>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38" w:lineRule="exact"/>
        <w:rPr>
          <w:rFonts w:ascii="Arial" w:cs="Arial" w:eastAsia="Arial" w:hAnsi="Arial"/>
          <w:sz w:val="12"/>
          <w:szCs w:val="12"/>
          <w:color w:val="231F20"/>
        </w:rPr>
      </w:pPr>
    </w:p>
    <w:p>
      <w:pPr>
        <w:ind w:left="900" w:hanging="383"/>
        <w:spacing w:after="0"/>
        <w:tabs>
          <w:tab w:leader="none" w:pos="900" w:val="left"/>
        </w:tabs>
        <w:numPr>
          <w:ilvl w:val="0"/>
          <w:numId w:val="69"/>
        </w:numPr>
        <w:rPr>
          <w:rFonts w:ascii="Arial" w:cs="Arial" w:eastAsia="Arial" w:hAnsi="Arial"/>
          <w:sz w:val="13"/>
          <w:szCs w:val="13"/>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69"/>
        </w:numPr>
        <w:rPr>
          <w:rFonts w:ascii="Arial" w:cs="Arial" w:eastAsia="Arial" w:hAnsi="Arial"/>
          <w:sz w:val="11"/>
          <w:szCs w:val="11"/>
          <w:color w:val="231F20"/>
        </w:rPr>
      </w:pPr>
      <w:r>
        <w:rPr>
          <w:rFonts w:ascii="Arial" w:cs="Arial" w:eastAsia="Arial" w:hAnsi="Arial"/>
          <w:sz w:val="16"/>
          <w:szCs w:val="16"/>
          <w:color w:val="231F20"/>
        </w:rPr>
        <w:t>business interruptions resulting from geo-political actions, including war and terrorism, including effects of the recent Russia-Ukraine conflict.</w:t>
      </w:r>
    </w:p>
    <w:p>
      <w:pPr>
        <w:spacing w:after="0" w:line="127"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216"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5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7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8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66"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8" w:name="page129"/>
    <w:bookmarkEnd w:id="128"/>
    <w:p>
      <w:pPr>
        <w:ind w:right="40"/>
        <w:spacing w:after="0" w:line="270" w:lineRule="auto"/>
        <w:rPr>
          <w:sz w:val="20"/>
          <w:szCs w:val="20"/>
          <w:color w:val="auto"/>
        </w:rPr>
      </w:pPr>
      <w:r>
        <w:rPr>
          <w:rFonts w:ascii="Arial" w:cs="Arial" w:eastAsia="Arial" w:hAnsi="Arial"/>
          <w:sz w:val="16"/>
          <w:szCs w:val="16"/>
          <w:color w:val="231F20"/>
        </w:rPr>
        <w:t>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59"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74" w:lineRule="exact"/>
        <w:rPr>
          <w:sz w:val="20"/>
          <w:szCs w:val="20"/>
          <w:color w:val="auto"/>
        </w:rPr>
      </w:pPr>
    </w:p>
    <w:p>
      <w:pPr>
        <w:jc w:val="both"/>
        <w:ind w:left="900" w:right="20" w:hanging="383"/>
        <w:spacing w:after="0" w:line="248" w:lineRule="auto"/>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3" w:lineRule="exact"/>
        <w:rPr>
          <w:rFonts w:ascii="Arial" w:cs="Arial" w:eastAsia="Arial" w:hAnsi="Arial"/>
          <w:sz w:val="13"/>
          <w:szCs w:val="13"/>
          <w:color w:val="231F20"/>
        </w:rPr>
      </w:pPr>
    </w:p>
    <w:p>
      <w:pPr>
        <w:ind w:left="900" w:hanging="383"/>
        <w:spacing w:after="0"/>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patent applications may not result in any patents being issued;</w:t>
      </w:r>
    </w:p>
    <w:p>
      <w:pPr>
        <w:spacing w:after="0" w:line="103" w:lineRule="exact"/>
        <w:rPr>
          <w:rFonts w:ascii="Arial" w:cs="Arial" w:eastAsia="Arial" w:hAnsi="Arial"/>
          <w:sz w:val="13"/>
          <w:szCs w:val="13"/>
          <w:color w:val="231F20"/>
        </w:rPr>
      </w:pPr>
    </w:p>
    <w:p>
      <w:pPr>
        <w:ind w:left="900" w:right="60" w:hanging="383"/>
        <w:spacing w:after="0" w:line="261" w:lineRule="auto"/>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62" w:lineRule="exact"/>
        <w:rPr>
          <w:rFonts w:ascii="Arial" w:cs="Arial" w:eastAsia="Arial" w:hAnsi="Arial"/>
          <w:sz w:val="13"/>
          <w:szCs w:val="13"/>
          <w:color w:val="231F20"/>
        </w:rPr>
      </w:pPr>
    </w:p>
    <w:p>
      <w:pPr>
        <w:ind w:left="900" w:right="40" w:hanging="383"/>
        <w:spacing w:after="0" w:line="248" w:lineRule="auto"/>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3" w:lineRule="exact"/>
        <w:rPr>
          <w:rFonts w:ascii="Arial" w:cs="Arial" w:eastAsia="Arial" w:hAnsi="Arial"/>
          <w:sz w:val="13"/>
          <w:szCs w:val="13"/>
          <w:color w:val="231F20"/>
        </w:rPr>
      </w:pPr>
    </w:p>
    <w:p>
      <w:pPr>
        <w:ind w:left="900" w:right="240" w:hanging="383"/>
        <w:spacing w:after="0" w:line="248" w:lineRule="auto"/>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3" w:lineRule="exact"/>
        <w:rPr>
          <w:rFonts w:ascii="Arial" w:cs="Arial" w:eastAsia="Arial" w:hAnsi="Arial"/>
          <w:sz w:val="13"/>
          <w:szCs w:val="13"/>
          <w:color w:val="231F20"/>
        </w:rPr>
      </w:pPr>
    </w:p>
    <w:p>
      <w:pPr>
        <w:ind w:left="900" w:right="380" w:hanging="383"/>
        <w:spacing w:after="0" w:line="248" w:lineRule="auto"/>
        <w:tabs>
          <w:tab w:leader="none" w:pos="900" w:val="left"/>
        </w:tabs>
        <w:numPr>
          <w:ilvl w:val="0"/>
          <w:numId w:val="70"/>
        </w:numPr>
        <w:rPr>
          <w:rFonts w:ascii="Arial" w:cs="Arial" w:eastAsia="Arial" w:hAnsi="Arial"/>
          <w:sz w:val="13"/>
          <w:szCs w:val="13"/>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7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8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6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29" w:name="page130"/>
    <w:bookmarkEnd w:id="129"/>
    <w:p>
      <w:pPr>
        <w:ind w:right="80"/>
        <w:spacing w:after="0" w:line="261" w:lineRule="auto"/>
        <w:rPr>
          <w:sz w:val="20"/>
          <w:szCs w:val="20"/>
          <w:color w:val="auto"/>
        </w:rPr>
      </w:pPr>
      <w:r>
        <w:rPr>
          <w:rFonts w:ascii="Arial" w:cs="Arial" w:eastAsia="Arial" w:hAnsi="Arial"/>
          <w:sz w:val="18"/>
          <w:szCs w:val="18"/>
          <w:color w:val="231F20"/>
        </w:rPr>
        <w:t>commercialized. As a result, our intellectual property may not provide us with sufficient rights to exclude others from commercializing products similar or identical to ours.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64" w:lineRule="exact"/>
        <w:rPr>
          <w:sz w:val="20"/>
          <w:szCs w:val="20"/>
          <w:color w:val="auto"/>
        </w:rPr>
      </w:pPr>
    </w:p>
    <w:p>
      <w:pPr>
        <w:ind w:right="120" w:firstLine="509"/>
        <w:spacing w:after="0" w:line="270"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63"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6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231F20"/>
        </w:rPr>
        <w:t>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04" w:lineRule="exact"/>
        <w:rPr>
          <w:sz w:val="20"/>
          <w:szCs w:val="20"/>
          <w:color w:val="auto"/>
        </w:rPr>
      </w:pPr>
    </w:p>
    <w:p>
      <w:pPr>
        <w:ind w:right="660" w:firstLine="509"/>
        <w:spacing w:after="0" w:line="291" w:lineRule="auto"/>
        <w:rPr>
          <w:sz w:val="20"/>
          <w:szCs w:val="20"/>
          <w:color w:val="auto"/>
        </w:rPr>
      </w:pPr>
      <w:r>
        <w:rPr>
          <w:rFonts w:ascii="Arial" w:cs="Arial" w:eastAsia="Arial" w:hAnsi="Arial"/>
          <w:sz w:val="17"/>
          <w:szCs w:val="17"/>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39" w:lineRule="exact"/>
        <w:rPr>
          <w:sz w:val="20"/>
          <w:szCs w:val="20"/>
          <w:color w:val="auto"/>
        </w:rPr>
      </w:pPr>
    </w:p>
    <w:p>
      <w:pPr>
        <w:ind w:left="900" w:right="840" w:hanging="383"/>
        <w:spacing w:after="0" w:line="261" w:lineRule="auto"/>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others may be able to develop products that are similar to our product candidates but that are not covered by the claims of the patent applications that we own or license;</w:t>
      </w:r>
    </w:p>
    <w:p>
      <w:pPr>
        <w:spacing w:after="0" w:line="62" w:lineRule="exact"/>
        <w:rPr>
          <w:rFonts w:ascii="Arial" w:cs="Arial" w:eastAsia="Arial" w:hAnsi="Arial"/>
          <w:sz w:val="13"/>
          <w:szCs w:val="13"/>
          <w:color w:val="231F20"/>
        </w:rPr>
      </w:pPr>
    </w:p>
    <w:p>
      <w:pPr>
        <w:ind w:left="900" w:right="280" w:hanging="383"/>
        <w:spacing w:after="0" w:line="261" w:lineRule="auto"/>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1"/>
        </w:numPr>
        <w:rPr>
          <w:rFonts w:ascii="Arial" w:cs="Arial" w:eastAsia="Arial" w:hAnsi="Arial"/>
          <w:sz w:val="11"/>
          <w:szCs w:val="11"/>
          <w:color w:val="231F20"/>
        </w:rPr>
      </w:pPr>
      <w:r>
        <w:rPr>
          <w:rFonts w:ascii="Arial" w:cs="Arial" w:eastAsia="Arial" w:hAnsi="Arial"/>
          <w:sz w:val="16"/>
          <w:szCs w:val="16"/>
          <w:color w:val="231F20"/>
        </w:rPr>
        <w:t>we or our current or future licensors or collaborators might not have been the first to file patent applications covering certain of our inventions;</w:t>
      </w:r>
    </w:p>
    <w:p>
      <w:pPr>
        <w:spacing w:after="0" w:line="126" w:lineRule="exact"/>
        <w:rPr>
          <w:rFonts w:ascii="Arial" w:cs="Arial" w:eastAsia="Arial" w:hAnsi="Arial"/>
          <w:sz w:val="11"/>
          <w:szCs w:val="11"/>
          <w:color w:val="231F20"/>
        </w:rPr>
      </w:pPr>
    </w:p>
    <w:p>
      <w:pPr>
        <w:ind w:left="900" w:right="260" w:hanging="383"/>
        <w:spacing w:after="0" w:line="261" w:lineRule="auto"/>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it is possible that the pending patent applications we own or license will not lead to issued patents;</w:t>
      </w:r>
    </w:p>
    <w:p>
      <w:pPr>
        <w:spacing w:after="0" w:line="103" w:lineRule="exact"/>
        <w:rPr>
          <w:rFonts w:ascii="Arial" w:cs="Arial" w:eastAsia="Arial" w:hAnsi="Arial"/>
          <w:sz w:val="13"/>
          <w:szCs w:val="13"/>
          <w:color w:val="231F20"/>
        </w:rPr>
      </w:pPr>
    </w:p>
    <w:p>
      <w:pPr>
        <w:ind w:left="900" w:right="160" w:hanging="383"/>
        <w:spacing w:after="0" w:line="261" w:lineRule="auto"/>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issued patents that we may hold rights to may be held invalid or unenforceable, including as a result of legal challenges by our competitors or other third parties;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others may have access to the same intellectual property rights licensed to us in the future on a nonexclusive basis;</w:t>
      </w:r>
    </w:p>
    <w:p>
      <w:pPr>
        <w:spacing w:after="0" w:line="103" w:lineRule="exact"/>
        <w:rPr>
          <w:rFonts w:ascii="Arial" w:cs="Arial" w:eastAsia="Arial" w:hAnsi="Arial"/>
          <w:sz w:val="13"/>
          <w:szCs w:val="13"/>
          <w:color w:val="231F20"/>
        </w:rPr>
      </w:pPr>
    </w:p>
    <w:p>
      <w:pPr>
        <w:ind w:left="900" w:right="860" w:hanging="383"/>
        <w:spacing w:after="0" w:line="291" w:lineRule="auto"/>
        <w:tabs>
          <w:tab w:leader="none" w:pos="900" w:val="left"/>
        </w:tabs>
        <w:numPr>
          <w:ilvl w:val="0"/>
          <w:numId w:val="71"/>
        </w:numPr>
        <w:rPr>
          <w:rFonts w:ascii="Arial" w:cs="Arial" w:eastAsia="Arial" w:hAnsi="Arial"/>
          <w:sz w:val="12"/>
          <w:szCs w:val="12"/>
          <w:color w:val="231F20"/>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2"/>
          <w:szCs w:val="12"/>
          <w:color w:val="231F20"/>
        </w:rPr>
      </w:pPr>
    </w:p>
    <w:p>
      <w:pPr>
        <w:ind w:left="900" w:hanging="383"/>
        <w:spacing w:after="0"/>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we may not develop additional proprietary technologies that are patentable;</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the patents of others may have an adverse effect on our business; and</w:t>
      </w:r>
    </w:p>
    <w:p>
      <w:pPr>
        <w:spacing w:after="0" w:line="103" w:lineRule="exact"/>
        <w:rPr>
          <w:rFonts w:ascii="Arial" w:cs="Arial" w:eastAsia="Arial" w:hAnsi="Arial"/>
          <w:sz w:val="13"/>
          <w:szCs w:val="13"/>
          <w:color w:val="231F20"/>
        </w:rPr>
      </w:pPr>
    </w:p>
    <w:p>
      <w:pPr>
        <w:ind w:left="900" w:right="380" w:hanging="383"/>
        <w:spacing w:after="0" w:line="261" w:lineRule="auto"/>
        <w:tabs>
          <w:tab w:leader="none" w:pos="900" w:val="left"/>
        </w:tabs>
        <w:numPr>
          <w:ilvl w:val="0"/>
          <w:numId w:val="71"/>
        </w:numPr>
        <w:rPr>
          <w:rFonts w:ascii="Arial" w:cs="Arial" w:eastAsia="Arial" w:hAnsi="Arial"/>
          <w:sz w:val="13"/>
          <w:szCs w:val="13"/>
          <w:color w:val="231F20"/>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Should any of these events occur, it could significantly harm our business, results of operations and prospects.</w:t>
      </w:r>
    </w:p>
    <w:p>
      <w:pPr>
        <w:spacing w:after="0" w:line="21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1" w:name="page132"/>
    <w:bookmarkEnd w:id="131"/>
    <w:p>
      <w:pPr>
        <w:ind w:right="20"/>
        <w:spacing w:after="0" w:line="243" w:lineRule="auto"/>
        <w:rPr>
          <w:sz w:val="20"/>
          <w:szCs w:val="20"/>
          <w:color w:val="auto"/>
        </w:rPr>
      </w:pPr>
      <w:r>
        <w:rPr>
          <w:rFonts w:ascii="Arial" w:cs="Arial" w:eastAsia="Arial" w:hAnsi="Arial"/>
          <w:sz w:val="18"/>
          <w:szCs w:val="18"/>
          <w:color w:val="231F20"/>
        </w:rPr>
        <w:t>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80"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6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74" w:lineRule="exact"/>
        <w:rPr>
          <w:sz w:val="20"/>
          <w:szCs w:val="20"/>
          <w:color w:val="auto"/>
        </w:rPr>
      </w:pPr>
    </w:p>
    <w:p>
      <w:pPr>
        <w:ind w:left="900" w:hanging="383"/>
        <w:spacing w:after="0"/>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result in costly litigation that may cause negative publicity;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divert the time and attention of our technical personnel and management;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cause development delays;</w:t>
      </w:r>
    </w:p>
    <w:p>
      <w:pPr>
        <w:spacing w:after="0" w:line="103" w:lineRule="exact"/>
        <w:rPr>
          <w:rFonts w:ascii="Arial" w:cs="Arial" w:eastAsia="Arial" w:hAnsi="Arial"/>
          <w:sz w:val="13"/>
          <w:szCs w:val="13"/>
          <w:color w:val="auto"/>
        </w:rPr>
      </w:pPr>
    </w:p>
    <w:p>
      <w:pPr>
        <w:ind w:left="900" w:right="180" w:hanging="383"/>
        <w:spacing w:after="0" w:line="261" w:lineRule="auto"/>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require us to develop non-infringing technology, which may not be possible on a cost-effective basis;</w:t>
      </w:r>
    </w:p>
    <w:p>
      <w:pPr>
        <w:spacing w:after="0" w:line="103" w:lineRule="exact"/>
        <w:rPr>
          <w:rFonts w:ascii="Arial" w:cs="Arial" w:eastAsia="Arial" w:hAnsi="Arial"/>
          <w:sz w:val="13"/>
          <w:szCs w:val="13"/>
          <w:color w:val="auto"/>
        </w:rPr>
      </w:pPr>
    </w:p>
    <w:p>
      <w:pPr>
        <w:ind w:left="900" w:right="620" w:hanging="383"/>
        <w:spacing w:after="0" w:line="261" w:lineRule="auto"/>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subject us to significant liability and damages to third parties, including treble damages if we are found to willfully infringe third-party intellectual property; or</w:t>
      </w:r>
    </w:p>
    <w:p>
      <w:pPr>
        <w:spacing w:after="0" w:line="62"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72"/>
        </w:numPr>
        <w:rPr>
          <w:rFonts w:ascii="Arial" w:cs="Arial" w:eastAsia="Arial" w:hAnsi="Arial"/>
          <w:sz w:val="13"/>
          <w:szCs w:val="13"/>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231F20"/>
        </w:rPr>
        <w:t>position. In addition, third parties may obtain patents in the future and claim that use of our technologies infringes upon these patents.</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In addition, even if we or our future strategic partners were able to obtain a license, the rights may be nonexclusive, which could result in our competitors gaining access to the same intellectual property. Moreover,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6" w:lineRule="exact"/>
        <w:rPr>
          <w:sz w:val="20"/>
          <w:szCs w:val="20"/>
          <w:color w:val="auto"/>
        </w:rPr>
      </w:pPr>
    </w:p>
    <w:p>
      <w:pPr>
        <w:ind w:right="180" w:firstLine="509"/>
        <w:spacing w:after="0" w:line="253" w:lineRule="auto"/>
        <w:rPr>
          <w:sz w:val="20"/>
          <w:szCs w:val="20"/>
          <w:color w:val="auto"/>
        </w:rPr>
      </w:pPr>
      <w:r>
        <w:rPr>
          <w:rFonts w:ascii="Arial" w:cs="Arial" w:eastAsia="Arial" w:hAnsi="Arial"/>
          <w:sz w:val="17"/>
          <w:szCs w:val="17"/>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72"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3" w:name="page134"/>
    <w:bookmarkEnd w:id="133"/>
    <w:p>
      <w:pPr>
        <w:ind w:firstLine="509"/>
        <w:spacing w:after="0" w:line="241"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1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9" w:lineRule="exact"/>
        <w:rPr>
          <w:sz w:val="20"/>
          <w:szCs w:val="20"/>
          <w:color w:val="auto"/>
        </w:rPr>
      </w:pPr>
    </w:p>
    <w:p>
      <w:pPr>
        <w:ind w:right="180"/>
        <w:spacing w:after="0" w:line="356" w:lineRule="auto"/>
        <w:rPr>
          <w:sz w:val="20"/>
          <w:szCs w:val="20"/>
          <w:color w:val="auto"/>
        </w:rPr>
      </w:pPr>
      <w:r>
        <w:rPr>
          <w:rFonts w:ascii="Arial" w:cs="Arial" w:eastAsia="Arial" w:hAnsi="Arial"/>
          <w:sz w:val="15"/>
          <w:szCs w:val="15"/>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78"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4" w:name="page135"/>
    <w:bookmarkEnd w:id="134"/>
    <w:p>
      <w:pPr>
        <w:jc w:val="both"/>
        <w:spacing w:after="0" w:line="284" w:lineRule="auto"/>
        <w:rPr>
          <w:sz w:val="20"/>
          <w:szCs w:val="20"/>
          <w:color w:val="auto"/>
        </w:rPr>
      </w:pPr>
      <w:r>
        <w:rPr>
          <w:rFonts w:ascii="Arial" w:cs="Arial" w:eastAsia="Arial" w:hAnsi="Arial"/>
          <w:sz w:val="16"/>
          <w:szCs w:val="16"/>
          <w:color w:val="231F20"/>
        </w:rPr>
        <w:t>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47"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60"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4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6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5" w:name="page136"/>
    <w:bookmarkEnd w:id="135"/>
    <w:p>
      <w:pPr>
        <w:jc w:val="both"/>
        <w:ind w:right="60"/>
        <w:spacing w:after="0" w:line="270" w:lineRule="auto"/>
        <w:rPr>
          <w:sz w:val="20"/>
          <w:szCs w:val="20"/>
          <w:color w:val="auto"/>
        </w:rPr>
      </w:pPr>
      <w:r>
        <w:rPr>
          <w:rFonts w:ascii="Arial" w:cs="Arial" w:eastAsia="Arial" w:hAnsi="Arial"/>
          <w:sz w:val="17"/>
          <w:szCs w:val="17"/>
          <w:color w:val="231F20"/>
        </w:rPr>
        <w:t>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56"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231F20"/>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6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8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63"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7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6" w:name="page137"/>
    <w:bookmarkEnd w:id="136"/>
    <w:p>
      <w:pPr>
        <w:ind w:right="60"/>
        <w:spacing w:after="0" w:line="279" w:lineRule="auto"/>
        <w:rPr>
          <w:sz w:val="20"/>
          <w:szCs w:val="20"/>
          <w:color w:val="auto"/>
        </w:rPr>
      </w:pPr>
      <w:r>
        <w:rPr>
          <w:rFonts w:ascii="Arial" w:cs="Arial" w:eastAsia="Arial" w:hAnsi="Arial"/>
          <w:sz w:val="16"/>
          <w:szCs w:val="16"/>
          <w:color w:val="231F20"/>
        </w:rPr>
        <w:t>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7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7" w:name="page138"/>
    <w:bookmarkEnd w:id="137"/>
    <w:p>
      <w:pPr>
        <w:ind w:right="540"/>
        <w:spacing w:after="0" w:line="261" w:lineRule="auto"/>
        <w:rPr>
          <w:sz w:val="20"/>
          <w:szCs w:val="20"/>
          <w:color w:val="auto"/>
        </w:rPr>
      </w:pPr>
      <w:r>
        <w:rPr>
          <w:rFonts w:ascii="Arial" w:cs="Arial" w:eastAsia="Arial" w:hAnsi="Arial"/>
          <w:sz w:val="18"/>
          <w:szCs w:val="18"/>
          <w:color w:val="231F20"/>
        </w:rPr>
        <w:t>with our product candidates, and our potential future patents, the patents of our licensors, or other intellectual property rights may not be effective or sufficient to prevent them from competing.</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5"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231F20"/>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231F20"/>
        </w:rPr>
        <w:t>recognition based on our trademarks and trade names, then we may not be able to compete effectively, and our business may be adversely affected.</w:t>
      </w:r>
    </w:p>
    <w:p>
      <w:pPr>
        <w:spacing w:after="0" w:line="11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3"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9" w:name="page140"/>
    <w:bookmarkEnd w:id="139"/>
    <w:p>
      <w:pPr>
        <w:ind w:right="20"/>
        <w:spacing w:after="0" w:line="239" w:lineRule="auto"/>
        <w:rPr>
          <w:sz w:val="20"/>
          <w:szCs w:val="20"/>
          <w:color w:val="auto"/>
        </w:rPr>
      </w:pPr>
      <w:r>
        <w:rPr>
          <w:rFonts w:ascii="Arial" w:cs="Arial" w:eastAsia="Arial" w:hAnsi="Arial"/>
          <w:sz w:val="18"/>
          <w:szCs w:val="18"/>
          <w:color w:val="231F20"/>
        </w:rPr>
        <w:t>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8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6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5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40" w:name="page141"/>
    <w:bookmarkEnd w:id="140"/>
    <w:p>
      <w:pPr>
        <w:ind w:right="100" w:firstLine="509"/>
        <w:spacing w:after="0" w:line="276" w:lineRule="auto"/>
        <w:rPr>
          <w:sz w:val="20"/>
          <w:szCs w:val="20"/>
          <w:color w:val="auto"/>
        </w:rPr>
      </w:pPr>
      <w:r>
        <w:rPr>
          <w:rFonts w:ascii="Arial" w:cs="Arial" w:eastAsia="Arial" w:hAnsi="Arial"/>
          <w:sz w:val="16"/>
          <w:szCs w:val="16"/>
          <w:color w:val="231F20"/>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5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7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59" w:lineRule="exact"/>
        <w:rPr>
          <w:sz w:val="20"/>
          <w:szCs w:val="20"/>
          <w:color w:val="auto"/>
        </w:rPr>
      </w:pPr>
    </w:p>
    <w:p>
      <w:pPr>
        <w:ind w:right="800"/>
        <w:spacing w:after="0" w:line="356"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Disputes may arise between us and our current or future licensors regarding intellectual property subject to a license agreement, including:</w:t>
      </w:r>
    </w:p>
    <w:p>
      <w:pPr>
        <w:spacing w:after="0" w:line="115" w:lineRule="exact"/>
        <w:rPr>
          <w:sz w:val="20"/>
          <w:szCs w:val="20"/>
          <w:color w:val="auto"/>
        </w:rPr>
      </w:pPr>
    </w:p>
    <w:p>
      <w:pPr>
        <w:ind w:left="900" w:hanging="383"/>
        <w:spacing w:after="0"/>
        <w:tabs>
          <w:tab w:leader="none" w:pos="900" w:val="left"/>
        </w:tabs>
        <w:numPr>
          <w:ilvl w:val="0"/>
          <w:numId w:val="73"/>
        </w:numPr>
        <w:rPr>
          <w:rFonts w:ascii="Arial" w:cs="Arial" w:eastAsia="Arial" w:hAnsi="Arial"/>
          <w:sz w:val="13"/>
          <w:szCs w:val="13"/>
          <w:color w:val="auto"/>
        </w:rPr>
      </w:pPr>
      <w:r>
        <w:rPr>
          <w:rFonts w:ascii="Arial" w:cs="Arial" w:eastAsia="Arial" w:hAnsi="Arial"/>
          <w:sz w:val="18"/>
          <w:szCs w:val="18"/>
          <w:color w:val="231F20"/>
        </w:rPr>
        <w:t>the scope of rights granted under the license agreement and other interpretation-related issues;</w:t>
      </w:r>
    </w:p>
    <w:p>
      <w:pPr>
        <w:spacing w:after="0" w:line="103"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3"/>
        </w:numPr>
        <w:rPr>
          <w:rFonts w:ascii="Arial" w:cs="Arial" w:eastAsia="Arial" w:hAnsi="Arial"/>
          <w:sz w:val="13"/>
          <w:szCs w:val="13"/>
          <w:color w:val="auto"/>
        </w:rPr>
      </w:pPr>
      <w:r>
        <w:rPr>
          <w:rFonts w:ascii="Arial" w:cs="Arial" w:eastAsia="Arial" w:hAnsi="Arial"/>
          <w:sz w:val="18"/>
          <w:szCs w:val="18"/>
          <w:color w:val="231F20"/>
        </w:rPr>
        <w:t>our right to sublicense patents and other rights to third parties;</w:t>
      </w:r>
    </w:p>
    <w:p>
      <w:pPr>
        <w:spacing w:after="0" w:line="103" w:lineRule="exact"/>
        <w:rPr>
          <w:rFonts w:ascii="Arial" w:cs="Arial" w:eastAsia="Arial" w:hAnsi="Arial"/>
          <w:sz w:val="13"/>
          <w:szCs w:val="13"/>
          <w:color w:val="auto"/>
        </w:rPr>
      </w:pPr>
    </w:p>
    <w:p>
      <w:pPr>
        <w:ind w:left="900" w:right="580" w:hanging="383"/>
        <w:spacing w:after="0" w:line="261" w:lineRule="auto"/>
        <w:tabs>
          <w:tab w:leader="none" w:pos="900" w:val="left"/>
        </w:tabs>
        <w:numPr>
          <w:ilvl w:val="0"/>
          <w:numId w:val="73"/>
        </w:numPr>
        <w:rPr>
          <w:rFonts w:ascii="Arial" w:cs="Arial" w:eastAsia="Arial" w:hAnsi="Arial"/>
          <w:sz w:val="13"/>
          <w:szCs w:val="13"/>
          <w:color w:val="auto"/>
        </w:rPr>
      </w:pPr>
      <w:r>
        <w:rPr>
          <w:rFonts w:ascii="Arial" w:cs="Arial" w:eastAsia="Arial" w:hAnsi="Arial"/>
          <w:sz w:val="18"/>
          <w:szCs w:val="18"/>
          <w:color w:val="231F20"/>
        </w:rPr>
        <w:t>whether third parties are entitled to compensation or equitable relief, such as an injunction, for our use of the intellectual property rights without their authorization;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1" w:name="page142"/>
    <w:bookmarkEnd w:id="141"/>
    <w:p>
      <w:pPr>
        <w:ind w:left="900" w:right="460" w:hanging="383"/>
        <w:spacing w:after="0" w:line="261"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our involvement or lack of involvement in the prosecution, defense, and enforcement of licensed patents and our licensors’ overall patent enforcement strategy;</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the amounts of royalties, milestones or other payments due under the license agreement;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our right to transfer or assign the license;</w:t>
      </w:r>
    </w:p>
    <w:p>
      <w:pPr>
        <w:spacing w:after="0" w:line="103" w:lineRule="exact"/>
        <w:rPr>
          <w:rFonts w:ascii="Arial" w:cs="Arial" w:eastAsia="Arial" w:hAnsi="Arial"/>
          <w:sz w:val="13"/>
          <w:szCs w:val="13"/>
          <w:color w:val="auto"/>
        </w:rPr>
      </w:pPr>
    </w:p>
    <w:p>
      <w:pPr>
        <w:ind w:left="900" w:right="260" w:hanging="383"/>
        <w:spacing w:after="0" w:line="261" w:lineRule="auto"/>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8"/>
          <w:szCs w:val="18"/>
          <w:color w:val="231F20"/>
        </w:rPr>
        <w:t>the priority of invention of patented technology.</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86"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2" w:name="page143"/>
    <w:bookmarkEnd w:id="142"/>
    <w:p>
      <w:pPr>
        <w:ind w:right="20"/>
        <w:spacing w:after="0" w:line="251" w:lineRule="auto"/>
        <w:rPr>
          <w:sz w:val="20"/>
          <w:szCs w:val="20"/>
          <w:color w:val="auto"/>
        </w:rPr>
      </w:pPr>
      <w:r>
        <w:rPr>
          <w:rFonts w:ascii="Arial" w:cs="Arial" w:eastAsia="Arial" w:hAnsi="Arial"/>
          <w:sz w:val="17"/>
          <w:szCs w:val="17"/>
          <w:color w:val="231F20"/>
        </w:rPr>
        <w:t>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231F20"/>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56"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7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3" w:name="page144"/>
    <w:bookmarkEnd w:id="143"/>
    <w:p>
      <w:pPr>
        <w:ind w:right="40"/>
        <w:spacing w:after="0" w:line="270" w:lineRule="auto"/>
        <w:rPr>
          <w:sz w:val="20"/>
          <w:szCs w:val="20"/>
          <w:color w:val="auto"/>
        </w:rPr>
      </w:pPr>
      <w:r>
        <w:rPr>
          <w:rFonts w:ascii="Arial" w:cs="Arial" w:eastAsia="Arial" w:hAnsi="Arial"/>
          <w:sz w:val="16"/>
          <w:szCs w:val="16"/>
          <w:color w:val="231F20"/>
        </w:rPr>
        <w:t>standards, regulations for conducting, recording and reporting the results of clinical trials to assure that data and reported results are reliable and accurate and that the rights, integrity and confidentiality of trial participants are protected.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63"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6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b w:val="1"/>
          <w:bCs w:val="1"/>
          <w:i w:val="1"/>
          <w:iCs w:val="1"/>
          <w:color w:val="231F20"/>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8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231F20"/>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81"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231F20"/>
        </w:rPr>
        <w:t>Competition for third-party manufacturers and supplies has increased as a result of the COVID-19 pandemic and we have experienced delays in supply chain activities as a result. Changing third-party manufacturers could result in delays in our manufacturing supply chain which could delay or otherwise impact development of our programs and result in increased costs.</w:t>
      </w:r>
    </w:p>
    <w:p>
      <w:pPr>
        <w:spacing w:after="0" w:line="7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8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39" w:lineRule="exact"/>
        <w:rPr>
          <w:sz w:val="20"/>
          <w:szCs w:val="20"/>
          <w:color w:val="auto"/>
        </w:rPr>
      </w:pPr>
    </w:p>
    <w:p>
      <w:pPr>
        <w:ind w:left="900" w:hanging="383"/>
        <w:spacing w:after="0" w:line="248" w:lineRule="auto"/>
        <w:tabs>
          <w:tab w:leader="none" w:pos="900" w:val="left"/>
        </w:tabs>
        <w:numPr>
          <w:ilvl w:val="0"/>
          <w:numId w:val="75"/>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75"/>
        </w:numPr>
        <w:rPr>
          <w:rFonts w:ascii="Arial" w:cs="Arial" w:eastAsia="Arial" w:hAnsi="Arial"/>
          <w:sz w:val="12"/>
          <w:szCs w:val="12"/>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75"/>
        </w:numPr>
        <w:rPr>
          <w:rFonts w:ascii="Arial" w:cs="Arial" w:eastAsia="Arial" w:hAnsi="Arial"/>
          <w:sz w:val="13"/>
          <w:szCs w:val="13"/>
          <w:color w:val="auto"/>
        </w:rPr>
      </w:pPr>
      <w:r>
        <w:rPr>
          <w:rFonts w:ascii="Arial" w:cs="Arial" w:eastAsia="Arial" w:hAnsi="Arial"/>
          <w:sz w:val="18"/>
          <w:szCs w:val="18"/>
          <w:color w:val="231F20"/>
        </w:rPr>
        <w:t>the breach by the third-party contractors of our agreements with them;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4" w:name="page145"/>
    <w:bookmarkEnd w:id="144"/>
    <w:p>
      <w:pPr>
        <w:ind w:left="900" w:hanging="383"/>
        <w:spacing w:after="0"/>
        <w:tabs>
          <w:tab w:leader="none" w:pos="900" w:val="left"/>
        </w:tabs>
        <w:numPr>
          <w:ilvl w:val="0"/>
          <w:numId w:val="76"/>
        </w:numPr>
        <w:rPr>
          <w:rFonts w:ascii="Arial" w:cs="Arial" w:eastAsia="Arial" w:hAnsi="Arial"/>
          <w:sz w:val="13"/>
          <w:szCs w:val="13"/>
          <w:color w:val="auto"/>
        </w:rPr>
      </w:pPr>
      <w:r>
        <w:rPr>
          <w:rFonts w:ascii="Arial" w:cs="Arial" w:eastAsia="Arial" w:hAnsi="Arial"/>
          <w:sz w:val="18"/>
          <w:szCs w:val="18"/>
          <w:color w:val="231F20"/>
        </w:rPr>
        <w:t>the failure of third-party contractors to comply with applicable regulatory requirements, including cGMPs;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6"/>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specifications;</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76"/>
        </w:numPr>
        <w:rPr>
          <w:rFonts w:ascii="Arial" w:cs="Arial" w:eastAsia="Arial" w:hAnsi="Arial"/>
          <w:sz w:val="13"/>
          <w:szCs w:val="13"/>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76"/>
        </w:numPr>
        <w:rPr>
          <w:rFonts w:ascii="Arial" w:cs="Arial" w:eastAsia="Arial" w:hAnsi="Arial"/>
          <w:sz w:val="13"/>
          <w:szCs w:val="13"/>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3"/>
          <w:szCs w:val="13"/>
          <w:color w:val="auto"/>
        </w:rPr>
      </w:pPr>
    </w:p>
    <w:p>
      <w:pPr>
        <w:ind w:left="900" w:right="340" w:hanging="383"/>
        <w:spacing w:after="0" w:line="261" w:lineRule="auto"/>
        <w:tabs>
          <w:tab w:leader="none" w:pos="900" w:val="left"/>
        </w:tabs>
        <w:numPr>
          <w:ilvl w:val="0"/>
          <w:numId w:val="76"/>
        </w:numPr>
        <w:rPr>
          <w:rFonts w:ascii="Arial" w:cs="Arial" w:eastAsia="Arial" w:hAnsi="Arial"/>
          <w:sz w:val="13"/>
          <w:szCs w:val="13"/>
          <w:color w:val="auto"/>
        </w:rPr>
      </w:pPr>
      <w:r>
        <w:rPr>
          <w:rFonts w:ascii="Arial" w:cs="Arial" w:eastAsia="Arial" w:hAnsi="Arial"/>
          <w:sz w:val="18"/>
          <w:szCs w:val="18"/>
          <w:color w:val="231F20"/>
        </w:rPr>
        <w:t>the infringement, misappropriation or other violation of our intellectual property or proprietary information, including our trade secrets and know-how.</w:t>
      </w:r>
    </w:p>
    <w:p>
      <w:pPr>
        <w:spacing w:after="0" w:line="63"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72"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78"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5" w:name="page146"/>
    <w:bookmarkEnd w:id="145"/>
    <w:p>
      <w:pPr>
        <w:ind w:right="200"/>
        <w:spacing w:after="0" w:line="261" w:lineRule="auto"/>
        <w:rPr>
          <w:sz w:val="20"/>
          <w:szCs w:val="20"/>
          <w:color w:val="auto"/>
        </w:rPr>
      </w:pPr>
      <w:r>
        <w:rPr>
          <w:rFonts w:ascii="Arial" w:cs="Arial" w:eastAsia="Arial" w:hAnsi="Arial"/>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63"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 w:lineRule="exact"/>
        <w:rPr>
          <w:sz w:val="20"/>
          <w:szCs w:val="20"/>
          <w:color w:val="auto"/>
        </w:rPr>
      </w:pPr>
    </w:p>
    <w:p>
      <w:pPr>
        <w:ind w:left="900" w:hanging="38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increased operating expenses and cash requirements;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the assumption of additional indebtedness or contingent liabilities;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the issuance of our equity securities;</w:t>
      </w:r>
    </w:p>
    <w:p>
      <w:pPr>
        <w:spacing w:after="0" w:line="103" w:lineRule="exact"/>
        <w:rPr>
          <w:rFonts w:ascii="Arial" w:cs="Arial" w:eastAsia="Arial" w:hAnsi="Arial"/>
          <w:sz w:val="13"/>
          <w:szCs w:val="13"/>
          <w:color w:val="auto"/>
        </w:rPr>
      </w:pPr>
    </w:p>
    <w:p>
      <w:pPr>
        <w:ind w:left="900" w:right="260" w:hanging="383"/>
        <w:spacing w:after="0" w:line="261" w:lineRule="auto"/>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7"/>
        </w:numPr>
        <w:rPr>
          <w:rFonts w:ascii="Arial" w:cs="Arial" w:eastAsia="Arial" w:hAnsi="Arial"/>
          <w:sz w:val="12"/>
          <w:szCs w:val="12"/>
          <w:color w:val="auto"/>
        </w:rPr>
      </w:pPr>
      <w:r>
        <w:rPr>
          <w:rFonts w:ascii="Arial" w:cs="Arial" w:eastAsia="Arial" w:hAnsi="Arial"/>
          <w:sz w:val="17"/>
          <w:szCs w:val="17"/>
          <w:color w:val="231F20"/>
        </w:rPr>
        <w:t>the diversion of our management’s attention from our existing programs and initiatives in pursuing such a strategic merger or acquisition;</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03"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w:t>
      </w:r>
    </w:p>
    <w:p>
      <w:pPr>
        <w:spacing w:after="0" w:line="62" w:lineRule="exact"/>
        <w:rPr>
          <w:rFonts w:ascii="Arial" w:cs="Arial" w:eastAsia="Arial" w:hAnsi="Arial"/>
          <w:sz w:val="13"/>
          <w:szCs w:val="13"/>
          <w:color w:val="auto"/>
        </w:rPr>
      </w:pPr>
    </w:p>
    <w:p>
      <w:pPr>
        <w:ind w:left="900" w:right="160" w:hanging="383"/>
        <w:spacing w:after="0" w:line="261" w:lineRule="auto"/>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8"/>
          <w:szCs w:val="18"/>
          <w:color w:val="231F20"/>
        </w:rPr>
        <w:t>our inability to realize anticipated efficiencies and strategic benefits from such acquisitions or strategic partnerships.</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63"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231F20"/>
        </w:rPr>
        <w:t>and long-term expenditures, issue securities that dilute our existing stockholders, or disrupt our management and business.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80" w:lineRule="exact"/>
        <w:rPr>
          <w:sz w:val="20"/>
          <w:szCs w:val="20"/>
          <w:color w:val="auto"/>
        </w:rPr>
      </w:pPr>
    </w:p>
    <w:p>
      <w:pPr>
        <w:ind w:left="900" w:right="60" w:hanging="383"/>
        <w:spacing w:after="0" w:line="261" w:lineRule="auto"/>
        <w:tabs>
          <w:tab w:leader="none" w:pos="900" w:val="left"/>
        </w:tabs>
        <w:numPr>
          <w:ilvl w:val="0"/>
          <w:numId w:val="78"/>
        </w:numPr>
        <w:rPr>
          <w:rFonts w:ascii="Arial" w:cs="Arial" w:eastAsia="Arial" w:hAnsi="Arial"/>
          <w:sz w:val="13"/>
          <w:szCs w:val="13"/>
          <w:color w:val="231F20"/>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8"/>
        </w:numPr>
        <w:rPr>
          <w:rFonts w:ascii="Arial" w:cs="Arial" w:eastAsia="Arial" w:hAnsi="Arial"/>
          <w:sz w:val="13"/>
          <w:szCs w:val="13"/>
          <w:color w:val="231F20"/>
        </w:rPr>
      </w:pPr>
      <w:r>
        <w:rPr>
          <w:rFonts w:ascii="Arial" w:cs="Arial" w:eastAsia="Arial" w:hAnsi="Arial"/>
          <w:sz w:val="18"/>
          <w:szCs w:val="18"/>
          <w:color w:val="231F20"/>
        </w:rPr>
        <w:t>perform their obligations as expected;</w:t>
      </w:r>
    </w:p>
    <w:p>
      <w:pPr>
        <w:spacing w:after="0" w:line="103" w:lineRule="exact"/>
        <w:rPr>
          <w:rFonts w:ascii="Arial" w:cs="Arial" w:eastAsia="Arial" w:hAnsi="Arial"/>
          <w:sz w:val="13"/>
          <w:szCs w:val="13"/>
          <w:color w:val="231F20"/>
        </w:rPr>
      </w:pPr>
    </w:p>
    <w:p>
      <w:pPr>
        <w:ind w:left="900" w:right="80" w:hanging="383"/>
        <w:spacing w:after="0" w:line="243" w:lineRule="auto"/>
        <w:tabs>
          <w:tab w:leader="none" w:pos="900" w:val="left"/>
        </w:tabs>
        <w:numPr>
          <w:ilvl w:val="0"/>
          <w:numId w:val="78"/>
        </w:numPr>
        <w:rPr>
          <w:rFonts w:ascii="Arial" w:cs="Arial" w:eastAsia="Arial" w:hAnsi="Arial"/>
          <w:sz w:val="13"/>
          <w:szCs w:val="13"/>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9" w:lineRule="exact"/>
        <w:rPr>
          <w:rFonts w:ascii="Arial" w:cs="Arial" w:eastAsia="Arial" w:hAnsi="Arial"/>
          <w:sz w:val="13"/>
          <w:szCs w:val="13"/>
          <w:color w:val="231F20"/>
        </w:rPr>
      </w:pPr>
    </w:p>
    <w:p>
      <w:pPr>
        <w:ind w:left="900" w:right="580" w:hanging="383"/>
        <w:spacing w:after="0" w:line="291" w:lineRule="auto"/>
        <w:tabs>
          <w:tab w:leader="none" w:pos="900" w:val="left"/>
        </w:tabs>
        <w:numPr>
          <w:ilvl w:val="0"/>
          <w:numId w:val="78"/>
        </w:numPr>
        <w:rPr>
          <w:rFonts w:ascii="Arial" w:cs="Arial" w:eastAsia="Arial" w:hAnsi="Arial"/>
          <w:sz w:val="12"/>
          <w:szCs w:val="12"/>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2"/>
          <w:szCs w:val="12"/>
          <w:color w:val="231F20"/>
        </w:rPr>
      </w:pPr>
    </w:p>
    <w:p>
      <w:pPr>
        <w:ind w:left="900" w:right="680" w:hanging="383"/>
        <w:spacing w:after="0" w:line="261" w:lineRule="auto"/>
        <w:tabs>
          <w:tab w:leader="none" w:pos="900" w:val="left"/>
        </w:tabs>
        <w:numPr>
          <w:ilvl w:val="0"/>
          <w:numId w:val="78"/>
        </w:numPr>
        <w:rPr>
          <w:rFonts w:ascii="Arial" w:cs="Arial" w:eastAsia="Arial" w:hAnsi="Arial"/>
          <w:sz w:val="13"/>
          <w:szCs w:val="13"/>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7" w:name="page148"/>
    <w:bookmarkEnd w:id="147"/>
    <w:p>
      <w:pPr>
        <w:ind w:left="900"/>
        <w:spacing w:after="0"/>
        <w:rPr>
          <w:sz w:val="20"/>
          <w:szCs w:val="20"/>
          <w:color w:val="auto"/>
        </w:rPr>
      </w:pPr>
      <w:r>
        <w:rPr>
          <w:rFonts w:ascii="Arial" w:cs="Arial" w:eastAsia="Arial" w:hAnsi="Arial"/>
          <w:sz w:val="18"/>
          <w:szCs w:val="18"/>
          <w:color w:val="231F20"/>
        </w:rPr>
        <w:t>likely to be successfully developed or can be commercialized under terms that are more economically attractive than ours;</w:t>
      </w:r>
    </w:p>
    <w:p>
      <w:pPr>
        <w:spacing w:after="0" w:line="104" w:lineRule="exact"/>
        <w:rPr>
          <w:sz w:val="20"/>
          <w:szCs w:val="20"/>
          <w:color w:val="auto"/>
        </w:rPr>
      </w:pPr>
    </w:p>
    <w:p>
      <w:pPr>
        <w:ind w:left="900" w:right="20" w:hanging="383"/>
        <w:spacing w:after="0" w:line="261"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103" w:lineRule="exact"/>
        <w:rPr>
          <w:rFonts w:ascii="Arial" w:cs="Arial" w:eastAsia="Arial" w:hAnsi="Arial"/>
          <w:sz w:val="13"/>
          <w:szCs w:val="13"/>
          <w:color w:val="231F20"/>
        </w:rPr>
      </w:pPr>
    </w:p>
    <w:p>
      <w:pPr>
        <w:ind w:left="900" w:right="20" w:hanging="383"/>
        <w:spacing w:after="0" w:line="243"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9" w:lineRule="exact"/>
        <w:rPr>
          <w:rFonts w:ascii="Arial" w:cs="Arial" w:eastAsia="Arial" w:hAnsi="Arial"/>
          <w:sz w:val="13"/>
          <w:szCs w:val="13"/>
          <w:color w:val="231F20"/>
        </w:rPr>
      </w:pPr>
    </w:p>
    <w:p>
      <w:pPr>
        <w:ind w:left="900" w:hanging="383"/>
        <w:spacing w:after="0" w:line="324" w:lineRule="auto"/>
        <w:tabs>
          <w:tab w:leader="none" w:pos="900" w:val="left"/>
        </w:tabs>
        <w:numPr>
          <w:ilvl w:val="0"/>
          <w:numId w:val="79"/>
        </w:numPr>
        <w:rPr>
          <w:rFonts w:ascii="Arial" w:cs="Arial" w:eastAsia="Arial" w:hAnsi="Arial"/>
          <w:sz w:val="11"/>
          <w:szCs w:val="11"/>
          <w:color w:val="231F20"/>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6" w:lineRule="exact"/>
        <w:rPr>
          <w:rFonts w:ascii="Arial" w:cs="Arial" w:eastAsia="Arial" w:hAnsi="Arial"/>
          <w:sz w:val="11"/>
          <w:szCs w:val="11"/>
          <w:color w:val="231F20"/>
        </w:rPr>
      </w:pPr>
    </w:p>
    <w:p>
      <w:pPr>
        <w:ind w:left="900" w:right="1140" w:hanging="383"/>
        <w:spacing w:after="0" w:line="261"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79"/>
        </w:numPr>
        <w:rPr>
          <w:rFonts w:ascii="Arial" w:cs="Arial" w:eastAsia="Arial" w:hAnsi="Arial"/>
          <w:sz w:val="12"/>
          <w:szCs w:val="12"/>
          <w:color w:val="231F20"/>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115" w:lineRule="exact"/>
        <w:rPr>
          <w:rFonts w:ascii="Arial" w:cs="Arial" w:eastAsia="Arial" w:hAnsi="Arial"/>
          <w:sz w:val="12"/>
          <w:szCs w:val="12"/>
          <w:color w:val="231F20"/>
        </w:rPr>
      </w:pPr>
    </w:p>
    <w:p>
      <w:pPr>
        <w:jc w:val="both"/>
        <w:ind w:left="900" w:right="200" w:hanging="383"/>
        <w:spacing w:after="0" w:line="248"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3" w:lineRule="exact"/>
        <w:rPr>
          <w:rFonts w:ascii="Arial" w:cs="Arial" w:eastAsia="Arial" w:hAnsi="Arial"/>
          <w:sz w:val="13"/>
          <w:szCs w:val="13"/>
          <w:color w:val="231F20"/>
        </w:rPr>
      </w:pPr>
    </w:p>
    <w:p>
      <w:pPr>
        <w:ind w:left="900" w:right="140" w:hanging="383"/>
        <w:spacing w:after="0" w:line="261"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3"/>
          <w:szCs w:val="13"/>
          <w:color w:val="231F20"/>
        </w:rPr>
      </w:pPr>
    </w:p>
    <w:p>
      <w:pPr>
        <w:ind w:left="900" w:right="160" w:hanging="383"/>
        <w:spacing w:after="0" w:line="261" w:lineRule="auto"/>
        <w:tabs>
          <w:tab w:leader="none" w:pos="900" w:val="left"/>
        </w:tabs>
        <w:numPr>
          <w:ilvl w:val="0"/>
          <w:numId w:val="79"/>
        </w:numPr>
        <w:rPr>
          <w:rFonts w:ascii="Arial" w:cs="Arial" w:eastAsia="Arial" w:hAnsi="Arial"/>
          <w:sz w:val="13"/>
          <w:szCs w:val="13"/>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6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4"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420" w:firstLine="509"/>
        <w:spacing w:after="0" w:line="284" w:lineRule="auto"/>
        <w:rPr>
          <w:sz w:val="20"/>
          <w:szCs w:val="20"/>
          <w:color w:val="auto"/>
        </w:rPr>
      </w:pPr>
      <w:r>
        <w:rPr>
          <w:rFonts w:ascii="Arial" w:cs="Arial" w:eastAsia="Arial" w:hAnsi="Arial"/>
          <w:sz w:val="16"/>
          <w:szCs w:val="16"/>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4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231F20"/>
        </w:rPr>
        <w:t>There are risks involved with both establishing our own commercial capabilities and entering into arrangements with third parties to perform these services. For example, recruiting and training a sales force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8" w:name="page149"/>
    <w:bookmarkEnd w:id="148"/>
    <w:p>
      <w:pPr>
        <w:ind w:right="20"/>
        <w:spacing w:after="0" w:line="243" w:lineRule="auto"/>
        <w:rPr>
          <w:sz w:val="20"/>
          <w:szCs w:val="20"/>
          <w:color w:val="auto"/>
        </w:rPr>
      </w:pPr>
      <w:r>
        <w:rPr>
          <w:rFonts w:ascii="Arial" w:cs="Arial" w:eastAsia="Arial" w:hAnsi="Arial"/>
          <w:sz w:val="18"/>
          <w:szCs w:val="18"/>
          <w:color w:val="231F20"/>
        </w:rPr>
        <w:t>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Factors that may inhibit our efforts to commercialize any approved product on our own include:</w:t>
      </w:r>
    </w:p>
    <w:p>
      <w:pPr>
        <w:spacing w:after="0" w:line="104" w:lineRule="exact"/>
        <w:rPr>
          <w:sz w:val="20"/>
          <w:szCs w:val="20"/>
          <w:color w:val="auto"/>
        </w:rPr>
      </w:pPr>
    </w:p>
    <w:p>
      <w:pPr>
        <w:ind w:left="900" w:hanging="383"/>
        <w:spacing w:after="0" w:line="261" w:lineRule="auto"/>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our inability to recruit and retain adequate numbers of effective sales, marketing, reimbursement, compliance, customer service, medical affairs and other support personnel;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our inability to recruit and build a commercial infrastructure due to the impacts of the COVID-19 pandemic;</w:t>
      </w:r>
    </w:p>
    <w:p>
      <w:pPr>
        <w:spacing w:after="0" w:line="103" w:lineRule="exact"/>
        <w:rPr>
          <w:rFonts w:ascii="Arial" w:cs="Arial" w:eastAsia="Arial" w:hAnsi="Arial"/>
          <w:sz w:val="13"/>
          <w:szCs w:val="13"/>
          <w:color w:val="auto"/>
        </w:rPr>
      </w:pPr>
    </w:p>
    <w:p>
      <w:pPr>
        <w:ind w:left="900" w:right="340" w:hanging="383"/>
        <w:spacing w:after="0" w:line="261" w:lineRule="auto"/>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the inability of sales personnel to obtain access to physicians or persuade adequate numbers of physicians to prescribe any future approved products;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0"/>
        </w:numPr>
        <w:rPr>
          <w:rFonts w:ascii="Arial" w:cs="Arial" w:eastAsia="Arial" w:hAnsi="Arial"/>
          <w:sz w:val="11"/>
          <w:szCs w:val="11"/>
          <w:color w:val="auto"/>
        </w:rPr>
      </w:pPr>
      <w:r>
        <w:rPr>
          <w:rFonts w:ascii="Arial" w:cs="Arial" w:eastAsia="Arial" w:hAnsi="Arial"/>
          <w:sz w:val="16"/>
          <w:szCs w:val="16"/>
          <w:color w:val="231F20"/>
        </w:rPr>
        <w:t>the inability of reimbursement professionals to negotiate arrangements for formulary access, reimbursement, and other acceptance by payors;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the inability to price our products at a sufficient price point to ensure an adequate and attractive level of profitability;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restricted or closed distribution channels that make it difficult to distribute our products to segments of the patient population;</w:t>
      </w:r>
    </w:p>
    <w:p>
      <w:pPr>
        <w:spacing w:after="0" w:line="103" w:lineRule="exact"/>
        <w:rPr>
          <w:rFonts w:ascii="Arial" w:cs="Arial" w:eastAsia="Arial" w:hAnsi="Arial"/>
          <w:sz w:val="13"/>
          <w:szCs w:val="13"/>
          <w:color w:val="auto"/>
        </w:rPr>
      </w:pPr>
    </w:p>
    <w:p>
      <w:pPr>
        <w:ind w:left="900" w:right="280" w:hanging="383"/>
        <w:spacing w:after="0" w:line="261" w:lineRule="auto"/>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0"/>
        </w:numPr>
        <w:rPr>
          <w:rFonts w:ascii="Arial" w:cs="Arial" w:eastAsia="Arial" w:hAnsi="Arial"/>
          <w:sz w:val="13"/>
          <w:szCs w:val="13"/>
          <w:color w:val="auto"/>
        </w:rPr>
      </w:pPr>
      <w:r>
        <w:rPr>
          <w:rFonts w:ascii="Arial" w:cs="Arial" w:eastAsia="Arial" w:hAnsi="Arial"/>
          <w:sz w:val="18"/>
          <w:szCs w:val="18"/>
          <w:color w:val="231F20"/>
        </w:rPr>
        <w:t>unforeseen costs and expenses associated with creating an independent commercialization organization.</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6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231F20"/>
        </w:rPr>
        <w:t xml:space="preserve">Prior to our initial public offering, no market for shares of our common stock existed. </w:t>
      </w:r>
      <w:r>
        <w:rPr>
          <w:rFonts w:ascii="Arial" w:cs="Arial" w:eastAsia="Arial" w:hAnsi="Arial"/>
          <w:sz w:val="18"/>
          <w:szCs w:val="18"/>
          <w:color w:val="000000"/>
        </w:rPr>
        <w:t>The trading market for our common stock on the Nasdaq</w:t>
      </w:r>
      <w:r>
        <w:rPr>
          <w:rFonts w:ascii="Arial" w:cs="Arial" w:eastAsia="Arial" w:hAnsi="Arial"/>
          <w:sz w:val="18"/>
          <w:szCs w:val="18"/>
          <w:color w:val="231F20"/>
        </w:rPr>
        <w:t xml:space="preserve"> </w:t>
      </w:r>
      <w:r>
        <w:rPr>
          <w:rFonts w:ascii="Arial" w:cs="Arial" w:eastAsia="Arial" w:hAnsi="Arial"/>
          <w:sz w:val="18"/>
          <w:szCs w:val="18"/>
          <w:color w:val="000000"/>
        </w:rPr>
        <w:t xml:space="preserve">Global Select Market has been limited </w:t>
      </w:r>
      <w:r>
        <w:rPr>
          <w:rFonts w:ascii="Arial" w:cs="Arial" w:eastAsia="Arial" w:hAnsi="Arial"/>
          <w:sz w:val="18"/>
          <w:szCs w:val="18"/>
          <w:color w:val="231F20"/>
        </w:rPr>
        <w:t>and an active trading market for our shares may not be sustained. The lack of an active market may also reduce the</w:t>
      </w:r>
      <w:r>
        <w:rPr>
          <w:rFonts w:ascii="Arial" w:cs="Arial" w:eastAsia="Arial" w:hAnsi="Arial"/>
          <w:sz w:val="18"/>
          <w:szCs w:val="18"/>
          <w:color w:val="000000"/>
        </w:rPr>
        <w:t xml:space="preserve"> </w:t>
      </w:r>
      <w:r>
        <w:rPr>
          <w:rFonts w:ascii="Arial" w:cs="Arial" w:eastAsia="Arial" w:hAnsi="Arial"/>
          <w:sz w:val="18"/>
          <w:szCs w:val="18"/>
          <w:color w:val="231F20"/>
        </w:rPr>
        <w:t>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stock may be volatile, and you could lose all or part of your investment.</w:t>
      </w:r>
    </w:p>
    <w:p>
      <w:pPr>
        <w:spacing w:after="0" w:line="104"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9" w:name="page150"/>
    <w:bookmarkEnd w:id="149"/>
    <w:p>
      <w:pPr>
        <w:ind w:right="160" w:firstLine="509"/>
        <w:spacing w:after="0" w:line="261" w:lineRule="auto"/>
        <w:rPr>
          <w:sz w:val="20"/>
          <w:szCs w:val="20"/>
          <w:color w:val="auto"/>
        </w:rPr>
      </w:pPr>
      <w:r>
        <w:rPr>
          <w:rFonts w:ascii="Arial" w:cs="Arial" w:eastAsia="Arial" w:hAnsi="Arial"/>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3" w:lineRule="exact"/>
        <w:rPr>
          <w:sz w:val="20"/>
          <w:szCs w:val="20"/>
          <w:color w:val="auto"/>
        </w:rPr>
      </w:pPr>
    </w:p>
    <w:p>
      <w:pPr>
        <w:ind w:left="900" w:right="580" w:hanging="383"/>
        <w:spacing w:after="0" w:line="261" w:lineRule="auto"/>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regulatory actions with respect to our products or our competitors’ products;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actual or anticipated changes in our growth rate relative to our competitors;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regulatory or legal developments in the United States and other countries;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developments or disputes concerning patent applications, issued patents or other intellectual property or proprietary rights;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the recruitment or departure of key personnel;</w:t>
      </w:r>
    </w:p>
    <w:p>
      <w:pPr>
        <w:spacing w:after="0" w:line="90" w:lineRule="exact"/>
        <w:rPr>
          <w:rFonts w:ascii="Arial" w:cs="Arial" w:eastAsia="Arial" w:hAnsi="Arial"/>
          <w:sz w:val="13"/>
          <w:szCs w:val="13"/>
          <w:color w:val="231F20"/>
        </w:rPr>
      </w:pPr>
    </w:p>
    <w:p>
      <w:pPr>
        <w:ind w:left="900" w:right="840" w:hanging="383"/>
        <w:spacing w:after="0" w:line="246" w:lineRule="auto"/>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61" w:lineRule="exact"/>
        <w:rPr>
          <w:rFonts w:ascii="Arial" w:cs="Arial" w:eastAsia="Arial" w:hAnsi="Arial"/>
          <w:sz w:val="13"/>
          <w:szCs w:val="13"/>
          <w:color w:val="231F20"/>
        </w:rPr>
      </w:pPr>
    </w:p>
    <w:p>
      <w:pPr>
        <w:ind w:left="900" w:right="380" w:hanging="383"/>
        <w:spacing w:after="0" w:line="246" w:lineRule="auto"/>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actual or anticipated changes in estimates as to financial results, development timelines or coverage and/or recommendations by securities analysts;</w:t>
      </w:r>
    </w:p>
    <w:p>
      <w:pPr>
        <w:spacing w:after="0" w:line="61"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fluctuations in the valuation of companies perceived by investors to be comparable to us;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market conditions in the pharmaceutical and biotechnology sector;</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changes in the structure of healthcare payment systems;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announcement or expectation of additional financing efforts;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sales of our common stock by us, our insiders or our other stockholders;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expiration of market stand-off or lock-up agreements;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the impact of any natural disasters or public health emergencies, such as the COVID-19 pandemic;</w:t>
      </w:r>
    </w:p>
    <w:p>
      <w:pPr>
        <w:spacing w:after="0" w:line="90" w:lineRule="exact"/>
        <w:rPr>
          <w:rFonts w:ascii="Arial" w:cs="Arial" w:eastAsia="Arial" w:hAnsi="Arial"/>
          <w:sz w:val="13"/>
          <w:szCs w:val="13"/>
          <w:color w:val="231F20"/>
        </w:rPr>
      </w:pPr>
    </w:p>
    <w:p>
      <w:pPr>
        <w:ind w:left="900" w:right="40" w:hanging="383"/>
        <w:spacing w:after="0" w:line="246" w:lineRule="auto"/>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the availability of fiscal and monetary stimulus measures to counteract the impact of natural disasters or public health emergencies, such as the COVID-19 pandemic;</w:t>
      </w:r>
    </w:p>
    <w:p>
      <w:pPr>
        <w:spacing w:after="0" w:line="61"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fluctuations in interest rates and inflation rates; and</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81"/>
        </w:numPr>
        <w:rPr>
          <w:rFonts w:ascii="Arial" w:cs="Arial" w:eastAsia="Arial" w:hAnsi="Arial"/>
          <w:sz w:val="13"/>
          <w:szCs w:val="13"/>
          <w:color w:val="231F20"/>
        </w:rPr>
      </w:pPr>
      <w:r>
        <w:rPr>
          <w:rFonts w:ascii="Arial" w:cs="Arial" w:eastAsia="Arial" w:hAnsi="Arial"/>
          <w:sz w:val="18"/>
          <w:szCs w:val="18"/>
          <w:color w:val="231F20"/>
        </w:rPr>
        <w:t>general economic, political, industry and market conditions.</w:t>
      </w:r>
    </w:p>
    <w:p>
      <w:pPr>
        <w:spacing w:after="0" w:line="9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7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09"/>
        <w:spacing w:after="0" w:line="228"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0" w:lineRule="exact"/>
        <w:rPr>
          <w:sz w:val="20"/>
          <w:szCs w:val="20"/>
          <w:color w:val="auto"/>
        </w:rPr>
      </w:pPr>
    </w:p>
    <w:p>
      <w:pPr>
        <w:jc w:val="both"/>
        <w:ind w:right="80" w:firstLine="509"/>
        <w:spacing w:after="0" w:line="231"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0" w:name="page151"/>
    <w:bookmarkEnd w:id="150"/>
    <w:p>
      <w:pPr>
        <w:ind w:right="200" w:firstLine="509"/>
        <w:spacing w:after="0" w:line="261"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900" w:right="320" w:hanging="383"/>
        <w:spacing w:after="0" w:line="261"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our ability to enroll patients in clinical trials and the timing of enrollment;</w:t>
      </w:r>
    </w:p>
    <w:p>
      <w:pPr>
        <w:spacing w:after="0" w:line="103" w:lineRule="exact"/>
        <w:rPr>
          <w:rFonts w:ascii="Arial" w:cs="Arial" w:eastAsia="Arial" w:hAnsi="Arial"/>
          <w:sz w:val="13"/>
          <w:szCs w:val="13"/>
          <w:color w:val="auto"/>
        </w:rPr>
      </w:pPr>
    </w:p>
    <w:p>
      <w:pPr>
        <w:ind w:left="900" w:right="280" w:hanging="383"/>
        <w:spacing w:after="0" w:line="248"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timing and outcomes of clinical trials for our product candidates, or competing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need to conduct unanticipated clinical trials or trials that are larger or more complex than anticipated;</w:t>
      </w:r>
    </w:p>
    <w:p>
      <w:pPr>
        <w:spacing w:after="0" w:line="103" w:lineRule="exact"/>
        <w:rPr>
          <w:rFonts w:ascii="Arial" w:cs="Arial" w:eastAsia="Arial" w:hAnsi="Arial"/>
          <w:sz w:val="13"/>
          <w:szCs w:val="13"/>
          <w:color w:val="auto"/>
        </w:rPr>
      </w:pPr>
    </w:p>
    <w:p>
      <w:pPr>
        <w:ind w:left="900" w:right="880" w:hanging="383"/>
        <w:spacing w:after="0" w:line="261"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any delays in regulatory review or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03"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3"/>
          <w:szCs w:val="13"/>
          <w:color w:val="auto"/>
        </w:rPr>
      </w:pPr>
    </w:p>
    <w:p>
      <w:pPr>
        <w:ind w:left="900" w:right="600" w:hanging="383"/>
        <w:spacing w:after="0" w:line="261"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our ability to commercialize any of our product candidates, if approved, inside and outside of the United States, either independently or working with third parties;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our ability to establish and maintain collaborations, licensing or other arrangements;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our ability to adequately support future growth;</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potential unforeseen business disruptions that increase our costs or expenses;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future accounting pronouncements or changes in our accounting policies;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the changing and volatile global economic and political environment; and</w:t>
      </w:r>
    </w:p>
    <w:p>
      <w:pPr>
        <w:spacing w:after="0" w:line="103" w:lineRule="exact"/>
        <w:rPr>
          <w:rFonts w:ascii="Arial" w:cs="Arial" w:eastAsia="Arial" w:hAnsi="Arial"/>
          <w:sz w:val="13"/>
          <w:szCs w:val="13"/>
          <w:color w:val="auto"/>
        </w:rPr>
      </w:pPr>
    </w:p>
    <w:p>
      <w:pPr>
        <w:ind w:left="900" w:right="500" w:hanging="383"/>
        <w:spacing w:after="0" w:line="261" w:lineRule="auto"/>
        <w:tabs>
          <w:tab w:leader="none" w:pos="900" w:val="left"/>
        </w:tabs>
        <w:numPr>
          <w:ilvl w:val="0"/>
          <w:numId w:val="82"/>
        </w:numPr>
        <w:rPr>
          <w:rFonts w:ascii="Arial" w:cs="Arial" w:eastAsia="Arial" w:hAnsi="Arial"/>
          <w:sz w:val="13"/>
          <w:szCs w:val="13"/>
          <w:color w:val="auto"/>
        </w:rPr>
      </w:pPr>
      <w:r>
        <w:rPr>
          <w:rFonts w:ascii="Arial" w:cs="Arial" w:eastAsia="Arial" w:hAnsi="Arial"/>
          <w:sz w:val="18"/>
          <w:szCs w:val="18"/>
          <w:color w:val="231F20"/>
        </w:rPr>
        <w:t>increased impact from the COVID-19 pandemic on the costs and timing associated with the conduct of our clinical trial and other related business activities.</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231F20"/>
        </w:rPr>
        <w:t>As of December 31, 2021, our executive officers, directors, holders of 5% or more of our capital stock and their respective affiliates beneficially owned approximately 74.6% of our common stock. These stockholders, acting together, may be able to control matters requiring stockholder approval. For example, they may be able to control elections of directors, amendments of our organizational documents or approval of any merger, sale of assets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1" w:name="page152"/>
    <w:bookmarkEnd w:id="151"/>
    <w:p>
      <w:pPr>
        <w:ind w:right="60"/>
        <w:spacing w:after="0"/>
        <w:rPr>
          <w:sz w:val="20"/>
          <w:szCs w:val="20"/>
          <w:color w:val="auto"/>
        </w:rPr>
      </w:pPr>
      <w:r>
        <w:rPr>
          <w:rFonts w:ascii="Arial" w:cs="Arial" w:eastAsia="Arial" w:hAnsi="Arial"/>
          <w:sz w:val="18"/>
          <w:szCs w:val="18"/>
          <w:color w:val="231F20"/>
        </w:rPr>
        <w:t>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04" w:lineRule="exact"/>
        <w:rPr>
          <w:sz w:val="20"/>
          <w:szCs w:val="20"/>
          <w:color w:val="auto"/>
        </w:rPr>
      </w:pPr>
    </w:p>
    <w:p>
      <w:pPr>
        <w:ind w:right="420" w:firstLine="509"/>
        <w:spacing w:after="0" w:line="291" w:lineRule="auto"/>
        <w:rPr>
          <w:sz w:val="20"/>
          <w:szCs w:val="20"/>
          <w:color w:val="auto"/>
        </w:rPr>
      </w:pPr>
      <w:r>
        <w:rPr>
          <w:rFonts w:ascii="Arial" w:cs="Arial" w:eastAsia="Arial" w:hAnsi="Arial"/>
          <w:sz w:val="17"/>
          <w:szCs w:val="17"/>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of December 31, 2021, we had 41,291,374 outstanding shares of common stock on an as converted basis. Of these shares, 13,800,000 shares were freely tradable as of December 31, 2021 and substantially all of the remaining shares of common stock became available for sale in the public market beginning in January 2022 following the scheduled expiration of lock-up agreements that certain of our stockholders and the underwriters entered into in connection with our IPO.</w:t>
      </w:r>
    </w:p>
    <w:p>
      <w:pPr>
        <w:spacing w:after="0" w:line="8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addition, we have filed a registration statement on Form S-8 under the Securities Act registering the issuance of 7,177,883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 and the lock-up agreements described above.</w:t>
      </w:r>
    </w:p>
    <w:p>
      <w:pPr>
        <w:spacing w:after="0" w:line="8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231F20"/>
        </w:rPr>
        <w:t>Moreover, as of December 31, 2021, holders of an aggregate of 26,102,278 shares of our common stock had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beginning in February 2022 following the scheduled expiration of lock-up agreements that certain of our stockholders and the underwriters entered into in connection with our initial public offering.</w:t>
      </w:r>
    </w:p>
    <w:p>
      <w:pPr>
        <w:spacing w:after="0" w:line="4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231F20"/>
        </w:rPr>
        <w:t>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w:t>
      </w:r>
    </w:p>
    <w:p>
      <w:pPr>
        <w:spacing w:after="0" w:line="8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231F20"/>
        </w:rPr>
        <w:t>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2" w:name="page153"/>
    <w:bookmarkEnd w:id="152"/>
    <w:p>
      <w:pPr>
        <w:ind w:right="60" w:firstLine="509"/>
        <w:spacing w:after="0" w:line="271" w:lineRule="auto"/>
        <w:rPr>
          <w:sz w:val="20"/>
          <w:szCs w:val="20"/>
          <w:color w:val="auto"/>
        </w:rPr>
      </w:pPr>
      <w:r>
        <w:rPr>
          <w:rFonts w:ascii="Arial" w:cs="Arial" w:eastAsia="Arial" w:hAnsi="Arial"/>
          <w:sz w:val="16"/>
          <w:szCs w:val="16"/>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6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39"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6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9" w:lineRule="exact"/>
        <w:rPr>
          <w:sz w:val="20"/>
          <w:szCs w:val="20"/>
          <w:color w:val="auto"/>
        </w:rPr>
      </w:pPr>
    </w:p>
    <w:p>
      <w:pPr>
        <w:ind w:left="900" w:hanging="383"/>
        <w:spacing w:after="0"/>
        <w:tabs>
          <w:tab w:leader="none" w:pos="900" w:val="left"/>
        </w:tabs>
        <w:numPr>
          <w:ilvl w:val="0"/>
          <w:numId w:val="83"/>
        </w:numPr>
        <w:rPr>
          <w:rFonts w:ascii="Arial" w:cs="Arial" w:eastAsia="Arial" w:hAnsi="Arial"/>
          <w:sz w:val="13"/>
          <w:szCs w:val="13"/>
          <w:color w:val="auto"/>
        </w:rPr>
      </w:pPr>
      <w:r>
        <w:rPr>
          <w:rFonts w:ascii="Arial" w:cs="Arial" w:eastAsia="Arial" w:hAnsi="Arial"/>
          <w:sz w:val="18"/>
          <w:szCs w:val="18"/>
          <w:color w:val="231F20"/>
        </w:rPr>
        <w:t>establish a classified board of directors so that not all members of our board are elected at one time;</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3"/>
        </w:numPr>
        <w:rPr>
          <w:rFonts w:ascii="Arial" w:cs="Arial" w:eastAsia="Arial" w:hAnsi="Arial"/>
          <w:sz w:val="13"/>
          <w:szCs w:val="13"/>
          <w:color w:val="auto"/>
        </w:rPr>
      </w:pPr>
      <w:r>
        <w:rPr>
          <w:rFonts w:ascii="Arial" w:cs="Arial" w:eastAsia="Arial" w:hAnsi="Arial"/>
          <w:sz w:val="18"/>
          <w:szCs w:val="18"/>
          <w:color w:val="231F20"/>
        </w:rPr>
        <w:t>permit only the board of directors to establish the number of directors and fill vacancies on the board;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3"/>
        </w:numPr>
        <w:rPr>
          <w:rFonts w:ascii="Arial" w:cs="Arial" w:eastAsia="Arial" w:hAnsi="Arial"/>
          <w:sz w:val="13"/>
          <w:szCs w:val="13"/>
          <w:color w:val="auto"/>
        </w:rPr>
      </w:pPr>
      <w:r>
        <w:rPr>
          <w:rFonts w:ascii="Arial" w:cs="Arial" w:eastAsia="Arial" w:hAnsi="Arial"/>
          <w:sz w:val="18"/>
          <w:szCs w:val="18"/>
          <w:color w:val="231F20"/>
        </w:rPr>
        <w:t>provide that directors may only be removed “for cause” and only with the approval of two-thirds of our stockholders;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3" w:name="page154"/>
    <w:bookmarkEnd w:id="153"/>
    <w:p>
      <w:pPr>
        <w:ind w:left="900" w:right="500" w:hanging="383"/>
        <w:spacing w:after="0" w:line="261" w:lineRule="auto"/>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eliminate the ability of our stockholders to call special meetings of stockholders;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prohibit stockholder action by written consent, which requires all stockholder actions to be taken at a meeting of our stockholders;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prohibit cumulative voting;</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authorize our board of directors to amend the bylaws;</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3"/>
          <w:szCs w:val="13"/>
          <w:color w:val="auto"/>
        </w:rPr>
      </w:pPr>
    </w:p>
    <w:p>
      <w:pPr>
        <w:ind w:left="900" w:right="160" w:hanging="383"/>
        <w:spacing w:after="0" w:line="261" w:lineRule="auto"/>
        <w:tabs>
          <w:tab w:leader="none" w:pos="900" w:val="left"/>
        </w:tabs>
        <w:numPr>
          <w:ilvl w:val="0"/>
          <w:numId w:val="84"/>
        </w:numPr>
        <w:rPr>
          <w:rFonts w:ascii="Arial" w:cs="Arial" w:eastAsia="Arial" w:hAnsi="Arial"/>
          <w:sz w:val="13"/>
          <w:szCs w:val="13"/>
          <w:color w:val="auto"/>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900" w:hanging="383"/>
        <w:spacing w:after="0"/>
        <w:tabs>
          <w:tab w:leader="none" w:pos="900" w:val="left"/>
        </w:tabs>
        <w:numPr>
          <w:ilvl w:val="0"/>
          <w:numId w:val="85"/>
        </w:numPr>
        <w:rPr>
          <w:rFonts w:ascii="Arial" w:cs="Arial" w:eastAsia="Arial" w:hAnsi="Arial"/>
          <w:sz w:val="13"/>
          <w:szCs w:val="13"/>
          <w:color w:val="auto"/>
        </w:rPr>
      </w:pPr>
      <w:r>
        <w:rPr>
          <w:rFonts w:ascii="Arial" w:cs="Arial" w:eastAsia="Arial" w:hAnsi="Arial"/>
          <w:sz w:val="18"/>
          <w:szCs w:val="18"/>
          <w:color w:val="231F20"/>
        </w:rPr>
        <w:t>any derivative action or proceeding brought on our behalf;</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85"/>
        </w:numPr>
        <w:rPr>
          <w:rFonts w:ascii="Arial" w:cs="Arial" w:eastAsia="Arial" w:hAnsi="Arial"/>
          <w:sz w:val="13"/>
          <w:szCs w:val="13"/>
          <w:color w:val="auto"/>
        </w:rPr>
      </w:pPr>
      <w:r>
        <w:rPr>
          <w:rFonts w:ascii="Arial" w:cs="Arial" w:eastAsia="Arial" w:hAnsi="Arial"/>
          <w:sz w:val="18"/>
          <w:szCs w:val="18"/>
          <w:color w:val="231F20"/>
        </w:rPr>
        <w:t>any action asserting a claim of breach of fiduciary duty;</w:t>
      </w:r>
    </w:p>
    <w:p>
      <w:pPr>
        <w:spacing w:after="0" w:line="103" w:lineRule="exact"/>
        <w:rPr>
          <w:rFonts w:ascii="Arial" w:cs="Arial" w:eastAsia="Arial" w:hAnsi="Arial"/>
          <w:sz w:val="13"/>
          <w:szCs w:val="13"/>
          <w:color w:val="auto"/>
        </w:rPr>
      </w:pPr>
    </w:p>
    <w:p>
      <w:pPr>
        <w:ind w:left="900" w:right="400" w:hanging="383"/>
        <w:spacing w:after="0" w:line="261" w:lineRule="auto"/>
        <w:tabs>
          <w:tab w:leader="none" w:pos="900" w:val="left"/>
        </w:tabs>
        <w:numPr>
          <w:ilvl w:val="0"/>
          <w:numId w:val="85"/>
        </w:numPr>
        <w:rPr>
          <w:rFonts w:ascii="Arial" w:cs="Arial" w:eastAsia="Arial" w:hAnsi="Arial"/>
          <w:sz w:val="13"/>
          <w:szCs w:val="13"/>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85"/>
        </w:numPr>
        <w:rPr>
          <w:rFonts w:ascii="Arial" w:cs="Arial" w:eastAsia="Arial" w:hAnsi="Arial"/>
          <w:sz w:val="13"/>
          <w:szCs w:val="13"/>
          <w:color w:val="auto"/>
        </w:rPr>
      </w:pPr>
      <w:r>
        <w:rPr>
          <w:rFonts w:ascii="Arial" w:cs="Arial" w:eastAsia="Arial" w:hAnsi="Arial"/>
          <w:sz w:val="18"/>
          <w:szCs w:val="18"/>
          <w:color w:val="231F20"/>
        </w:rPr>
        <w:t>any action asserting a claim against us that is governed by the internal-affairs doctrine.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8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63"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4" w:name="page155"/>
    <w:bookmarkEnd w:id="154"/>
    <w:p>
      <w:pPr>
        <w:ind w:right="40" w:firstLine="509"/>
        <w:spacing w:after="0" w:line="279"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South San Francisco, CA 94080. The lease expires on May 31, 2025, unless earlier terminated in accordance with the lease, and we may renew the lease term for two additional five-year periods.</w:t>
      </w:r>
    </w:p>
    <w:p>
      <w:pPr>
        <w:spacing w:after="0" w:line="82" w:lineRule="exact"/>
        <w:rPr>
          <w:sz w:val="20"/>
          <w:szCs w:val="20"/>
          <w:color w:val="auto"/>
        </w:rPr>
      </w:pPr>
    </w:p>
    <w:p>
      <w:pPr>
        <w:ind w:right="120" w:firstLine="509"/>
        <w:spacing w:after="0" w:line="295" w:lineRule="auto"/>
        <w:rPr>
          <w:sz w:val="20"/>
          <w:szCs w:val="20"/>
          <w:color w:val="auto"/>
        </w:rPr>
      </w:pPr>
      <w:r>
        <w:rPr>
          <w:rFonts w:ascii="Arial" w:cs="Arial" w:eastAsia="Arial" w:hAnsi="Arial"/>
          <w:sz w:val="17"/>
          <w:szCs w:val="17"/>
          <w:color w:val="auto"/>
        </w:rPr>
        <w:t>We have subleased space at another facility in South San Francisco containing approximately 24,000 square feet of additional office and laboratory space located at 131 Oyster Point Blvd, 4</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South San Francisco, CA 94080. The sublease expired on November 30, 2021.</w:t>
      </w:r>
    </w:p>
    <w:p>
      <w:pPr>
        <w:spacing w:after="0" w:line="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November, 2021, we entered into a sublease for approximately 7,000 square feet of additional office and laboratory space located at 131 Oyster Point Blvd, South San Francisco, CA 94080, which expires on June 30, 2022.</w:t>
      </w:r>
    </w:p>
    <w:p>
      <w:pPr>
        <w:spacing w:after="0" w:line="63" w:lineRule="exact"/>
        <w:rPr>
          <w:sz w:val="20"/>
          <w:szCs w:val="20"/>
          <w:color w:val="auto"/>
        </w:rPr>
      </w:pPr>
    </w:p>
    <w:p>
      <w:pPr>
        <w:ind w:right="120" w:firstLine="554"/>
        <w:spacing w:after="0" w:line="270" w:lineRule="auto"/>
        <w:rPr>
          <w:sz w:val="20"/>
          <w:szCs w:val="20"/>
          <w:color w:val="auto"/>
        </w:rPr>
      </w:pPr>
      <w:r>
        <w:rPr>
          <w:rFonts w:ascii="Arial" w:cs="Arial" w:eastAsia="Arial" w:hAnsi="Arial"/>
          <w:sz w:val="17"/>
          <w:szCs w:val="17"/>
          <w:color w:val="auto"/>
        </w:rPr>
        <w:t>We also have a leased space at a facility in Union City containing additional manufacturing and office space located at 33498 Central Avenue, Union City, CA 94587. The lease expires ten years and three months following the date the premises is delivered by the landlord in the required condition, unless earlier terminated in accordance with the lease. We may renew the lease term for one additional five-year period.</w:t>
      </w:r>
    </w:p>
    <w:p>
      <w:pPr>
        <w:spacing w:after="0" w:line="56"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5" w:name="page156"/>
    <w:bookmarkEnd w:id="155"/>
    <w:p>
      <w:pPr>
        <w:ind w:left="556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common stock is traded on the Nasdaq Global Select Market under the symbol “TNYA”. Public trading of our common stock began on July 30, 2021. Prior to that, there was no public market for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08"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auto"/>
        </w:rPr>
        <w:t>As of March 17, 2022, there were 68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are a biotechnology company focused on discovering, designing, developing and delivering curative therapies that address the underlying drivers of heart disease. We are advancing a pipeline of disease-modifying therapies developed using our product platforms and core internal capabilities to target defined sub-populations of patients with rare or highly prevalent forms of heart disease.</w:t>
      </w:r>
    </w:p>
    <w:p>
      <w:pPr>
        <w:spacing w:after="0" w:line="74"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Highlights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advancing a deep and diverse pipeline that includes both gene therapies and small molecules.</w:t>
      </w:r>
    </w:p>
    <w:p>
      <w:pPr>
        <w:spacing w:after="0" w:line="100"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b w:val="1"/>
          <w:bCs w:val="1"/>
          <w:color w:val="auto"/>
        </w:rPr>
        <w:t>TN-201</w:t>
      </w:r>
      <w:r>
        <w:rPr>
          <w:rFonts w:ascii="Arial" w:cs="Arial" w:eastAsia="Arial" w:hAnsi="Arial"/>
          <w:sz w:val="16"/>
          <w:szCs w:val="16"/>
          <w:color w:val="auto"/>
        </w:rPr>
        <w:t>: In the second half of 2022, we expect to submit an investigational new drug application (IND) to the U.S. Food and Drug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(FDA),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w:t>
      </w:r>
      <w:r>
        <w:rPr>
          <w:rFonts w:ascii="Arial" w:cs="Arial" w:eastAsia="Arial" w:hAnsi="Arial"/>
          <w:sz w:val="16"/>
          <w:szCs w:val="16"/>
          <w:i w:val="1"/>
          <w:iCs w:val="1"/>
          <w:color w:val="auto"/>
        </w:rPr>
        <w:t xml:space="preserve">MYBPC3 </w:t>
      </w:r>
      <w:r>
        <w:rPr>
          <w:rFonts w:ascii="Arial" w:cs="Arial" w:eastAsia="Arial" w:hAnsi="Arial"/>
          <w:sz w:val="16"/>
          <w:szCs w:val="16"/>
          <w:color w:val="auto"/>
        </w:rPr>
        <w:t>protein. In 2021, we initiated a global natural history study to improve our understanding of disease progression and unmet need in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carrying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with an initial focus on pediatric patients under the age of 18. We continue site activation and patient enrollment in the global natural history study to support the future evaluation of TN-201 in pediatric patients during clinical development after early safety has been established in adults. This study complements existing disease registries focused primarily on adult patient HCM populations and may support and expedite the development of TN-201 in the pediatric patient population. TN-201 has been granted orphan drug designation by the FDA.</w:t>
      </w:r>
    </w:p>
    <w:p>
      <w:pPr>
        <w:spacing w:after="0" w:line="54" w:lineRule="exact"/>
        <w:rPr>
          <w:sz w:val="20"/>
          <w:szCs w:val="20"/>
          <w:color w:val="auto"/>
        </w:rPr>
      </w:pPr>
    </w:p>
    <w:p>
      <w:pPr>
        <w:ind w:right="140" w:firstLine="509"/>
        <w:spacing w:after="0" w:line="264" w:lineRule="auto"/>
        <w:rPr>
          <w:sz w:val="20"/>
          <w:szCs w:val="20"/>
          <w:color w:val="auto"/>
        </w:rPr>
      </w:pPr>
      <w:r>
        <w:rPr>
          <w:rFonts w:ascii="Arial" w:cs="Arial" w:eastAsia="Arial" w:hAnsi="Arial"/>
          <w:sz w:val="17"/>
          <w:szCs w:val="17"/>
          <w:b w:val="1"/>
          <w:bCs w:val="1"/>
          <w:color w:val="auto"/>
        </w:rPr>
        <w:t xml:space="preserve">TN-301 </w:t>
      </w:r>
      <w:r>
        <w:rPr>
          <w:rFonts w:ascii="Arial" w:cs="Arial" w:eastAsia="Arial" w:hAnsi="Arial"/>
          <w:sz w:val="17"/>
          <w:szCs w:val="17"/>
          <w:color w:val="auto"/>
        </w:rPr>
        <w:t>(previously referred to as TYA-11631): We also expect to submit an IND to the FDA in the second half of 2022 for the most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candidate from our Precision Medicine platform, TN-301, a highly specific small molecule inhibitor of histone deacetylase 6 (HDAC6i). TN-301, currently in IND-enabling studies, has potentially broad utility in both heart failure with preserved EF (HFpEF) as well as genetic dilated cardiomyopathy (gDCM). In 2021, we initiated current cGMP manufacturing activities to support the production of TN-301 at larger scales.</w:t>
      </w:r>
    </w:p>
    <w:p>
      <w:pPr>
        <w:spacing w:after="0" w:line="58"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b w:val="1"/>
          <w:bCs w:val="1"/>
          <w:color w:val="auto"/>
        </w:rPr>
        <w:t>TN-401</w:t>
      </w:r>
      <w:r>
        <w:rPr>
          <w:rFonts w:ascii="Arial" w:cs="Arial" w:eastAsia="Arial" w:hAnsi="Arial"/>
          <w:sz w:val="16"/>
          <w:szCs w:val="16"/>
          <w:color w:val="auto"/>
        </w:rPr>
        <w:t>: Our PKP2 program involves using an AAV-based gene therapy to address gARVC caused by plakophilin 2 (</w:t>
      </w:r>
      <w:r>
        <w:rPr>
          <w:rFonts w:ascii="Arial" w:cs="Arial" w:eastAsia="Arial" w:hAnsi="Arial"/>
          <w:sz w:val="16"/>
          <w:szCs w:val="16"/>
          <w:i w:val="1"/>
          <w:iCs w:val="1"/>
          <w:color w:val="auto"/>
        </w:rPr>
        <w:t>PKP2</w:t>
      </w:r>
      <w:r>
        <w:rPr>
          <w:rFonts w:ascii="Arial" w:cs="Arial" w:eastAsia="Arial" w:hAnsi="Arial"/>
          <w:sz w:val="16"/>
          <w:szCs w:val="16"/>
          <w:color w:val="auto"/>
        </w:rPr>
        <w:t>) gene mutations, and we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developing TN-401 as a clinical drug candidate to treat patients carrying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We have scaled up production of TN-401 to 200L and are initiating IND enabling studies. We intend to support establishment of a global natural history study in 2022 and expect to submit an IND in 2023.</w:t>
      </w:r>
    </w:p>
    <w:p>
      <w:pPr>
        <w:spacing w:after="0" w:line="35"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Our DWORF program, an AAV-based gene therapy designed to express the Dwarf Open Reading Frame (DWORF) gene in the heart, has</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potentially broad utility in dilated cardiomyopathy (DCM) and heart failure with reduced EF (HFrEF) and is currently at the candidate selection stage. Our Reprogramming program for cardiac regeneration can potentially replace heart cells lost in patients experiencing heart failure due to prior myocardial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ind w:right="680"/>
        <w:spacing w:after="0" w:line="261" w:lineRule="auto"/>
        <w:rPr>
          <w:sz w:val="20"/>
          <w:szCs w:val="20"/>
          <w:color w:val="auto"/>
        </w:rPr>
      </w:pPr>
      <w:r>
        <w:rPr>
          <w:rFonts w:ascii="Arial" w:cs="Arial" w:eastAsia="Arial" w:hAnsi="Arial"/>
          <w:sz w:val="18"/>
          <w:szCs w:val="18"/>
          <w:color w:val="auto"/>
        </w:rPr>
        <w:t>infarction (MI), and is currently at the candidate selection stage. In addition, we have numerous earlier-stage programs emerging from our product platforms to address other forms of heart failure.</w:t>
      </w:r>
    </w:p>
    <w:p>
      <w:pPr>
        <w:spacing w:after="0" w:line="59" w:lineRule="exact"/>
        <w:rPr>
          <w:sz w:val="20"/>
          <w:szCs w:val="20"/>
          <w:color w:val="auto"/>
        </w:rPr>
      </w:pPr>
    </w:p>
    <w:p>
      <w:pPr>
        <w:jc w:val="both"/>
        <w:ind w:right="80" w:firstLine="509"/>
        <w:spacing w:after="0" w:line="272" w:lineRule="auto"/>
        <w:rPr>
          <w:sz w:val="20"/>
          <w:szCs w:val="20"/>
          <w:color w:val="auto"/>
        </w:rPr>
      </w:pPr>
      <w:r>
        <w:rPr>
          <w:rFonts w:ascii="Arial" w:cs="Arial" w:eastAsia="Arial" w:hAnsi="Arial"/>
          <w:sz w:val="17"/>
          <w:szCs w:val="17"/>
          <w:b w:val="1"/>
          <w:bCs w:val="1"/>
          <w:color w:val="auto"/>
        </w:rPr>
        <w:t>Manufacturing</w:t>
      </w:r>
      <w:r>
        <w:rPr>
          <w:rFonts w:ascii="Arial" w:cs="Arial" w:eastAsia="Arial" w:hAnsi="Arial"/>
          <w:sz w:val="17"/>
          <w:szCs w:val="17"/>
          <w:color w:val="auto"/>
        </w:rPr>
        <w:t>: We have initiated construction of a cGMP facility in the San Francisco Bay Area near our research labs to enable smooth scale-up</w:t>
      </w:r>
      <w:r>
        <w:rPr>
          <w:rFonts w:ascii="Arial" w:cs="Arial" w:eastAsia="Arial" w:hAnsi="Arial"/>
          <w:sz w:val="17"/>
          <w:szCs w:val="17"/>
          <w:b w:val="1"/>
          <w:bCs w:val="1"/>
          <w:color w:val="auto"/>
        </w:rPr>
        <w:t xml:space="preserve"> </w:t>
      </w:r>
      <w:r>
        <w:rPr>
          <w:rFonts w:ascii="Arial" w:cs="Arial" w:eastAsia="Arial" w:hAnsi="Arial"/>
          <w:sz w:val="17"/>
          <w:szCs w:val="17"/>
          <w:color w:val="auto"/>
        </w:rPr>
        <w:t>of production to support first-in-human studies. We expect this facility will be operational in the first half of 2022. This facility will support the production of drug product at multiple scales for clinical studies for all AAV-based programs, including TN-201 and TN-401.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On August 3, 2021, we completed an initial public offering (IPO) of our common stock in which we issued an aggregate of 13,800,000 shares of our common stock at a price of $15.00 per share. We received net proceeds of $188.5 million from the IPO, after deducting underwriting discounts, commissions and offering costs of $18.5 million.</w:t>
      </w:r>
    </w:p>
    <w:p>
      <w:pPr>
        <w:spacing w:after="0" w:line="7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Since our inception, we have incurred net losses each year and we expect to continue to incur significant and increasing losses for the foreseeable future as we continue to advance our platforms, programs and product candidates, and operate as a public company. Our net losses may fluctuate significantly from period to period, depending on the timing of expenditures on our research and development activities. Our net losses were $72.7 million and $38.4 million for the years ended December 31, 2021 and 2020, respectively. As of December 31, 2021, we had an accumulated deficit of $155.5 million and cash, cash equivalents and investments in marketable securities of $251.3 million. Our net losses resulted primarily from our research and development programs and, to a lesser extent, general and administrative costs associated with our operations. Historically, we have funded our operations primarily from the sale and issuance of our equity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The global COVID-19 pandemic continues to evolve, including the continued emergence of variants. Potential impacts to our business include disruptions or restrictions on our employees’ ability to effectively conduct research and development activities and the establishment of our internal manufacturing operations. In addition, some of our suppliers of certain laboratory materials, or service providers used in the performance of our research activities, are located in areas significantly impacted by COVID-19, which could limit our ability to achieve planned progress. COVID-19 could continue to adversely affect the economies and financial markets, resulting in a prolonged economic downturn or a period of high inflation rates, which the United States economy has recently experienced, that could affect our ability to raise future funding.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and stock-based compensation for employees engaged in research and development functions), laboratory supplies and other non-capital equipment utilized for in-house research, allocated facilities and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7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percentage of completion and we record estimates for amounts due but not yet invoiced based on input from external service providers.</w:t>
      </w:r>
    </w:p>
    <w:p>
      <w:pPr>
        <w:spacing w:after="0" w:line="104"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for our employees in finance, human resources, information technology, facilities, legal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80"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investments in marketable securities.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04" w:lineRule="exact"/>
        <w:rPr>
          <w:sz w:val="20"/>
          <w:szCs w:val="20"/>
          <w:color w:val="auto"/>
        </w:rPr>
      </w:pPr>
    </w:p>
    <w:p>
      <w:pPr>
        <w:ind w:right="440" w:firstLine="509"/>
        <w:spacing w:after="0" w:line="262" w:lineRule="auto"/>
        <w:rPr>
          <w:sz w:val="20"/>
          <w:szCs w:val="20"/>
          <w:color w:val="auto"/>
        </w:rPr>
      </w:pPr>
      <w:r>
        <w:rPr>
          <w:rFonts w:ascii="Arial" w:cs="Arial" w:eastAsia="Arial" w:hAnsi="Arial"/>
          <w:sz w:val="17"/>
          <w:szCs w:val="17"/>
          <w:color w:val="auto"/>
        </w:rPr>
        <w:t>Our convertible preferred stock tranche liability stemmed from our obligation to issue additional shares to investors upon the second and third closings of our Series B convertible preferred stock financing.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sublease income for a portion of our facilities in South San Francisco during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54,393</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31,099</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23,294</w:t>
            </w:r>
          </w:p>
        </w:tc>
        <w:tc>
          <w:tcPr>
            <w:tcW w:w="24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18,413</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7,813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10,600</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136%</w:t>
            </w:r>
          </w:p>
        </w:tc>
        <w:tc>
          <w:tcPr>
            <w:tcW w:w="0" w:type="dxa"/>
            <w:vAlign w:val="bottom"/>
          </w:tcPr>
          <w:p>
            <w:pPr>
              <w:spacing w:after="0"/>
              <w:rPr>
                <w:sz w:val="1"/>
                <w:szCs w:val="1"/>
                <w:color w:val="auto"/>
              </w:rPr>
            </w:pPr>
          </w:p>
        </w:tc>
      </w:tr>
      <w:tr>
        <w:trPr>
          <w:trHeight w:val="196"/>
        </w:trPr>
        <w:tc>
          <w:tcPr>
            <w:tcW w:w="482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72,806</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38,912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33,894</w:t>
            </w:r>
          </w:p>
        </w:tc>
        <w:tc>
          <w:tcPr>
            <w:tcW w:w="24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87%</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(72,806</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(33,894</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87%</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8"/>
                <w:szCs w:val="18"/>
                <w:color w:val="auto"/>
              </w:rPr>
              <w:t>Change in fair value of convertible preferred</w:t>
            </w:r>
          </w:p>
        </w:tc>
        <w:tc>
          <w:tcPr>
            <w:tcW w:w="320" w:type="dxa"/>
            <w:vAlign w:val="bottom"/>
          </w:tcPr>
          <w:p>
            <w:pPr>
              <w:spacing w:after="0"/>
              <w:rPr>
                <w:sz w:val="14"/>
                <w:szCs w:val="14"/>
                <w:color w:val="auto"/>
              </w:rPr>
            </w:pPr>
          </w:p>
        </w:tc>
        <w:tc>
          <w:tcPr>
            <w:tcW w:w="136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(75 )</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stock tranche liability</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(23 )</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(378 )</w:t>
            </w: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517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(432 )</w:t>
            </w:r>
          </w:p>
        </w:tc>
        <w:tc>
          <w:tcPr>
            <w:tcW w:w="1440" w:type="dxa"/>
            <w:vAlign w:val="bottom"/>
          </w:tcPr>
          <w:p>
            <w:pPr>
              <w:jc w:val="center"/>
              <w:spacing w:after="0" w:line="196" w:lineRule="exact"/>
              <w:rPr>
                <w:sz w:val="20"/>
                <w:szCs w:val="20"/>
                <w:color w:val="auto"/>
              </w:rPr>
            </w:pPr>
            <w:r>
              <w:rPr>
                <w:rFonts w:ascii="Arial" w:cs="Arial" w:eastAsia="Arial" w:hAnsi="Arial"/>
                <w:sz w:val="18"/>
                <w:szCs w:val="18"/>
                <w:color w:val="auto"/>
                <w:w w:val="91"/>
              </w:rPr>
              <w:t>(84)%</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(72,721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(38,395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(34,326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-1196340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-1196340</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-1196340</wp:posOffset>
            </wp:positionV>
            <wp:extent cx="596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-296545</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-296545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-296545</wp:posOffset>
            </wp:positionV>
            <wp:extent cx="596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96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NM = Not Meaningful</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69"/>
        </w:trPr>
        <w:tc>
          <w:tcPr>
            <w:tcW w:w="48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8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Facility and laboratory costs</w:t>
            </w:r>
          </w:p>
        </w:tc>
        <w:tc>
          <w:tcPr>
            <w:tcW w:w="900" w:type="dxa"/>
            <w:vAlign w:val="bottom"/>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22,833</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11,798</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11,035</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94%</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Personnel-related costs</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17,729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10,525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7,204</w:t>
            </w:r>
          </w:p>
        </w:tc>
        <w:tc>
          <w:tcPr>
            <w:tcW w:w="24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8"/>
              </w:rPr>
              <w:t>68%</w:t>
            </w: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Preclinical studies and outside service costs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13,406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5,216</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64%</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Other research and development expenses</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(161 )</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1"/>
              </w:rPr>
              <w:t>(27%)</w:t>
            </w:r>
          </w:p>
        </w:tc>
      </w:tr>
      <w:tr>
        <w:trPr>
          <w:trHeight w:val="236"/>
        </w:trPr>
        <w:tc>
          <w:tcPr>
            <w:tcW w:w="48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research and development expenses</w:t>
            </w:r>
          </w:p>
        </w:tc>
        <w:tc>
          <w:tcPr>
            <w:tcW w:w="900" w:type="dxa"/>
            <w:vAlign w:val="bottom"/>
            <w:tcBorders>
              <w:top w:val="single" w:sz="8" w:color="auto"/>
              <w:bottom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54,393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31,099</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23,294</w:t>
            </w:r>
          </w:p>
        </w:tc>
        <w:tc>
          <w:tcPr>
            <w:tcW w:w="2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Research and development expenses were $54.4 million and $31.1 million for the years ended December 31, 2021 and 2020, respectively. The change of $23.3 million, or 75%, was primarily due to:</w:t>
      </w:r>
    </w:p>
    <w:p>
      <w:pPr>
        <w:spacing w:after="0" w:line="63" w:lineRule="exact"/>
        <w:rPr>
          <w:sz w:val="20"/>
          <w:szCs w:val="20"/>
          <w:color w:val="auto"/>
        </w:rPr>
      </w:pPr>
    </w:p>
    <w:p>
      <w:pPr>
        <w:ind w:left="900" w:right="20" w:hanging="518"/>
        <w:spacing w:after="0" w:line="261"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$11.0 million in facility and laboratory costs, including laboratory supplies and materials and other allocated costs, as we ramped up our research and development operations;</w:t>
      </w:r>
    </w:p>
    <w:p>
      <w:pPr>
        <w:spacing w:after="0" w:line="62" w:lineRule="exact"/>
        <w:rPr>
          <w:rFonts w:ascii="Arial" w:cs="Arial" w:eastAsia="Arial" w:hAnsi="Arial"/>
          <w:sz w:val="18"/>
          <w:szCs w:val="18"/>
          <w:color w:val="auto"/>
        </w:rPr>
      </w:pPr>
    </w:p>
    <w:p>
      <w:pPr>
        <w:ind w:left="900" w:right="500" w:hanging="518"/>
        <w:spacing w:after="0" w:line="261"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$7.2 million in personnel-related costs, including stock-based compensation, primarily due to growth in the number of our research and development employees as we expanded our research and development capabilities; and</w:t>
      </w:r>
    </w:p>
    <w:p>
      <w:pPr>
        <w:spacing w:after="0" w:line="62" w:lineRule="exact"/>
        <w:rPr>
          <w:rFonts w:ascii="Arial" w:cs="Arial" w:eastAsia="Arial" w:hAnsi="Arial"/>
          <w:sz w:val="18"/>
          <w:szCs w:val="18"/>
          <w:color w:val="auto"/>
        </w:rPr>
      </w:pPr>
    </w:p>
    <w:p>
      <w:pPr>
        <w:ind w:left="900" w:right="660" w:hanging="518"/>
        <w:spacing w:after="0" w:line="291"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of $5.2 million in external costs, including amounts paid to CROs for research and development activities, consulting fees, preclinical studies and other external research expenses as we progressed development of our programs.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General and administrative expenses were $18.4 million and $7.8 million for the years ended December 31, 2021 and 2020, respectively. The change of $10.6 million, or 136%, was primarily due to a $4.0 million increase in personnel-related expenses, including stock-based compensation, as a result of higher headcount as we grew our operations, a $3.7 million increase in professional service expenses as we prepared to become a public company and completed our IPO of our common stock, and a $1.6 million increase in facility and insurance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0" w:name="page161"/>
    <w:bookmarkEnd w:id="160"/>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Interest income was $108,000 and $87,000 for the years ended December 31, 2021 and 2020, respectively. The increase of $21,000, or 24%, was primarily due to an increase in our investment balance.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change in fair value of our convertible preferred stock tranche liability for the year ended December 31, 2020 was attributable to changes in the fair value of the underlying Series B convertible preferred stock. There was no similar expense for the year ended December 31, 2021 as our convertible preferred stock tranche liability was settled in 2020.</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Other income (expense), net of $0.4 million for the year ended December 31, 2020 was primarily related to sublease income. We had previously entered into agreements to sublease portions of our facilities in South San Francisco to two different subtenants and both agreements expired during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jc w:val="both"/>
        <w:ind w:right="100" w:firstLine="509"/>
        <w:spacing w:after="0" w:line="266" w:lineRule="auto"/>
        <w:rPr>
          <w:sz w:val="20"/>
          <w:szCs w:val="20"/>
          <w:color w:val="auto"/>
        </w:rPr>
      </w:pPr>
      <w:r>
        <w:rPr>
          <w:rFonts w:ascii="Arial" w:cs="Arial" w:eastAsia="Arial" w:hAnsi="Arial"/>
          <w:sz w:val="16"/>
          <w:szCs w:val="16"/>
          <w:color w:val="auto"/>
        </w:rPr>
        <w:t>Since our inception, we have not generated any revenue and we have incurred significant net losses and negative cash flows from operations. From our inception through December 31, 2021, we have funded our operations primarily from the sale and issuance of our equity securities. In connection with our IPO, we issued and sold 13,800,000 shares of our common stock at a price of $15.00 per share for net proceeds of $188.5 million. As of December 31, 2021, we had cash, cash equivalents and investments in marketable securities of $251.3 million and an accumulated deficit of $155.5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63" w:lineRule="exact"/>
        <w:rPr>
          <w:sz w:val="20"/>
          <w:szCs w:val="20"/>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03" w:lineRule="exact"/>
        <w:rPr>
          <w:rFonts w:ascii="Arial" w:cs="Arial" w:eastAsia="Arial" w:hAnsi="Arial"/>
          <w:sz w:val="18"/>
          <w:szCs w:val="18"/>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03" w:lineRule="exact"/>
        <w:rPr>
          <w:rFonts w:ascii="Arial" w:cs="Arial" w:eastAsia="Arial" w:hAnsi="Arial"/>
          <w:sz w:val="18"/>
          <w:szCs w:val="18"/>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03" w:lineRule="exact"/>
        <w:rPr>
          <w:rFonts w:ascii="Arial" w:cs="Arial" w:eastAsia="Arial" w:hAnsi="Arial"/>
          <w:sz w:val="18"/>
          <w:szCs w:val="18"/>
          <w:color w:val="auto"/>
        </w:rPr>
      </w:pPr>
    </w:p>
    <w:p>
      <w:pPr>
        <w:ind w:left="900" w:right="180" w:hanging="518"/>
        <w:spacing w:after="0" w:line="261"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build out our manufacturing facilities, including the construction of our cGMP manufacturing facility in Union City, California, and establish our manufacturing capabilities, including developing our contract development and manufacturing relationships;</w:t>
      </w:r>
    </w:p>
    <w:p>
      <w:pPr>
        <w:spacing w:after="0" w:line="62" w:lineRule="exact"/>
        <w:rPr>
          <w:rFonts w:ascii="Arial" w:cs="Arial" w:eastAsia="Arial" w:hAnsi="Arial"/>
          <w:sz w:val="18"/>
          <w:szCs w:val="18"/>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03" w:lineRule="exact"/>
        <w:rPr>
          <w:rFonts w:ascii="Arial" w:cs="Arial" w:eastAsia="Arial" w:hAnsi="Arial"/>
          <w:sz w:val="18"/>
          <w:szCs w:val="18"/>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03" w:lineRule="exact"/>
        <w:rPr>
          <w:rFonts w:ascii="Arial" w:cs="Arial" w:eastAsia="Arial" w:hAnsi="Arial"/>
          <w:sz w:val="18"/>
          <w:szCs w:val="18"/>
          <w:color w:val="auto"/>
        </w:rPr>
      </w:pPr>
    </w:p>
    <w:p>
      <w:pPr>
        <w:ind w:left="900" w:right="100" w:hanging="518"/>
        <w:spacing w:after="0" w:line="261"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49" w:lineRule="exact"/>
        <w:rPr>
          <w:rFonts w:ascii="Arial" w:cs="Arial" w:eastAsia="Arial" w:hAnsi="Arial"/>
          <w:sz w:val="18"/>
          <w:szCs w:val="18"/>
          <w:color w:val="auto"/>
        </w:rPr>
      </w:pPr>
    </w:p>
    <w:p>
      <w:pPr>
        <w:ind w:left="900" w:hanging="51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90" w:lineRule="exact"/>
        <w:rPr>
          <w:rFonts w:ascii="Arial" w:cs="Arial" w:eastAsia="Arial" w:hAnsi="Arial"/>
          <w:sz w:val="18"/>
          <w:szCs w:val="18"/>
          <w:color w:val="auto"/>
        </w:rPr>
      </w:pPr>
    </w:p>
    <w:p>
      <w:pPr>
        <w:ind w:left="900" w:right="240" w:hanging="518"/>
        <w:spacing w:after="0" w:line="246"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62" w:lineRule="exact"/>
        <w:rPr>
          <w:sz w:val="20"/>
          <w:szCs w:val="20"/>
          <w:color w:val="auto"/>
        </w:rPr>
      </w:pPr>
    </w:p>
    <w:p>
      <w:pPr>
        <w:ind w:right="20" w:firstLine="509"/>
        <w:spacing w:after="0" w:line="307" w:lineRule="auto"/>
        <w:rPr>
          <w:sz w:val="20"/>
          <w:szCs w:val="20"/>
          <w:color w:val="auto"/>
        </w:rPr>
      </w:pPr>
      <w:r>
        <w:rPr>
          <w:rFonts w:ascii="Arial" w:cs="Arial" w:eastAsia="Arial" w:hAnsi="Arial"/>
          <w:sz w:val="16"/>
          <w:szCs w:val="16"/>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spacing w:after="0" w:line="1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order to complete the development of our product candidates and commercialize them, if approved, we will require substantial additional funding. Until such time as we can generate significant revenue from sales of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1" w:name="page162"/>
    <w:bookmarkEnd w:id="161"/>
    <w:p>
      <w:pPr>
        <w:ind w:right="40"/>
        <w:spacing w:after="0" w:line="253" w:lineRule="auto"/>
        <w:rPr>
          <w:sz w:val="20"/>
          <w:szCs w:val="20"/>
          <w:color w:val="auto"/>
        </w:rPr>
      </w:pPr>
      <w:r>
        <w:rPr>
          <w:rFonts w:ascii="Arial" w:cs="Arial" w:eastAsia="Arial" w:hAnsi="Arial"/>
          <w:sz w:val="16"/>
          <w:szCs w:val="16"/>
          <w:color w:val="auto"/>
        </w:rPr>
        <w:t>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58"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7"/>
              </w:rPr>
              <w:t>Year Ended December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1076"/>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(60,812 )</w:t>
            </w:r>
          </w:p>
        </w:tc>
        <w:tc>
          <w:tcPr>
            <w:tcW w:w="74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(35,447 )</w:t>
            </w:r>
          </w:p>
        </w:tc>
      </w:tr>
      <w:tr>
        <w:trPr>
          <w:trHeight w:val="203"/>
        </w:trPr>
        <w:tc>
          <w:tcPr>
            <w:tcW w:w="6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line="202" w:lineRule="exact"/>
              <w:rPr>
                <w:sz w:val="20"/>
                <w:szCs w:val="20"/>
                <w:color w:val="auto"/>
              </w:rPr>
            </w:pPr>
            <w:r>
              <w:rPr>
                <w:rFonts w:ascii="Arial" w:cs="Arial" w:eastAsia="Arial" w:hAnsi="Arial"/>
                <w:sz w:val="18"/>
                <w:szCs w:val="18"/>
                <w:color w:val="auto"/>
                <w:w w:val="99"/>
              </w:rPr>
              <w:t>(238,564 )</w:t>
            </w:r>
          </w:p>
        </w:tc>
        <w:tc>
          <w:tcPr>
            <w:tcW w:w="7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(7,010 )</w:t>
            </w: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Financing activities</w:t>
            </w:r>
          </w:p>
        </w:tc>
        <w:tc>
          <w:tcPr>
            <w:tcW w:w="1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208,970</w:t>
            </w:r>
          </w:p>
        </w:tc>
        <w:tc>
          <w:tcPr>
            <w:tcW w:w="3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147,268</w:t>
            </w:r>
          </w:p>
        </w:tc>
        <w:tc>
          <w:tcPr>
            <w:tcW w:w="10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1260" w:type="dxa"/>
            <w:vAlign w:val="bottom"/>
            <w:tcBorders>
              <w:bottom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(90,406</w:t>
            </w:r>
          </w:p>
        </w:tc>
        <w:tc>
          <w:tcPr>
            <w:tcW w:w="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104,811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Net cash used in operating activities for the year ended December 31, 2021, was $60.8 million, which consisted primarily of a net loss of $72.7 million, offset by $7.2 million in non-cash charges and a net change in net operating assets and liabilities of $4.7 million. The non-cash charges primarily consisted of depreciation and amortization of $3.0 million, stock-based compensation of $3.0 million and non-cash operating lease expense of $1.1 million. The change in net operating assets and liabilities was primarily due to an increase in accounts payable and accrued expenses and other current liabilities of $11.9 million, partially offset by an increase in other non-current assets of $3.1 million related to a security deposit for a lease entered into in February 2021, an increase in prepaid expenses and other current assets of $2.7 million, and a decrease in operating lease liabilities of $1.5 million.</w:t>
      </w:r>
    </w:p>
    <w:p>
      <w:pPr>
        <w:spacing w:after="0" w:line="53"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Net cash used in operating activities for the year ended December 31, 2020, was $35.4 million, which consisted primarily of a net loss of $38.4 million and a net change in net operating assets and liabilities of $0.2 million, partially offset by $3.2 million in non-cash charges. The change in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 The non-cash charges primarily consisted of depreciation and amortization of $2.5 million and stock-based compensation of $0.7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2" w:name="page163"/>
    <w:bookmarkEnd w:id="162"/>
    <w:p>
      <w:pPr>
        <w:ind w:left="3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Net cash used in investing activities for the year ended December 31, 2021, was $238.6 million, which consisted of purchases of marketable securities of $213.4 million and purchases of property and equipment of $25.1 million.</w:t>
      </w:r>
    </w:p>
    <w:p>
      <w:pPr>
        <w:spacing w:after="0" w:line="63"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Net cash used in investing activities for the year ended December 31, 2020, was $7.0 million, which consisted of purchases of property and equipment of $9.8 million, partially offset by proceeds from maturities of marketable securities of $2.8 million.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was $209.0 million, which primarily consisted of proceeds from our initial public offering, net of issuance costs, of $188.5 million, net proceeds received from the sale and issuance of our Series C convertible preferred stock of $20.0 million, and proceeds from the exercise of stock options of $0.4 million.</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financing of $86.0 million.</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lease office space for our corporate headquarters in South San Francisco under a lease that expires in May 2025. We expect to pay rent of approximately $2.4 million during 2022 for this lease. We also lease manufacturing and office space in Union City, California under a lease that expires in July 2031. We expect to pay rent of approximately $1.2 million in 2022 for this lease. As of December 31, 2021, undiscounted future minimum lease payments of $8.7 million and $13.4 million remain on the South San Francisco and Union City leases, respectively.</w:t>
      </w:r>
    </w:p>
    <w:p>
      <w:pPr>
        <w:spacing w:after="0" w:line="6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addition, we enter into agreements in the normal course of business with vendors for preclinical research studies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5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As of December 31, 2021, we were unable to estimate the timing or likelihood of achieving these milestones or generating future product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63" w:name="page164"/>
    <w:bookmarkEnd w:id="163"/>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7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80"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63" w:lineRule="exact"/>
        <w:rPr>
          <w:sz w:val="20"/>
          <w:szCs w:val="20"/>
          <w:color w:val="auto"/>
        </w:rPr>
      </w:pPr>
    </w:p>
    <w:p>
      <w:pPr>
        <w:ind w:left="900" w:right="80" w:hanging="518"/>
        <w:spacing w:after="0" w:line="23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our IPO, there was no public market for our common stock. As such,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and underlying stock options was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Accounting &amp;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For grants subsequent to our IPO, the grant date fair value of common stock was determined by using the closing price per share of common stock as reported on the Nasdaq Global Select Market.</w:t>
      </w:r>
    </w:p>
    <w:p>
      <w:pPr>
        <w:spacing w:after="0" w:line="85" w:lineRule="exact"/>
        <w:rPr>
          <w:rFonts w:ascii="Arial" w:cs="Arial" w:eastAsia="Arial" w:hAnsi="Arial"/>
          <w:sz w:val="18"/>
          <w:szCs w:val="18"/>
          <w:color w:val="auto"/>
        </w:rPr>
      </w:pPr>
    </w:p>
    <w:p>
      <w:pPr>
        <w:ind w:left="900" w:right="480" w:hanging="518"/>
        <w:spacing w:after="0" w:line="324"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which represents the period that stock-based awards are expected to be outstanding,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simplified method, which is presumed to be the mid-point between the contractual term and the vesting term.</w:t>
      </w:r>
    </w:p>
    <w:p>
      <w:pPr>
        <w:spacing w:after="0" w:line="16" w:lineRule="exact"/>
        <w:rPr>
          <w:rFonts w:ascii="Arial" w:cs="Arial" w:eastAsia="Arial" w:hAnsi="Arial"/>
          <w:sz w:val="16"/>
          <w:szCs w:val="16"/>
          <w:color w:val="auto"/>
        </w:rPr>
      </w:pPr>
    </w:p>
    <w:p>
      <w:pPr>
        <w:ind w:left="900" w:right="60" w:hanging="518"/>
        <w:spacing w:after="0" w:line="241"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have limited trading history of our common stock, we have determined our computation of expected volatility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81" w:lineRule="exact"/>
        <w:rPr>
          <w:rFonts w:ascii="Arial" w:cs="Arial" w:eastAsia="Arial" w:hAnsi="Arial"/>
          <w:sz w:val="18"/>
          <w:szCs w:val="18"/>
          <w:color w:val="auto"/>
        </w:rPr>
      </w:pPr>
    </w:p>
    <w:p>
      <w:pPr>
        <w:ind w:left="900" w:right="540" w:hanging="518"/>
        <w:spacing w:after="0" w:line="261"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62" w:lineRule="exact"/>
        <w:rPr>
          <w:rFonts w:ascii="Arial" w:cs="Arial" w:eastAsia="Arial" w:hAnsi="Arial"/>
          <w:sz w:val="18"/>
          <w:szCs w:val="18"/>
          <w:color w:val="auto"/>
        </w:rPr>
      </w:pPr>
    </w:p>
    <w:p>
      <w:pPr>
        <w:ind w:left="900" w:right="460" w:hanging="518"/>
        <w:spacing w:after="0" w:line="261"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yield is assumed to be zero as we have never paid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4" w:name="page165"/>
    <w:bookmarkEnd w:id="164"/>
    <w:p>
      <w:pPr>
        <w:ind w:right="180" w:firstLine="509"/>
        <w:spacing w:after="0" w:line="2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to our financial statements for more information concerning certain of the specific assumptions we used in applying the Black-Scholes valuation model to determine the estimated fair value of our stock options.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determine the fair value of restricted stock awards (RSAs) on the date of grant based on the estimated fair value of our common stock on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80" w:firstLine="509"/>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2</w:t>
      </w:r>
      <w:r>
        <w:rPr>
          <w:rFonts w:ascii="Arial" w:cs="Arial" w:eastAsia="Arial" w:hAnsi="Arial"/>
          <w:sz w:val="17"/>
          <w:szCs w:val="17"/>
          <w:color w:val="auto"/>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6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67"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6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are a smaller reporting company, as defined by Rule 12b-2 under the Securities and Exchange Act of 1934 and in Item 10(f)(1) of Regulation S-K, and are not required to provide the information under this item.</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100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gridSpan w:val="6"/>
          </w:tcPr>
          <w:p>
            <w:pPr>
              <w:jc w:val="center"/>
              <w:ind w:right="2540"/>
              <w:spacing w:after="0"/>
              <w:rPr>
                <w:sz w:val="20"/>
                <w:szCs w:val="20"/>
                <w:color w:val="auto"/>
              </w:rPr>
            </w:pPr>
            <w:r>
              <w:rPr>
                <w:rFonts w:ascii="Arial" w:cs="Arial" w:eastAsia="Arial" w:hAnsi="Arial"/>
                <w:sz w:val="18"/>
                <w:szCs w:val="18"/>
                <w:b w:val="1"/>
                <w:bCs w:val="1"/>
                <w:color w:val="auto"/>
              </w:rPr>
              <w:t>INDEX TO FINANCIAL STATEMENTS</w:t>
            </w:r>
          </w:p>
        </w:tc>
        <w:tc>
          <w:tcPr>
            <w:tcW w:w="11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7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67">
              <w:r>
                <w:rPr>
                  <w:rFonts w:ascii="Arial" w:cs="Arial" w:eastAsia="Arial" w:hAnsi="Arial"/>
                  <w:sz w:val="18"/>
                  <w:szCs w:val="18"/>
                  <w:color w:val="0000FF"/>
                  <w:w w:val="92"/>
                </w:rPr>
                <w:t>Report of Independent Registered Public Accounting Firm (PCAOB ID No. 34)</w:t>
              </w:r>
            </w:hyperlink>
          </w:p>
        </w:tc>
        <w:tc>
          <w:tcPr>
            <w:tcW w:w="430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90"/>
        </w:trPr>
        <w:tc>
          <w:tcPr>
            <w:tcW w:w="20" w:type="dxa"/>
            <w:vAlign w:val="bottom"/>
            <w:tcBorders>
              <w:bottom w:val="single" w:sz="8" w:color="0000EE"/>
            </w:tcBorders>
          </w:tcPr>
          <w:p>
            <w:pPr>
              <w:spacing w:after="0"/>
              <w:rPr>
                <w:sz w:val="24"/>
                <w:szCs w:val="24"/>
                <w:color w:val="auto"/>
              </w:rPr>
            </w:pPr>
          </w:p>
        </w:tc>
        <w:tc>
          <w:tcPr>
            <w:tcW w:w="36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68">
              <w:r>
                <w:rPr>
                  <w:rFonts w:ascii="Arial" w:cs="Arial" w:eastAsia="Arial" w:hAnsi="Arial"/>
                  <w:sz w:val="18"/>
                  <w:szCs w:val="18"/>
                  <w:color w:val="0000FF"/>
                  <w:w w:val="88"/>
                </w:rPr>
                <w:t>Balance Sheets as of December 31, 2021 and 2020</w:t>
              </w:r>
            </w:hyperlink>
          </w:p>
        </w:tc>
        <w:tc>
          <w:tcPr>
            <w:tcW w:w="20" w:type="dxa"/>
            <w:vAlign w:val="bottom"/>
            <w:tcBorders>
              <w:bottom w:val="single" w:sz="8" w:color="0000EE"/>
            </w:tcBorders>
          </w:tcPr>
          <w:p>
            <w:pPr>
              <w:spacing w:after="0"/>
              <w:rPr>
                <w:sz w:val="24"/>
                <w:szCs w:val="24"/>
                <w:color w:val="auto"/>
              </w:rPr>
            </w:pPr>
          </w:p>
        </w:tc>
        <w:tc>
          <w:tcPr>
            <w:tcW w:w="638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91"/>
        </w:trPr>
        <w:tc>
          <w:tcPr>
            <w:tcW w:w="20" w:type="dxa"/>
            <w:vAlign w:val="bottom"/>
            <w:tcBorders>
              <w:bottom w:val="single" w:sz="8" w:color="0000EE"/>
            </w:tcBorders>
          </w:tcPr>
          <w:p>
            <w:pPr>
              <w:spacing w:after="0"/>
              <w:rPr>
                <w:sz w:val="24"/>
                <w:szCs w:val="24"/>
                <w:color w:val="auto"/>
              </w:rPr>
            </w:pPr>
          </w:p>
        </w:tc>
        <w:tc>
          <w:tcPr>
            <w:tcW w:w="72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169">
              <w:r>
                <w:rPr>
                  <w:rFonts w:ascii="Arial" w:cs="Arial" w:eastAsia="Arial" w:hAnsi="Arial"/>
                  <w:sz w:val="18"/>
                  <w:szCs w:val="18"/>
                  <w:color w:val="0000FF"/>
                  <w:w w:val="88"/>
                </w:rPr>
                <w:t>Statements of Operations and Comprehensive Loss for the years ended December 31, 2021 and 2020</w:t>
              </w:r>
            </w:hyperlink>
          </w:p>
        </w:tc>
        <w:tc>
          <w:tcPr>
            <w:tcW w:w="20" w:type="dxa"/>
            <w:vAlign w:val="bottom"/>
            <w:tcBorders>
              <w:bottom w:val="single" w:sz="8" w:color="0000EE"/>
            </w:tcBorders>
          </w:tcPr>
          <w:p>
            <w:pPr>
              <w:spacing w:after="0"/>
              <w:rPr>
                <w:sz w:val="24"/>
                <w:szCs w:val="24"/>
                <w:color w:val="auto"/>
              </w:rPr>
            </w:pPr>
          </w:p>
        </w:tc>
        <w:tc>
          <w:tcPr>
            <w:tcW w:w="276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90"/>
        </w:trPr>
        <w:tc>
          <w:tcPr>
            <w:tcW w:w="20" w:type="dxa"/>
            <w:vAlign w:val="bottom"/>
            <w:tcBorders>
              <w:bottom w:val="single" w:sz="8" w:color="0000EE"/>
            </w:tcBorders>
          </w:tcPr>
          <w:p>
            <w:pPr>
              <w:spacing w:after="0"/>
              <w:rPr>
                <w:sz w:val="24"/>
                <w:szCs w:val="24"/>
                <w:color w:val="auto"/>
              </w:rPr>
            </w:pPr>
          </w:p>
        </w:tc>
        <w:tc>
          <w:tcPr>
            <w:tcW w:w="91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70">
              <w:r>
                <w:rPr>
                  <w:rFonts w:ascii="Arial" w:cs="Arial" w:eastAsia="Arial" w:hAnsi="Arial"/>
                  <w:sz w:val="18"/>
                  <w:szCs w:val="18"/>
                  <w:color w:val="0000FF"/>
                  <w:w w:val="90"/>
                </w:rPr>
                <w:t>Statements of Convertible Preferred Stock and Stockholders’ Equity (Deficit) for the years ended December 31, 2021 and 2020</w:t>
              </w:r>
            </w:hyperlink>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91"/>
        </w:trPr>
        <w:tc>
          <w:tcPr>
            <w:tcW w:w="20" w:type="dxa"/>
            <w:vAlign w:val="bottom"/>
          </w:tcPr>
          <w:p>
            <w:pPr>
              <w:spacing w:after="0"/>
              <w:rPr>
                <w:sz w:val="24"/>
                <w:szCs w:val="24"/>
                <w:color w:val="auto"/>
              </w:rPr>
            </w:pPr>
          </w:p>
        </w:tc>
        <w:tc>
          <w:tcPr>
            <w:tcW w:w="10060" w:type="dxa"/>
            <w:vAlign w:val="bottom"/>
            <w:gridSpan w:val="9"/>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Statements of Cash Flows for the years ended December 31, 2021 and 2020</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91"/>
        </w:trPr>
        <w:tc>
          <w:tcPr>
            <w:tcW w:w="20" w:type="dxa"/>
            <w:vAlign w:val="bottom"/>
            <w:tcBorders>
              <w:top w:val="single" w:sz="8" w:color="0000EE"/>
            </w:tcBorders>
          </w:tcPr>
          <w:p>
            <w:pPr>
              <w:spacing w:after="0"/>
              <w:rPr>
                <w:sz w:val="24"/>
                <w:szCs w:val="24"/>
                <w:color w:val="auto"/>
              </w:rPr>
            </w:pPr>
          </w:p>
        </w:tc>
        <w:tc>
          <w:tcPr>
            <w:tcW w:w="2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72">
              <w:r>
                <w:rPr>
                  <w:rFonts w:ascii="Arial" w:cs="Arial" w:eastAsia="Arial" w:hAnsi="Arial"/>
                  <w:sz w:val="18"/>
                  <w:szCs w:val="18"/>
                  <w:color w:val="0000FF"/>
                  <w:w w:val="89"/>
                </w:rPr>
                <w:t>Notes to Financial Statements</w:t>
              </w:r>
            </w:hyperlink>
          </w:p>
        </w:tc>
        <w:tc>
          <w:tcPr>
            <w:tcW w:w="3300" w:type="dxa"/>
            <w:vAlign w:val="bottom"/>
            <w:tcBorders>
              <w:top w:val="single" w:sz="8" w:color="0000FF"/>
            </w:tcBorders>
            <w:gridSpan w:val="3"/>
          </w:tcPr>
          <w:p>
            <w:pPr>
              <w:spacing w:after="0"/>
              <w:rPr>
                <w:sz w:val="24"/>
                <w:szCs w:val="24"/>
                <w:color w:val="auto"/>
              </w:rPr>
            </w:pPr>
          </w:p>
        </w:tc>
        <w:tc>
          <w:tcPr>
            <w:tcW w:w="4600" w:type="dxa"/>
            <w:vAlign w:val="bottom"/>
            <w:gridSpan w:val="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641"/>
        </w:trPr>
        <w:tc>
          <w:tcPr>
            <w:tcW w:w="5780" w:type="dxa"/>
            <w:vAlign w:val="bottom"/>
            <w:gridSpan w:val="6"/>
          </w:tcPr>
          <w:p>
            <w:pPr>
              <w:jc w:val="right"/>
              <w:ind w:right="20"/>
              <w:spacing w:after="0"/>
              <w:rPr>
                <w:sz w:val="20"/>
                <w:szCs w:val="20"/>
                <w:color w:val="auto"/>
              </w:rPr>
            </w:pPr>
            <w:r>
              <w:rPr>
                <w:rFonts w:ascii="Arial" w:cs="Arial" w:eastAsia="Arial" w:hAnsi="Arial"/>
                <w:sz w:val="18"/>
                <w:szCs w:val="18"/>
                <w:color w:val="auto"/>
              </w:rPr>
              <w:t>164</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-1482090</wp:posOffset>
            </wp:positionV>
            <wp:extent cx="285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6" w:name="page167"/>
    <w:bookmarkEnd w:id="16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Tenaya Therapeutics, Inc.</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balance sheets of Tenaya Therapeutics, Inc. (the "Company") as of December 31, 2021 and 2020, the related statements of operations and comprehensive loss,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31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leases on January 1, 2021 due to adoption of Accounting Standards Update No. 2016-02, Leases (Topic 842), using the modified retrospective approach.</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23,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38,129</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128,535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Investments in marketable securities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213,171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4,058</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255,358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43,020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non-current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314,189</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CONVERTIBLE PREFERRED STOCK AND</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10,721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9,059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Deferred rent and other lease liabilities, current</w:t>
            </w: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1,994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21,774</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Deferred rent and other lease liabilities, non-current</w:t>
            </w:r>
          </w:p>
        </w:tc>
        <w:tc>
          <w:tcPr>
            <w:tcW w:w="240" w:type="dxa"/>
            <w:vAlign w:val="bottom"/>
          </w:tcPr>
          <w:p>
            <w:pPr>
              <w:spacing w:after="0"/>
              <w:rPr>
                <w:sz w:val="17"/>
                <w:szCs w:val="17"/>
                <w:color w:val="auto"/>
              </w:rPr>
            </w:pPr>
          </w:p>
        </w:tc>
        <w:tc>
          <w:tcPr>
            <w:tcW w:w="1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13,707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35,663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Convertible preferred stock, $0.0001 par value; zero and 26,102,301 shares</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authorized as of December 31, 2021 and 2020; zero and 24,493,528 shares</w:t>
            </w:r>
          </w:p>
        </w:tc>
        <w:tc>
          <w:tcPr>
            <w:tcW w:w="240" w:type="dxa"/>
            <w:vAlign w:val="bottom"/>
            <w:shd w:val="clear" w:color="auto" w:fill="CFF0FC"/>
          </w:tcPr>
          <w:p>
            <w:pPr>
              <w:spacing w:after="0"/>
              <w:rPr>
                <w:sz w:val="15"/>
                <w:szCs w:val="15"/>
                <w:color w:val="auto"/>
              </w:rPr>
            </w:pPr>
          </w:p>
        </w:tc>
        <w:tc>
          <w:tcPr>
            <w:tcW w:w="16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220,754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issued and outstanding as of December 31, 2021 and 2020</w:t>
            </w:r>
          </w:p>
        </w:tc>
        <w:tc>
          <w:tcPr>
            <w:tcW w:w="240" w:type="dxa"/>
            <w:vAlign w:val="bottom"/>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Preferred stock, $0.0001 par value; 200,000,000 and zero shares authorized</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40"/>
              <w:spacing w:after="0" w:line="176" w:lineRule="exact"/>
              <w:rPr>
                <w:sz w:val="20"/>
                <w:szCs w:val="20"/>
                <w:color w:val="auto"/>
              </w:rPr>
            </w:pPr>
            <w:r>
              <w:rPr>
                <w:rFonts w:ascii="Arial" w:cs="Arial" w:eastAsia="Arial" w:hAnsi="Arial"/>
                <w:sz w:val="18"/>
                <w:szCs w:val="18"/>
                <w:color w:val="auto"/>
              </w:rPr>
              <w:t>as of December 31, 2021 and 2020; zero shares issued and outstanding</w:t>
            </w:r>
          </w:p>
        </w:tc>
        <w:tc>
          <w:tcPr>
            <w:tcW w:w="240" w:type="dxa"/>
            <w:vAlign w:val="bottom"/>
            <w:shd w:val="clear" w:color="auto" w:fill="CFF0FC"/>
          </w:tcPr>
          <w:p>
            <w:pPr>
              <w:spacing w:after="0"/>
              <w:rPr>
                <w:sz w:val="15"/>
                <w:szCs w:val="15"/>
                <w:color w:val="auto"/>
              </w:rPr>
            </w:pPr>
          </w:p>
        </w:tc>
        <w:tc>
          <w:tcPr>
            <w:tcW w:w="16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146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 of December 31, 2021 and 2020.</w:t>
            </w:r>
          </w:p>
        </w:tc>
        <w:tc>
          <w:tcPr>
            <w:tcW w:w="240" w:type="dxa"/>
            <w:vAlign w:val="bottom"/>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8"/>
                <w:szCs w:val="18"/>
                <w:color w:val="auto"/>
              </w:rPr>
              <w:t>Common stock, $0.0001 par value; 1,000,000,000 and 30,330,000 shares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40"/>
              <w:spacing w:after="0" w:line="176" w:lineRule="exact"/>
              <w:rPr>
                <w:sz w:val="20"/>
                <w:szCs w:val="20"/>
                <w:color w:val="auto"/>
              </w:rPr>
            </w:pPr>
            <w:r>
              <w:rPr>
                <w:rFonts w:ascii="Arial" w:cs="Arial" w:eastAsia="Arial" w:hAnsi="Arial"/>
                <w:sz w:val="18"/>
                <w:szCs w:val="18"/>
                <w:color w:val="auto"/>
              </w:rPr>
              <w:t>authorized as of December 31, 2021 and 2020; 41,291,374 and 1,210,306</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rPr>
                <w:sz w:val="20"/>
                <w:szCs w:val="20"/>
                <w:color w:val="auto"/>
              </w:rPr>
            </w:pPr>
            <w:r>
              <w:rPr>
                <w:rFonts w:ascii="Arial" w:cs="Arial" w:eastAsia="Arial" w:hAnsi="Arial"/>
                <w:sz w:val="18"/>
                <w:szCs w:val="18"/>
                <w:color w:val="auto"/>
              </w:rPr>
              <w:t>shares issued and outstanding as of December 31, 2021 and 2020.</w:t>
            </w:r>
          </w:p>
        </w:tc>
        <w:tc>
          <w:tcPr>
            <w:tcW w:w="2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434,196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Notes receivable from stockholders</w:t>
            </w:r>
          </w:p>
        </w:tc>
        <w:tc>
          <w:tcPr>
            <w:tcW w:w="240" w:type="dxa"/>
            <w:vAlign w:val="bottom"/>
          </w:tcPr>
          <w:p>
            <w:pPr>
              <w:spacing w:after="0"/>
              <w:rPr>
                <w:sz w:val="17"/>
                <w:szCs w:val="17"/>
                <w:color w:val="auto"/>
              </w:rPr>
            </w:pPr>
          </w:p>
        </w:tc>
        <w:tc>
          <w:tcPr>
            <w:tcW w:w="1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(141 )</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(155,533 )</w:t>
            </w:r>
          </w:p>
        </w:tc>
        <w:tc>
          <w:tcPr>
            <w:tcW w:w="24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(82,812 )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278,526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(81,315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314,189</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-3828415</wp:posOffset>
            </wp:positionV>
            <wp:extent cx="6032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-3828415</wp:posOffset>
            </wp:positionV>
            <wp:extent cx="596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54,393</w:t>
            </w:r>
          </w:p>
        </w:tc>
        <w:tc>
          <w:tcPr>
            <w:tcW w:w="280" w:type="dxa"/>
            <w:vAlign w:val="bottom"/>
          </w:tcPr>
          <w:p>
            <w:pPr>
              <w:spacing w:after="0"/>
              <w:rPr>
                <w:sz w:val="17"/>
                <w:szCs w:val="17"/>
                <w:color w:val="auto"/>
              </w:rPr>
            </w:pP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18,413</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72,806</w:t>
            </w:r>
          </w:p>
        </w:tc>
        <w:tc>
          <w:tcPr>
            <w:tcW w:w="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(72,806</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Change in fair value of convertible preferred stock tranche liability</w:t>
            </w:r>
          </w:p>
        </w:tc>
        <w:tc>
          <w:tcPr>
            <w:tcW w:w="380" w:type="dxa"/>
            <w:vAlign w:val="bottom"/>
          </w:tcPr>
          <w:p>
            <w:pPr>
              <w:spacing w:after="0"/>
              <w:rPr>
                <w:sz w:val="17"/>
                <w:szCs w:val="17"/>
                <w:color w:val="auto"/>
              </w:rPr>
            </w:pPr>
          </w:p>
        </w:tc>
        <w:tc>
          <w:tcPr>
            <w:tcW w:w="15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(23 )</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280" w:type="dxa"/>
            <w:vAlign w:val="bottom"/>
            <w:tcBorders>
              <w:top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before income tax expense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(72,721</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(38,395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7"/>
                <w:szCs w:val="17"/>
                <w:color w:val="auto"/>
              </w:rPr>
            </w:pPr>
          </w:p>
        </w:tc>
        <w:tc>
          <w:tcPr>
            <w:tcW w:w="15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(72,721</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(38,395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Unrealized loss on marketable securities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(141 )</w:t>
            </w: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(72,862 )</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(38,395 )</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(4.10</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ind w:right="47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(39.50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764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 share,</w:t>
            </w:r>
          </w:p>
        </w:tc>
        <w:tc>
          <w:tcPr>
            <w:tcW w:w="3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17,734,166</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972,091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-2148205</wp:posOffset>
            </wp:positionV>
            <wp:extent cx="6032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-2148205</wp:posOffset>
            </wp:positionV>
            <wp:extent cx="5969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-1359535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-1359535</wp:posOffset>
            </wp:positionV>
            <wp:extent cx="5969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-819150</wp:posOffset>
            </wp:positionV>
            <wp:extent cx="603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-819150</wp:posOffset>
            </wp:positionV>
            <wp:extent cx="5969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-553720</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-264795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-248285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-248285</wp:posOffset>
            </wp:positionV>
            <wp:extent cx="596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87"/>
              </w:rPr>
              <w:t>Notes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Convertible Preferred Stock</w:t>
            </w:r>
          </w:p>
        </w:tc>
        <w:tc>
          <w:tcPr>
            <w:tcW w:w="200" w:type="dxa"/>
            <w:vAlign w:val="bottom"/>
            <w:tcBorders>
              <w:right w:val="single" w:sz="8" w:color="auto"/>
            </w:tcBorders>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Receivable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0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9"/>
              </w:rPr>
              <w:t>ve</w:t>
            </w:r>
          </w:p>
        </w:tc>
        <w:tc>
          <w:tcPr>
            <w:tcW w:w="1020" w:type="dxa"/>
            <w:vAlign w:val="bottom"/>
            <w:gridSpan w:val="3"/>
            <w:vMerge w:val="continue"/>
          </w:tcPr>
          <w:p>
            <w:pPr>
              <w:spacing w:after="0"/>
              <w:rPr>
                <w:sz w:val="14"/>
                <w:szCs w:val="14"/>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rs’ Equity</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Amoun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1"/>
                <w:szCs w:val="11"/>
                <w:color w:val="auto"/>
              </w:rPr>
            </w:pPr>
          </w:p>
        </w:tc>
        <w:tc>
          <w:tcPr>
            <w:tcW w:w="86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1"/>
                <w:szCs w:val="11"/>
                <w:color w:val="auto"/>
              </w:rPr>
            </w:pPr>
          </w:p>
        </w:tc>
        <w:tc>
          <w:tcPr>
            <w:tcW w:w="7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jc w:val="right"/>
              <w:ind w:right="148"/>
              <w:spacing w:after="0"/>
              <w:rPr>
                <w:sz w:val="20"/>
                <w:szCs w:val="20"/>
                <w:color w:val="auto"/>
              </w:rPr>
            </w:pPr>
            <w:r>
              <w:rPr>
                <w:rFonts w:ascii="Arial" w:cs="Arial" w:eastAsia="Arial" w:hAnsi="Arial"/>
                <w:sz w:val="14"/>
                <w:szCs w:val="14"/>
                <w:b w:val="1"/>
                <w:bCs w:val="1"/>
                <w:color w:val="auto"/>
                <w:w w:val="84"/>
              </w:rPr>
              <w:t>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11,403,077</w:t>
            </w: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73,042</w:t>
            </w:r>
          </w:p>
        </w:tc>
        <w:tc>
          <w:tcPr>
            <w:tcW w:w="20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1,193,488</w:t>
            </w: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764</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(44,417</w:t>
            </w:r>
          </w:p>
        </w:tc>
        <w:tc>
          <w:tcPr>
            <w:tcW w:w="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(43,739</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200"/>
              <w:spacing w:after="0" w:line="143" w:lineRule="exact"/>
              <w:rPr>
                <w:sz w:val="20"/>
                <w:szCs w:val="20"/>
                <w:color w:val="auto"/>
              </w:rPr>
            </w:pPr>
            <w:r>
              <w:rPr>
                <w:rFonts w:ascii="Arial" w:cs="Arial" w:eastAsia="Arial" w:hAnsi="Arial"/>
                <w:sz w:val="14"/>
                <w:szCs w:val="14"/>
                <w:color w:val="auto"/>
              </w:rPr>
              <w:t>Issuance of Series B convertible</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300"/>
              <w:spacing w:after="0" w:line="149" w:lineRule="exact"/>
              <w:rPr>
                <w:sz w:val="20"/>
                <w:szCs w:val="20"/>
                <w:color w:val="auto"/>
              </w:rPr>
            </w:pPr>
            <w:r>
              <w:rPr>
                <w:rFonts w:ascii="Arial" w:cs="Arial" w:eastAsia="Arial" w:hAnsi="Arial"/>
                <w:sz w:val="14"/>
                <w:szCs w:val="14"/>
                <w:color w:val="auto"/>
              </w:rPr>
              <w:t>preferred stock, net of issuance costs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00"/>
              <w:spacing w:after="0" w:line="149" w:lineRule="exact"/>
              <w:rPr>
                <w:sz w:val="20"/>
                <w:szCs w:val="20"/>
                <w:color w:val="auto"/>
              </w:rPr>
            </w:pPr>
            <w:r>
              <w:rPr>
                <w:rFonts w:ascii="Arial" w:cs="Arial" w:eastAsia="Arial" w:hAnsi="Arial"/>
                <w:sz w:val="14"/>
                <w:szCs w:val="14"/>
                <w:color w:val="auto"/>
              </w:rPr>
              <w:t>of $49 and settlement of convertible</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300"/>
              <w:spacing w:after="0" w:line="149" w:lineRule="exact"/>
              <w:rPr>
                <w:sz w:val="20"/>
                <w:szCs w:val="20"/>
                <w:color w:val="auto"/>
              </w:rPr>
            </w:pPr>
            <w:r>
              <w:rPr>
                <w:rFonts w:ascii="Arial" w:cs="Arial" w:eastAsia="Arial" w:hAnsi="Arial"/>
                <w:sz w:val="14"/>
                <w:szCs w:val="14"/>
                <w:color w:val="auto"/>
              </w:rPr>
              <w:t>preferred stock tranche liability of</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00"/>
              <w:spacing w:after="0"/>
              <w:rPr>
                <w:sz w:val="20"/>
                <w:szCs w:val="20"/>
                <w:color w:val="auto"/>
              </w:rPr>
            </w:pPr>
            <w:r>
              <w:rPr>
                <w:rFonts w:ascii="Arial" w:cs="Arial" w:eastAsia="Arial" w:hAnsi="Arial"/>
                <w:sz w:val="14"/>
                <w:szCs w:val="14"/>
                <w:color w:val="auto"/>
              </w:rPr>
              <w:t>$711</w:t>
            </w:r>
          </w:p>
        </w:tc>
        <w:tc>
          <w:tcPr>
            <w:tcW w:w="880" w:type="dxa"/>
            <w:vAlign w:val="bottom"/>
          </w:tcPr>
          <w:p>
            <w:pPr>
              <w:jc w:val="right"/>
              <w:spacing w:after="0"/>
              <w:rPr>
                <w:sz w:val="20"/>
                <w:szCs w:val="20"/>
                <w:color w:val="auto"/>
              </w:rPr>
            </w:pPr>
            <w:r>
              <w:rPr>
                <w:rFonts w:ascii="Arial" w:cs="Arial" w:eastAsia="Arial" w:hAnsi="Arial"/>
                <w:sz w:val="14"/>
                <w:szCs w:val="14"/>
                <w:color w:val="auto"/>
              </w:rPr>
              <w:t>6,172,830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61,995</w:t>
            </w: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Series C convertible</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preferred stock, net of issuance</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costs of $283</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6,917,621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85,717</w:t>
            </w:r>
          </w:p>
        </w:tc>
        <w:tc>
          <w:tcPr>
            <w:tcW w:w="20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17,846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Repurchase of common stock related</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 early exercise of options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(1,028 )</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Arial" w:cs="Arial" w:eastAsia="Arial" w:hAnsi="Arial"/>
                <w:sz w:val="14"/>
                <w:szCs w:val="14"/>
                <w:color w:val="auto"/>
                <w:w w:val="99"/>
              </w:rPr>
              <w:t>Vesting of early exercised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Notes receivable from stockholders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(1 )</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(38,395 )</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(38,395 )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880" w:type="dxa"/>
            <w:vAlign w:val="bottom"/>
          </w:tcPr>
          <w:p>
            <w:pPr>
              <w:jc w:val="right"/>
              <w:spacing w:after="0"/>
              <w:rPr>
                <w:sz w:val="20"/>
                <w:szCs w:val="20"/>
                <w:color w:val="auto"/>
              </w:rPr>
            </w:pPr>
            <w:r>
              <w:rPr>
                <w:rFonts w:ascii="Arial" w:cs="Arial" w:eastAsia="Arial" w:hAnsi="Arial"/>
                <w:sz w:val="14"/>
                <w:szCs w:val="14"/>
                <w:color w:val="auto"/>
              </w:rPr>
              <w:t>24,493,528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220,754</w:t>
            </w: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1,210,306</w:t>
            </w:r>
          </w:p>
        </w:tc>
        <w:tc>
          <w:tcPr>
            <w:tcW w:w="1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1,584</w:t>
            </w:r>
          </w:p>
        </w:tc>
        <w:tc>
          <w:tcPr>
            <w:tcW w:w="1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(87 )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(82,812 )</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(81,315 )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Series C convertible</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preferred stock, net of issuance</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costs of $20</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1,608,750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19,981</w:t>
            </w:r>
          </w:p>
        </w:tc>
        <w:tc>
          <w:tcPr>
            <w:tcW w:w="20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200"/>
              <w:spacing w:after="0" w:line="143" w:lineRule="exact"/>
              <w:rPr>
                <w:sz w:val="20"/>
                <w:szCs w:val="20"/>
                <w:color w:val="auto"/>
              </w:rPr>
            </w:pPr>
            <w:r>
              <w:rPr>
                <w:rFonts w:ascii="Arial" w:cs="Arial" w:eastAsia="Arial" w:hAnsi="Arial"/>
                <w:sz w:val="14"/>
                <w:szCs w:val="14"/>
                <w:color w:val="auto"/>
              </w:rPr>
              <w:t>Conversion of convertible preferred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300"/>
              <w:spacing w:after="0" w:line="149" w:lineRule="exact"/>
              <w:rPr>
                <w:sz w:val="20"/>
                <w:szCs w:val="20"/>
                <w:color w:val="auto"/>
              </w:rPr>
            </w:pPr>
            <w:r>
              <w:rPr>
                <w:rFonts w:ascii="Arial" w:cs="Arial" w:eastAsia="Arial" w:hAnsi="Arial"/>
                <w:sz w:val="14"/>
                <w:szCs w:val="14"/>
                <w:color w:val="auto"/>
              </w:rPr>
              <w:t>to common stock upon completion of</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300"/>
              <w:spacing w:after="0"/>
              <w:rPr>
                <w:sz w:val="20"/>
                <w:szCs w:val="20"/>
                <w:color w:val="auto"/>
              </w:rPr>
            </w:pPr>
            <w:r>
              <w:rPr>
                <w:rFonts w:ascii="Arial" w:cs="Arial" w:eastAsia="Arial" w:hAnsi="Arial"/>
                <w:sz w:val="14"/>
                <w:szCs w:val="14"/>
                <w:color w:val="auto"/>
              </w:rPr>
              <w:t>initial public offering</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(26,102,278 )</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(240,735 )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26,102,278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240,732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240,735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upon initial</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public offering, net of issuance costs</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of $18,459</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13,800,000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188,540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188,541</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195,749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Repurchase of common stock related</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 early exercise of options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(16,959 )</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Arial" w:cs="Arial" w:eastAsia="Arial" w:hAnsi="Arial"/>
                <w:sz w:val="14"/>
                <w:szCs w:val="14"/>
                <w:color w:val="auto"/>
                <w:w w:val="99"/>
              </w:rPr>
              <w:t>Vesting of early exercised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Notes receivable from stockholders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(141 )</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(72,721 )</w:t>
            </w: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 2021</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41,291,374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434,196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(155,533</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278,526</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-2225040</wp:posOffset>
            </wp:positionV>
            <wp:extent cx="431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-2225040</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-2225040</wp:posOffset>
            </wp:positionV>
            <wp:extent cx="431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-2225040</wp:posOffset>
            </wp:positionV>
            <wp:extent cx="3429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-2225040</wp:posOffset>
            </wp:positionV>
            <wp:extent cx="2603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-2225040</wp:posOffset>
            </wp:positionV>
            <wp:extent cx="3429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-2225040</wp:posOffset>
            </wp:positionV>
            <wp:extent cx="3429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-2225040</wp:posOffset>
            </wp:positionV>
            <wp:extent cx="3429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-2225040</wp:posOffset>
            </wp:positionV>
            <wp:extent cx="3429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342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260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260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342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34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342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(72,721 )</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(38,395 )</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2,961</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premium on marketable securities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2,950</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disposal of property and equipment</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1,064</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convertible preferred stock tranche liability</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(2,730 )</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(312 )</w:t>
            </w:r>
          </w:p>
        </w:tc>
        <w:tc>
          <w:tcPr>
            <w:tcW w:w="0" w:type="dxa"/>
            <w:vAlign w:val="bottom"/>
          </w:tcPr>
          <w:p>
            <w:pPr>
              <w:spacing w:after="0"/>
              <w:rPr>
                <w:sz w:val="1"/>
                <w:szCs w:val="1"/>
                <w:color w:val="auto"/>
              </w:rPr>
            </w:pPr>
          </w:p>
        </w:tc>
      </w:tr>
      <w:tr>
        <w:trPr>
          <w:trHeight w:val="176"/>
        </w:trPr>
        <w:tc>
          <w:tcPr>
            <w:tcW w:w="764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3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(3,114 )</w:t>
            </w:r>
          </w:p>
        </w:tc>
        <w:tc>
          <w:tcPr>
            <w:tcW w:w="6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3,295</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rent and other lease liabilities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(775 )</w:t>
            </w: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3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(1,472 )</w:t>
            </w:r>
          </w:p>
        </w:tc>
        <w:tc>
          <w:tcPr>
            <w:tcW w:w="660" w:type="dxa"/>
            <w:vAlign w:val="bottom"/>
          </w:tcPr>
          <w:p>
            <w:pPr>
              <w:spacing w:after="0"/>
              <w:rPr>
                <w:sz w:val="15"/>
                <w:szCs w:val="15"/>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liabilities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tcPr>
          <w:p>
            <w:pPr>
              <w:ind w:left="48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Pr>
          <w:p>
            <w:pPr>
              <w:spacing w:after="0"/>
              <w:rPr>
                <w:sz w:val="14"/>
                <w:szCs w:val="14"/>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(60,812 )</w:t>
            </w:r>
          </w:p>
        </w:tc>
        <w:tc>
          <w:tcPr>
            <w:tcW w:w="6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(35,447 )</w:t>
            </w: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(25,121 )</w:t>
            </w:r>
          </w:p>
        </w:tc>
        <w:tc>
          <w:tcPr>
            <w:tcW w:w="6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(9,763 )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(213,443 )</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38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(238,564</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66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61,284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19,981</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85,951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issuance costs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188,541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374</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(13 )</w:t>
            </w:r>
          </w:p>
        </w:tc>
        <w:tc>
          <w:tcPr>
            <w:tcW w:w="6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repayments on notes receivable from stockholders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208,970</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147,268</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80" w:type="dxa"/>
            <w:vAlign w:val="bottom"/>
          </w:tcPr>
          <w:p>
            <w:pPr>
              <w:spacing w:after="0"/>
              <w:rPr>
                <w:sz w:val="14"/>
                <w:szCs w:val="14"/>
                <w:color w:val="auto"/>
              </w:rPr>
            </w:pPr>
          </w:p>
        </w:tc>
        <w:tc>
          <w:tcPr>
            <w:tcW w:w="1520" w:type="dxa"/>
            <w:vAlign w:val="bottom"/>
            <w:gridSpan w:val="2"/>
          </w:tcPr>
          <w:p>
            <w:pPr>
              <w:jc w:val="right"/>
              <w:ind w:right="128"/>
              <w:spacing w:after="0"/>
              <w:rPr>
                <w:sz w:val="20"/>
                <w:szCs w:val="20"/>
                <w:color w:val="auto"/>
              </w:rPr>
            </w:pPr>
            <w:r>
              <w:rPr>
                <w:rFonts w:ascii="Arial" w:cs="Arial" w:eastAsia="Arial" w:hAnsi="Arial"/>
                <w:sz w:val="14"/>
                <w:szCs w:val="14"/>
                <w:color w:val="auto"/>
              </w:rPr>
              <w:t>(90,406 )</w:t>
            </w: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104,811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129,082</w:t>
            </w:r>
          </w:p>
        </w:tc>
        <w:tc>
          <w:tcPr>
            <w:tcW w:w="2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24,271</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38,676</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38,129</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128,535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Restricted cash, non-current</w:t>
            </w: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2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38,676</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operating activities:</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Cash paid for leases included in operating cash outflows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6,110</w:t>
            </w:r>
          </w:p>
        </w:tc>
        <w:tc>
          <w:tcPr>
            <w:tcW w:w="26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operating activities:</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Lease liability obtained in exchange for right-of-use asset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8,558</w:t>
            </w:r>
          </w:p>
        </w:tc>
        <w:tc>
          <w:tcPr>
            <w:tcW w:w="26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640" w:type="dxa"/>
            <w:vAlign w:val="bottom"/>
          </w:tcPr>
          <w:p>
            <w:pPr>
              <w:ind w:left="200"/>
              <w:spacing w:after="0" w:line="143" w:lineRule="exact"/>
              <w:rPr>
                <w:sz w:val="20"/>
                <w:szCs w:val="20"/>
                <w:color w:val="auto"/>
              </w:rPr>
            </w:pPr>
            <w:r>
              <w:rPr>
                <w:rFonts w:ascii="Arial" w:cs="Arial" w:eastAsia="Arial" w:hAnsi="Arial"/>
                <w:sz w:val="14"/>
                <w:szCs w:val="14"/>
                <w:color w:val="auto"/>
              </w:rPr>
              <w:t>Conversion of convertible preferred stock to common stock upon completion of initial public</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240,735</w:t>
            </w:r>
          </w:p>
        </w:tc>
        <w:tc>
          <w:tcPr>
            <w:tcW w:w="260" w:type="dxa"/>
            <w:vAlign w:val="bottom"/>
          </w:tcPr>
          <w:p>
            <w:pPr>
              <w:spacing w:after="0"/>
              <w:rPr>
                <w:sz w:val="12"/>
                <w:szCs w:val="12"/>
                <w:color w:val="auto"/>
              </w:rPr>
            </w:pPr>
          </w:p>
        </w:tc>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7640" w:type="dxa"/>
            <w:vAlign w:val="bottom"/>
          </w:tcPr>
          <w:p>
            <w:pPr>
              <w:ind w:left="300"/>
              <w:spacing w:after="0" w:line="121" w:lineRule="exact"/>
              <w:rPr>
                <w:sz w:val="20"/>
                <w:szCs w:val="20"/>
                <w:color w:val="auto"/>
              </w:rPr>
            </w:pPr>
            <w:r>
              <w:rPr>
                <w:rFonts w:ascii="Arial" w:cs="Arial" w:eastAsia="Arial" w:hAnsi="Arial"/>
                <w:sz w:val="13"/>
                <w:szCs w:val="13"/>
                <w:color w:val="auto"/>
              </w:rPr>
              <w:t>offering</w:t>
            </w:r>
          </w:p>
        </w:tc>
        <w:tc>
          <w:tcPr>
            <w:tcW w:w="3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640" w:type="dxa"/>
            <w:vAlign w:val="bottom"/>
            <w:shd w:val="clear" w:color="auto" w:fill="CFF0FC"/>
          </w:tcPr>
          <w:p>
            <w:pPr>
              <w:ind w:left="200"/>
              <w:spacing w:after="0" w:line="124" w:lineRule="exact"/>
              <w:rPr>
                <w:sz w:val="20"/>
                <w:szCs w:val="20"/>
                <w:color w:val="auto"/>
              </w:rPr>
            </w:pPr>
            <w:r>
              <w:rPr>
                <w:rFonts w:ascii="Arial" w:cs="Arial" w:eastAsia="Arial" w:hAnsi="Arial"/>
                <w:sz w:val="14"/>
                <w:szCs w:val="14"/>
                <w:color w:val="auto"/>
              </w:rPr>
              <w:t>Property and equipment included in accounts payable and accrued expenses and other current</w:t>
            </w:r>
          </w:p>
        </w:tc>
        <w:tc>
          <w:tcPr>
            <w:tcW w:w="38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4,100</w:t>
            </w:r>
          </w:p>
        </w:tc>
        <w:tc>
          <w:tcPr>
            <w:tcW w:w="2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tcBorders>
              <w:bottom w:val="single" w:sz="8" w:color="CFF0FC"/>
            </w:tcBorders>
            <w:shd w:val="clear" w:color="auto" w:fill="CFF0FC"/>
          </w:tcPr>
          <w:p>
            <w:pPr>
              <w:ind w:left="300"/>
              <w:spacing w:after="0" w:line="121" w:lineRule="exact"/>
              <w:rPr>
                <w:sz w:val="20"/>
                <w:szCs w:val="20"/>
                <w:color w:val="auto"/>
              </w:rPr>
            </w:pPr>
            <w:r>
              <w:rPr>
                <w:rFonts w:ascii="Arial" w:cs="Arial" w:eastAsia="Arial" w:hAnsi="Arial"/>
                <w:sz w:val="13"/>
                <w:szCs w:val="13"/>
                <w:color w:val="auto"/>
              </w:rPr>
              <w:t>liabilities</w:t>
            </w: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12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640" w:type="dxa"/>
            <w:vAlign w:val="bottom"/>
          </w:tcPr>
          <w:p>
            <w:pPr>
              <w:ind w:left="200"/>
              <w:spacing w:after="0" w:line="124" w:lineRule="exact"/>
              <w:rPr>
                <w:sz w:val="20"/>
                <w:szCs w:val="20"/>
                <w:color w:val="auto"/>
              </w:rPr>
            </w:pPr>
            <w:r>
              <w:rPr>
                <w:rFonts w:ascii="Arial" w:cs="Arial" w:eastAsia="Arial" w:hAnsi="Arial"/>
                <w:sz w:val="14"/>
                <w:szCs w:val="14"/>
                <w:color w:val="auto"/>
              </w:rPr>
              <w:t>Settlement of convertible preferred stock tranche liability in connection with the issuance of</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640" w:type="dxa"/>
            <w:vAlign w:val="bottom"/>
          </w:tcPr>
          <w:p>
            <w:pPr>
              <w:ind w:left="300"/>
              <w:spacing w:after="0" w:line="121" w:lineRule="exact"/>
              <w:rPr>
                <w:sz w:val="20"/>
                <w:szCs w:val="20"/>
                <w:color w:val="auto"/>
              </w:rPr>
            </w:pPr>
            <w:r>
              <w:rPr>
                <w:rFonts w:ascii="Arial" w:cs="Arial" w:eastAsia="Arial" w:hAnsi="Arial"/>
                <w:sz w:val="13"/>
                <w:szCs w:val="13"/>
                <w:color w:val="auto"/>
              </w:rPr>
              <w:t>Series B convertible preferred stock</w:t>
            </w:r>
          </w:p>
        </w:tc>
        <w:tc>
          <w:tcPr>
            <w:tcW w:w="38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640" w:type="dxa"/>
            <w:vAlign w:val="bottom"/>
            <w:shd w:val="clear" w:color="auto" w:fill="CFF0FC"/>
          </w:tcPr>
          <w:p>
            <w:pPr>
              <w:ind w:left="200"/>
              <w:spacing w:after="0" w:line="124" w:lineRule="exact"/>
              <w:rPr>
                <w:sz w:val="20"/>
                <w:szCs w:val="20"/>
                <w:color w:val="auto"/>
              </w:rPr>
            </w:pPr>
            <w:r>
              <w:rPr>
                <w:rFonts w:ascii="Arial" w:cs="Arial" w:eastAsia="Arial" w:hAnsi="Arial"/>
                <w:sz w:val="14"/>
                <w:szCs w:val="14"/>
                <w:color w:val="auto"/>
              </w:rPr>
              <w:t>Offering costs related to Series C convertible preferred stock included in accounts payable</w:t>
            </w:r>
          </w:p>
        </w:tc>
        <w:tc>
          <w:tcPr>
            <w:tcW w:w="38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tcBorders>
              <w:bottom w:val="single" w:sz="8" w:color="CFF0FC"/>
            </w:tcBorders>
            <w:shd w:val="clear" w:color="auto" w:fill="CFF0FC"/>
          </w:tcPr>
          <w:p>
            <w:pPr>
              <w:ind w:left="300"/>
              <w:spacing w:after="0" w:line="121" w:lineRule="exact"/>
              <w:rPr>
                <w:sz w:val="20"/>
                <w:szCs w:val="20"/>
                <w:color w:val="auto"/>
              </w:rPr>
            </w:pPr>
            <w:r>
              <w:rPr>
                <w:rFonts w:ascii="Arial" w:cs="Arial" w:eastAsia="Arial" w:hAnsi="Arial"/>
                <w:sz w:val="13"/>
                <w:szCs w:val="13"/>
                <w:color w:val="auto"/>
              </w:rPr>
              <w:t>and accrued expenses and other current liabilities</w:t>
            </w: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12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-3888105</wp:posOffset>
            </wp:positionV>
            <wp:extent cx="5143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-3888105</wp:posOffset>
            </wp:positionV>
            <wp:extent cx="5143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-3194050</wp:posOffset>
            </wp:positionV>
            <wp:extent cx="514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-3194050</wp:posOffset>
            </wp:positionV>
            <wp:extent cx="5143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-2285365</wp:posOffset>
            </wp:positionV>
            <wp:extent cx="5143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-2285365</wp:posOffset>
            </wp:positionV>
            <wp:extent cx="514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-2053590</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-2053590</wp:posOffset>
            </wp:positionV>
            <wp:extent cx="5143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-1573530</wp:posOffset>
            </wp:positionV>
            <wp:extent cx="5143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-1573530</wp:posOffset>
            </wp:positionV>
            <wp:extent cx="5143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-436245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-419735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-436245</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-419735</wp:posOffset>
            </wp:positionV>
            <wp:extent cx="51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1" w:name="page172"/>
    <w:bookmarkEnd w:id="171"/>
    <w:p>
      <w:pPr>
        <w:jc w:val="center"/>
        <w:ind w:right="-79"/>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the Business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July 2021, the Company’s board of directors approved an amended and restated certificate of incorporation to effect a reverse split of shares of the Company’s common stock, convertible preferred stock, and authorized shares on a 1-for-6 basis (the “Reverse Stock Split”) effective on July 23, 2021. The par value of the common stock and convertible preferred stock was not adjusted as a result of the Reverse Stock Split. All share data, per share data and related information for all periods presented in the accompanying financial statements have been retrospectively adjusted to reflect the effect of the Reverse Stock Split.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On August 3, 2021, the Company completed its initial public offering (IPO), at which time the Company issued an aggregate of 13,800,000 shares of its common stock (inclusive of 1,800,000 shares pursuant to the underwriters’ overallotment option) at a price of $15.00 per share. The Company received net proceeds of $188.5 million, after deducting underwriting discounts and commissions of $14.5 million and other offering expenses of $4.0 million. Immediately prior to the completion of the IPO, all of the Company’s outstanding shares of convertible preferred stock automatically converted into 26,102,278 shares of common stock.</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December 31, 2021, the Company had an accumulated deficit of $155.5 million. The Company incurred a net loss of $72.7 million and $38.4 million during the years ended December 31, 2021 and 2020, respectively. The Company had $251.3 million of cash, cash equivalents and investments in marketable securities as of December 31, 2021.</w:t>
      </w:r>
    </w:p>
    <w:p>
      <w:pPr>
        <w:spacing w:after="0" w:line="8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December 31, 2021 will be sufficient to fund the Company’s operations for at least the next twelve months following the date these financial statements are filed with the Securities and Exchange Commission (SEC).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and the disclosure of contingent assets and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72" w:name="page173"/>
    <w:bookmarkEnd w:id="172"/>
    <w:p>
      <w:pPr>
        <w:ind w:right="60"/>
        <w:spacing w:after="0"/>
        <w:rPr>
          <w:sz w:val="20"/>
          <w:szCs w:val="20"/>
          <w:color w:val="auto"/>
        </w:rPr>
      </w:pPr>
      <w:r>
        <w:rPr>
          <w:rFonts w:ascii="Arial" w:cs="Arial" w:eastAsia="Arial" w:hAnsi="Arial"/>
          <w:sz w:val="18"/>
          <w:szCs w:val="18"/>
          <w:color w:val="auto"/>
        </w:rPr>
        <w:t>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three-level fair value hierarchy that requires an entity to maximize the use of observable inputs, where available, and minimize the use of unobservable inputs when measuring fair value. The three-level hierarchy of inputs is as follows: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Level 1</w:t>
      </w:r>
      <w:r>
        <w:rPr>
          <w:rFonts w:ascii="Arial" w:cs="Arial" w:eastAsia="Arial" w:hAnsi="Arial"/>
          <w:sz w:val="17"/>
          <w:szCs w:val="17"/>
          <w:color w:val="auto"/>
        </w:rPr>
        <w:t>—Observable inputs such as unadjusted quoted prices in active markets for identical assets or liabilities as of the measurement date;</w:t>
      </w:r>
    </w:p>
    <w:p>
      <w:pPr>
        <w:spacing w:after="0" w:line="115" w:lineRule="exact"/>
        <w:rPr>
          <w:sz w:val="20"/>
          <w:szCs w:val="20"/>
          <w:color w:val="auto"/>
        </w:rPr>
      </w:pPr>
    </w:p>
    <w:p>
      <w:pPr>
        <w:ind w:left="1020" w:right="140" w:hanging="484"/>
        <w:spacing w:after="0" w:line="261"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(other than quoted prices included within Level 1) that are directly observable for the asset or liability or indirectly observable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assets or liabilities; and</w:t>
      </w:r>
    </w:p>
    <w:p>
      <w:pPr>
        <w:spacing w:after="0" w:line="63" w:lineRule="exact"/>
        <w:rPr>
          <w:sz w:val="20"/>
          <w:szCs w:val="20"/>
          <w:color w:val="auto"/>
        </w:rPr>
      </w:pPr>
    </w:p>
    <w:p>
      <w:pPr>
        <w:ind w:left="1020" w:right="100" w:hanging="484"/>
        <w:spacing w:after="0" w:line="261"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80"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risk consist principally of cash, cash equivalents and marketable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8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73" w:name="page174"/>
    <w:bookmarkEnd w:id="173"/>
    <w:p>
      <w:pPr>
        <w:ind w:left="520"/>
        <w:spacing w:after="0"/>
        <w:rPr>
          <w:sz w:val="20"/>
          <w:szCs w:val="20"/>
          <w:color w:val="auto"/>
        </w:rPr>
      </w:pPr>
      <w:r>
        <w:rPr>
          <w:rFonts w:ascii="Arial" w:cs="Arial" w:eastAsia="Arial" w:hAnsi="Arial"/>
          <w:sz w:val="18"/>
          <w:szCs w:val="18"/>
          <w:b w:val="1"/>
          <w:bCs w:val="1"/>
          <w:i w:val="1"/>
          <w:iCs w:val="1"/>
          <w:color w:val="auto"/>
        </w:rPr>
        <w:t>Segment Information and Geographical Information</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The Company had restricted cash of $0.5 million for both years ended December 31, 2021 and 2020. The restricted cash represents security deposits for the Company’s operating leases in South San Francisco, California. The security deposits are in the form of a letter of credit secured by restricted cash.</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8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for Long-Lived Assets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Impairment of long-lived assets were not material for any of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4" w:name="page175"/>
    <w:bookmarkEnd w:id="174"/>
    <w:p>
      <w:pPr>
        <w:ind w:left="52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obligation to issue additional shares of the Company’s Series B convertible preferred stock at a fixed price on future dates was determined to be a freestanding financial instrument that was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 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480" w:firstLine="509"/>
        <w:spacing w:after="0" w:line="324" w:lineRule="auto"/>
        <w:rPr>
          <w:sz w:val="20"/>
          <w:szCs w:val="20"/>
          <w:color w:val="auto"/>
        </w:rPr>
      </w:pPr>
      <w:r>
        <w:rPr>
          <w:rFonts w:ascii="Arial" w:cs="Arial" w:eastAsia="Arial" w:hAnsi="Arial"/>
          <w:sz w:val="16"/>
          <w:szCs w:val="16"/>
          <w:color w:val="auto"/>
        </w:rPr>
        <w:t>The Company adopted Accounting Standards Codification (ASC) Topic 842, Leases (ASC 842) on January 1, 2021, as discussed below in the section titled “Recently Adopted Accounting Standards”. Under ASC 842, the Company determines if an arrangement is a lease at inception.</w:t>
      </w:r>
    </w:p>
    <w:p>
      <w:pPr>
        <w:spacing w:after="0" w:line="1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7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records asset retirement obligations (AROs) for the estimated cost of removing constructed leasehold improvement assets and restoring the leased premises back to their original condition, at the time when the contractual obligations are incurred. AROs represent the present value of the expected costs for the related restoration activities. The ARO assets and liabilities are recorded in property, plant and equipment and other long-term liabilities, respectively, in the Company’s balance sheets. The Company records accretion expense, which represents the increase in the asset retirement obligations, over the remaining or operational life of the associated leasehold improvements. Accretion expense is recorded as operating expense in the statements of operations using an accretion rate based on the credit adjusted risk-free interest rate. Changes resulting from revisions to the timing or amount of the original estimate of cash flows are recognized as an increase or a decrease in the asset retirement cost, or income when the asset retirement cost is depleted.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Research and development (R&amp;D) costs are expensed as incurred. Research and development expenses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6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5" w:name="page176"/>
    <w:bookmarkEnd w:id="175"/>
    <w:p>
      <w:pPr>
        <w:ind w:right="180"/>
        <w:spacing w:after="0" w:line="262" w:lineRule="auto"/>
        <w:rPr>
          <w:sz w:val="20"/>
          <w:szCs w:val="20"/>
          <w:color w:val="auto"/>
        </w:rPr>
      </w:pPr>
      <w:r>
        <w:rPr>
          <w:rFonts w:ascii="Arial" w:cs="Arial" w:eastAsia="Arial" w:hAnsi="Arial"/>
          <w:sz w:val="17"/>
          <w:szCs w:val="17"/>
          <w:color w:val="auto"/>
        </w:rPr>
        <w:t>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6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8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80"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w:t>
      </w:r>
    </w:p>
    <w:p>
      <w:pPr>
        <w:spacing w:after="0" w:line="63"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the Company uses the Black-Scholes option pricing model.</w:t>
      </w:r>
    </w:p>
    <w:p>
      <w:pPr>
        <w:spacing w:after="0" w:line="63"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and generally requires significant judgement.</w:t>
      </w:r>
    </w:p>
    <w:p>
      <w:pPr>
        <w:spacing w:after="0" w:line="63" w:lineRule="exact"/>
        <w:rPr>
          <w:sz w:val="20"/>
          <w:szCs w:val="20"/>
          <w:color w:val="auto"/>
        </w:rPr>
      </w:pPr>
    </w:p>
    <w:p>
      <w:pPr>
        <w:ind w:left="520"/>
        <w:spacing w:after="0" w:line="254"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—Prior to the Company's IPO, there was no public market for its common stock. As such, the estimated fair value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and underlying stock options was determined at each grant date by the Company's board of directors, with input from management, based on the information known to the Company on the grant date and upon a review of any recent events and their potential impact on the estimated per share fair value of its common stock. As part of these fair value determinations, the Company's board of directors obtained and considered valuation reports prepared by a third-party valuation firm in accordance with the guidance outlined in the American Institute of Certified Public Accountants' Accounting &amp;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For grants subsequent to the Company's IPO, the grant date fair value of common stock was determined by using the closing price per share of common stock as reported on the Nasdaq Global Select Market.</w:t>
      </w:r>
    </w:p>
    <w:p>
      <w:pPr>
        <w:spacing w:after="0" w:line="73" w:lineRule="exact"/>
        <w:rPr>
          <w:sz w:val="20"/>
          <w:szCs w:val="20"/>
          <w:color w:val="auto"/>
        </w:rPr>
      </w:pPr>
    </w:p>
    <w:p>
      <w:pPr>
        <w:ind w:left="520" w:right="120"/>
        <w:spacing w:after="0" w:line="248"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which represents the period that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simplified method due to its limited operating history, which is presumed to be the mid-point between the contractual term and the vesting period.</w:t>
      </w:r>
    </w:p>
    <w:p>
      <w:pPr>
        <w:spacing w:after="0" w:line="74" w:lineRule="exact"/>
        <w:rPr>
          <w:sz w:val="20"/>
          <w:szCs w:val="20"/>
          <w:color w:val="auto"/>
        </w:rPr>
      </w:pPr>
    </w:p>
    <w:p>
      <w:pPr>
        <w:ind w:left="520" w:right="260"/>
        <w:spacing w:after="0" w:line="24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there is limited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80"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76" w:name="page177"/>
    <w:bookmarkEnd w:id="176"/>
    <w:p>
      <w:pPr>
        <w:ind w:left="520"/>
        <w:spacing w:after="0" w:line="261"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The expected dividend yield is assumed to be zero as the Company has never paid and has no plans to pay any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80"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2021 and 2020, the Company has recorded a full valuation allowance on its net deferred tax assets.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if any, related to unrecognized tax benefits are included within the provision for income tax.</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year ended December 31, 2021, are presented under ASC 842. Prior period amounts before January 1, 2021, have not been adjusted and continue to be reported in accordance with the Company’s historical accounting under previous lease guidance, </w:t>
      </w:r>
      <w:r>
        <w:rPr>
          <w:rFonts w:ascii="Arial" w:cs="Arial" w:eastAsia="Arial" w:hAnsi="Arial"/>
          <w:sz w:val="16"/>
          <w:szCs w:val="16"/>
          <w:i w:val="1"/>
          <w:iCs w:val="1"/>
          <w:color w:val="auto"/>
        </w:rPr>
        <w:t>ASC 840: Leases</w:t>
      </w:r>
      <w:r>
        <w:rPr>
          <w:rFonts w:ascii="Arial" w:cs="Arial" w:eastAsia="Arial" w:hAnsi="Arial"/>
          <w:sz w:val="16"/>
          <w:szCs w:val="16"/>
          <w:color w:val="auto"/>
        </w:rPr>
        <w:t xml:space="preserve"> (Topic 840).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7" w:name="page178"/>
    <w:bookmarkEnd w:id="177"/>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8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does not expect the adoption of this standard to have any impact on its financial statements.</w:t>
      </w:r>
    </w:p>
    <w:p>
      <w:pPr>
        <w:spacing w:after="0" w:line="8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In November 2021, the FASB issued ASU No.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w:t>
      </w:r>
      <w:r>
        <w:rPr>
          <w:rFonts w:ascii="Arial" w:cs="Arial" w:eastAsia="Arial" w:hAnsi="Arial"/>
          <w:sz w:val="18"/>
          <w:szCs w:val="18"/>
          <w:color w:val="auto"/>
        </w:rPr>
        <w:t>(ASU 2021-10), which requires business entities to make annual disclosures about transactions with a government they account for by</w:t>
      </w:r>
      <w:r>
        <w:rPr>
          <w:rFonts w:ascii="Arial" w:cs="Arial" w:eastAsia="Arial" w:hAnsi="Arial"/>
          <w:sz w:val="18"/>
          <w:szCs w:val="18"/>
          <w:i w:val="1"/>
          <w:iCs w:val="1"/>
          <w:color w:val="auto"/>
        </w:rPr>
        <w:t xml:space="preserve"> </w:t>
      </w:r>
      <w:r>
        <w:rPr>
          <w:rFonts w:ascii="Arial" w:cs="Arial" w:eastAsia="Arial" w:hAnsi="Arial"/>
          <w:sz w:val="18"/>
          <w:szCs w:val="18"/>
          <w:color w:val="auto"/>
        </w:rPr>
        <w:t>analogizing to a grant or contribution accounting model. The required annual disclosures include the nature of the transaction, the entity’s related accounting policy, the financial statement line items affected and the amounts reflected in the current period financial statements, and any significant terms and conditions. ASU 2021-10 is effective for the Company beginning January 1, 2022. The Company does not expect the adoption of this standard to have a material impact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tables summarize the Company’s financial assets measured at fair value on a recurring basis by level within the fair value hierarchy: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6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Valuation</w:t>
            </w:r>
          </w:p>
        </w:tc>
        <w:tc>
          <w:tcPr>
            <w:tcW w:w="240" w:type="dxa"/>
            <w:vAlign w:val="bottom"/>
          </w:tcPr>
          <w:p>
            <w:pPr>
              <w:spacing w:after="0"/>
              <w:rPr>
                <w:sz w:val="11"/>
                <w:szCs w:val="11"/>
                <w:color w:val="auto"/>
              </w:rPr>
            </w:pPr>
          </w:p>
        </w:tc>
        <w:tc>
          <w:tcPr>
            <w:tcW w:w="118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center"/>
              <w:ind w:left="639"/>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Cash equivalents: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37,129</w:t>
            </w:r>
          </w:p>
        </w:tc>
        <w:tc>
          <w:tcPr>
            <w:tcW w:w="46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ind w:left="9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37,129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Marketable securities: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treasuries</w:t>
            </w:r>
          </w:p>
        </w:tc>
        <w:tc>
          <w:tcPr>
            <w:tcW w:w="16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78,097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9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(85 )</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121,634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(50 )</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121,584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8,979</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9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20"/>
              <w:spacing w:after="0" w:line="202" w:lineRule="exact"/>
              <w:rPr>
                <w:sz w:val="20"/>
                <w:szCs w:val="20"/>
                <w:color w:val="auto"/>
              </w:rPr>
            </w:pPr>
            <w:r>
              <w:rPr>
                <w:rFonts w:ascii="Arial" w:cs="Arial" w:eastAsia="Arial" w:hAnsi="Arial"/>
                <w:sz w:val="18"/>
                <w:szCs w:val="18"/>
                <w:color w:val="auto"/>
              </w:rPr>
              <w:t>Government agencies bonds</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(3 )</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250,441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ind w:left="96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250,300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6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Valuation</w:t>
            </w:r>
          </w:p>
        </w:tc>
        <w:tc>
          <w:tcPr>
            <w:tcW w:w="240" w:type="dxa"/>
            <w:vAlign w:val="bottom"/>
          </w:tcPr>
          <w:p>
            <w:pPr>
              <w:spacing w:after="0"/>
              <w:rPr>
                <w:sz w:val="11"/>
                <w:szCs w:val="11"/>
                <w:color w:val="auto"/>
              </w:rPr>
            </w:pPr>
          </w:p>
        </w:tc>
        <w:tc>
          <w:tcPr>
            <w:tcW w:w="118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tcPr>
          <w:p>
            <w:pPr>
              <w:jc w:val="center"/>
              <w:ind w:right="5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1"/>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center"/>
              <w:ind w:left="639"/>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Cash equivalents: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tcBorders>
              <w:bottom w:val="single" w:sz="8" w:color="CFF0FC"/>
            </w:tcBorders>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127,535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127,535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127,535</w:t>
            </w:r>
          </w:p>
        </w:tc>
        <w:tc>
          <w:tcPr>
            <w:tcW w:w="46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3"/>
          </w:tcPr>
          <w:p>
            <w:pPr>
              <w:ind w:left="98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3"/>
          </w:tcPr>
          <w:p>
            <w:pPr>
              <w:ind w:left="88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127,535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-1173480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-1156335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-1173480</wp:posOffset>
            </wp:positionV>
            <wp:extent cx="431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-1156335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-1173480</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-1156335</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-1173480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-1156335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-159385</wp:posOffset>
            </wp:positionV>
            <wp:extent cx="5143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431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431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Money market funds and U.S. treasuries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8" w:name="page179"/>
    <w:bookmarkEnd w:id="178"/>
    <w:p>
      <w:pPr>
        <w:ind w:right="60"/>
        <w:spacing w:after="0" w:line="241" w:lineRule="auto"/>
        <w:rPr>
          <w:sz w:val="20"/>
          <w:szCs w:val="20"/>
          <w:color w:val="auto"/>
        </w:rPr>
      </w:pPr>
      <w:r>
        <w:rPr>
          <w:rFonts w:ascii="Arial" w:cs="Arial" w:eastAsia="Arial" w:hAnsi="Arial"/>
          <w:sz w:val="18"/>
          <w:szCs w:val="18"/>
          <w:color w:val="auto"/>
        </w:rPr>
        <w:t>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 All available-for-sale marketable securities held as of December 31, 2021 are short-term investments with contractual maturities of less than one year.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Company’s convertible preferred stock tranche liability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was considered a non-contingent forward and the standard forward pricing model was used with the following key assumptions: (a) calculation of an expected term and (b) a risk-free interest rate. The convertible preferred stock tranche liability was initially recorded in connection with the first closing of the Company’s Series B convertible stock financing in August 2019.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2021 and 2020.</w:t>
      </w:r>
    </w:p>
    <w:p>
      <w:pPr>
        <w:spacing w:after="0" w:line="73"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following table summarizes the significant unobservable assumptions used to value the convertible preferred stock tranche liability as of the settlement date of August 24,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4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August 24, 2020</w:t>
            </w:r>
          </w:p>
        </w:tc>
      </w:tr>
      <w:tr>
        <w:trPr>
          <w:trHeight w:val="196"/>
        </w:trPr>
        <w:tc>
          <w:tcPr>
            <w:tcW w:w="7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Term to valuation date (in years)</w:t>
            </w:r>
          </w:p>
        </w:tc>
        <w:tc>
          <w:tcPr>
            <w:tcW w:w="3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5.0 %</w:t>
            </w:r>
          </w:p>
        </w:tc>
      </w:tr>
    </w:tbl>
    <w:p>
      <w:pPr>
        <w:spacing w:after="0" w:line="20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center"/>
              <w:ind w:right="4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Beginning balance</w:t>
            </w:r>
          </w:p>
        </w:tc>
        <w:tc>
          <w:tcPr>
            <w:tcW w:w="308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2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Change in fair value upon remeasurement</w:t>
            </w:r>
          </w:p>
        </w:tc>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2"/>
              </w:rPr>
              <w:t>Settlement of convertible preferred stock tranche liability on second and</w:t>
            </w:r>
          </w:p>
        </w:tc>
        <w:tc>
          <w:tcPr>
            <w:tcW w:w="25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(711 )</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third closings of the Series B convertible preferred stock</w:t>
            </w:r>
          </w:p>
        </w:tc>
        <w:tc>
          <w:tcPr>
            <w:tcW w:w="25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7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250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2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500" w:type="dxa"/>
            <w:vAlign w:val="bottom"/>
            <w:vMerge w:val="restart"/>
          </w:tcPr>
          <w:p>
            <w:pPr>
              <w:jc w:val="right"/>
              <w:ind w:right="2050"/>
              <w:spacing w:after="0"/>
              <w:rPr>
                <w:sz w:val="20"/>
                <w:szCs w:val="20"/>
                <w:color w:val="auto"/>
              </w:rPr>
            </w:pPr>
            <w:r>
              <w:rPr>
                <w:rFonts w:ascii="Arial" w:cs="Arial" w:eastAsia="Arial" w:hAnsi="Arial"/>
                <w:sz w:val="18"/>
                <w:szCs w:val="18"/>
                <w:color w:val="auto"/>
              </w:rPr>
              <w:t>177</w:t>
            </w:r>
          </w:p>
        </w:tc>
        <w:tc>
          <w:tcPr>
            <w:tcW w:w="5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4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-639445</wp:posOffset>
            </wp:positionV>
            <wp:extent cx="5969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71"/>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060" w:type="dxa"/>
            <w:vAlign w:val="bottom"/>
            <w:shd w:val="clear" w:color="auto" w:fill="CFF0FC"/>
          </w:tcPr>
          <w:p>
            <w:pPr>
              <w:jc w:val="right"/>
              <w:ind w:right="875"/>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32,561</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7,678</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10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11,891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8,182</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7,241</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7,237</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0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100" w:type="dxa"/>
            <w:vAlign w:val="bottom"/>
          </w:tcPr>
          <w:p>
            <w:pPr>
              <w:spacing w:after="0"/>
              <w:rPr>
                <w:sz w:val="17"/>
                <w:szCs w:val="17"/>
                <w:color w:val="auto"/>
              </w:rPr>
            </w:pPr>
          </w:p>
        </w:tc>
      </w:tr>
      <w:tr>
        <w:trPr>
          <w:trHeight w:val="203"/>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0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120"/>
              <w:spacing w:after="0" w:line="196" w:lineRule="exact"/>
              <w:rPr>
                <w:sz w:val="20"/>
                <w:szCs w:val="20"/>
                <w:color w:val="auto"/>
              </w:rPr>
            </w:pPr>
            <w:r>
              <w:rPr>
                <w:rFonts w:ascii="Arial" w:cs="Arial" w:eastAsia="Arial" w:hAnsi="Arial"/>
                <w:sz w:val="18"/>
                <w:szCs w:val="18"/>
                <w:color w:val="auto"/>
              </w:rPr>
              <w:t>Total property and equipment</w:t>
            </w:r>
          </w:p>
        </w:tc>
        <w:tc>
          <w:tcPr>
            <w:tcW w:w="1060" w:type="dxa"/>
            <w:vAlign w:val="bottom"/>
          </w:tcPr>
          <w:p>
            <w:pPr>
              <w:jc w:val="right"/>
              <w:ind w:right="875"/>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52,445</w:t>
            </w:r>
          </w:p>
        </w:tc>
        <w:tc>
          <w:tcPr>
            <w:tcW w:w="28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23,888</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(9,425 )</w:t>
            </w:r>
          </w:p>
        </w:tc>
        <w:tc>
          <w:tcPr>
            <w:tcW w:w="4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(6,703 )</w:t>
            </w:r>
          </w:p>
        </w:tc>
      </w:tr>
      <w:tr>
        <w:trPr>
          <w:trHeight w:val="196"/>
        </w:trPr>
        <w:tc>
          <w:tcPr>
            <w:tcW w:w="7620" w:type="dxa"/>
            <w:vAlign w:val="bottom"/>
            <w:tcBorders>
              <w:top w:val="single" w:sz="8" w:color="CFF0FC"/>
            </w:tcBorders>
          </w:tcPr>
          <w:p>
            <w:pPr>
              <w:ind w:left="120"/>
              <w:spacing w:after="0" w:line="196" w:lineRule="exact"/>
              <w:rPr>
                <w:sz w:val="20"/>
                <w:szCs w:val="20"/>
                <w:color w:val="auto"/>
              </w:rPr>
            </w:pPr>
            <w:r>
              <w:rPr>
                <w:rFonts w:ascii="Arial" w:cs="Arial" w:eastAsia="Arial" w:hAnsi="Arial"/>
                <w:sz w:val="18"/>
                <w:szCs w:val="18"/>
                <w:color w:val="auto"/>
              </w:rPr>
              <w:t>Total property and equipment, net</w:t>
            </w:r>
          </w:p>
        </w:tc>
        <w:tc>
          <w:tcPr>
            <w:tcW w:w="1060" w:type="dxa"/>
            <w:vAlign w:val="bottom"/>
            <w:tcBorders>
              <w:top w:val="single" w:sz="8" w:color="auto"/>
              <w:bottom w:val="single" w:sz="8" w:color="auto"/>
            </w:tcBorders>
          </w:tcPr>
          <w:p>
            <w:pPr>
              <w:jc w:val="right"/>
              <w:ind w:right="875"/>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43,020</w:t>
            </w: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17,185</w:t>
            </w:r>
          </w:p>
        </w:tc>
        <w:tc>
          <w:tcPr>
            <w:tcW w:w="100" w:type="dxa"/>
            <w:vAlign w:val="bottom"/>
            <w:tcBorders>
              <w:top w:val="single" w:sz="8" w:color="CFF0FC"/>
            </w:tcBorders>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-424815</wp:posOffset>
            </wp:positionV>
            <wp:extent cx="6032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Depreciation and amortization expense for the years ended December 31, 2021 and 2020, was $3.0 million and $2.5 million, respectively. Construction in progress primarily consists of costs directly incurred for the construction of the Company’s manufacturing and office space located in Union City, California, and capitalized machinery and equipment (see Note 6).</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1"/>
              </w:rPr>
              <w:t>thousands)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compensation and related expenses</w:t>
            </w:r>
          </w:p>
        </w:tc>
        <w:tc>
          <w:tcPr>
            <w:tcW w:w="110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3,667</w:t>
            </w:r>
          </w:p>
        </w:tc>
        <w:tc>
          <w:tcPr>
            <w:tcW w:w="74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Accrued property and equipment</w:t>
            </w: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2,863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6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current liabilities</w:t>
            </w:r>
          </w:p>
        </w:tc>
        <w:tc>
          <w:tcPr>
            <w:tcW w:w="1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12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100" w:type="dxa"/>
            <w:vAlign w:val="bottom"/>
          </w:tcPr>
          <w:p>
            <w:pPr>
              <w:jc w:val="right"/>
              <w:ind w:right="89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9,059</w:t>
            </w:r>
          </w:p>
        </w:tc>
        <w:tc>
          <w:tcPr>
            <w:tcW w:w="74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3,161</w:t>
            </w:r>
          </w:p>
        </w:tc>
        <w:tc>
          <w:tcPr>
            <w:tcW w:w="6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License Agreements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December 31, 2021, the Company has not recognized any milestone and royalty payments under the Gladstone License Agreement.</w:t>
      </w:r>
    </w:p>
    <w:p>
      <w:pPr>
        <w:spacing w:after="0" w:line="6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During the years ended December 31, 2021 and 2020, amounts recorded related to annual license fees payable pursuant to the Gladstone License Agreement were immaterial.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0" w:name="page181"/>
    <w:bookmarkEnd w:id="180"/>
    <w:p>
      <w:pPr>
        <w:ind w:left="38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0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which was paid by the Company in 2020,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2021, the Company has not recognized any milestone and royalty payments under the UTSW License.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04" w:lineRule="exact"/>
        <w:rPr>
          <w:sz w:val="20"/>
          <w:szCs w:val="20"/>
          <w:color w:val="auto"/>
        </w:rPr>
      </w:pPr>
    </w:p>
    <w:p>
      <w:pPr>
        <w:jc w:val="both"/>
        <w:ind w:right="500" w:firstLine="509"/>
        <w:spacing w:after="0" w:line="270" w:lineRule="auto"/>
        <w:rPr>
          <w:sz w:val="20"/>
          <w:szCs w:val="20"/>
          <w:color w:val="auto"/>
        </w:rPr>
      </w:pPr>
      <w:r>
        <w:rPr>
          <w:rFonts w:ascii="Arial" w:cs="Arial" w:eastAsia="Arial" w:hAnsi="Arial"/>
          <w:sz w:val="17"/>
          <w:szCs w:val="17"/>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56"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December 2020, the Company entered into a short-term sublease agreement for additional office and laboratory space in South San Francisco, California with a lease term that expired on November 30, 2021.</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balance sheets.</w:t>
      </w:r>
    </w:p>
    <w:p>
      <w:pPr>
        <w:spacing w:after="0" w:line="56"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November 2021, the Company entered into a short-term sublease agreement for additional office and laboratory space in South San Francisco, California with a lease term that expires on June 30, 2022.</w:t>
      </w:r>
    </w:p>
    <w:p>
      <w:pPr>
        <w:spacing w:after="0" w:line="6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On January 1, 2021, the Company adopted ASC 842 and the following disclosures as of and for the year ended December 31, 2021 are presented under ASC 842. As of December 31, 2021, the remaining weighted-average lease term was 6.6 years and the weighted-average incremental borrowing rate used to determine the operating lease liabilities was 9.5%.</w:t>
      </w:r>
    </w:p>
    <w:p>
      <w:pPr>
        <w:spacing w:after="0" w:line="7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During the year ended December 31, 2021, the Company incurred $5.7 million of lease costs, of which $1.7 million is related to the Company’s short-term leases and $1.6 million is related to variable lease payments. During the year ended December 31, 2020, the Company incurred $2.4 million in rent expense.</w:t>
      </w:r>
    </w:p>
    <w:p>
      <w:pPr>
        <w:spacing w:after="0" w:line="74" w:lineRule="exact"/>
        <w:rPr>
          <w:sz w:val="20"/>
          <w:szCs w:val="20"/>
          <w:color w:val="auto"/>
        </w:rPr>
      </w:pPr>
    </w:p>
    <w:p>
      <w:pPr>
        <w:ind w:right="500" w:firstLine="509"/>
        <w:spacing w:after="0" w:line="247" w:lineRule="auto"/>
        <w:rPr>
          <w:sz w:val="20"/>
          <w:szCs w:val="20"/>
          <w:color w:val="auto"/>
        </w:rPr>
      </w:pPr>
      <w:r>
        <w:rPr>
          <w:rFonts w:ascii="Arial" w:cs="Arial" w:eastAsia="Arial" w:hAnsi="Arial"/>
          <w:sz w:val="18"/>
          <w:szCs w:val="18"/>
          <w:color w:val="auto"/>
        </w:rPr>
        <w:t>As of December 31, 2021, the undiscounted future minimum lease payments due under the Company’s non-cancelable operating leases are as follows:</w:t>
      </w:r>
    </w:p>
    <w:p>
      <w:pPr>
        <w:sectPr>
          <w:pgSz w:w="11900" w:h="16838" w:orient="portrait"/>
          <w:cols w:equalWidth="0" w:num="1">
            <w:col w:w="11220"/>
          </w:cols>
          <w:pgMar w:left="320" w:top="503" w:right="359" w:bottom="1440" w:gutter="0" w:footer="0" w:header="0"/>
        </w:sect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2024</w:t>
      </w:r>
    </w:p>
    <w:p>
      <w:pPr>
        <w:ind w:left="20"/>
        <w:spacing w:after="0" w:line="235" w:lineRule="auto"/>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2026</w:t>
      </w: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 undiscounted future minimum lease payments</w:t>
      </w:r>
    </w:p>
    <w:p>
      <w:pPr>
        <w:ind w:left="200"/>
        <w:spacing w:after="0"/>
        <w:rPr>
          <w:sz w:val="20"/>
          <w:szCs w:val="20"/>
          <w:color w:val="auto"/>
        </w:rPr>
      </w:pPr>
      <w:r>
        <w:rPr>
          <w:rFonts w:ascii="Arial" w:cs="Arial" w:eastAsia="Arial" w:hAnsi="Arial"/>
          <w:sz w:val="16"/>
          <w:szCs w:val="16"/>
          <w:color w:val="auto"/>
        </w:rPr>
        <w:t>Present value adjustment for minimum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Tenant improvement receivable</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Amount</w:t>
            </w:r>
          </w:p>
        </w:tc>
      </w:tr>
      <w:tr>
        <w:trPr>
          <w:trHeight w:val="155"/>
        </w:trPr>
        <w:tc>
          <w:tcPr>
            <w:tcW w:w="38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03"/>
        </w:trPr>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3,678</w:t>
            </w:r>
          </w:p>
        </w:tc>
        <w:tc>
          <w:tcPr>
            <w:tcW w:w="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3,792</w:t>
            </w:r>
          </w:p>
        </w:tc>
        <w:tc>
          <w:tcPr>
            <w:tcW w:w="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3,910</w:t>
            </w:r>
          </w:p>
        </w:tc>
        <w:tc>
          <w:tcPr>
            <w:tcW w:w="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2,445</w:t>
            </w:r>
          </w:p>
        </w:tc>
        <w:tc>
          <w:tcPr>
            <w:tcW w:w="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1,386</w:t>
            </w:r>
          </w:p>
        </w:tc>
        <w:tc>
          <w:tcPr>
            <w:tcW w:w="80" w:type="dxa"/>
            <w:vAlign w:val="bottom"/>
          </w:tcPr>
          <w:p>
            <w:pPr>
              <w:spacing w:after="0"/>
              <w:rPr>
                <w:sz w:val="17"/>
                <w:szCs w:val="17"/>
                <w:color w:val="auto"/>
              </w:rPr>
            </w:pPr>
          </w:p>
        </w:tc>
      </w:tr>
      <w:tr>
        <w:trPr>
          <w:trHeight w:val="217"/>
        </w:trPr>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80" w:type="dxa"/>
            <w:vAlign w:val="bottom"/>
          </w:tcPr>
          <w:p>
            <w:pPr>
              <w:spacing w:after="0"/>
              <w:rPr>
                <w:sz w:val="18"/>
                <w:szCs w:val="18"/>
                <w:color w:val="auto"/>
              </w:rPr>
            </w:pPr>
          </w:p>
        </w:tc>
      </w:tr>
      <w:tr>
        <w:trPr>
          <w:trHeight w:val="182"/>
        </w:trPr>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182" w:lineRule="exact"/>
              <w:rPr>
                <w:sz w:val="20"/>
                <w:szCs w:val="20"/>
                <w:color w:val="auto"/>
              </w:rPr>
            </w:pPr>
            <w:r>
              <w:rPr>
                <w:rFonts w:ascii="Arial" w:cs="Arial" w:eastAsia="Arial" w:hAnsi="Arial"/>
                <w:sz w:val="18"/>
                <w:szCs w:val="18"/>
                <w:color w:val="auto"/>
              </w:rPr>
              <w:t>22,116</w:t>
            </w:r>
          </w:p>
        </w:tc>
        <w:tc>
          <w:tcPr>
            <w:tcW w:w="80" w:type="dxa"/>
            <w:vAlign w:val="bottom"/>
          </w:tcPr>
          <w:p>
            <w:pPr>
              <w:spacing w:after="0"/>
              <w:rPr>
                <w:sz w:val="15"/>
                <w:szCs w:val="15"/>
                <w:color w:val="auto"/>
              </w:rPr>
            </w:pPr>
          </w:p>
        </w:tc>
      </w:tr>
      <w:tr>
        <w:trPr>
          <w:trHeight w:val="203"/>
        </w:trPr>
        <w:tc>
          <w:tcPr>
            <w:tcW w:w="380" w:type="dxa"/>
            <w:vAlign w:val="bottom"/>
          </w:tcPr>
          <w:p>
            <w:pPr>
              <w:spacing w:after="0"/>
              <w:rPr>
                <w:sz w:val="17"/>
                <w:szCs w:val="17"/>
                <w:color w:val="auto"/>
              </w:rPr>
            </w:pP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(6,133 )</w:t>
            </w:r>
          </w:p>
        </w:tc>
      </w:tr>
      <w:tr>
        <w:trPr>
          <w:trHeight w:val="217"/>
        </w:trPr>
        <w:tc>
          <w:tcPr>
            <w:tcW w:w="3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(282 )</w:t>
            </w:r>
          </w:p>
        </w:tc>
      </w:tr>
      <w:tr>
        <w:trPr>
          <w:trHeight w:val="196"/>
        </w:trPr>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15,701</w:t>
            </w:r>
          </w:p>
        </w:tc>
        <w:tc>
          <w:tcPr>
            <w:tcW w:w="80" w:type="dxa"/>
            <w:vAlign w:val="bottom"/>
          </w:tcPr>
          <w:p>
            <w:pPr>
              <w:spacing w:after="0"/>
              <w:rPr>
                <w:sz w:val="17"/>
                <w:szCs w:val="17"/>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720"/>
            <w:col w:w="2280"/>
          </w:cols>
          <w:pgMar w:left="320" w:top="503" w:right="35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type w:val="continuous"/>
        </w:sectPr>
      </w:pPr>
    </w:p>
    <w:bookmarkStart w:id="181" w:name="page182"/>
    <w:bookmarkEnd w:id="181"/>
    <w:p>
      <w:pPr>
        <w:ind w:left="520"/>
        <w:spacing w:after="0"/>
        <w:rPr>
          <w:sz w:val="20"/>
          <w:szCs w:val="20"/>
          <w:color w:val="auto"/>
        </w:rPr>
      </w:pPr>
      <w:r>
        <w:rPr>
          <w:rFonts w:ascii="Arial" w:cs="Arial" w:eastAsia="Arial" w:hAnsi="Arial"/>
          <w:sz w:val="16"/>
          <w:szCs w:val="16"/>
          <w:color w:val="auto"/>
        </w:rPr>
        <w:t>As of December 31, 2020, undiscounted future minimum lease payments due under the Company's non-cancelable operating lease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r>
      <w:tr>
        <w:trPr>
          <w:trHeight w:val="183"/>
        </w:trPr>
        <w:tc>
          <w:tcPr>
            <w:tcW w:w="8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Pr>
          <w:p>
            <w:pPr>
              <w:jc w:val="right"/>
              <w:ind w:right="539"/>
              <w:spacing w:after="0" w:line="183"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r>
      <w:tr>
        <w:trPr>
          <w:trHeight w:val="189"/>
        </w:trPr>
        <w:tc>
          <w:tcPr>
            <w:tcW w:w="8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2021</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60" w:type="dxa"/>
            <w:vAlign w:val="bottom"/>
            <w:shd w:val="clear" w:color="auto" w:fill="CFF0FC"/>
          </w:tcPr>
          <w:p>
            <w:pPr>
              <w:spacing w:after="0"/>
              <w:rPr>
                <w:sz w:val="16"/>
                <w:szCs w:val="16"/>
                <w:color w:val="auto"/>
              </w:rPr>
            </w:pPr>
          </w:p>
        </w:tc>
      </w:tr>
      <w:tr>
        <w:trPr>
          <w:trHeight w:val="189"/>
        </w:trPr>
        <w:tc>
          <w:tcPr>
            <w:tcW w:w="8940" w:type="dxa"/>
            <w:vAlign w:val="bottom"/>
          </w:tcPr>
          <w:p>
            <w:pPr>
              <w:ind w:left="20"/>
              <w:spacing w:after="0"/>
              <w:rPr>
                <w:sz w:val="20"/>
                <w:szCs w:val="20"/>
                <w:color w:val="auto"/>
              </w:rPr>
            </w:pPr>
            <w:r>
              <w:rPr>
                <w:rFonts w:ascii="Arial" w:cs="Arial" w:eastAsia="Arial" w:hAnsi="Arial"/>
                <w:sz w:val="16"/>
                <w:szCs w:val="16"/>
                <w:color w:val="auto"/>
              </w:rPr>
              <w:t>2022</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2,206</w:t>
            </w:r>
          </w:p>
        </w:tc>
        <w:tc>
          <w:tcPr>
            <w:tcW w:w="60" w:type="dxa"/>
            <w:vAlign w:val="bottom"/>
          </w:tcPr>
          <w:p>
            <w:pPr>
              <w:spacing w:after="0"/>
              <w:rPr>
                <w:sz w:val="16"/>
                <w:szCs w:val="16"/>
                <w:color w:val="auto"/>
              </w:rPr>
            </w:pPr>
          </w:p>
        </w:tc>
      </w:tr>
      <w:tr>
        <w:trPr>
          <w:trHeight w:val="189"/>
        </w:trPr>
        <w:tc>
          <w:tcPr>
            <w:tcW w:w="8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CFF0FC"/>
          </w:tcPr>
          <w:p>
            <w:pPr>
              <w:spacing w:after="0"/>
              <w:rPr>
                <w:sz w:val="16"/>
                <w:szCs w:val="16"/>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w:t>
            </w:r>
          </w:p>
        </w:tc>
        <w:tc>
          <w:tcPr>
            <w:tcW w:w="60" w:type="dxa"/>
            <w:vAlign w:val="bottom"/>
            <w:shd w:val="clear" w:color="auto" w:fill="CFF0FC"/>
          </w:tcPr>
          <w:p>
            <w:pPr>
              <w:spacing w:after="0"/>
              <w:rPr>
                <w:sz w:val="16"/>
                <w:szCs w:val="16"/>
                <w:color w:val="auto"/>
              </w:rPr>
            </w:pPr>
          </w:p>
        </w:tc>
      </w:tr>
      <w:tr>
        <w:trPr>
          <w:trHeight w:val="189"/>
        </w:trPr>
        <w:tc>
          <w:tcPr>
            <w:tcW w:w="894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2,363</w:t>
            </w:r>
          </w:p>
        </w:tc>
        <w:tc>
          <w:tcPr>
            <w:tcW w:w="60" w:type="dxa"/>
            <w:vAlign w:val="bottom"/>
          </w:tcPr>
          <w:p>
            <w:pPr>
              <w:spacing w:after="0"/>
              <w:rPr>
                <w:sz w:val="16"/>
                <w:szCs w:val="16"/>
                <w:color w:val="auto"/>
              </w:rPr>
            </w:pPr>
          </w:p>
        </w:tc>
      </w:tr>
      <w:tr>
        <w:trPr>
          <w:trHeight w:val="189"/>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360" w:type="dxa"/>
            <w:vAlign w:val="bottom"/>
            <w:tcBorders>
              <w:bottom w:val="single" w:sz="8" w:color="auto"/>
            </w:tcBorders>
            <w:shd w:val="clear" w:color="auto" w:fill="CFF0FC"/>
          </w:tcPr>
          <w:p>
            <w:pPr>
              <w:spacing w:after="0"/>
              <w:rPr>
                <w:sz w:val="16"/>
                <w:szCs w:val="16"/>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8940" w:type="dxa"/>
            <w:vAlign w:val="bottom"/>
          </w:tcPr>
          <w:p>
            <w:pPr>
              <w:ind w:left="20"/>
              <w:spacing w:after="0" w:line="183" w:lineRule="exact"/>
              <w:rPr>
                <w:sz w:val="20"/>
                <w:szCs w:val="20"/>
                <w:color w:val="auto"/>
              </w:rPr>
            </w:pPr>
            <w:r>
              <w:rPr>
                <w:rFonts w:ascii="Arial" w:cs="Arial" w:eastAsia="Arial" w:hAnsi="Arial"/>
                <w:sz w:val="16"/>
                <w:szCs w:val="16"/>
                <w:color w:val="auto"/>
              </w:rPr>
              <w:t>Total future minimum lease payments</w:t>
            </w: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11,603</w:t>
            </w:r>
          </w:p>
        </w:tc>
        <w:tc>
          <w:tcPr>
            <w:tcW w:w="60" w:type="dxa"/>
            <w:vAlign w:val="bottom"/>
          </w:tcPr>
          <w:p>
            <w:pPr>
              <w:spacing w:after="0"/>
              <w:rPr>
                <w:sz w:val="15"/>
                <w:szCs w:val="15"/>
                <w:color w:val="auto"/>
              </w:rPr>
            </w:pPr>
          </w:p>
        </w:tc>
      </w:tr>
      <w:tr>
        <w:trPr>
          <w:trHeight w:val="20"/>
        </w:trPr>
        <w:tc>
          <w:tcPr>
            <w:tcW w:w="8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The Company has previously entered into agreements to sublease portions of the Company’s facilities in South San Francisco to two different subtenants, both of which were expired as of December 31, 2020. Pursuant to the sublease agreements, the Company received sublease income of $0.4 million during the year ended December 31, 2020, which is included in other income (expense), net on the statements of operations and comprehensive loss.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Under the lease agreement for the manufacturing and office facility in Union City, the Company is contractually obligated to remove constructed leasehold improvements related to capitalized machinery and equipment (see Note 4) and to restore the leased space to its original condition upon termination of the lease agreement. The Company applies the proportionate method to account for the buildup of the asset retirement obligation while leasehold improvements are in progress. As of December 31, 2021, the balance of the asset retirement obligation liability was not material. The Company elected to defer the commencement of accretion of the asset retirement obligation until the underlying construction is completed, on the basis that the financial statement impact from the deferral is immaterial.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04" w:lineRule="exact"/>
        <w:rPr>
          <w:sz w:val="20"/>
          <w:szCs w:val="20"/>
          <w:color w:val="auto"/>
        </w:rPr>
      </w:pPr>
    </w:p>
    <w:p>
      <w:pPr>
        <w:ind w:right="460" w:firstLine="509"/>
        <w:spacing w:after="0" w:line="294"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2021 and 2020, the Company does not have any material indemnification claims that were probable or reasonably possible and, consequently, has not recorded any related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Preferred Stock</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On August 3, 2021, immediately prior to the completion of the Company’s IPO, all outstanding shares of convertible preferred stock were converted into 26,102,278 shares of the Company’s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2" w:name="page183"/>
    <w:bookmarkEnd w:id="182"/>
    <w:p>
      <w:pPr>
        <w:ind w:left="520"/>
        <w:spacing w:after="0"/>
        <w:rPr>
          <w:sz w:val="20"/>
          <w:szCs w:val="20"/>
          <w:color w:val="auto"/>
        </w:rPr>
      </w:pPr>
      <w:r>
        <w:rPr>
          <w:rFonts w:ascii="Arial" w:cs="Arial" w:eastAsia="Arial" w:hAnsi="Arial"/>
          <w:sz w:val="18"/>
          <w:szCs w:val="18"/>
          <w:color w:val="auto"/>
        </w:rPr>
        <w:t>Prior to the Company’s IPO, convertible preferred stock as of December 31, 2020, consists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6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jc w:val="center"/>
              <w:ind w:right="398"/>
              <w:spacing w:after="0" w:line="133"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Liquidation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Authorized</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Preference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gridSpan w:val="3"/>
          </w:tcPr>
          <w:p>
            <w:pPr>
              <w:jc w:val="right"/>
              <w:ind w:right="658"/>
              <w:spacing w:after="0"/>
              <w:rPr>
                <w:sz w:val="20"/>
                <w:szCs w:val="20"/>
                <w:color w:val="auto"/>
              </w:rPr>
            </w:pPr>
            <w:r>
              <w:rPr>
                <w:rFonts w:ascii="Arial" w:cs="Arial" w:eastAsia="Arial" w:hAnsi="Arial"/>
                <w:sz w:val="14"/>
                <w:szCs w:val="14"/>
                <w:b w:val="1"/>
                <w:bCs w:val="1"/>
                <w:color w:val="auto"/>
                <w:w w:val="89"/>
              </w:rPr>
              <w:t>except share data)</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Convertible Preferred Stock</w:t>
            </w: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Series A</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8,316,666</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8,316,662</w:t>
            </w:r>
          </w:p>
        </w:tc>
        <w:tc>
          <w:tcPr>
            <w:tcW w:w="7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43,393</w:t>
            </w:r>
          </w:p>
        </w:tc>
        <w:tc>
          <w:tcPr>
            <w:tcW w:w="5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9,259,254</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9,259,245</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91,644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Series C</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8,526,381</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6,917,621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85,717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26,102,301</w:t>
            </w:r>
          </w:p>
        </w:tc>
        <w:tc>
          <w:tcPr>
            <w:tcW w:w="2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24,493,528</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220,754</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227,900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-24765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431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classified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classified its convertible preferred stock as mezzanine equity on the balance sheet as the preferred stock was contingently redeemable.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04" w:lineRule="exact"/>
        <w:rPr>
          <w:sz w:val="20"/>
          <w:szCs w:val="20"/>
          <w:color w:val="auto"/>
        </w:rPr>
      </w:pPr>
    </w:p>
    <w:p>
      <w:pPr>
        <w:ind w:right="340" w:firstLine="509"/>
        <w:spacing w:after="0" w:line="294" w:lineRule="auto"/>
        <w:rPr>
          <w:sz w:val="20"/>
          <w:szCs w:val="20"/>
          <w:color w:val="auto"/>
        </w:rPr>
      </w:pPr>
      <w:r>
        <w:rPr>
          <w:rFonts w:ascii="Arial" w:cs="Arial" w:eastAsia="Arial" w:hAnsi="Arial"/>
          <w:sz w:val="16"/>
          <w:szCs w:val="16"/>
          <w:color w:val="auto"/>
        </w:rPr>
        <w:t>In December 2020, the Company entered into a Series C preferred stock purchase agreement for the issuance of up to 8,526,381 shares of the Company’s Series C convertible preferred stock at a purchase price of $12.432 per share in two closings. The Company completed the initial closing in December 2020, whereby 6,917,621 shares of Series C convertible preferred stock were issued for gross proceeds of $86.0 million.</w:t>
      </w:r>
    </w:p>
    <w:p>
      <w:pPr>
        <w:spacing w:after="0" w:line="3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a purchase price of $12.432 per share for gross proceeds of $20.0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equity (deficit) includes shares related to early exercised options and restricted stock that are subject to repurchase. Common stock issued and outstanding is reduced for any repurchases of early exercised stock options and restricted stock. As of December 31, 2021 and 2020, outstanding common stock included 28,905 and 138,127 shares, respectively, related to early exercised stock options and restricted stock that are unvested and subject to repurchase.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of common stock reserved for issuance, on an as-if converted basis,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23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660" w:type="dxa"/>
            <w:vAlign w:val="bottom"/>
          </w:tcPr>
          <w:p>
            <w:pPr>
              <w:spacing w:after="0"/>
              <w:rPr>
                <w:sz w:val="15"/>
                <w:szCs w:val="15"/>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Conversion of outstanding shares of convertible preferred stock</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24,493,528</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Stock options issued and outstanding</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2,772,154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1,160,808</w:t>
            </w:r>
          </w:p>
        </w:tc>
        <w:tc>
          <w:tcPr>
            <w:tcW w:w="6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 available for future grant</w:t>
            </w: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3,594,158</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412,170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6,366,312</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26,066,506</w:t>
            </w:r>
          </w:p>
        </w:tc>
        <w:tc>
          <w:tcPr>
            <w:tcW w:w="6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July 2021, the Company adopted the 2021 Equity Incentive Plan (the “2021 Plan”), which became effective in connection with the IPO. Under the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will automatically increase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3" w:name="page184"/>
    <w:bookmarkEnd w:id="183"/>
    <w:p>
      <w:pPr>
        <w:ind w:right="380"/>
        <w:spacing w:after="0" w:line="324" w:lineRule="auto"/>
        <w:rPr>
          <w:sz w:val="20"/>
          <w:szCs w:val="20"/>
          <w:color w:val="auto"/>
        </w:rPr>
      </w:pPr>
      <w:r>
        <w:rPr>
          <w:rFonts w:ascii="Arial" w:cs="Arial" w:eastAsia="Arial" w:hAnsi="Arial"/>
          <w:sz w:val="16"/>
          <w:szCs w:val="16"/>
          <w:color w:val="auto"/>
        </w:rPr>
        <w:t>Directors may determine. In addition, the Company’s 2016 Equity Incentive Plan (the “2016 Plan”) was terminated in connection with the IPO. Shares subject to awards granted under the 2016 Plan that are repurchased by or forfeited to the Company will be reserved for issuance under the 2021 Plan.</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reserved and available for grant under the 2021 Plan as of December 31, 2021, are 3,594,158.</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w:t>
      </w: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5"/>
              </w:rPr>
              <w:t>Price Per</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000" w:type="dxa"/>
            <w:vAlign w:val="bottom"/>
          </w:tcPr>
          <w:p>
            <w:pPr>
              <w:jc w:val="center"/>
              <w:ind w:left="321"/>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as of December 31, 2020</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1,160,808</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21"/>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1,850,036</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4"/>
              </w:rPr>
              <w:t>11.05</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(195,749 )</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(42,941 )</w:t>
            </w:r>
          </w:p>
        </w:tc>
        <w:tc>
          <w:tcPr>
            <w:tcW w:w="10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2,772,154</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821"/>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7.90</w:t>
            </w:r>
          </w:p>
        </w:tc>
        <w:tc>
          <w:tcPr>
            <w:tcW w:w="15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8.74</w:t>
            </w:r>
          </w:p>
        </w:tc>
        <w:tc>
          <w:tcPr>
            <w:tcW w:w="36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31,420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line="182" w:lineRule="exact"/>
              <w:rPr>
                <w:sz w:val="20"/>
                <w:szCs w:val="20"/>
                <w:color w:val="auto"/>
              </w:rPr>
            </w:pPr>
            <w:r>
              <w:rPr>
                <w:rFonts w:ascii="Arial" w:cs="Arial" w:eastAsia="Arial" w:hAnsi="Arial"/>
                <w:sz w:val="18"/>
                <w:szCs w:val="18"/>
                <w:color w:val="auto"/>
              </w:rPr>
              <w:t>Exercisable as of December 31, 2021</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705,577</w:t>
            </w:r>
          </w:p>
        </w:tc>
        <w:tc>
          <w:tcPr>
            <w:tcW w:w="260" w:type="dxa"/>
            <w:vAlign w:val="bottom"/>
          </w:tcPr>
          <w:p>
            <w:pPr>
              <w:spacing w:after="0"/>
              <w:rPr>
                <w:sz w:val="15"/>
                <w:szCs w:val="15"/>
                <w:color w:val="auto"/>
              </w:rPr>
            </w:pPr>
          </w:p>
        </w:tc>
        <w:tc>
          <w:tcPr>
            <w:tcW w:w="1000" w:type="dxa"/>
            <w:vAlign w:val="bottom"/>
          </w:tcPr>
          <w:p>
            <w:pPr>
              <w:jc w:val="right"/>
              <w:ind w:right="821"/>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2.65</w:t>
            </w:r>
          </w:p>
        </w:tc>
        <w:tc>
          <w:tcPr>
            <w:tcW w:w="15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7.61</w:t>
            </w:r>
          </w:p>
        </w:tc>
        <w:tc>
          <w:tcPr>
            <w:tcW w:w="3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-179705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2021 and 2020, was $1.7 million and $37,000.</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2021 and 2020 was $9.50 and $4.98 per share.</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July 2021, the Company adopted the 2021 Employee Stock Purchase Plan (the “ESPP”), which became effective in connection with the IPO. The Company initially reserved 800,000 shares for future issuance under the ESPP. The ESPP permits participants to purchase common stock through payroll deductions of up to 15% of their eligible compensation. The number of shares of common stock available for issuance under the ESPP will automatically increase on the first day of each fiscal year beginning with 2022 in an amount equal to the lesser of: 800,000 shares; 1% of the outstanding shares of the Company’s common stock as of the last day of the immediately preceding year; or such other amount as the board of directors may determine. The first offering period has not commenced as of December 31, 2021 and there is no stock-based compensation related to the ESPP for the year ended December 31, 2021.</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stock-based compensation recognized in the Company’s statements of operations and comprehensive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0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jc w:val="center"/>
              <w:ind w:left="237"/>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76"/>
              </w:rPr>
              <w:t>thousands)</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jc w:val="right"/>
              <w:ind w:right="97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center"/>
              <w:ind w:left="217"/>
              <w:spacing w:after="0" w:line="202" w:lineRule="exact"/>
              <w:rPr>
                <w:sz w:val="20"/>
                <w:szCs w:val="20"/>
                <w:color w:val="auto"/>
              </w:rPr>
            </w:pPr>
            <w:r>
              <w:rPr>
                <w:rFonts w:ascii="Arial" w:cs="Arial" w:eastAsia="Arial" w:hAnsi="Arial"/>
                <w:sz w:val="18"/>
                <w:szCs w:val="18"/>
                <w:color w:val="auto"/>
                <w:w w:val="88"/>
              </w:rPr>
              <w:t>1,179</w:t>
            </w:r>
          </w:p>
        </w:tc>
        <w:tc>
          <w:tcPr>
            <w:tcW w:w="102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17"/>
                <w:szCs w:val="17"/>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217"/>
              <w:spacing w:after="0" w:line="202" w:lineRule="exact"/>
              <w:rPr>
                <w:sz w:val="20"/>
                <w:szCs w:val="20"/>
                <w:color w:val="auto"/>
              </w:rPr>
            </w:pPr>
            <w:r>
              <w:rPr>
                <w:rFonts w:ascii="Arial" w:cs="Arial" w:eastAsia="Arial" w:hAnsi="Arial"/>
                <w:sz w:val="18"/>
                <w:szCs w:val="18"/>
                <w:color w:val="auto"/>
                <w:w w:val="88"/>
              </w:rPr>
              <w:t>1,771</w:t>
            </w: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w:t>
            </w:r>
          </w:p>
        </w:tc>
        <w:tc>
          <w:tcPr>
            <w:tcW w:w="60" w:type="dxa"/>
            <w:vAlign w:val="bottom"/>
          </w:tcPr>
          <w:p>
            <w:pPr>
              <w:spacing w:after="0"/>
              <w:rPr>
                <w:sz w:val="17"/>
                <w:szCs w:val="17"/>
                <w:color w:val="auto"/>
              </w:rPr>
            </w:pPr>
          </w:p>
        </w:tc>
      </w:tr>
      <w:tr>
        <w:trPr>
          <w:trHeight w:val="236"/>
        </w:trPr>
        <w:tc>
          <w:tcPr>
            <w:tcW w:w="708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stock-based compensation</w:t>
            </w:r>
          </w:p>
        </w:tc>
        <w:tc>
          <w:tcPr>
            <w:tcW w:w="1160" w:type="dxa"/>
            <w:vAlign w:val="bottom"/>
            <w:tcBorders>
              <w:bottom w:val="single" w:sz="8" w:color="auto"/>
            </w:tcBorders>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center"/>
              <w:ind w:left="217"/>
              <w:spacing w:after="0" w:line="196" w:lineRule="exact"/>
              <w:rPr>
                <w:sz w:val="20"/>
                <w:szCs w:val="20"/>
                <w:color w:val="auto"/>
              </w:rPr>
            </w:pPr>
            <w:r>
              <w:rPr>
                <w:rFonts w:ascii="Arial" w:cs="Arial" w:eastAsia="Arial" w:hAnsi="Arial"/>
                <w:sz w:val="18"/>
                <w:szCs w:val="18"/>
                <w:color w:val="auto"/>
                <w:w w:val="88"/>
              </w:rPr>
              <w:t>2,950</w:t>
            </w:r>
          </w:p>
        </w:tc>
        <w:tc>
          <w:tcPr>
            <w:tcW w:w="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As of December 31, 2021, there was approximately $16.7 million of unrecognized stock-based compensation, which the Company expects to recognize over a weighted-average period of 3.1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4" w:name="page185"/>
    <w:bookmarkEnd w:id="184"/>
    <w:p>
      <w:pPr>
        <w:ind w:left="38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04" w:lineRule="exact"/>
        <w:rPr>
          <w:sz w:val="20"/>
          <w:szCs w:val="20"/>
          <w:color w:val="auto"/>
        </w:rPr>
      </w:pPr>
    </w:p>
    <w:p>
      <w:pPr>
        <w:ind w:right="520" w:firstLine="509"/>
        <w:spacing w:after="0" w:line="24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tbl>
      <w:tblPr>
        <w:tblLayout w:type="fixed"/>
        <w:tblInd w:w="0" w:type="dxa"/>
        <w:tblCellMar>
          <w:top w:w="0" w:type="dxa"/>
          <w:left w:w="0" w:type="dxa"/>
          <w:bottom w:w="0" w:type="dxa"/>
          <w:right w:w="0" w:type="dxa"/>
        </w:tblCellMar>
      </w:tblPr>
      <w:tr>
        <w:trPr>
          <w:trHeight w:val="169"/>
        </w:trPr>
        <w:tc>
          <w:tcPr>
            <w:tcW w:w="714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r>
      <w:tr>
        <w:trPr>
          <w:trHeight w:val="169"/>
        </w:trPr>
        <w:tc>
          <w:tcPr>
            <w:tcW w:w="71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18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2020</w:t>
            </w:r>
          </w:p>
        </w:tc>
      </w:tr>
      <w:tr>
        <w:trPr>
          <w:trHeight w:val="196"/>
        </w:trPr>
        <w:tc>
          <w:tcPr>
            <w:tcW w:w="7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9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5.0 - 6.1</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10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- 6.1</w:t>
            </w:r>
          </w:p>
        </w:tc>
      </w:tr>
      <w:tr>
        <w:trPr>
          <w:trHeight w:val="203"/>
        </w:trPr>
        <w:tc>
          <w:tcPr>
            <w:tcW w:w="71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1"/>
              </w:rPr>
              <w:t>95% - 103%</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178%</w:t>
            </w:r>
          </w:p>
        </w:tc>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- 183%</w:t>
            </w:r>
          </w:p>
        </w:tc>
      </w:tr>
      <w:tr>
        <w:trPr>
          <w:trHeight w:val="203"/>
        </w:trPr>
        <w:tc>
          <w:tcPr>
            <w:tcW w:w="7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0.6% - 1.4%</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- 1.5%</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66"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74" w:lineRule="exact"/>
        <w:rPr>
          <w:sz w:val="20"/>
          <w:szCs w:val="20"/>
          <w:color w:val="auto"/>
        </w:rPr>
      </w:pPr>
    </w:p>
    <w:p>
      <w:pPr>
        <w:ind w:left="520" w:right="140"/>
        <w:spacing w:after="0" w:line="248"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which represents the period that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simplified method due to its limited operating history, which is presumed to be the mid-point between the contractual term and the vesting period.</w:t>
      </w:r>
    </w:p>
    <w:p>
      <w:pPr>
        <w:spacing w:after="0" w:line="74" w:lineRule="exact"/>
        <w:rPr>
          <w:sz w:val="20"/>
          <w:szCs w:val="20"/>
          <w:color w:val="auto"/>
        </w:rPr>
      </w:pPr>
    </w:p>
    <w:p>
      <w:pPr>
        <w:ind w:left="520" w:right="280"/>
        <w:spacing w:after="0" w:line="24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there is limited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80"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63"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The expected dividend yield is assumed to be zero as the Company has never paid and has no plans to pay any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During the year ended December 31, 2021, the restricted stock activities were due to shares of restricted common stock issued pursuant to the permitted early exercise of stock options and vesting of immaterial shares of RSAs granted in 2016. As of December 31, 2021, 28,905 shares of restricted stocks pursuant to the early exercise of stock options were outstanding and all RSAs had been fully vested.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December 31, 2021, the principal and accrued interest amount of the notes have been fully repaid. The notes are presented in the statements of convertible preferred stock and stockholders’ equity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08"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No provision for or benefit from income taxes was recorded during the years ended December 31, 2021 and 2020. The Company has established a full valuation allowance against its net deferred tax assets due to the 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5" w:name="page186"/>
    <w:bookmarkEnd w:id="185"/>
    <w:p>
      <w:pPr>
        <w:ind w:left="380"/>
        <w:spacing w:after="0"/>
        <w:rPr>
          <w:sz w:val="20"/>
          <w:szCs w:val="20"/>
          <w:color w:val="auto"/>
        </w:rPr>
      </w:pPr>
      <w:r>
        <w:rPr>
          <w:rFonts w:ascii="Arial" w:cs="Arial" w:eastAsia="Arial" w:hAnsi="Arial"/>
          <w:sz w:val="18"/>
          <w:szCs w:val="18"/>
          <w:b w:val="1"/>
          <w:bCs w:val="1"/>
          <w:i w:val="1"/>
          <w:iCs w:val="1"/>
          <w:color w:val="auto"/>
        </w:rPr>
        <w:t>Effective Tax Rate Reconciliation</w:t>
      </w:r>
    </w:p>
    <w:p>
      <w:pPr>
        <w:spacing w:after="0" w:line="104"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and the effective tax rate reconciliation is as follows:</w:t>
      </w:r>
    </w:p>
    <w:p>
      <w:pPr>
        <w:spacing w:after="0" w:line="1"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380" w:type="dxa"/>
            <w:vAlign w:val="bottom"/>
            <w:tcBorders>
              <w:top w:val="single" w:sz="8" w:color="auto"/>
              <w:bottom w:val="single" w:sz="8" w:color="auto"/>
            </w:tcBorders>
          </w:tcPr>
          <w:p>
            <w:pPr>
              <w:jc w:val="right"/>
              <w:ind w:right="939"/>
              <w:spacing w:after="0" w:line="183"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U.S. federal taxes at statutory rate</w:t>
            </w:r>
          </w:p>
        </w:tc>
        <w:tc>
          <w:tcPr>
            <w:tcW w:w="16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5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98"/>
              </w:rPr>
              <w:t>%</w:t>
            </w:r>
          </w:p>
        </w:tc>
        <w:tc>
          <w:tcPr>
            <w:tcW w:w="2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9"/>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5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6"/>
                <w:szCs w:val="16"/>
                <w:color w:val="auto"/>
              </w:rPr>
            </w:pPr>
          </w:p>
        </w:tc>
      </w:tr>
      <w:tr>
        <w:trPr>
          <w:trHeight w:val="189"/>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Credits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540" w:type="dxa"/>
            <w:vAlign w:val="bottom"/>
            <w:shd w:val="clear" w:color="auto" w:fill="CFF0FC"/>
          </w:tcPr>
          <w:p>
            <w:pPr>
              <w:spacing w:after="0"/>
              <w:rPr>
                <w:sz w:val="16"/>
                <w:szCs w:val="16"/>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6"/>
                <w:szCs w:val="16"/>
                <w:color w:val="auto"/>
              </w:rPr>
            </w:pPr>
          </w:p>
        </w:tc>
      </w:tr>
      <w:tr>
        <w:trPr>
          <w:trHeight w:val="189"/>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379"/>
              <w:spacing w:after="0"/>
              <w:rPr>
                <w:sz w:val="20"/>
                <w:szCs w:val="20"/>
                <w:color w:val="auto"/>
              </w:rPr>
            </w:pPr>
            <w:r>
              <w:rPr>
                <w:rFonts w:ascii="Arial" w:cs="Arial" w:eastAsia="Arial" w:hAnsi="Arial"/>
                <w:sz w:val="16"/>
                <w:szCs w:val="16"/>
                <w:color w:val="auto"/>
              </w:rPr>
              <w:t>(0.3 )</w:t>
            </w:r>
          </w:p>
        </w:tc>
        <w:tc>
          <w:tcPr>
            <w:tcW w:w="2600" w:type="dxa"/>
            <w:vAlign w:val="bottom"/>
            <w:gridSpan w:val="2"/>
          </w:tcPr>
          <w:p>
            <w:pPr>
              <w:jc w:val="right"/>
              <w:ind w:right="79"/>
              <w:spacing w:after="0"/>
              <w:rPr>
                <w:sz w:val="20"/>
                <w:szCs w:val="20"/>
                <w:color w:val="auto"/>
              </w:rPr>
            </w:pPr>
            <w:r>
              <w:rPr>
                <w:rFonts w:ascii="Arial" w:cs="Arial" w:eastAsia="Arial" w:hAnsi="Arial"/>
                <w:sz w:val="16"/>
                <w:szCs w:val="16"/>
                <w:color w:val="auto"/>
              </w:rPr>
              <w:t>(0.3 )</w:t>
            </w:r>
          </w:p>
        </w:tc>
      </w:tr>
      <w:tr>
        <w:trPr>
          <w:trHeight w:val="189"/>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Section 382 limitation on tax attribute carryforwards</w:t>
            </w:r>
          </w:p>
        </w:tc>
        <w:tc>
          <w:tcPr>
            <w:tcW w:w="122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26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(9.0 )</w:t>
            </w:r>
          </w:p>
        </w:tc>
      </w:tr>
      <w:tr>
        <w:trPr>
          <w:trHeight w:val="189"/>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1220" w:type="dxa"/>
            <w:vAlign w:val="bottom"/>
            <w:gridSpan w:val="2"/>
          </w:tcPr>
          <w:p>
            <w:pPr>
              <w:jc w:val="right"/>
              <w:ind w:right="379"/>
              <w:spacing w:after="0"/>
              <w:rPr>
                <w:sz w:val="20"/>
                <w:szCs w:val="20"/>
                <w:color w:val="auto"/>
              </w:rPr>
            </w:pPr>
            <w:r>
              <w:rPr>
                <w:rFonts w:ascii="Arial" w:cs="Arial" w:eastAsia="Arial" w:hAnsi="Arial"/>
                <w:sz w:val="16"/>
                <w:szCs w:val="16"/>
                <w:color w:val="auto"/>
              </w:rPr>
              <w:t>(23.3 )</w:t>
            </w:r>
          </w:p>
        </w:tc>
        <w:tc>
          <w:tcPr>
            <w:tcW w:w="2600" w:type="dxa"/>
            <w:vAlign w:val="bottom"/>
            <w:gridSpan w:val="2"/>
          </w:tcPr>
          <w:p>
            <w:pPr>
              <w:jc w:val="right"/>
              <w:ind w:right="79"/>
              <w:spacing w:after="0"/>
              <w:rPr>
                <w:sz w:val="20"/>
                <w:szCs w:val="20"/>
                <w:color w:val="auto"/>
              </w:rPr>
            </w:pPr>
            <w:r>
              <w:rPr>
                <w:rFonts w:ascii="Arial" w:cs="Arial" w:eastAsia="Arial" w:hAnsi="Arial"/>
                <w:sz w:val="16"/>
                <w:szCs w:val="16"/>
                <w:color w:val="auto"/>
              </w:rPr>
              <w:t>(23.1 )</w:t>
            </w: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6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(1.1 )</w:t>
            </w:r>
          </w:p>
        </w:tc>
        <w:tc>
          <w:tcPr>
            <w:tcW w:w="26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(0.3 )</w:t>
            </w:r>
          </w:p>
        </w:tc>
      </w:tr>
      <w:tr>
        <w:trPr>
          <w:trHeight w:val="183"/>
        </w:trPr>
        <w:tc>
          <w:tcPr>
            <w:tcW w:w="57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w:t>
            </w:r>
          </w:p>
        </w:tc>
        <w:tc>
          <w:tcPr>
            <w:tcW w:w="16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top w:val="single" w:sz="8" w:color="CFF0FC"/>
            </w:tcBorders>
          </w:tcPr>
          <w:p>
            <w:pPr>
              <w:spacing w:after="0"/>
              <w:rPr>
                <w:sz w:val="15"/>
                <w:szCs w:val="15"/>
                <w:color w:val="auto"/>
              </w:rPr>
            </w:pPr>
          </w:p>
        </w:tc>
        <w:tc>
          <w:tcPr>
            <w:tcW w:w="2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-150495</wp:posOffset>
            </wp:positionV>
            <wp:extent cx="14541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-150495</wp:posOffset>
            </wp:positionV>
            <wp:extent cx="14541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1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78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r>
      <w:tr>
        <w:trPr>
          <w:trHeight w:val="183"/>
        </w:trPr>
        <w:tc>
          <w:tcPr>
            <w:tcW w:w="57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(In</w:t>
            </w:r>
          </w:p>
        </w:tc>
        <w:tc>
          <w:tcPr>
            <w:tcW w:w="1080" w:type="dxa"/>
            <w:vAlign w:val="bottom"/>
            <w:gridSpan w:val="2"/>
          </w:tcPr>
          <w:p>
            <w:pPr>
              <w:jc w:val="right"/>
              <w:ind w:right="319"/>
              <w:spacing w:after="0" w:line="183" w:lineRule="exact"/>
              <w:rPr>
                <w:sz w:val="20"/>
                <w:szCs w:val="20"/>
                <w:color w:val="auto"/>
              </w:rPr>
            </w:pPr>
            <w:r>
              <w:rPr>
                <w:rFonts w:ascii="Arial" w:cs="Arial" w:eastAsia="Arial" w:hAnsi="Arial"/>
                <w:sz w:val="16"/>
                <w:szCs w:val="16"/>
                <w:b w:val="1"/>
                <w:bCs w:val="1"/>
                <w:color w:val="auto"/>
                <w:w w:val="76"/>
              </w:rPr>
              <w:t>thousands)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year</w:t>
            </w:r>
          </w:p>
        </w:tc>
        <w:tc>
          <w:tcPr>
            <w:tcW w:w="1780" w:type="dxa"/>
            <w:vAlign w:val="bottom"/>
            <w:shd w:val="clear" w:color="auto" w:fill="CFF0FC"/>
          </w:tcPr>
          <w:p>
            <w:pPr>
              <w:jc w:val="right"/>
              <w:ind w:right="15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901</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6"/>
                <w:szCs w:val="16"/>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Additions based on tax positions related to prior years</w:t>
            </w:r>
          </w:p>
        </w:tc>
        <w:tc>
          <w:tcPr>
            <w:tcW w:w="17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Reductions for tax positions related to prior years</w:t>
            </w:r>
          </w:p>
        </w:tc>
        <w:tc>
          <w:tcPr>
            <w:tcW w:w="1780" w:type="dxa"/>
            <w:vAlign w:val="bottom"/>
          </w:tcPr>
          <w:p>
            <w:pPr>
              <w:spacing w:after="0"/>
              <w:rPr>
                <w:sz w:val="16"/>
                <w:szCs w:val="16"/>
                <w:color w:val="auto"/>
              </w:rPr>
            </w:pPr>
          </w:p>
        </w:tc>
        <w:tc>
          <w:tcPr>
            <w:tcW w:w="1140" w:type="dxa"/>
            <w:vAlign w:val="bottom"/>
            <w:gridSpan w:val="2"/>
          </w:tcPr>
          <w:p>
            <w:pPr>
              <w:jc w:val="right"/>
              <w:ind w:right="259"/>
              <w:spacing w:after="0"/>
              <w:rPr>
                <w:sz w:val="20"/>
                <w:szCs w:val="20"/>
                <w:color w:val="auto"/>
              </w:rPr>
            </w:pPr>
            <w:r>
              <w:rPr>
                <w:rFonts w:ascii="Arial" w:cs="Arial" w:eastAsia="Arial" w:hAnsi="Arial"/>
                <w:sz w:val="16"/>
                <w:szCs w:val="16"/>
                <w:color w:val="auto"/>
              </w:rPr>
              <w:t>(2 )</w:t>
            </w:r>
          </w:p>
        </w:tc>
        <w:tc>
          <w:tcPr>
            <w:tcW w:w="680" w:type="dxa"/>
            <w:vAlign w:val="bottom"/>
          </w:tcPr>
          <w:p>
            <w:pPr>
              <w:spacing w:after="0"/>
              <w:rPr>
                <w:sz w:val="16"/>
                <w:szCs w:val="16"/>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6"/>
                <w:szCs w:val="16"/>
                <w:color w:val="auto"/>
              </w:rPr>
              <w:t>(466 )</w:t>
            </w: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end of year</w:t>
            </w:r>
          </w:p>
        </w:tc>
        <w:tc>
          <w:tcPr>
            <w:tcW w:w="1780" w:type="dxa"/>
            <w:vAlign w:val="bottom"/>
            <w:tcBorders>
              <w:top w:val="single" w:sz="8" w:color="auto"/>
              <w:bottom w:val="single" w:sz="8" w:color="auto"/>
            </w:tcBorders>
            <w:shd w:val="clear" w:color="auto" w:fill="CFF0FC"/>
          </w:tcPr>
          <w:p>
            <w:pPr>
              <w:jc w:val="right"/>
              <w:ind w:right="15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1,470</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The Company files tax returns in U.S. federal and state jurisdictions with varying statutes of limitations. Due to net operating loss and credit carryforwards, all of the tax years since inception through the 2021 tax year remain subject to examination by the U.S. federal and state authorities. The Company is currently not subject to any income tax audits by federal or state taxing authorities.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effects of significant items comprising the Company’s deferred income taxes are as follows</w:t>
      </w:r>
      <w:r>
        <w:rPr>
          <w:rFonts w:ascii="Arial" w:cs="Arial" w:eastAsia="Arial" w:hAnsi="Arial"/>
          <w:sz w:val="18"/>
          <w:szCs w:val="18"/>
          <w:b w:val="1"/>
          <w:bCs w:val="1"/>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1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7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r>
      <w:tr>
        <w:trPr>
          <w:trHeight w:val="183"/>
        </w:trPr>
        <w:tc>
          <w:tcPr>
            <w:tcW w:w="5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(In</w:t>
            </w:r>
          </w:p>
        </w:tc>
        <w:tc>
          <w:tcPr>
            <w:tcW w:w="1080" w:type="dxa"/>
            <w:vAlign w:val="bottom"/>
            <w:gridSpan w:val="2"/>
          </w:tcPr>
          <w:p>
            <w:pPr>
              <w:jc w:val="right"/>
              <w:ind w:right="319"/>
              <w:spacing w:after="0" w:line="183" w:lineRule="exact"/>
              <w:rPr>
                <w:sz w:val="20"/>
                <w:szCs w:val="20"/>
                <w:color w:val="auto"/>
              </w:rPr>
            </w:pPr>
            <w:r>
              <w:rPr>
                <w:rFonts w:ascii="Arial" w:cs="Arial" w:eastAsia="Arial" w:hAnsi="Arial"/>
                <w:sz w:val="16"/>
                <w:szCs w:val="16"/>
                <w:b w:val="1"/>
                <w:bCs w:val="1"/>
                <w:color w:val="auto"/>
                <w:w w:val="76"/>
              </w:rPr>
              <w:t>thousands)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ind w:left="120"/>
              <w:spacing w:after="0"/>
              <w:rPr>
                <w:sz w:val="20"/>
                <w:szCs w:val="20"/>
                <w:color w:val="auto"/>
              </w:rPr>
            </w:pPr>
            <w:r>
              <w:rPr>
                <w:rFonts w:ascii="Arial" w:cs="Arial" w:eastAsia="Arial" w:hAnsi="Arial"/>
                <w:sz w:val="16"/>
                <w:szCs w:val="16"/>
                <w:color w:val="auto"/>
              </w:rPr>
              <w:t>Net operating losses</w:t>
            </w:r>
          </w:p>
        </w:tc>
        <w:tc>
          <w:tcPr>
            <w:tcW w:w="1720" w:type="dxa"/>
            <w:vAlign w:val="bottom"/>
          </w:tcPr>
          <w:p>
            <w:pPr>
              <w:jc w:val="right"/>
              <w:ind w:right="1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34,746</w:t>
            </w:r>
          </w:p>
        </w:tc>
        <w:tc>
          <w:tcPr>
            <w:tcW w:w="400" w:type="dxa"/>
            <w:vAlign w:val="bottom"/>
          </w:tcPr>
          <w:p>
            <w:pPr>
              <w:spacing w:after="0"/>
              <w:rPr>
                <w:sz w:val="16"/>
                <w:szCs w:val="16"/>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20,917</w:t>
            </w:r>
          </w:p>
        </w:tc>
        <w:tc>
          <w:tcPr>
            <w:tcW w:w="100" w:type="dxa"/>
            <w:vAlign w:val="bottom"/>
          </w:tcPr>
          <w:p>
            <w:pPr>
              <w:spacing w:after="0"/>
              <w:rPr>
                <w:sz w:val="16"/>
                <w:szCs w:val="16"/>
                <w:color w:val="auto"/>
              </w:rPr>
            </w:pPr>
          </w:p>
        </w:tc>
      </w:tr>
      <w:tr>
        <w:trPr>
          <w:trHeight w:val="189"/>
        </w:trPr>
        <w:tc>
          <w:tcPr>
            <w:tcW w:w="5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 credits</w:t>
            </w:r>
          </w:p>
        </w:tc>
        <w:tc>
          <w:tcPr>
            <w:tcW w:w="17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4,443</w:t>
            </w: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ind w:left="120"/>
              <w:spacing w:after="0"/>
              <w:rPr>
                <w:sz w:val="20"/>
                <w:szCs w:val="20"/>
                <w:color w:val="auto"/>
              </w:rPr>
            </w:pPr>
            <w:r>
              <w:rPr>
                <w:rFonts w:ascii="Arial" w:cs="Arial" w:eastAsia="Arial" w:hAnsi="Arial"/>
                <w:sz w:val="16"/>
                <w:szCs w:val="16"/>
                <w:color w:val="auto"/>
              </w:rPr>
              <w:t>Lease liability</w:t>
            </w:r>
          </w:p>
        </w:tc>
        <w:tc>
          <w:tcPr>
            <w:tcW w:w="1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3,362</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expenses and other</w:t>
            </w:r>
          </w:p>
        </w:tc>
        <w:tc>
          <w:tcPr>
            <w:tcW w:w="17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w:t>
            </w: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r>
      <w:tr>
        <w:trPr>
          <w:trHeight w:val="189"/>
        </w:trPr>
        <w:tc>
          <w:tcPr>
            <w:tcW w:w="5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7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740" w:type="dxa"/>
            <w:vAlign w:val="bottom"/>
          </w:tcPr>
          <w:p>
            <w:pPr>
              <w:ind w:left="20"/>
              <w:spacing w:after="0" w:line="183" w:lineRule="exact"/>
              <w:rPr>
                <w:sz w:val="20"/>
                <w:szCs w:val="20"/>
                <w:color w:val="auto"/>
              </w:rPr>
            </w:pPr>
            <w:r>
              <w:rPr>
                <w:rFonts w:ascii="Arial" w:cs="Arial" w:eastAsia="Arial" w:hAnsi="Arial"/>
                <w:sz w:val="16"/>
                <w:szCs w:val="16"/>
                <w:color w:val="auto"/>
              </w:rPr>
              <w:t>Total deferred tax assets</w:t>
            </w:r>
          </w:p>
        </w:tc>
        <w:tc>
          <w:tcPr>
            <w:tcW w:w="17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43,739</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jc w:val="right"/>
              <w:spacing w:after="0" w:line="183" w:lineRule="exact"/>
              <w:rPr>
                <w:sz w:val="20"/>
                <w:szCs w:val="20"/>
                <w:color w:val="auto"/>
              </w:rPr>
            </w:pPr>
            <w:r>
              <w:rPr>
                <w:rFonts w:ascii="Arial" w:cs="Arial" w:eastAsia="Arial" w:hAnsi="Arial"/>
                <w:sz w:val="16"/>
                <w:szCs w:val="16"/>
                <w:color w:val="auto"/>
              </w:rPr>
              <w:t>24,287</w:t>
            </w:r>
          </w:p>
        </w:tc>
        <w:tc>
          <w:tcPr>
            <w:tcW w:w="100" w:type="dxa"/>
            <w:vAlign w:val="bottom"/>
          </w:tcPr>
          <w:p>
            <w:pPr>
              <w:spacing w:after="0"/>
              <w:rPr>
                <w:sz w:val="15"/>
                <w:szCs w:val="15"/>
                <w:color w:val="auto"/>
              </w:rPr>
            </w:pPr>
          </w:p>
        </w:tc>
      </w:tr>
      <w:tr>
        <w:trPr>
          <w:trHeight w:val="189"/>
        </w:trPr>
        <w:tc>
          <w:tcPr>
            <w:tcW w:w="5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Valuation allowance</w:t>
            </w:r>
          </w:p>
        </w:tc>
        <w:tc>
          <w:tcPr>
            <w:tcW w:w="17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(41,281 )</w:t>
            </w:r>
          </w:p>
        </w:tc>
        <w:tc>
          <w:tcPr>
            <w:tcW w:w="6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(24,287 )</w:t>
            </w:r>
          </w:p>
        </w:tc>
      </w:tr>
      <w:tr>
        <w:trPr>
          <w:trHeight w:val="183"/>
        </w:trPr>
        <w:tc>
          <w:tcPr>
            <w:tcW w:w="57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Deferred tax assets, net of valuation allowance</w:t>
            </w:r>
          </w:p>
        </w:tc>
        <w:tc>
          <w:tcPr>
            <w:tcW w:w="17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2,458</w:t>
            </w:r>
          </w:p>
        </w:tc>
        <w:tc>
          <w:tcPr>
            <w:tcW w:w="400" w:type="dxa"/>
            <w:vAlign w:val="bottom"/>
            <w:tcBorders>
              <w:top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5"/>
                <w:szCs w:val="15"/>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Deferred tax liabilities:</w:t>
            </w:r>
          </w:p>
        </w:tc>
        <w:tc>
          <w:tcPr>
            <w:tcW w:w="17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740" w:type="dxa"/>
            <w:vAlign w:val="bottom"/>
          </w:tcPr>
          <w:p>
            <w:pPr>
              <w:ind w:left="120"/>
              <w:spacing w:after="0"/>
              <w:rPr>
                <w:sz w:val="20"/>
                <w:szCs w:val="20"/>
                <w:color w:val="auto"/>
              </w:rPr>
            </w:pPr>
            <w:r>
              <w:rPr>
                <w:rFonts w:ascii="Arial" w:cs="Arial" w:eastAsia="Arial" w:hAnsi="Arial"/>
                <w:sz w:val="16"/>
                <w:szCs w:val="16"/>
                <w:color w:val="auto"/>
              </w:rPr>
              <w:t>Right-of-use asset</w:t>
            </w:r>
          </w:p>
        </w:tc>
        <w:tc>
          <w:tcPr>
            <w:tcW w:w="1720" w:type="dxa"/>
            <w:vAlign w:val="bottom"/>
          </w:tcPr>
          <w:p>
            <w:pPr>
              <w:spacing w:after="0"/>
              <w:rPr>
                <w:sz w:val="16"/>
                <w:szCs w:val="16"/>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6"/>
                <w:szCs w:val="16"/>
                <w:color w:val="auto"/>
              </w:rPr>
              <w:t>(2,458 )</w:t>
            </w:r>
          </w:p>
        </w:tc>
        <w:tc>
          <w:tcPr>
            <w:tcW w:w="68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deferred tax assets</w:t>
            </w:r>
          </w:p>
        </w:tc>
        <w:tc>
          <w:tcPr>
            <w:tcW w:w="1720" w:type="dxa"/>
            <w:vAlign w:val="bottom"/>
            <w:tcBorders>
              <w:top w:val="single" w:sz="8" w:color="auto"/>
              <w:bottom w:val="single" w:sz="8" w:color="auto"/>
            </w:tcBorders>
            <w:shd w:val="clear" w:color="auto" w:fill="CFF0FC"/>
          </w:tcPr>
          <w:p>
            <w:pPr>
              <w:jc w:val="right"/>
              <w:ind w:right="15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-776605</wp:posOffset>
            </wp:positionV>
            <wp:extent cx="6032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-776605</wp:posOffset>
            </wp:positionV>
            <wp:extent cx="5969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-527685</wp:posOffset>
            </wp:positionV>
            <wp:extent cx="6032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-527685</wp:posOffset>
            </wp:positionV>
            <wp:extent cx="5969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6" w:name="page187"/>
    <w:bookmarkEnd w:id="186"/>
    <w:p>
      <w:pPr>
        <w:ind w:right="200"/>
        <w:spacing w:after="0" w:line="279" w:lineRule="auto"/>
        <w:rPr>
          <w:sz w:val="20"/>
          <w:szCs w:val="20"/>
          <w:color w:val="auto"/>
        </w:rPr>
      </w:pPr>
      <w:r>
        <w:rPr>
          <w:rFonts w:ascii="Arial" w:cs="Arial" w:eastAsia="Arial" w:hAnsi="Arial"/>
          <w:sz w:val="16"/>
          <w:szCs w:val="16"/>
          <w:color w:val="auto"/>
        </w:rPr>
        <w:t>has provided a full valuation allowance. The valuation allowance increased by $17.0 million and $8.9 million during the years ended December 31, 2021 and 2020. The increase in valuation allowances during the year ended December 31, 2021, was primarily due to the increase in deferred tax assets from 2021 federal net operating losses. The valuation allowances would have been larger for the year ended December 31, 2020, if not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Company’s net operating loss and tax carryforwards are summarized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7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Amount</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Expiration in years</w:t>
            </w: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operating losses, federal (post-December 31, 2017)</w:t>
            </w:r>
          </w:p>
        </w:tc>
        <w:tc>
          <w:tcPr>
            <w:tcW w:w="1760" w:type="dxa"/>
            <w:vAlign w:val="bottom"/>
            <w:shd w:val="clear" w:color="auto" w:fill="CFF0FC"/>
          </w:tcPr>
          <w:p>
            <w:pPr>
              <w:jc w:val="right"/>
              <w:ind w:right="16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140,666</w:t>
            </w:r>
          </w:p>
        </w:tc>
        <w:tc>
          <w:tcPr>
            <w:tcW w:w="360" w:type="dxa"/>
            <w:vAlign w:val="bottom"/>
            <w:shd w:val="clear" w:color="auto" w:fill="CFF0FC"/>
          </w:tcPr>
          <w:p>
            <w:pPr>
              <w:spacing w:after="0"/>
              <w:rPr>
                <w:sz w:val="15"/>
                <w:szCs w:val="15"/>
                <w:color w:val="auto"/>
              </w:rPr>
            </w:pPr>
          </w:p>
        </w:tc>
        <w:tc>
          <w:tcPr>
            <w:tcW w:w="2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Do Not Expire</w:t>
            </w:r>
          </w:p>
        </w:tc>
      </w:tr>
      <w:tr>
        <w:trPr>
          <w:trHeight w:val="189"/>
        </w:trPr>
        <w:tc>
          <w:tcPr>
            <w:tcW w:w="5780" w:type="dxa"/>
            <w:vAlign w:val="bottom"/>
          </w:tcPr>
          <w:p>
            <w:pPr>
              <w:ind w:left="20"/>
              <w:spacing w:after="0"/>
              <w:rPr>
                <w:sz w:val="20"/>
                <w:szCs w:val="20"/>
                <w:color w:val="auto"/>
              </w:rPr>
            </w:pPr>
            <w:r>
              <w:rPr>
                <w:rFonts w:ascii="Arial" w:cs="Arial" w:eastAsia="Arial" w:hAnsi="Arial"/>
                <w:sz w:val="16"/>
                <w:szCs w:val="16"/>
                <w:color w:val="auto"/>
              </w:rPr>
              <w:t>Net operating losses, federal (pre-January 1, 2018)</w:t>
            </w:r>
          </w:p>
        </w:tc>
        <w:tc>
          <w:tcPr>
            <w:tcW w:w="1760" w:type="dxa"/>
            <w:vAlign w:val="bottom"/>
          </w:tcPr>
          <w:p>
            <w:pPr>
              <w:jc w:val="right"/>
              <w:ind w:right="16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3,093</w:t>
            </w:r>
          </w:p>
        </w:tc>
        <w:tc>
          <w:tcPr>
            <w:tcW w:w="36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Begins to Expire 2036</w:t>
            </w:r>
          </w:p>
        </w:tc>
      </w:tr>
      <w:tr>
        <w:trPr>
          <w:trHeight w:val="18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operating losses, state</w:t>
            </w:r>
          </w:p>
        </w:tc>
        <w:tc>
          <w:tcPr>
            <w:tcW w:w="1760" w:type="dxa"/>
            <w:vAlign w:val="bottom"/>
            <w:shd w:val="clear" w:color="auto" w:fill="CFF0FC"/>
          </w:tcPr>
          <w:p>
            <w:pPr>
              <w:jc w:val="right"/>
              <w:ind w:right="16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62,817</w:t>
            </w:r>
          </w:p>
        </w:tc>
        <w:tc>
          <w:tcPr>
            <w:tcW w:w="360" w:type="dxa"/>
            <w:vAlign w:val="bottom"/>
            <w:shd w:val="clear" w:color="auto" w:fill="CFF0FC"/>
          </w:tcPr>
          <w:p>
            <w:pPr>
              <w:spacing w:after="0"/>
              <w:rPr>
                <w:sz w:val="16"/>
                <w:szCs w:val="16"/>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Begins to Expire 2036</w:t>
            </w:r>
          </w:p>
        </w:tc>
      </w:tr>
      <w:tr>
        <w:trPr>
          <w:trHeight w:val="189"/>
        </w:trPr>
        <w:tc>
          <w:tcPr>
            <w:tcW w:w="5780" w:type="dxa"/>
            <w:vAlign w:val="bottom"/>
          </w:tcPr>
          <w:p>
            <w:pPr>
              <w:ind w:left="20"/>
              <w:spacing w:after="0"/>
              <w:rPr>
                <w:sz w:val="20"/>
                <w:szCs w:val="20"/>
                <w:color w:val="auto"/>
              </w:rPr>
            </w:pPr>
            <w:r>
              <w:rPr>
                <w:rFonts w:ascii="Arial" w:cs="Arial" w:eastAsia="Arial" w:hAnsi="Arial"/>
                <w:sz w:val="16"/>
                <w:szCs w:val="16"/>
                <w:color w:val="auto"/>
              </w:rPr>
              <w:t>Tax credits, federal</w:t>
            </w:r>
          </w:p>
        </w:tc>
        <w:tc>
          <w:tcPr>
            <w:tcW w:w="1760" w:type="dxa"/>
            <w:vAlign w:val="bottom"/>
          </w:tcPr>
          <w:p>
            <w:pPr>
              <w:jc w:val="right"/>
              <w:ind w:right="16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3,433</w:t>
            </w:r>
          </w:p>
        </w:tc>
        <w:tc>
          <w:tcPr>
            <w:tcW w:w="36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Begins to Expire 2036</w:t>
            </w:r>
          </w:p>
        </w:tc>
      </w:tr>
      <w:tr>
        <w:trPr>
          <w:trHeight w:val="18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credits, state</w:t>
            </w:r>
          </w:p>
        </w:tc>
        <w:tc>
          <w:tcPr>
            <w:tcW w:w="1760" w:type="dxa"/>
            <w:vAlign w:val="bottom"/>
            <w:shd w:val="clear" w:color="auto" w:fill="CFF0FC"/>
          </w:tcPr>
          <w:p>
            <w:pPr>
              <w:jc w:val="right"/>
              <w:ind w:right="16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w:t>
            </w:r>
          </w:p>
        </w:tc>
        <w:tc>
          <w:tcPr>
            <w:tcW w:w="360" w:type="dxa"/>
            <w:vAlign w:val="bottom"/>
            <w:shd w:val="clear" w:color="auto" w:fill="CFF0FC"/>
          </w:tcPr>
          <w:p>
            <w:pPr>
              <w:spacing w:after="0"/>
              <w:rPr>
                <w:sz w:val="16"/>
                <w:szCs w:val="16"/>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Do Not Expire</w:t>
            </w:r>
          </w:p>
        </w:tc>
      </w:tr>
    </w:tbl>
    <w:p>
      <w:pPr>
        <w:spacing w:after="0" w:line="9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2021, a study was updated and we concluded that there were no ownership changes during 2021. As previously disclosed, the Company experienced an ownership change in 2020. As a result, in 2020, the Company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7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Company recognizes interest and penalties related to taxes and uncertain tax positions as a component of income tax expense. During the years ended December 31, 2021 and 2020, no interest and penalties were accrued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w:t>
      </w:r>
    </w:p>
    <w:p>
      <w:pPr>
        <w:spacing w:after="0" w:line="108"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preferred stock</w:t>
            </w:r>
          </w:p>
        </w:tc>
        <w:tc>
          <w:tcPr>
            <w:tcW w:w="10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24,493,528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Outstanding stock options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2,772,154</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1,160,808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28,905</w:t>
            </w:r>
          </w:p>
        </w:tc>
        <w:tc>
          <w:tcPr>
            <w:tcW w:w="18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138,127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89"/>
              </w:rPr>
              <w:t>2,801,059</w:t>
            </w:r>
          </w:p>
        </w:tc>
        <w:tc>
          <w:tcPr>
            <w:tcW w:w="2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25,792,463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480"/>
              <w:spacing w:after="0"/>
              <w:rPr>
                <w:sz w:val="20"/>
                <w:szCs w:val="20"/>
                <w:color w:val="auto"/>
              </w:rPr>
            </w:pPr>
            <w:r>
              <w:rPr>
                <w:rFonts w:ascii="Arial" w:cs="Arial" w:eastAsia="Arial" w:hAnsi="Arial"/>
                <w:sz w:val="18"/>
                <w:szCs w:val="18"/>
                <w:color w:val="auto"/>
              </w:rPr>
              <w:t>185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3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-639445</wp:posOffset>
            </wp:positionV>
            <wp:extent cx="5143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quarter ended December 31, 2021 that have materially affected, or are reasonably likely to materially affect, our internal control over financial reporting.</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jc w:val="both"/>
        <w:ind w:right="20" w:firstLine="509"/>
        <w:spacing w:after="0" w:line="284" w:lineRule="auto"/>
        <w:rPr>
          <w:sz w:val="20"/>
          <w:szCs w:val="20"/>
          <w:color w:val="auto"/>
        </w:rPr>
      </w:pPr>
      <w:r>
        <w:rPr>
          <w:rFonts w:ascii="Arial" w:cs="Arial" w:eastAsia="Arial" w:hAnsi="Arial"/>
          <w:sz w:val="16"/>
          <w:szCs w:val="16"/>
          <w:color w:val="auto"/>
        </w:rPr>
        <w:t>As an emerging growth company, we are not required to provide, and this Annual Report on Form 10-K does not include an attestation report on our internal control over financial reporting issued by the Company’s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8" w:name="page189"/>
    <w:bookmarkEnd w:id="188"/>
    <w:p>
      <w:pPr>
        <w:ind w:left="5500"/>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2021, and is incorporated herein by reference.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Code of Ethics</w:t>
      </w:r>
    </w:p>
    <w:p>
      <w:pPr>
        <w:spacing w:after="0" w:line="104" w:lineRule="exact"/>
        <w:rPr>
          <w:sz w:val="20"/>
          <w:szCs w:val="20"/>
          <w:color w:val="auto"/>
        </w:rPr>
      </w:pPr>
    </w:p>
    <w:p>
      <w:pPr>
        <w:jc w:val="both"/>
        <w:ind w:right="540" w:firstLine="509"/>
        <w:spacing w:after="0" w:line="270"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56"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2021, and is incorporated herein by reference.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89" w:name="page190"/>
    <w:bookmarkEnd w:id="189"/>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1020" w:hanging="503"/>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the report:</w:t>
      </w:r>
    </w:p>
    <w:p>
      <w:pPr>
        <w:spacing w:after="0" w:line="103" w:lineRule="exact"/>
        <w:rPr>
          <w:rFonts w:ascii="Arial" w:cs="Arial" w:eastAsia="Arial" w:hAnsi="Arial"/>
          <w:sz w:val="18"/>
          <w:szCs w:val="18"/>
          <w:color w:val="auto"/>
        </w:rPr>
      </w:pPr>
    </w:p>
    <w:p>
      <w:pPr>
        <w:ind w:left="1500" w:hanging="504"/>
        <w:spacing w:after="0"/>
        <w:tabs>
          <w:tab w:leader="none" w:pos="15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Financial Statements: The financial statements filed as part of this Annual Report are included in Part II, Item 8 of this Annual Report.</w:t>
      </w:r>
    </w:p>
    <w:p>
      <w:pPr>
        <w:spacing w:after="0" w:line="126" w:lineRule="exact"/>
        <w:rPr>
          <w:rFonts w:ascii="Arial" w:cs="Arial" w:eastAsia="Arial" w:hAnsi="Arial"/>
          <w:sz w:val="16"/>
          <w:szCs w:val="16"/>
          <w:color w:val="auto"/>
        </w:rPr>
      </w:pPr>
    </w:p>
    <w:p>
      <w:pPr>
        <w:ind w:left="1500" w:right="440" w:hanging="504"/>
        <w:spacing w:after="0" w:line="248" w:lineRule="auto"/>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73" w:lineRule="exact"/>
        <w:rPr>
          <w:rFonts w:ascii="Arial" w:cs="Arial" w:eastAsia="Arial" w:hAnsi="Arial"/>
          <w:sz w:val="18"/>
          <w:szCs w:val="18"/>
          <w:color w:val="auto"/>
        </w:rPr>
      </w:pPr>
    </w:p>
    <w:p>
      <w:pPr>
        <w:ind w:left="1500" w:hanging="504"/>
        <w:spacing w:after="0"/>
        <w:tabs>
          <w:tab w:leader="none" w:pos="15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Annual Report.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gridSpan w:val="29"/>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9"/>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gridSpan w:val="37"/>
            <w:vMerge w:val="restart"/>
          </w:tcPr>
          <w:p>
            <w:pPr>
              <w:spacing w:after="0"/>
              <w:rPr>
                <w:rFonts w:ascii="Arial" w:cs="Arial" w:eastAsia="Arial" w:hAnsi="Arial"/>
                <w:sz w:val="18"/>
                <w:szCs w:val="18"/>
                <w:color w:val="0000FF"/>
              </w:rPr>
            </w:pPr>
            <w:hyperlink r:id="rId425">
              <w:r>
                <w:rPr>
                  <w:rFonts w:ascii="Arial" w:cs="Arial" w:eastAsia="Arial" w:hAnsi="Arial"/>
                  <w:sz w:val="18"/>
                  <w:szCs w:val="18"/>
                  <w:color w:val="0000FF"/>
                </w:rPr>
                <w:t>Amended and Restated Certificate of Incorporation of the Registrant.</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001-40656</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8-3-2021</w:t>
            </w:r>
          </w:p>
        </w:tc>
        <w:tc>
          <w:tcPr>
            <w:tcW w:w="0" w:type="dxa"/>
            <w:vAlign w:val="bottom"/>
          </w:tcPr>
          <w:p>
            <w:pPr>
              <w:spacing w:after="0"/>
              <w:rPr>
                <w:sz w:val="1"/>
                <w:szCs w:val="1"/>
                <w:color w:val="auto"/>
              </w:rPr>
            </w:pPr>
          </w:p>
        </w:tc>
      </w:tr>
      <w:tr>
        <w:trPr>
          <w:trHeight w:val="107"/>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00" w:type="dxa"/>
            <w:vAlign w:val="bottom"/>
            <w:gridSpan w:val="37"/>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001-40656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8-3-2021</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89"/>
              </w:rPr>
            </w:pPr>
            <w:hyperlink r:id="rId426">
              <w:r>
                <w:rPr>
                  <w:rFonts w:ascii="Arial" w:cs="Arial" w:eastAsia="Arial" w:hAnsi="Arial"/>
                  <w:sz w:val="18"/>
                  <w:szCs w:val="18"/>
                  <w:color w:val="0000FF"/>
                  <w:w w:val="89"/>
                </w:rPr>
                <w:t>Amended and Restated Bylaws of the 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1420" w:type="dxa"/>
            <w:vAlign w:val="bottom"/>
            <w:tcBorders>
              <w:top w:val="single" w:sz="8" w:color="0000FF"/>
            </w:tcBorders>
            <w:gridSpan w:val="14"/>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bottom w:val="single" w:sz="8" w:color="0000FF"/>
            </w:tcBorders>
            <w:gridSpan w:val="17"/>
          </w:tcPr>
          <w:p>
            <w:pPr>
              <w:spacing w:after="0" w:line="169" w:lineRule="exact"/>
              <w:rPr>
                <w:rFonts w:ascii="Arial" w:cs="Arial" w:eastAsia="Arial" w:hAnsi="Arial"/>
                <w:sz w:val="18"/>
                <w:szCs w:val="18"/>
                <w:color w:val="0000FF"/>
                <w:w w:val="90"/>
              </w:rPr>
            </w:pPr>
            <w:hyperlink r:id="rId427">
              <w:r>
                <w:rPr>
                  <w:rFonts w:ascii="Arial" w:cs="Arial" w:eastAsia="Arial" w:hAnsi="Arial"/>
                  <w:sz w:val="18"/>
                  <w:szCs w:val="18"/>
                  <w:color w:val="0000FF"/>
                  <w:w w:val="90"/>
                </w:rPr>
                <w:t>Specimen common stock certificate of the Registrant.</w:t>
              </w:r>
            </w:hyperlink>
          </w:p>
        </w:tc>
        <w:tc>
          <w:tcPr>
            <w:tcW w:w="20" w:type="dxa"/>
            <w:vAlign w:val="bottom"/>
            <w:tcBorders>
              <w:bottom w:val="single" w:sz="8" w:color="0000EE"/>
            </w:tcBorders>
          </w:tcPr>
          <w:p>
            <w:pPr>
              <w:spacing w:after="0"/>
              <w:rPr>
                <w:sz w:val="14"/>
                <w:szCs w:val="14"/>
                <w:color w:val="auto"/>
              </w:rPr>
            </w:pPr>
          </w:p>
        </w:tc>
        <w:tc>
          <w:tcPr>
            <w:tcW w:w="1620" w:type="dxa"/>
            <w:vAlign w:val="bottom"/>
            <w:gridSpan w:val="19"/>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w w:val="87"/>
              </w:rPr>
              <w:t>4.2</w:t>
            </w: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gridSpan w:val="18"/>
          </w:tcPr>
          <w:p>
            <w:pPr>
              <w:spacing w:after="0" w:line="169" w:lineRule="exact"/>
              <w:rPr>
                <w:rFonts w:ascii="Arial" w:cs="Arial" w:eastAsia="Arial" w:hAnsi="Arial"/>
                <w:sz w:val="18"/>
                <w:szCs w:val="18"/>
                <w:color w:val="0000FF"/>
                <w:w w:val="91"/>
              </w:rPr>
            </w:pPr>
            <w:hyperlink r:id="rId428">
              <w:r>
                <w:rPr>
                  <w:rFonts w:ascii="Arial" w:cs="Arial" w:eastAsia="Arial" w:hAnsi="Arial"/>
                  <w:sz w:val="18"/>
                  <w:szCs w:val="18"/>
                  <w:color w:val="0000FF"/>
                  <w:w w:val="91"/>
                </w:rPr>
                <w:t>Amended and Restated Investors’ Rights Agreement</w:t>
              </w:r>
            </w:hyperlink>
          </w:p>
        </w:tc>
        <w:tc>
          <w:tcPr>
            <w:tcW w:w="1620" w:type="dxa"/>
            <w:vAlign w:val="bottom"/>
            <w:gridSpan w:val="19"/>
          </w:tcPr>
          <w:p>
            <w:pPr>
              <w:spacing w:after="0" w:line="169" w:lineRule="exact"/>
              <w:rPr>
                <w:rFonts w:ascii="Arial" w:cs="Arial" w:eastAsia="Arial" w:hAnsi="Arial"/>
                <w:sz w:val="18"/>
                <w:szCs w:val="18"/>
                <w:color w:val="0000FF"/>
              </w:rPr>
            </w:pPr>
            <w:hyperlink r:id="rId428">
              <w:r>
                <w:rPr>
                  <w:rFonts w:ascii="Arial" w:cs="Arial" w:eastAsia="Arial" w:hAnsi="Arial"/>
                  <w:sz w:val="18"/>
                  <w:szCs w:val="18"/>
                  <w:color w:val="0000FF"/>
                </w:rPr>
                <w:t>by and among the</w:t>
              </w:r>
            </w:hyperlink>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w w:val="87"/>
              </w:rPr>
              <w:t>4.1</w:t>
            </w: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428">
              <w:r>
                <w:rPr>
                  <w:rFonts w:ascii="Arial" w:cs="Arial" w:eastAsia="Arial" w:hAnsi="Arial"/>
                  <w:sz w:val="18"/>
                  <w:szCs w:val="18"/>
                  <w:color w:val="0000FF"/>
                  <w:w w:val="93"/>
                </w:rPr>
                <w:t>Registrant and certain of its stockholders, dated December 17, 2020.</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w:anchor="page195">
              <w:r>
                <w:rPr>
                  <w:rFonts w:ascii="Arial" w:cs="Arial" w:eastAsia="Arial" w:hAnsi="Arial"/>
                  <w:sz w:val="18"/>
                  <w:szCs w:val="18"/>
                  <w:color w:val="0000FF"/>
                  <w:w w:val="91"/>
                </w:rPr>
                <w:t>Description of Securities of the 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18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37"/>
          </w:tcPr>
          <w:p>
            <w:pPr>
              <w:spacing w:after="0" w:line="169" w:lineRule="exact"/>
              <w:rPr>
                <w:rFonts w:ascii="Arial" w:cs="Arial" w:eastAsia="Arial" w:hAnsi="Arial"/>
                <w:sz w:val="18"/>
                <w:szCs w:val="18"/>
                <w:color w:val="0000FF"/>
                <w:w w:val="92"/>
              </w:rPr>
            </w:pPr>
            <w:hyperlink r:id="rId429">
              <w:r>
                <w:rPr>
                  <w:rFonts w:ascii="Arial" w:cs="Arial" w:eastAsia="Arial" w:hAnsi="Arial"/>
                  <w:sz w:val="18"/>
                  <w:szCs w:val="18"/>
                  <w:color w:val="0000FF"/>
                  <w:w w:val="92"/>
                </w:rPr>
                <w:t>Form of Indemnification Agreement between the Registrant and each of its</w:t>
              </w:r>
            </w:hyperlink>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429">
              <w:r>
                <w:rPr>
                  <w:rFonts w:ascii="Arial" w:cs="Arial" w:eastAsia="Arial" w:hAnsi="Arial"/>
                  <w:sz w:val="18"/>
                  <w:szCs w:val="18"/>
                  <w:color w:val="0000FF"/>
                </w:rPr>
                <w:t>directors and executive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w:anchor="page201">
              <w:r>
                <w:rPr>
                  <w:rFonts w:ascii="Arial" w:cs="Arial" w:eastAsia="Arial" w:hAnsi="Arial"/>
                  <w:sz w:val="18"/>
                  <w:szCs w:val="18"/>
                  <w:color w:val="0000FF"/>
                  <w:w w:val="91"/>
                </w:rPr>
                <w:t>2021 Equity Incentive Plan and</w:t>
              </w:r>
            </w:hyperlink>
          </w:p>
        </w:tc>
        <w:tc>
          <w:tcPr>
            <w:tcW w:w="3200" w:type="dxa"/>
            <w:vAlign w:val="bottom"/>
            <w:gridSpan w:val="29"/>
          </w:tcPr>
          <w:p>
            <w:pPr>
              <w:ind w:left="20"/>
              <w:spacing w:after="0" w:line="156" w:lineRule="exact"/>
              <w:rPr>
                <w:rFonts w:ascii="Arial" w:cs="Arial" w:eastAsia="Arial" w:hAnsi="Arial"/>
                <w:sz w:val="18"/>
                <w:szCs w:val="18"/>
                <w:color w:val="0000FF"/>
              </w:rPr>
            </w:pPr>
            <w:hyperlink w:anchor="page201">
              <w:r>
                <w:rPr>
                  <w:rFonts w:ascii="Arial" w:cs="Arial" w:eastAsia="Arial" w:hAnsi="Arial"/>
                  <w:sz w:val="18"/>
                  <w:szCs w:val="18"/>
                  <w:color w:val="0000FF"/>
                </w:rPr>
                <w:t>forms of agreements thereunder.</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10.3</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22"/>
          </w:tcPr>
          <w:p>
            <w:pPr>
              <w:spacing w:after="0" w:line="162" w:lineRule="exact"/>
              <w:rPr>
                <w:rFonts w:ascii="Arial" w:cs="Arial" w:eastAsia="Arial" w:hAnsi="Arial"/>
                <w:sz w:val="18"/>
                <w:szCs w:val="18"/>
                <w:color w:val="0000FF"/>
                <w:w w:val="91"/>
              </w:rPr>
            </w:pPr>
            <w:hyperlink r:id="rId430">
              <w:r>
                <w:rPr>
                  <w:rFonts w:ascii="Arial" w:cs="Arial" w:eastAsia="Arial" w:hAnsi="Arial"/>
                  <w:sz w:val="18"/>
                  <w:szCs w:val="18"/>
                  <w:color w:val="0000FF"/>
                  <w:w w:val="91"/>
                </w:rPr>
                <w:t>2021 Employee Stock Purchase Plan and forms of agreements</w:t>
              </w:r>
            </w:hyperlink>
          </w:p>
        </w:tc>
        <w:tc>
          <w:tcPr>
            <w:tcW w:w="860" w:type="dxa"/>
            <w:vAlign w:val="bottom"/>
            <w:gridSpan w:val="15"/>
          </w:tcPr>
          <w:p>
            <w:pPr>
              <w:spacing w:after="0" w:line="162" w:lineRule="exact"/>
              <w:rPr>
                <w:rFonts w:ascii="Arial" w:cs="Arial" w:eastAsia="Arial" w:hAnsi="Arial"/>
                <w:sz w:val="18"/>
                <w:szCs w:val="18"/>
                <w:color w:val="0000FF"/>
                <w:w w:val="91"/>
              </w:rPr>
            </w:pPr>
            <w:hyperlink r:id="rId430">
              <w:r>
                <w:rPr>
                  <w:rFonts w:ascii="Arial" w:cs="Arial" w:eastAsia="Arial" w:hAnsi="Arial"/>
                  <w:sz w:val="18"/>
                  <w:szCs w:val="18"/>
                  <w:color w:val="0000FF"/>
                  <w:w w:val="91"/>
                </w:rPr>
                <w:t>thereunder.</w:t>
              </w:r>
            </w:hyperlink>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91"/>
              </w:rPr>
              <w:t>10.4</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10.4</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23"/>
          </w:tcPr>
          <w:p>
            <w:pPr>
              <w:spacing w:after="0" w:line="162" w:lineRule="exact"/>
              <w:rPr>
                <w:rFonts w:ascii="Arial" w:cs="Arial" w:eastAsia="Arial" w:hAnsi="Arial"/>
                <w:sz w:val="18"/>
                <w:szCs w:val="18"/>
                <w:color w:val="0000FF"/>
                <w:w w:val="91"/>
              </w:rPr>
            </w:pPr>
            <w:hyperlink r:id="rId431">
              <w:r>
                <w:rPr>
                  <w:rFonts w:ascii="Arial" w:cs="Arial" w:eastAsia="Arial" w:hAnsi="Arial"/>
                  <w:sz w:val="18"/>
                  <w:szCs w:val="18"/>
                  <w:color w:val="0000FF"/>
                  <w:w w:val="91"/>
                </w:rPr>
                <w:t>Employment Letter between the Registrant and Faraz Ali, M.B.A.</w:t>
              </w:r>
            </w:hyperlink>
          </w:p>
        </w:tc>
        <w:tc>
          <w:tcPr>
            <w:tcW w:w="560" w:type="dxa"/>
            <w:vAlign w:val="bottom"/>
            <w:tcBorders>
              <w:top w:val="single" w:sz="8" w:color="0000FF"/>
            </w:tcBorders>
            <w:gridSpan w:val="10"/>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91"/>
              </w:rPr>
              <w:t>10.5</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10.5</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37"/>
          </w:tcPr>
          <w:p>
            <w:pPr>
              <w:spacing w:after="0" w:line="162" w:lineRule="exact"/>
              <w:rPr>
                <w:rFonts w:ascii="Arial" w:cs="Arial" w:eastAsia="Arial" w:hAnsi="Arial"/>
                <w:sz w:val="18"/>
                <w:szCs w:val="18"/>
                <w:color w:val="0000FF"/>
              </w:rPr>
            </w:pPr>
            <w:hyperlink r:id="rId432">
              <w:r>
                <w:rPr>
                  <w:rFonts w:ascii="Arial" w:cs="Arial" w:eastAsia="Arial" w:hAnsi="Arial"/>
                  <w:sz w:val="18"/>
                  <w:szCs w:val="18"/>
                  <w:color w:val="0000FF"/>
                </w:rPr>
                <w:t>Employment Letter between the Registrant and Timothy Hoey, Ph.D</w:t>
              </w:r>
            </w:hyperlink>
            <w:r>
              <w:rPr>
                <w:rFonts w:ascii="Arial" w:cs="Arial" w:eastAsia="Arial" w:hAnsi="Arial"/>
                <w:sz w:val="18"/>
                <w:szCs w:val="18"/>
                <w:color w:val="000000"/>
              </w:rPr>
              <w:t>.</w:t>
            </w:r>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91"/>
              </w:rPr>
              <w:t>10.6</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10.6</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26"/>
          </w:tcPr>
          <w:p>
            <w:pPr>
              <w:spacing w:after="0" w:line="162" w:lineRule="exact"/>
              <w:rPr>
                <w:rFonts w:ascii="Arial" w:cs="Arial" w:eastAsia="Arial" w:hAnsi="Arial"/>
                <w:sz w:val="18"/>
                <w:szCs w:val="18"/>
                <w:color w:val="0000FF"/>
                <w:w w:val="90"/>
              </w:rPr>
            </w:pPr>
            <w:hyperlink r:id="rId433">
              <w:r>
                <w:rPr>
                  <w:rFonts w:ascii="Arial" w:cs="Arial" w:eastAsia="Arial" w:hAnsi="Arial"/>
                  <w:sz w:val="18"/>
                  <w:szCs w:val="18"/>
                  <w:color w:val="0000FF"/>
                  <w:w w:val="90"/>
                </w:rPr>
                <w:t>Employment Letter between the Registrant and Leone D. Patterson,</w:t>
              </w:r>
            </w:hyperlink>
          </w:p>
        </w:tc>
        <w:tc>
          <w:tcPr>
            <w:tcW w:w="20" w:type="dxa"/>
            <w:vAlign w:val="bottom"/>
            <w:tcBorders>
              <w:top w:val="single" w:sz="8" w:color="0000EE"/>
            </w:tcBorders>
          </w:tcPr>
          <w:p>
            <w:pPr>
              <w:spacing w:after="0"/>
              <w:rPr>
                <w:sz w:val="14"/>
                <w:szCs w:val="14"/>
                <w:color w:val="auto"/>
              </w:rPr>
            </w:pPr>
          </w:p>
        </w:tc>
        <w:tc>
          <w:tcPr>
            <w:tcW w:w="540" w:type="dxa"/>
            <w:vAlign w:val="bottom"/>
            <w:gridSpan w:val="10"/>
          </w:tcPr>
          <w:p>
            <w:pPr>
              <w:jc w:val="right"/>
              <w:ind w:right="40"/>
              <w:spacing w:after="0" w:line="162" w:lineRule="exact"/>
              <w:rPr>
                <w:rFonts w:ascii="Arial" w:cs="Arial" w:eastAsia="Arial" w:hAnsi="Arial"/>
                <w:sz w:val="18"/>
                <w:szCs w:val="18"/>
                <w:color w:val="0000FF"/>
                <w:w w:val="88"/>
              </w:rPr>
            </w:pPr>
            <w:hyperlink r:id="rId433">
              <w:r>
                <w:rPr>
                  <w:rFonts w:ascii="Arial" w:cs="Arial" w:eastAsia="Arial" w:hAnsi="Arial"/>
                  <w:sz w:val="18"/>
                  <w:szCs w:val="18"/>
                  <w:color w:val="0000FF"/>
                  <w:w w:val="88"/>
                </w:rPr>
                <w:t>M.B.A.</w:t>
              </w:r>
            </w:hyperlink>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91"/>
              </w:rPr>
              <w:t>10.7</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76"/>
        </w:trPr>
        <w:tc>
          <w:tcPr>
            <w:tcW w:w="1140" w:type="dxa"/>
            <w:vAlign w:val="bottom"/>
          </w:tcPr>
          <w:p>
            <w:pPr>
              <w:ind w:left="20"/>
              <w:spacing w:after="0" w:line="176" w:lineRule="exact"/>
              <w:rPr>
                <w:sz w:val="20"/>
                <w:szCs w:val="20"/>
                <w:color w:val="auto"/>
              </w:rPr>
            </w:pPr>
            <w:r>
              <w:rPr>
                <w:rFonts w:ascii="Arial" w:cs="Arial" w:eastAsia="Arial" w:hAnsi="Arial"/>
                <w:sz w:val="15"/>
                <w:szCs w:val="15"/>
                <w:color w:val="auto"/>
              </w:rPr>
              <w:t>10.7</w:t>
            </w:r>
            <w:r>
              <w:rPr>
                <w:rFonts w:ascii="Arial" w:cs="Arial" w:eastAsia="Arial" w:hAnsi="Arial"/>
                <w:sz w:val="20"/>
                <w:szCs w:val="20"/>
                <w:color w:val="auto"/>
                <w:vertAlign w:val="superscript"/>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36"/>
          </w:tcPr>
          <w:p>
            <w:pPr>
              <w:spacing w:after="0" w:line="176" w:lineRule="exact"/>
              <w:rPr>
                <w:rFonts w:ascii="Arial" w:cs="Arial" w:eastAsia="Arial" w:hAnsi="Arial"/>
                <w:sz w:val="18"/>
                <w:szCs w:val="18"/>
                <w:color w:val="0000FF"/>
                <w:w w:val="91"/>
              </w:rPr>
            </w:pPr>
            <w:hyperlink r:id="rId434">
              <w:r>
                <w:rPr>
                  <w:rFonts w:ascii="Arial" w:cs="Arial" w:eastAsia="Arial" w:hAnsi="Arial"/>
                  <w:sz w:val="18"/>
                  <w:szCs w:val="18"/>
                  <w:color w:val="0000FF"/>
                  <w:w w:val="91"/>
                </w:rPr>
                <w:t>Employment Letter between the Registrant and Whittemore (Whit) Tingley,</w:t>
              </w:r>
            </w:hyperlink>
          </w:p>
        </w:tc>
        <w:tc>
          <w:tcPr>
            <w:tcW w:w="20" w:type="dxa"/>
            <w:vAlign w:val="bottom"/>
            <w:tcBorders>
              <w:bottom w:val="single" w:sz="8" w:color="0000FF"/>
            </w:tcBorders>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10.8</w:t>
            </w:r>
            <w:r>
              <w:rPr>
                <w:rFonts w:ascii="Arial" w:cs="Arial" w:eastAsia="Arial" w:hAnsi="Arial"/>
                <w:sz w:val="24"/>
                <w:szCs w:val="24"/>
                <w:color w:val="auto"/>
                <w:vertAlign w:val="superscript"/>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0000FF"/>
            </w:tcBorders>
            <w:gridSpan w:val="2"/>
          </w:tcPr>
          <w:p>
            <w:pPr>
              <w:spacing w:after="0" w:line="156" w:lineRule="exact"/>
              <w:rPr>
                <w:rFonts w:ascii="Arial" w:cs="Arial" w:eastAsia="Arial" w:hAnsi="Arial"/>
                <w:sz w:val="18"/>
                <w:szCs w:val="18"/>
                <w:color w:val="0000FF"/>
                <w:w w:val="92"/>
              </w:rPr>
            </w:pPr>
            <w:hyperlink r:id="rId434">
              <w:r>
                <w:rPr>
                  <w:rFonts w:ascii="Arial" w:cs="Arial" w:eastAsia="Arial" w:hAnsi="Arial"/>
                  <w:sz w:val="18"/>
                  <w:szCs w:val="18"/>
                  <w:color w:val="0000FF"/>
                  <w:w w:val="92"/>
                </w:rPr>
                <w:t>M.D., Ph.D.</w:t>
              </w:r>
            </w:hyperlink>
          </w:p>
        </w:tc>
        <w:tc>
          <w:tcPr>
            <w:tcW w:w="20" w:type="dxa"/>
            <w:vAlign w:val="bottom"/>
            <w:tcBorders>
              <w:bottom w:val="single" w:sz="8" w:color="0000EE"/>
            </w:tcBorders>
          </w:tcPr>
          <w:p>
            <w:pPr>
              <w:spacing w:after="0"/>
              <w:rPr>
                <w:sz w:val="13"/>
                <w:szCs w:val="13"/>
                <w:color w:val="auto"/>
              </w:rPr>
            </w:pPr>
          </w:p>
        </w:tc>
        <w:tc>
          <w:tcPr>
            <w:tcW w:w="4600" w:type="dxa"/>
            <w:vAlign w:val="bottom"/>
            <w:gridSpan w:val="34"/>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line="156" w:lineRule="exact"/>
              <w:rPr>
                <w:rFonts w:ascii="Arial" w:cs="Arial" w:eastAsia="Arial" w:hAnsi="Arial"/>
                <w:sz w:val="18"/>
                <w:szCs w:val="18"/>
                <w:color w:val="0000FF"/>
              </w:rPr>
            </w:pPr>
            <w:hyperlink r:id="rId435">
              <w:r>
                <w:rPr>
                  <w:rFonts w:ascii="Arial" w:cs="Arial" w:eastAsia="Arial" w:hAnsi="Arial"/>
                  <w:sz w:val="18"/>
                  <w:szCs w:val="18"/>
                  <w:color w:val="0000FF"/>
                </w:rPr>
                <w:t>Executive</w:t>
              </w:r>
            </w:hyperlink>
          </w:p>
        </w:tc>
        <w:tc>
          <w:tcPr>
            <w:tcW w:w="4600" w:type="dxa"/>
            <w:vAlign w:val="bottom"/>
            <w:gridSpan w:val="34"/>
          </w:tcPr>
          <w:p>
            <w:pPr>
              <w:spacing w:after="0" w:line="156" w:lineRule="exact"/>
              <w:rPr>
                <w:rFonts w:ascii="Arial" w:cs="Arial" w:eastAsia="Arial" w:hAnsi="Arial"/>
                <w:sz w:val="18"/>
                <w:szCs w:val="18"/>
                <w:color w:val="0000FF"/>
              </w:rPr>
            </w:pPr>
            <w:hyperlink r:id="rId435">
              <w:r>
                <w:rPr>
                  <w:rFonts w:ascii="Arial" w:cs="Arial" w:eastAsia="Arial" w:hAnsi="Arial"/>
                  <w:sz w:val="18"/>
                  <w:szCs w:val="18"/>
                  <w:color w:val="0000FF"/>
                </w:rPr>
                <w:t>Change in Control and Severance Plan.</w:t>
              </w:r>
            </w:hyperlink>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56" w:lineRule="exact"/>
              <w:rPr>
                <w:sz w:val="20"/>
                <w:szCs w:val="20"/>
                <w:color w:val="auto"/>
              </w:rPr>
            </w:pPr>
            <w:r>
              <w:rPr>
                <w:rFonts w:ascii="Arial" w:cs="Arial" w:eastAsia="Arial" w:hAnsi="Arial"/>
                <w:sz w:val="18"/>
                <w:szCs w:val="18"/>
                <w:color w:val="auto"/>
                <w:w w:val="88"/>
              </w:rPr>
              <w:t>10.12</w:t>
            </w: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10.9</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tcBorders>
            <w:gridSpan w:val="15"/>
          </w:tcPr>
          <w:p>
            <w:pPr>
              <w:spacing w:after="0" w:line="162" w:lineRule="exact"/>
              <w:rPr>
                <w:rFonts w:ascii="Arial" w:cs="Arial" w:eastAsia="Arial" w:hAnsi="Arial"/>
                <w:sz w:val="18"/>
                <w:szCs w:val="18"/>
                <w:color w:val="0000FF"/>
              </w:rPr>
            </w:pPr>
            <w:hyperlink r:id="rId436">
              <w:r>
                <w:rPr>
                  <w:rFonts w:ascii="Arial" w:cs="Arial" w:eastAsia="Arial" w:hAnsi="Arial"/>
                  <w:sz w:val="18"/>
                  <w:szCs w:val="18"/>
                  <w:color w:val="0000FF"/>
                </w:rPr>
                <w:t>Executive Incentive Compensation Plan.</w:t>
              </w:r>
            </w:hyperlink>
          </w:p>
        </w:tc>
        <w:tc>
          <w:tcPr>
            <w:tcW w:w="60" w:type="dxa"/>
            <w:vAlign w:val="bottom"/>
          </w:tcPr>
          <w:p>
            <w:pPr>
              <w:spacing w:after="0"/>
              <w:rPr>
                <w:sz w:val="14"/>
                <w:szCs w:val="14"/>
                <w:color w:val="auto"/>
              </w:rPr>
            </w:pPr>
          </w:p>
        </w:tc>
        <w:tc>
          <w:tcPr>
            <w:tcW w:w="5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tcPr>
          <w:p>
            <w:pPr>
              <w:spacing w:after="0"/>
              <w:rPr>
                <w:sz w:val="14"/>
                <w:szCs w:val="14"/>
                <w:color w:val="auto"/>
              </w:rPr>
            </w:pPr>
          </w:p>
        </w:tc>
        <w:tc>
          <w:tcPr>
            <w:tcW w:w="24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88"/>
              </w:rPr>
              <w:t>10.13</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line="162" w:lineRule="exact"/>
              <w:rPr>
                <w:sz w:val="20"/>
                <w:szCs w:val="20"/>
                <w:color w:val="auto"/>
              </w:rPr>
            </w:pPr>
            <w:r>
              <w:rPr>
                <w:rFonts w:ascii="Arial" w:cs="Arial" w:eastAsia="Arial" w:hAnsi="Arial"/>
                <w:sz w:val="14"/>
                <w:szCs w:val="14"/>
                <w:color w:val="auto"/>
              </w:rPr>
              <w:t>10.10</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top w:val="single" w:sz="8" w:color="0000FF"/>
            </w:tcBorders>
            <w:gridSpan w:val="10"/>
          </w:tcPr>
          <w:p>
            <w:pPr>
              <w:spacing w:after="0" w:line="162" w:lineRule="exact"/>
              <w:rPr>
                <w:rFonts w:ascii="Arial" w:cs="Arial" w:eastAsia="Arial" w:hAnsi="Arial"/>
                <w:sz w:val="18"/>
                <w:szCs w:val="18"/>
                <w:color w:val="0000FF"/>
                <w:w w:val="93"/>
              </w:rPr>
            </w:pPr>
            <w:hyperlink r:id="rId437">
              <w:r>
                <w:rPr>
                  <w:rFonts w:ascii="Arial" w:cs="Arial" w:eastAsia="Arial" w:hAnsi="Arial"/>
                  <w:sz w:val="18"/>
                  <w:szCs w:val="18"/>
                  <w:color w:val="0000FF"/>
                  <w:w w:val="93"/>
                </w:rPr>
                <w:t>Outside Director Compensation Policy.</w:t>
              </w:r>
            </w:hyperlink>
          </w:p>
        </w:tc>
        <w:tc>
          <w:tcPr>
            <w:tcW w:w="720" w:type="dxa"/>
            <w:vAlign w:val="bottom"/>
            <w:gridSpan w:val="6"/>
          </w:tcPr>
          <w:p>
            <w:pPr>
              <w:spacing w:after="0"/>
              <w:rPr>
                <w:sz w:val="14"/>
                <w:szCs w:val="14"/>
                <w:color w:val="auto"/>
              </w:rPr>
            </w:pPr>
          </w:p>
        </w:tc>
        <w:tc>
          <w:tcPr>
            <w:tcW w:w="5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tcPr>
          <w:p>
            <w:pPr>
              <w:spacing w:after="0"/>
              <w:rPr>
                <w:sz w:val="14"/>
                <w:szCs w:val="14"/>
                <w:color w:val="auto"/>
              </w:rPr>
            </w:pPr>
          </w:p>
        </w:tc>
        <w:tc>
          <w:tcPr>
            <w:tcW w:w="24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line="162" w:lineRule="exact"/>
              <w:rPr>
                <w:sz w:val="20"/>
                <w:szCs w:val="20"/>
                <w:color w:val="auto"/>
              </w:rPr>
            </w:pPr>
            <w:r>
              <w:rPr>
                <w:rFonts w:ascii="Arial" w:cs="Arial" w:eastAsia="Arial" w:hAnsi="Arial"/>
                <w:sz w:val="18"/>
                <w:szCs w:val="18"/>
                <w:color w:val="auto"/>
                <w:w w:val="89"/>
              </w:rPr>
              <w:t>333-257820</w:t>
            </w:r>
          </w:p>
        </w:tc>
        <w:tc>
          <w:tcPr>
            <w:tcW w:w="960" w:type="dxa"/>
            <w:vAlign w:val="bottom"/>
          </w:tcPr>
          <w:p>
            <w:pPr>
              <w:jc w:val="center"/>
              <w:spacing w:after="0" w:line="162" w:lineRule="exact"/>
              <w:rPr>
                <w:sz w:val="20"/>
                <w:szCs w:val="20"/>
                <w:color w:val="auto"/>
              </w:rPr>
            </w:pPr>
            <w:r>
              <w:rPr>
                <w:rFonts w:ascii="Arial" w:cs="Arial" w:eastAsia="Arial" w:hAnsi="Arial"/>
                <w:sz w:val="18"/>
                <w:szCs w:val="18"/>
                <w:color w:val="auto"/>
                <w:w w:val="88"/>
              </w:rPr>
              <w:t>10.14</w:t>
            </w: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27"/>
        </w:trPr>
        <w:tc>
          <w:tcPr>
            <w:tcW w:w="1140" w:type="dxa"/>
            <w:vAlign w:val="bottom"/>
            <w:vMerge w:val="restart"/>
          </w:tcPr>
          <w:p>
            <w:pPr>
              <w:ind w:left="20"/>
              <w:spacing w:after="0" w:line="202" w:lineRule="exact"/>
              <w:rPr>
                <w:sz w:val="20"/>
                <w:szCs w:val="20"/>
                <w:color w:val="auto"/>
              </w:rPr>
            </w:pPr>
            <w:r>
              <w:rPr>
                <w:rFonts w:ascii="Arial" w:cs="Arial" w:eastAsia="Arial" w:hAnsi="Arial"/>
                <w:sz w:val="17"/>
                <w:szCs w:val="17"/>
                <w:color w:val="auto"/>
              </w:rPr>
              <w:t>10.11</w:t>
            </w:r>
            <w:r>
              <w:rPr>
                <w:rFonts w:ascii="Arial" w:cs="Arial" w:eastAsia="Arial" w:hAnsi="Arial"/>
                <w:sz w:val="23"/>
                <w:szCs w:val="23"/>
                <w:color w:val="auto"/>
                <w:vertAlign w:val="superscript"/>
              </w:rPr>
              <w:t>+</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100" w:type="dxa"/>
            <w:vAlign w:val="bottom"/>
            <w:gridSpan w:val="3"/>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40" w:type="dxa"/>
            <w:vAlign w:val="bottom"/>
            <w:tcBorders>
              <w:right w:val="single" w:sz="8" w:color="0000EE"/>
            </w:tcBorders>
            <w:gridSpan w:val="2"/>
            <w:shd w:val="clear" w:color="auto" w:fill="0000FF"/>
          </w:tcPr>
          <w:p>
            <w:pPr>
              <w:spacing w:after="0"/>
              <w:rPr>
                <w:sz w:val="2"/>
                <w:szCs w:val="2"/>
                <w:color w:val="auto"/>
              </w:rPr>
            </w:pPr>
          </w:p>
        </w:tc>
        <w:tc>
          <w:tcPr>
            <w:tcW w:w="800" w:type="dxa"/>
            <w:vAlign w:val="bottom"/>
            <w:gridSpan w:val="7"/>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24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7"/>
              </w:rPr>
              <w:t>S-1/A</w:t>
            </w:r>
          </w:p>
        </w:tc>
        <w:tc>
          <w:tcPr>
            <w:tcW w:w="13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333-257820</w:t>
            </w:r>
          </w:p>
        </w:tc>
        <w:tc>
          <w:tcPr>
            <w:tcW w:w="9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1"/>
              </w:rPr>
              <w:t>10.2</w:t>
            </w:r>
          </w:p>
        </w:tc>
        <w:tc>
          <w:tcPr>
            <w:tcW w:w="12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0"/>
              </w:rPr>
              <w:t>7-26-2021</w:t>
            </w:r>
          </w:p>
        </w:tc>
        <w:tc>
          <w:tcPr>
            <w:tcW w:w="0" w:type="dxa"/>
            <w:vAlign w:val="bottom"/>
          </w:tcPr>
          <w:p>
            <w:pPr>
              <w:spacing w:after="0" w:line="20" w:lineRule="exact"/>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0000FF"/>
            </w:tcBorders>
            <w:gridSpan w:val="37"/>
          </w:tcPr>
          <w:p>
            <w:pPr>
              <w:spacing w:after="0" w:line="176" w:lineRule="exact"/>
              <w:rPr>
                <w:rFonts w:ascii="Arial" w:cs="Arial" w:eastAsia="Arial" w:hAnsi="Arial"/>
                <w:sz w:val="18"/>
                <w:szCs w:val="18"/>
                <w:color w:val="0000FF"/>
                <w:w w:val="90"/>
              </w:rPr>
            </w:pPr>
            <w:hyperlink r:id="rId438">
              <w:r>
                <w:rPr>
                  <w:rFonts w:ascii="Arial" w:cs="Arial" w:eastAsia="Arial" w:hAnsi="Arial"/>
                  <w:sz w:val="18"/>
                  <w:szCs w:val="18"/>
                  <w:color w:val="0000FF"/>
                  <w:w w:val="90"/>
                </w:rPr>
                <w:t>Amended and Restated 2016 Equity Incentive Plan and forms of agreement</w:t>
              </w:r>
            </w:hyperlink>
          </w:p>
        </w:tc>
        <w:tc>
          <w:tcPr>
            <w:tcW w:w="9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37"/>
          </w:tcPr>
          <w:p>
            <w:pPr>
              <w:spacing w:after="0" w:line="156" w:lineRule="exact"/>
              <w:rPr>
                <w:rFonts w:ascii="Arial" w:cs="Arial" w:eastAsia="Arial" w:hAnsi="Arial"/>
                <w:sz w:val="18"/>
                <w:szCs w:val="18"/>
                <w:color w:val="0000FF"/>
              </w:rPr>
            </w:pPr>
            <w:hyperlink r:id="rId438">
              <w:r>
                <w:rPr>
                  <w:rFonts w:ascii="Arial" w:cs="Arial" w:eastAsia="Arial" w:hAnsi="Arial"/>
                  <w:sz w:val="18"/>
                  <w:szCs w:val="18"/>
                  <w:color w:val="0000FF"/>
                </w:rPr>
                <w:t>thereunder.</w:t>
              </w:r>
            </w:hyperlink>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333-257820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1"/>
              </w:rPr>
              <w:t>10.9</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bottom w:val="single" w:sz="8" w:color="0000FF"/>
            </w:tcBorders>
            <w:gridSpan w:val="37"/>
          </w:tcPr>
          <w:p>
            <w:pPr>
              <w:spacing w:after="0" w:line="169" w:lineRule="exact"/>
              <w:rPr>
                <w:rFonts w:ascii="Arial" w:cs="Arial" w:eastAsia="Arial" w:hAnsi="Arial"/>
                <w:sz w:val="18"/>
                <w:szCs w:val="18"/>
                <w:color w:val="0000FF"/>
                <w:w w:val="90"/>
              </w:rPr>
            </w:pPr>
            <w:hyperlink r:id="rId439">
              <w:r>
                <w:rPr>
                  <w:rFonts w:ascii="Arial" w:cs="Arial" w:eastAsia="Arial" w:hAnsi="Arial"/>
                  <w:sz w:val="18"/>
                  <w:szCs w:val="18"/>
                  <w:color w:val="0000FF"/>
                  <w:w w:val="90"/>
                </w:rPr>
                <w:t>License Agreement between the Registrant and the Board of Regents of the</w:t>
              </w:r>
            </w:hyperlink>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37"/>
          </w:tcPr>
          <w:p>
            <w:pPr>
              <w:spacing w:after="0" w:line="156" w:lineRule="exact"/>
              <w:rPr>
                <w:rFonts w:ascii="Arial" w:cs="Arial" w:eastAsia="Arial" w:hAnsi="Arial"/>
                <w:sz w:val="18"/>
                <w:szCs w:val="18"/>
                <w:color w:val="0000FF"/>
              </w:rPr>
            </w:pPr>
            <w:hyperlink r:id="rId439">
              <w:r>
                <w:rPr>
                  <w:rFonts w:ascii="Arial" w:cs="Arial" w:eastAsia="Arial" w:hAnsi="Arial"/>
                  <w:sz w:val="18"/>
                  <w:szCs w:val="18"/>
                  <w:color w:val="0000FF"/>
                </w:rPr>
                <w:t>University of Texas System, dated as of January 10, 2020.</w:t>
              </w:r>
            </w:hyperlink>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333-257820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10.10</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37"/>
          </w:tcPr>
          <w:p>
            <w:pPr>
              <w:spacing w:after="0" w:line="169" w:lineRule="exact"/>
              <w:rPr>
                <w:rFonts w:ascii="Arial" w:cs="Arial" w:eastAsia="Arial" w:hAnsi="Arial"/>
                <w:sz w:val="18"/>
                <w:szCs w:val="18"/>
                <w:color w:val="0000FF"/>
                <w:w w:val="95"/>
              </w:rPr>
            </w:pPr>
            <w:hyperlink r:id="rId440">
              <w:r>
                <w:rPr>
                  <w:rFonts w:ascii="Arial" w:cs="Arial" w:eastAsia="Arial" w:hAnsi="Arial"/>
                  <w:sz w:val="18"/>
                  <w:szCs w:val="18"/>
                  <w:color w:val="0000FF"/>
                  <w:w w:val="95"/>
                </w:rPr>
                <w:t>Lease between HCP Oyster Point III LLC and the Registrant dated as of</w:t>
              </w:r>
            </w:hyperlink>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440">
              <w:r>
                <w:rPr>
                  <w:rFonts w:ascii="Arial" w:cs="Arial" w:eastAsia="Arial" w:hAnsi="Arial"/>
                  <w:sz w:val="18"/>
                  <w:szCs w:val="18"/>
                  <w:color w:val="0000FF"/>
                </w:rPr>
                <w:t>September 6, 2016.</w:t>
              </w:r>
            </w:hyperlink>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333-257820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7-26-2021</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bottom w:val="single" w:sz="8" w:color="0000FF"/>
            </w:tcBorders>
            <w:gridSpan w:val="37"/>
          </w:tcPr>
          <w:p>
            <w:pPr>
              <w:spacing w:after="0" w:line="169" w:lineRule="exact"/>
              <w:rPr>
                <w:rFonts w:ascii="Arial" w:cs="Arial" w:eastAsia="Arial" w:hAnsi="Arial"/>
                <w:sz w:val="18"/>
                <w:szCs w:val="18"/>
                <w:color w:val="0000FF"/>
                <w:w w:val="90"/>
              </w:rPr>
            </w:pPr>
            <w:hyperlink r:id="rId441">
              <w:r>
                <w:rPr>
                  <w:rFonts w:ascii="Arial" w:cs="Arial" w:eastAsia="Arial" w:hAnsi="Arial"/>
                  <w:sz w:val="18"/>
                  <w:szCs w:val="18"/>
                  <w:color w:val="0000FF"/>
                  <w:w w:val="90"/>
                </w:rPr>
                <w:t>Lease between Terreno Park Union City LLC and the Registrant dated as of</w:t>
              </w:r>
            </w:hyperlink>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37"/>
          </w:tcPr>
          <w:p>
            <w:pPr>
              <w:spacing w:after="0" w:line="156" w:lineRule="exact"/>
              <w:rPr>
                <w:rFonts w:ascii="Arial" w:cs="Arial" w:eastAsia="Arial" w:hAnsi="Arial"/>
                <w:sz w:val="18"/>
                <w:szCs w:val="18"/>
                <w:color w:val="0000FF"/>
              </w:rPr>
            </w:pPr>
            <w:hyperlink r:id="rId441">
              <w:r>
                <w:rPr>
                  <w:rFonts w:ascii="Arial" w:cs="Arial" w:eastAsia="Arial" w:hAnsi="Arial"/>
                  <w:sz w:val="18"/>
                  <w:szCs w:val="18"/>
                  <w:color w:val="0000FF"/>
                </w:rPr>
                <w:t>February 12, 2021.</w:t>
              </w:r>
            </w:hyperlink>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top w:val="single" w:sz="8" w:color="0000FF"/>
            </w:tcBorders>
            <w:gridSpan w:val="7"/>
          </w:tcPr>
          <w:p>
            <w:pPr>
              <w:spacing w:after="0" w:line="169" w:lineRule="exact"/>
              <w:rPr>
                <w:rFonts w:ascii="Arial" w:cs="Arial" w:eastAsia="Arial" w:hAnsi="Arial"/>
                <w:sz w:val="18"/>
                <w:szCs w:val="18"/>
                <w:color w:val="0000FF"/>
                <w:w w:val="88"/>
              </w:rPr>
            </w:pPr>
            <w:hyperlink w:anchor="page249">
              <w:r>
                <w:rPr>
                  <w:rFonts w:ascii="Arial" w:cs="Arial" w:eastAsia="Arial" w:hAnsi="Arial"/>
                  <w:sz w:val="18"/>
                  <w:szCs w:val="18"/>
                  <w:color w:val="0000FF"/>
                  <w:w w:val="88"/>
                </w:rPr>
                <w:t>Consent of Deloitte</w:t>
              </w:r>
            </w:hyperlink>
          </w:p>
        </w:tc>
        <w:tc>
          <w:tcPr>
            <w:tcW w:w="4100" w:type="dxa"/>
            <w:vAlign w:val="bottom"/>
            <w:gridSpan w:val="30"/>
          </w:tcPr>
          <w:p>
            <w:pPr>
              <w:ind w:left="60"/>
              <w:spacing w:after="0" w:line="169" w:lineRule="exact"/>
              <w:rPr>
                <w:rFonts w:ascii="Arial" w:cs="Arial" w:eastAsia="Arial" w:hAnsi="Arial"/>
                <w:sz w:val="18"/>
                <w:szCs w:val="18"/>
                <w:color w:val="0000FF"/>
              </w:rPr>
            </w:pPr>
            <w:hyperlink w:anchor="page249">
              <w:r>
                <w:rPr>
                  <w:rFonts w:ascii="Arial" w:cs="Arial" w:eastAsia="Arial" w:hAnsi="Arial"/>
                  <w:sz w:val="18"/>
                  <w:szCs w:val="18"/>
                  <w:color w:val="0000FF"/>
                </w:rPr>
                <w:t>&amp; Touche LLP, Independent Registered Public</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w:anchor="page249">
              <w:r>
                <w:rPr>
                  <w:rFonts w:ascii="Arial" w:cs="Arial" w:eastAsia="Arial" w:hAnsi="Arial"/>
                  <w:sz w:val="18"/>
                  <w:szCs w:val="18"/>
                  <w:color w:val="0000FF"/>
                  <w:w w:val="93"/>
                </w:rPr>
                <w:t>Accounting Firm.</w:t>
              </w:r>
            </w:hyperlink>
          </w:p>
        </w:tc>
        <w:tc>
          <w:tcPr>
            <w:tcW w:w="20" w:type="dxa"/>
            <w:vAlign w:val="bottom"/>
            <w:tcBorders>
              <w:top w:val="single" w:sz="8" w:color="0000FF"/>
              <w:bottom w:val="single" w:sz="8" w:color="0000EE"/>
            </w:tcBorders>
          </w:tcPr>
          <w:p>
            <w:pPr>
              <w:spacing w:after="0"/>
              <w:rPr>
                <w:sz w:val="13"/>
                <w:szCs w:val="13"/>
                <w:color w:val="auto"/>
              </w:rPr>
            </w:pPr>
          </w:p>
        </w:tc>
        <w:tc>
          <w:tcPr>
            <w:tcW w:w="3560" w:type="dxa"/>
            <w:vAlign w:val="bottom"/>
            <w:tcBorders>
              <w:top w:val="single" w:sz="8" w:color="0000FF"/>
            </w:tcBorders>
            <w:gridSpan w:val="18"/>
          </w:tcPr>
          <w:p>
            <w:pPr>
              <w:spacing w:after="0"/>
              <w:rPr>
                <w:sz w:val="13"/>
                <w:szCs w:val="13"/>
                <w:color w:val="auto"/>
              </w:rPr>
            </w:pPr>
          </w:p>
        </w:tc>
        <w:tc>
          <w:tcPr>
            <w:tcW w:w="24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193">
              <w:r>
                <w:rPr>
                  <w:rFonts w:ascii="Arial" w:cs="Arial" w:eastAsia="Arial" w:hAnsi="Arial"/>
                  <w:sz w:val="18"/>
                  <w:szCs w:val="18"/>
                  <w:color w:val="0000FF"/>
                  <w:w w:val="89"/>
                </w:rPr>
                <w:t>Power of Attorney</w:t>
              </w:r>
            </w:hyperlink>
          </w:p>
        </w:tc>
        <w:tc>
          <w:tcPr>
            <w:tcW w:w="4200" w:type="dxa"/>
            <w:vAlign w:val="bottom"/>
            <w:tcBorders>
              <w:bottom w:val="single" w:sz="8" w:color="0000FF"/>
            </w:tcBorders>
            <w:gridSpan w:val="31"/>
          </w:tcPr>
          <w:p>
            <w:pPr>
              <w:jc w:val="right"/>
              <w:ind w:right="40"/>
              <w:spacing w:after="0" w:line="169" w:lineRule="exact"/>
              <w:rPr>
                <w:rFonts w:ascii="Arial" w:cs="Arial" w:eastAsia="Arial" w:hAnsi="Arial"/>
                <w:sz w:val="18"/>
                <w:szCs w:val="18"/>
                <w:color w:val="0000FF"/>
                <w:w w:val="91"/>
              </w:rPr>
            </w:pPr>
            <w:hyperlink w:anchor="page193">
              <w:r>
                <w:rPr>
                  <w:rFonts w:ascii="Arial" w:cs="Arial" w:eastAsia="Arial" w:hAnsi="Arial"/>
                  <w:sz w:val="18"/>
                  <w:szCs w:val="18"/>
                  <w:color w:val="0000FF"/>
                  <w:w w:val="91"/>
                </w:rPr>
                <w:t>(included on the signature page to this Annual Report on</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37"/>
          </w:tcPr>
          <w:p>
            <w:pPr>
              <w:spacing w:after="0" w:line="156" w:lineRule="exact"/>
              <w:rPr>
                <w:rFonts w:ascii="Arial" w:cs="Arial" w:eastAsia="Arial" w:hAnsi="Arial"/>
                <w:sz w:val="18"/>
                <w:szCs w:val="18"/>
                <w:color w:val="0000FF"/>
              </w:rPr>
            </w:pPr>
            <w:hyperlink w:anchor="page193">
              <w:r>
                <w:rPr>
                  <w:rFonts w:ascii="Arial" w:cs="Arial" w:eastAsia="Arial" w:hAnsi="Arial"/>
                  <w:sz w:val="18"/>
                  <w:szCs w:val="18"/>
                  <w:color w:val="0000FF"/>
                </w:rPr>
                <w:t>Form 10-K).</w:t>
              </w:r>
            </w:hyperlink>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tcBorders>
            <w:gridSpan w:val="4"/>
          </w:tcPr>
          <w:p>
            <w:pPr>
              <w:spacing w:after="0" w:line="169" w:lineRule="exact"/>
              <w:rPr>
                <w:rFonts w:ascii="Arial" w:cs="Arial" w:eastAsia="Arial" w:hAnsi="Arial"/>
                <w:sz w:val="18"/>
                <w:szCs w:val="18"/>
                <w:color w:val="0000FF"/>
                <w:w w:val="94"/>
              </w:rPr>
            </w:pPr>
            <w:hyperlink w:anchor="page250">
              <w:r>
                <w:rPr>
                  <w:rFonts w:ascii="Arial" w:cs="Arial" w:eastAsia="Arial" w:hAnsi="Arial"/>
                  <w:sz w:val="18"/>
                  <w:szCs w:val="18"/>
                  <w:color w:val="0000FF"/>
                  <w:w w:val="94"/>
                </w:rPr>
                <w:t>Certification</w:t>
              </w:r>
            </w:hyperlink>
          </w:p>
        </w:tc>
        <w:tc>
          <w:tcPr>
            <w:tcW w:w="4580" w:type="dxa"/>
            <w:vAlign w:val="bottom"/>
            <w:gridSpan w:val="33"/>
          </w:tcPr>
          <w:p>
            <w:pPr>
              <w:ind w:left="40"/>
              <w:spacing w:after="0" w:line="169" w:lineRule="exact"/>
              <w:rPr>
                <w:rFonts w:ascii="Arial" w:cs="Arial" w:eastAsia="Arial" w:hAnsi="Arial"/>
                <w:sz w:val="18"/>
                <w:szCs w:val="18"/>
                <w:color w:val="0000FF"/>
                <w:w w:val="97"/>
              </w:rPr>
            </w:pPr>
            <w:hyperlink w:anchor="page250">
              <w:r>
                <w:rPr>
                  <w:rFonts w:ascii="Arial" w:cs="Arial" w:eastAsia="Arial" w:hAnsi="Arial"/>
                  <w:sz w:val="18"/>
                  <w:szCs w:val="18"/>
                  <w:color w:val="0000FF"/>
                  <w:w w:val="97"/>
                </w:rPr>
                <w:t>of Principal Executive Officer Pursuant to Rules 13a-14(a)</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w:anchor="page250">
              <w:r>
                <w:rPr>
                  <w:rFonts w:ascii="Arial" w:cs="Arial" w:eastAsia="Arial" w:hAnsi="Arial"/>
                  <w:sz w:val="18"/>
                  <w:szCs w:val="18"/>
                  <w:color w:val="0000FF"/>
                  <w:w w:val="92"/>
                </w:rPr>
                <w:t>and 15d-14(a) under the Securities Exchange Act of 1934, as Adopted</w:t>
              </w:r>
            </w:hyperlink>
          </w:p>
        </w:tc>
        <w:tc>
          <w:tcPr>
            <w:tcW w:w="2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w:anchor="page250">
              <w:r>
                <w:rPr>
                  <w:rFonts w:ascii="Arial" w:cs="Arial" w:eastAsia="Arial" w:hAnsi="Arial"/>
                  <w:sz w:val="18"/>
                  <w:szCs w:val="18"/>
                  <w:color w:val="0000FF"/>
                  <w:w w:val="90"/>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760" w:type="dxa"/>
            <w:vAlign w:val="bottom"/>
            <w:tcBorders>
              <w:top w:val="single" w:sz="8" w:color="0000FF"/>
            </w:tcBorders>
            <w:gridSpan w:val="8"/>
          </w:tcPr>
          <w:p>
            <w:pPr>
              <w:spacing w:after="0"/>
              <w:rPr>
                <w:sz w:val="13"/>
                <w:szCs w:val="13"/>
                <w:color w:val="auto"/>
              </w:rPr>
            </w:pPr>
          </w:p>
        </w:tc>
        <w:tc>
          <w:tcPr>
            <w:tcW w:w="3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bottom w:val="single" w:sz="8" w:color="0000FF"/>
            </w:tcBorders>
            <w:gridSpan w:val="21"/>
          </w:tcPr>
          <w:p>
            <w:pPr>
              <w:spacing w:after="0" w:line="169" w:lineRule="exact"/>
              <w:rPr>
                <w:rFonts w:ascii="Arial" w:cs="Arial" w:eastAsia="Arial" w:hAnsi="Arial"/>
                <w:sz w:val="18"/>
                <w:szCs w:val="18"/>
                <w:color w:val="0000FF"/>
                <w:w w:val="91"/>
              </w:rPr>
            </w:pPr>
            <w:hyperlink w:anchor="page251">
              <w:r>
                <w:rPr>
                  <w:rFonts w:ascii="Arial" w:cs="Arial" w:eastAsia="Arial" w:hAnsi="Arial"/>
                  <w:sz w:val="18"/>
                  <w:szCs w:val="18"/>
                  <w:color w:val="0000FF"/>
                  <w:w w:val="91"/>
                </w:rPr>
                <w:t>Certification of Principal Financial Officer Pursuant to Rules</w:t>
              </w:r>
            </w:hyperlink>
          </w:p>
        </w:tc>
        <w:tc>
          <w:tcPr>
            <w:tcW w:w="1160" w:type="dxa"/>
            <w:vAlign w:val="bottom"/>
            <w:tcBorders>
              <w:bottom w:val="single" w:sz="8" w:color="0000FF"/>
            </w:tcBorders>
            <w:gridSpan w:val="16"/>
          </w:tcPr>
          <w:p>
            <w:pPr>
              <w:ind w:left="100"/>
              <w:spacing w:after="0" w:line="169" w:lineRule="exact"/>
              <w:rPr>
                <w:rFonts w:ascii="Arial" w:cs="Arial" w:eastAsia="Arial" w:hAnsi="Arial"/>
                <w:sz w:val="18"/>
                <w:szCs w:val="18"/>
                <w:color w:val="0000FF"/>
                <w:w w:val="91"/>
              </w:rPr>
            </w:pPr>
            <w:hyperlink w:anchor="page251">
              <w:r>
                <w:rPr>
                  <w:rFonts w:ascii="Arial" w:cs="Arial" w:eastAsia="Arial" w:hAnsi="Arial"/>
                  <w:sz w:val="18"/>
                  <w:szCs w:val="18"/>
                  <w:color w:val="0000FF"/>
                  <w:w w:val="91"/>
                </w:rPr>
                <w:t>13a-14(a) and</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37"/>
          </w:tcPr>
          <w:p>
            <w:pPr>
              <w:spacing w:after="0" w:line="156" w:lineRule="exact"/>
              <w:rPr>
                <w:rFonts w:ascii="Arial" w:cs="Arial" w:eastAsia="Arial" w:hAnsi="Arial"/>
                <w:sz w:val="18"/>
                <w:szCs w:val="18"/>
                <w:color w:val="0000FF"/>
                <w:w w:val="90"/>
              </w:rPr>
            </w:pPr>
            <w:hyperlink w:anchor="page251">
              <w:r>
                <w:rPr>
                  <w:rFonts w:ascii="Arial" w:cs="Arial" w:eastAsia="Arial" w:hAnsi="Arial"/>
                  <w:sz w:val="18"/>
                  <w:szCs w:val="18"/>
                  <w:color w:val="0000FF"/>
                  <w:w w:val="90"/>
                </w:rPr>
                <w:t>15d-14(a) under the Securities Exchange Act of 1934, as Adopted Pursuant</w:t>
              </w:r>
            </w:hyperlink>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w:anchor="page251">
              <w:r>
                <w:rPr>
                  <w:rFonts w:ascii="Arial" w:cs="Arial" w:eastAsia="Arial" w:hAnsi="Arial"/>
                  <w:sz w:val="18"/>
                  <w:szCs w:val="18"/>
                  <w:color w:val="0000FF"/>
                  <w:w w:val="90"/>
                </w:rPr>
                <w:t>to Section 302 of the Sarbanes-Oxley Act of 2002.</w:t>
              </w:r>
            </w:hyperlink>
          </w:p>
        </w:tc>
        <w:tc>
          <w:tcPr>
            <w:tcW w:w="18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140" w:type="dxa"/>
            <w:vAlign w:val="bottom"/>
          </w:tcPr>
          <w:p>
            <w:pPr>
              <w:spacing w:after="0"/>
              <w:rPr>
                <w:sz w:val="24"/>
                <w:szCs w:val="24"/>
                <w:color w:val="auto"/>
              </w:rPr>
            </w:pPr>
          </w:p>
        </w:tc>
        <w:tc>
          <w:tcPr>
            <w:tcW w:w="4780" w:type="dxa"/>
            <w:vAlign w:val="bottom"/>
            <w:gridSpan w:val="24"/>
          </w:tcPr>
          <w:p>
            <w:pPr>
              <w:jc w:val="right"/>
              <w:ind w:right="7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1" w:name="page192"/>
    <w:bookmarkEnd w:id="191"/>
    <w:tbl>
      <w:tblPr>
        <w:tblLayout w:type="fixed"/>
        <w:tblInd w:w="12"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544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252">
              <w:r>
                <w:rPr>
                  <w:rFonts w:ascii="Arial" w:cs="Arial" w:eastAsia="Arial" w:hAnsi="Arial"/>
                  <w:sz w:val="18"/>
                  <w:szCs w:val="18"/>
                  <w:color w:val="0000FF"/>
                  <w:w w:val="94"/>
                </w:rPr>
                <w:t>Certification of Principal Executive Officer and Principal Financial Officer</w:t>
              </w:r>
            </w:hyperlink>
          </w:p>
        </w:tc>
        <w:tc>
          <w:tcPr>
            <w:tcW w:w="20" w:type="dxa"/>
            <w:vAlign w:val="bottom"/>
          </w:tcPr>
          <w:p>
            <w:pPr>
              <w:spacing w:after="0"/>
              <w:rPr>
                <w:sz w:val="17"/>
                <w:szCs w:val="17"/>
                <w:color w:val="auto"/>
              </w:rPr>
            </w:pPr>
          </w:p>
        </w:tc>
      </w:tr>
      <w:tr>
        <w:trPr>
          <w:trHeight w:val="155"/>
        </w:trPr>
        <w:tc>
          <w:tcPr>
            <w:tcW w:w="1260" w:type="dxa"/>
            <w:vAlign w:val="bottom"/>
          </w:tcPr>
          <w:p>
            <w:pPr>
              <w:spacing w:after="0"/>
              <w:rPr>
                <w:sz w:val="13"/>
                <w:szCs w:val="13"/>
                <w:color w:val="auto"/>
              </w:rPr>
            </w:pPr>
          </w:p>
        </w:tc>
        <w:tc>
          <w:tcPr>
            <w:tcW w:w="544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w:anchor="page252">
              <w:r>
                <w:rPr>
                  <w:rFonts w:ascii="Arial" w:cs="Arial" w:eastAsia="Arial" w:hAnsi="Arial"/>
                  <w:sz w:val="18"/>
                  <w:szCs w:val="18"/>
                  <w:color w:val="0000FF"/>
                  <w:w w:val="89"/>
                </w:rPr>
                <w:t>Pursuant to 18 U.S.C. Section 1350, as Adopted Pursuant to Section 906 of</w:t>
              </w:r>
            </w:hyperlink>
          </w:p>
        </w:tc>
        <w:tc>
          <w:tcPr>
            <w:tcW w:w="20" w:type="dxa"/>
            <w:vAlign w:val="bottom"/>
            <w:tcBorders>
              <w:bottom w:val="single" w:sz="8" w:color="0000FF"/>
            </w:tcBorders>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5440" w:type="dxa"/>
            <w:vAlign w:val="bottom"/>
            <w:gridSpan w:val="3"/>
          </w:tcPr>
          <w:p>
            <w:pPr>
              <w:spacing w:after="0" w:line="156" w:lineRule="exact"/>
              <w:rPr>
                <w:rFonts w:ascii="Arial" w:cs="Arial" w:eastAsia="Arial" w:hAnsi="Arial"/>
                <w:sz w:val="18"/>
                <w:szCs w:val="18"/>
                <w:color w:val="0000FF"/>
              </w:rPr>
            </w:pPr>
            <w:hyperlink w:anchor="page252">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r>
      <w:tr>
        <w:trPr>
          <w:trHeight w:val="155"/>
        </w:trPr>
        <w:tc>
          <w:tcPr>
            <w:tcW w:w="1260" w:type="dxa"/>
            <w:vAlign w:val="bottom"/>
          </w:tcPr>
          <w:p>
            <w:pPr>
              <w:spacing w:after="0" w:line="156" w:lineRule="exact"/>
              <w:rPr>
                <w:sz w:val="20"/>
                <w:szCs w:val="20"/>
                <w:color w:val="auto"/>
              </w:rPr>
            </w:pPr>
            <w:r>
              <w:rPr>
                <w:rFonts w:ascii="Arial" w:cs="Arial" w:eastAsia="Arial" w:hAnsi="Arial"/>
                <w:sz w:val="18"/>
                <w:szCs w:val="18"/>
                <w:color w:val="auto"/>
              </w:rPr>
              <w:t>101.INS*</w:t>
            </w:r>
          </w:p>
        </w:tc>
        <w:tc>
          <w:tcPr>
            <w:tcW w:w="236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auto"/>
                <w:w w:val="91"/>
              </w:rPr>
              <w:t>Inline XBRL Instance Document</w:t>
            </w:r>
          </w:p>
        </w:tc>
        <w:tc>
          <w:tcPr>
            <w:tcW w:w="20" w:type="dxa"/>
            <w:vAlign w:val="bottom"/>
            <w:tcBorders>
              <w:top w:val="single" w:sz="8" w:color="0000EE"/>
            </w:tcBorders>
          </w:tcPr>
          <w:p>
            <w:pPr>
              <w:spacing w:after="0"/>
              <w:rPr>
                <w:sz w:val="13"/>
                <w:szCs w:val="13"/>
                <w:color w:val="auto"/>
              </w:rPr>
            </w:pPr>
          </w:p>
        </w:tc>
        <w:tc>
          <w:tcPr>
            <w:tcW w:w="3060" w:type="dxa"/>
            <w:vAlign w:val="bottom"/>
          </w:tcPr>
          <w:p>
            <w:pPr>
              <w:ind w:left="40"/>
              <w:spacing w:after="0" w:line="156" w:lineRule="exact"/>
              <w:rPr>
                <w:sz w:val="20"/>
                <w:szCs w:val="20"/>
                <w:color w:val="auto"/>
              </w:rPr>
            </w:pPr>
            <w:r>
              <w:rPr>
                <w:rFonts w:ascii="Arial" w:cs="Arial" w:eastAsia="Arial" w:hAnsi="Arial"/>
                <w:sz w:val="18"/>
                <w:szCs w:val="18"/>
                <w:color w:val="auto"/>
                <w:w w:val="90"/>
              </w:rPr>
              <w:t>– the instance document does not appear</w:t>
            </w:r>
          </w:p>
        </w:tc>
        <w:tc>
          <w:tcPr>
            <w:tcW w:w="20" w:type="dxa"/>
            <w:vAlign w:val="bottom"/>
          </w:tcPr>
          <w:p>
            <w:pPr>
              <w:spacing w:after="0"/>
              <w:rPr>
                <w:sz w:val="13"/>
                <w:szCs w:val="13"/>
                <w:color w:val="auto"/>
              </w:rPr>
            </w:pPr>
          </w:p>
        </w:tc>
      </w:tr>
      <w:tr>
        <w:trPr>
          <w:trHeight w:val="176"/>
        </w:trPr>
        <w:tc>
          <w:tcPr>
            <w:tcW w:w="1260" w:type="dxa"/>
            <w:vAlign w:val="bottom"/>
          </w:tcPr>
          <w:p>
            <w:pPr>
              <w:spacing w:after="0"/>
              <w:rPr>
                <w:sz w:val="15"/>
                <w:szCs w:val="15"/>
                <w:color w:val="auto"/>
              </w:rPr>
            </w:pPr>
          </w:p>
        </w:tc>
        <w:tc>
          <w:tcPr>
            <w:tcW w:w="5440" w:type="dxa"/>
            <w:vAlign w:val="bottom"/>
            <w:gridSpan w:val="3"/>
          </w:tcPr>
          <w:p>
            <w:pPr>
              <w:spacing w:after="0" w:line="176" w:lineRule="exact"/>
              <w:rPr>
                <w:sz w:val="20"/>
                <w:szCs w:val="20"/>
                <w:color w:val="auto"/>
              </w:rPr>
            </w:pPr>
            <w:r>
              <w:rPr>
                <w:rFonts w:ascii="Arial" w:cs="Arial" w:eastAsia="Arial" w:hAnsi="Arial"/>
                <w:sz w:val="18"/>
                <w:szCs w:val="18"/>
                <w:color w:val="auto"/>
                <w:w w:val="94"/>
              </w:rPr>
              <w:t>in the Interactive Data File because XBRL tags are embedded within the</w:t>
            </w:r>
          </w:p>
        </w:tc>
        <w:tc>
          <w:tcPr>
            <w:tcW w:w="20" w:type="dxa"/>
            <w:vAlign w:val="bottom"/>
          </w:tcPr>
          <w:p>
            <w:pPr>
              <w:spacing w:after="0"/>
              <w:rPr>
                <w:sz w:val="15"/>
                <w:szCs w:val="15"/>
                <w:color w:val="auto"/>
              </w:rPr>
            </w:pPr>
          </w:p>
        </w:tc>
      </w:tr>
      <w:tr>
        <w:trPr>
          <w:trHeight w:val="188"/>
        </w:trPr>
        <w:tc>
          <w:tcPr>
            <w:tcW w:w="1260" w:type="dxa"/>
            <w:vAlign w:val="bottom"/>
          </w:tcPr>
          <w:p>
            <w:pPr>
              <w:spacing w:after="0"/>
              <w:rPr>
                <w:sz w:val="16"/>
                <w:szCs w:val="16"/>
                <w:color w:val="auto"/>
              </w:rPr>
            </w:pP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document.</w:t>
            </w:r>
          </w:p>
        </w:tc>
        <w:tc>
          <w:tcPr>
            <w:tcW w:w="20" w:type="dxa"/>
            <w:vAlign w:val="bottom"/>
          </w:tcPr>
          <w:p>
            <w:pPr>
              <w:spacing w:after="0"/>
              <w:rPr>
                <w:sz w:val="16"/>
                <w:szCs w:val="16"/>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6"/>
                <w:szCs w:val="16"/>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6"/>
                <w:szCs w:val="16"/>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6"/>
                <w:szCs w:val="16"/>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6"/>
                <w:szCs w:val="16"/>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16"/>
                <w:szCs w:val="16"/>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440" w:type="dxa"/>
            <w:vAlign w:val="bottom"/>
            <w:gridSpan w:val="3"/>
          </w:tcPr>
          <w:p>
            <w:pPr>
              <w:spacing w:after="0" w:line="176" w:lineRule="exact"/>
              <w:rPr>
                <w:sz w:val="20"/>
                <w:szCs w:val="20"/>
                <w:color w:val="auto"/>
              </w:rPr>
            </w:pPr>
            <w:r>
              <w:rPr>
                <w:rFonts w:ascii="Arial" w:cs="Arial" w:eastAsia="Arial" w:hAnsi="Arial"/>
                <w:sz w:val="18"/>
                <w:szCs w:val="18"/>
                <w:color w:val="auto"/>
              </w:rPr>
              <w:t>Cover Page Interactive Data File (embedded within the Inline XBRL</w:t>
            </w:r>
          </w:p>
        </w:tc>
        <w:tc>
          <w:tcPr>
            <w:tcW w:w="20" w:type="dxa"/>
            <w:vAlign w:val="bottom"/>
          </w:tcPr>
          <w:p>
            <w:pPr>
              <w:spacing w:after="0"/>
              <w:rPr>
                <w:sz w:val="15"/>
                <w:szCs w:val="15"/>
                <w:color w:val="auto"/>
              </w:rPr>
            </w:pPr>
          </w:p>
        </w:tc>
      </w:tr>
      <w:tr>
        <w:trPr>
          <w:trHeight w:val="230"/>
        </w:trPr>
        <w:tc>
          <w:tcPr>
            <w:tcW w:w="126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9512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4" w:lineRule="exact"/>
        <w:rPr>
          <w:sz w:val="20"/>
          <w:szCs w:val="20"/>
          <w:color w:val="auto"/>
        </w:rPr>
      </w:pPr>
    </w:p>
    <w:p>
      <w:pPr>
        <w:ind w:left="352" w:hanging="352"/>
        <w:spacing w:after="0"/>
        <w:tabs>
          <w:tab w:leader="none" w:pos="352"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Filed herewith</w:t>
      </w:r>
      <w:r>
        <w:rPr>
          <w:rFonts w:ascii="Arial" w:cs="Arial" w:eastAsia="Arial" w:hAnsi="Arial"/>
          <w:sz w:val="18"/>
          <w:szCs w:val="18"/>
          <w:b w:val="1"/>
          <w:bCs w:val="1"/>
          <w:color w:val="auto"/>
        </w:rPr>
        <w:t>.</w:t>
      </w:r>
    </w:p>
    <w:p>
      <w:pPr>
        <w:spacing w:after="0" w:line="108" w:lineRule="exact"/>
        <w:rPr>
          <w:sz w:val="20"/>
          <w:szCs w:val="20"/>
          <w:color w:val="auto"/>
        </w:rPr>
      </w:pPr>
    </w:p>
    <w:p>
      <w:pPr>
        <w:ind w:left="-8" w:right="5960" w:firstLine="8"/>
        <w:spacing w:after="0" w:line="378" w:lineRule="auto"/>
        <w:tabs>
          <w:tab w:leader="none" w:pos="352"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Confidential treatment granted for certain portions of this exhibit. + Management contract, compensatory plan or agreement.</w:t>
      </w:r>
    </w:p>
    <w:p>
      <w:pPr>
        <w:spacing w:after="0" w:line="5" w:lineRule="exact"/>
        <w:rPr>
          <w:sz w:val="20"/>
          <w:szCs w:val="20"/>
          <w:color w:val="auto"/>
        </w:rPr>
      </w:pPr>
    </w:p>
    <w:p>
      <w:pPr>
        <w:ind w:left="-8" w:firstLine="8"/>
        <w:spacing w:after="0" w:line="243" w:lineRule="auto"/>
        <w:tabs>
          <w:tab w:leader="none" w:pos="352"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9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297" w:right="539" w:bottom="1440" w:gutter="0" w:footer="0" w:header="0"/>
        </w:sectPr>
      </w:pPr>
    </w:p>
    <w:bookmarkStart w:id="192" w:name="page193"/>
    <w:bookmarkEnd w:id="192"/>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40" w:type="dxa"/>
            <w:vAlign w:val="bottom"/>
            <w:gridSpan w:val="2"/>
          </w:tcPr>
          <w:p>
            <w:pPr>
              <w:ind w:left="1980"/>
              <w:spacing w:after="0"/>
              <w:rPr>
                <w:sz w:val="20"/>
                <w:szCs w:val="20"/>
                <w:color w:val="auto"/>
              </w:rPr>
            </w:pPr>
            <w:r>
              <w:rPr>
                <w:rFonts w:ascii="Arial" w:cs="Arial" w:eastAsia="Arial" w:hAnsi="Arial"/>
                <w:sz w:val="18"/>
                <w:szCs w:val="18"/>
                <w:color w:val="auto"/>
              </w:rPr>
              <w:t>TENAYA THERAPEUTICS, INC.</w:t>
            </w:r>
          </w:p>
        </w:tc>
      </w:tr>
      <w:tr>
        <w:trPr>
          <w:trHeight w:val="351"/>
        </w:trPr>
        <w:tc>
          <w:tcPr>
            <w:tcW w:w="3580" w:type="dxa"/>
            <w:vAlign w:val="bottom"/>
          </w:tcPr>
          <w:p>
            <w:pPr>
              <w:spacing w:after="0"/>
              <w:rPr>
                <w:sz w:val="20"/>
                <w:szCs w:val="20"/>
                <w:color w:val="auto"/>
              </w:rPr>
            </w:pPr>
            <w:r>
              <w:rPr>
                <w:rFonts w:ascii="Arial" w:cs="Arial" w:eastAsia="Arial" w:hAnsi="Arial"/>
                <w:sz w:val="18"/>
                <w:szCs w:val="18"/>
                <w:color w:val="auto"/>
              </w:rPr>
              <w:t>Date: March 23, 2022</w:t>
            </w:r>
          </w:p>
        </w:tc>
        <w:tc>
          <w:tcPr>
            <w:tcW w:w="7640" w:type="dxa"/>
            <w:vAlign w:val="bottom"/>
            <w:gridSpan w:val="2"/>
          </w:tcPr>
          <w:p>
            <w:pPr>
              <w:ind w:left="1980"/>
              <w:spacing w:after="0"/>
              <w:rPr>
                <w:sz w:val="20"/>
                <w:szCs w:val="20"/>
                <w:color w:val="auto"/>
              </w:rPr>
            </w:pPr>
            <w:r>
              <w:rPr>
                <w:rFonts w:ascii="Arial" w:cs="Arial" w:eastAsia="Arial" w:hAnsi="Arial"/>
                <w:sz w:val="18"/>
                <w:szCs w:val="18"/>
                <w:color w:val="auto"/>
              </w:rPr>
              <w:t>By:   /s/ Faraz Ali, M.B.A.</w:t>
            </w:r>
          </w:p>
        </w:tc>
      </w:tr>
      <w:tr>
        <w:trPr>
          <w:trHeight w:val="151"/>
        </w:trPr>
        <w:tc>
          <w:tcPr>
            <w:tcW w:w="3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200" w:type="dxa"/>
            <w:vAlign w:val="bottom"/>
            <w:tcBorders>
              <w:top w:val="single" w:sz="8" w:color="auto"/>
            </w:tcBorders>
          </w:tcPr>
          <w:p>
            <w:pPr>
              <w:ind w:left="20"/>
              <w:spacing w:after="0" w:line="150" w:lineRule="exact"/>
              <w:rPr>
                <w:sz w:val="20"/>
                <w:szCs w:val="20"/>
                <w:color w:val="auto"/>
              </w:rPr>
            </w:pPr>
            <w:r>
              <w:rPr>
                <w:rFonts w:ascii="Arial" w:cs="Arial" w:eastAsia="Arial" w:hAnsi="Arial"/>
                <w:sz w:val="17"/>
                <w:szCs w:val="17"/>
                <w:b w:val="1"/>
                <w:bCs w:val="1"/>
                <w:color w:val="auto"/>
              </w:rPr>
              <w:t>Faraz Ali, M.B.A.</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bl>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Faraz Ali and Leone Patterson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Faraz Ali, M.B.A.</w:t>
            </w:r>
          </w:p>
        </w:tc>
        <w:tc>
          <w:tcPr>
            <w:tcW w:w="100" w:type="dxa"/>
            <w:vAlign w:val="bottom"/>
          </w:tcPr>
          <w:p>
            <w:pPr>
              <w:spacing w:after="0"/>
              <w:rPr>
                <w:sz w:val="24"/>
                <w:szCs w:val="24"/>
                <w:color w:val="auto"/>
              </w:rPr>
            </w:pPr>
          </w:p>
        </w:tc>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Faraz Ali, M.B.A.</w:t>
            </w:r>
          </w:p>
        </w:tc>
        <w:tc>
          <w:tcPr>
            <w:tcW w:w="10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40" w:type="dxa"/>
            <w:vAlign w:val="bottom"/>
          </w:tcPr>
          <w:p>
            <w:pPr>
              <w:ind w:left="20"/>
              <w:spacing w:after="0"/>
              <w:rPr>
                <w:sz w:val="20"/>
                <w:szCs w:val="20"/>
                <w:color w:val="auto"/>
              </w:rPr>
            </w:pPr>
            <w:r>
              <w:rPr>
                <w:rFonts w:ascii="Arial" w:cs="Arial" w:eastAsia="Arial" w:hAnsi="Arial"/>
                <w:sz w:val="18"/>
                <w:szCs w:val="18"/>
                <w:color w:val="auto"/>
              </w:rPr>
              <w:t>/s/ Leone D. Patterson, M.B.A.</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Chief Financial and Business Officer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Leone D. Patterson, M.B.A.</w:t>
            </w:r>
          </w:p>
        </w:tc>
        <w:tc>
          <w:tcPr>
            <w:tcW w:w="100" w:type="dxa"/>
            <w:vAlign w:val="bottom"/>
          </w:tcPr>
          <w:p>
            <w:pPr>
              <w:spacing w:after="0"/>
              <w:rPr>
                <w:sz w:val="15"/>
                <w:szCs w:val="15"/>
                <w:color w:val="auto"/>
              </w:rPr>
            </w:pPr>
          </w:p>
        </w:tc>
        <w:tc>
          <w:tcPr>
            <w:tcW w:w="4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 Casdin, M.B.A.</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Eli Casdin, M.B.A.</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Jin-Long Chen, Ph.D.</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Jin-Long Chen, Ph.D.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V. Goeddel, Ph.D.</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David V. Goeddel, Ph.D.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June Lee, M.D.</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June Lee, M.D.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Karah Parschauer</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Karah Parschauer</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Deepak Srivastava, M.D.</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Deepak Srivastava, M.D.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940" w:type="dxa"/>
            <w:vAlign w:val="bottom"/>
          </w:tcPr>
          <w:p>
            <w:pPr>
              <w:ind w:left="20"/>
              <w:spacing w:after="0"/>
              <w:rPr>
                <w:sz w:val="20"/>
                <w:szCs w:val="20"/>
                <w:color w:val="auto"/>
              </w:rPr>
            </w:pPr>
            <w:r>
              <w:rPr>
                <w:rFonts w:ascii="Arial" w:cs="Arial" w:eastAsia="Arial" w:hAnsi="Arial"/>
                <w:sz w:val="18"/>
                <w:szCs w:val="18"/>
                <w:color w:val="auto"/>
              </w:rPr>
              <w:t>/s/ Catherine Stehman-Breen, M.D.</w:t>
            </w:r>
          </w:p>
        </w:tc>
        <w:tc>
          <w:tcPr>
            <w:tcW w:w="100" w:type="dxa"/>
            <w:vAlign w:val="bottom"/>
          </w:tcPr>
          <w:p>
            <w:pPr>
              <w:spacing w:after="0"/>
              <w:rPr>
                <w:sz w:val="22"/>
                <w:szCs w:val="22"/>
                <w:color w:val="auto"/>
              </w:rPr>
            </w:pPr>
          </w:p>
        </w:tc>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2"/>
                <w:szCs w:val="22"/>
                <w:color w:val="auto"/>
              </w:rPr>
            </w:pP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Catherine Stehman-Breen, M.D.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T. Walsh, M.B.A.</w:t>
            </w:r>
          </w:p>
        </w:tc>
        <w:tc>
          <w:tcPr>
            <w:tcW w:w="10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Jeffrey T. Walsh, M.B.A.</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Sanders (Sandy) Williams, M.D.</w:t>
            </w:r>
          </w:p>
        </w:tc>
        <w:tc>
          <w:tcPr>
            <w:tcW w:w="10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23,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R. Sanders (Sandy) Williams, M.D.</w:t>
            </w:r>
          </w:p>
        </w:tc>
        <w:tc>
          <w:tcPr>
            <w:tcW w:w="1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6"/>
        </w:trPr>
        <w:tc>
          <w:tcPr>
            <w:tcW w:w="3940" w:type="dxa"/>
            <w:vAlign w:val="bottom"/>
          </w:tcPr>
          <w:p>
            <w:pPr>
              <w:spacing w:after="0"/>
              <w:rPr>
                <w:sz w:val="24"/>
                <w:szCs w:val="24"/>
                <w:color w:val="auto"/>
              </w:rPr>
            </w:pPr>
          </w:p>
        </w:tc>
        <w:tc>
          <w:tcPr>
            <w:tcW w:w="4740" w:type="dxa"/>
            <w:vAlign w:val="bottom"/>
            <w:gridSpan w:val="2"/>
          </w:tcPr>
          <w:p>
            <w:pPr>
              <w:jc w:val="right"/>
              <w:ind w:right="28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4.3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Tenaya Therapeutics, Inc. (“we,” “our,” or “us”) has one class of securities registered under Section 12 of the Securities Exchange Act of 1934, as amended (the “Exchange Act”): our common stock $0.0001 par value per share. 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and incorporated by reference as exhibits to our Annual Report on Form 10-K of which this Exhibit 4.3 is a part.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capital stock consists of 1,200,000,000 shares, $0.0001 par value per share, of which:</w:t>
      </w:r>
    </w:p>
    <w:p>
      <w:pPr>
        <w:spacing w:after="0" w:line="202" w:lineRule="exact"/>
        <w:rPr>
          <w:sz w:val="20"/>
          <w:szCs w:val="20"/>
          <w:color w:val="auto"/>
        </w:rPr>
      </w:pPr>
    </w:p>
    <w:p>
      <w:pPr>
        <w:ind w:left="760" w:hanging="378"/>
        <w:spacing w:after="0"/>
        <w:tabs>
          <w:tab w:leader="none" w:pos="7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1,000,000,000 shares are designated as common stock; and</w:t>
      </w:r>
    </w:p>
    <w:p>
      <w:pPr>
        <w:spacing w:after="0" w:line="202" w:lineRule="exact"/>
        <w:rPr>
          <w:rFonts w:ascii="Arial" w:cs="Arial" w:eastAsia="Arial" w:hAnsi="Arial"/>
          <w:sz w:val="20"/>
          <w:szCs w:val="20"/>
          <w:color w:val="auto"/>
        </w:rPr>
      </w:pPr>
    </w:p>
    <w:p>
      <w:pPr>
        <w:ind w:left="760" w:hanging="378"/>
        <w:spacing w:after="0"/>
        <w:tabs>
          <w:tab w:leader="none" w:pos="7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200,000,000 shares are designated as preferred stock.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Our common stock is listed on the Nasdaq Global Stock Market under the trading symbol “TNYA.” The transfer agent and registrar for our common stock is Computershare Trust Company, N.A. The transfer agent and registrar’s address is 150 Royall Street, Canton, Massachusetts 02021.</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our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02" w:lineRule="exact"/>
        <w:rPr>
          <w:sz w:val="20"/>
          <w:szCs w:val="20"/>
          <w:color w:val="auto"/>
        </w:rPr>
      </w:pPr>
    </w:p>
    <w:p>
      <w:pPr>
        <w:ind w:right="560"/>
        <w:spacing w:after="0" w:line="237" w:lineRule="auto"/>
        <w:rPr>
          <w:sz w:val="20"/>
          <w:szCs w:val="20"/>
          <w:color w:val="auto"/>
        </w:rPr>
      </w:pPr>
      <w:r>
        <w:rPr>
          <w:rFonts w:ascii="Arial" w:cs="Arial" w:eastAsia="Arial" w:hAnsi="Arial"/>
          <w:sz w:val="20"/>
          <w:szCs w:val="20"/>
          <w:color w:val="auto"/>
        </w:rPr>
        <w:t>Subject to preferences that may apply to any outstanding shares of preferred stock, holders of our common stock are entitled to receive dividends, if any, that our board of directors may declare from time to time out of funds legally available for that purpose on a non-cumulative basis and shared ratably.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5" w:name="page196"/>
    <w:bookmarkEnd w:id="195"/>
    <w:p>
      <w:pPr>
        <w:ind w:right="280"/>
        <w:spacing w:after="0" w:line="237" w:lineRule="auto"/>
        <w:rPr>
          <w:sz w:val="20"/>
          <w:szCs w:val="20"/>
          <w:color w:val="auto"/>
        </w:rPr>
      </w:pPr>
      <w:r>
        <w:rPr>
          <w:rFonts w:ascii="Arial" w:cs="Arial" w:eastAsia="Arial" w:hAnsi="Arial"/>
          <w:sz w:val="20"/>
          <w:szCs w:val="20"/>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and Preferences</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We have no present plan to issue any shares of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208"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Certain holders of our common stock are entitled to rights with respect to the registration of their shares under the Securities Act of 1933, as amended (the “Securities Act”). These registration rights are contained in the Amended and Restated Investors’ Rights Agreement dated December 17, 2020 (the “IRA”), which was filed with the SEC and incorporated by reference as an exhibit to our Annual Report on Form 10-K. We will pay the registration expenses (other than underwriting discounts and commissions) of the holders of the shares registered pursuant to the registrations described below. Generally, in an underwritten offering, the managing underwriter, if any, has the right, subject to specified conditions, to limit the number of shares such holders may include.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Demand Registration Rights</w:t>
      </w:r>
    </w:p>
    <w:p>
      <w:pPr>
        <w:spacing w:after="0" w:line="202"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Certain holders of shares of our common stock are entitled to certain demand registration rights. Before the five year anniversary of the date of the IRA, the holders of at least 50% of these shares in the aggregate may, on not more than two occasions, request that we register all or a portion of their shares. Such request for registration must cover shares with anticipated aggregate gross proceeds, before deducting underwriting discounts and expenses, of at least $10.0 million.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Form S-3 Registration Rights</w:t>
      </w:r>
    </w:p>
    <w:p>
      <w:pPr>
        <w:spacing w:after="0" w:line="20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Certain holders of shares of our common stock are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$1,000,000. We will not be required to effect more than two registrations on Form S-3 within any consecutive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b w:val="1"/>
          <w:bCs w:val="1"/>
          <w:i w:val="1"/>
          <w:iCs w:val="1"/>
          <w:color w:val="auto"/>
        </w:rPr>
        <w:t>Piggyback Registration Rights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holders of shares of our common stock are entitled to certain piggyback registration rights. In the event that we propose to register any of our securities under the Securities Act, either for our own account or for the account of other security holders, the holders of these shares will be entitled to include their shares in such registration, subject to certain marketing and other limitations. As a result, whenever we propose to file a registration statement under the Securities Act, other than with respect to (i) a registration solely to employee benefit plans;</w:t>
      </w:r>
    </w:p>
    <w:p>
      <w:pPr>
        <w:jc w:val="both"/>
        <w:ind w:right="180" w:firstLine="8"/>
        <w:spacing w:after="0" w:line="261" w:lineRule="auto"/>
        <w:tabs>
          <w:tab w:leader="none" w:pos="2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to include their shares in the registration.</w:t>
      </w:r>
    </w:p>
    <w:p>
      <w:pPr>
        <w:spacing w:after="0" w:line="158" w:lineRule="exact"/>
        <w:rPr>
          <w:sz w:val="20"/>
          <w:szCs w:val="20"/>
          <w:color w:val="auto"/>
        </w:rPr>
      </w:pPr>
    </w:p>
    <w:p>
      <w:pPr>
        <w:ind w:right="420"/>
        <w:spacing w:after="0" w:line="252" w:lineRule="auto"/>
        <w:rPr>
          <w:sz w:val="20"/>
          <w:szCs w:val="20"/>
          <w:color w:val="auto"/>
        </w:rPr>
      </w:pPr>
      <w:r>
        <w:rPr>
          <w:rFonts w:ascii="Arial" w:cs="Arial" w:eastAsia="Arial" w:hAnsi="Arial"/>
          <w:sz w:val="20"/>
          <w:szCs w:val="20"/>
          <w:b w:val="1"/>
          <w:bCs w:val="1"/>
          <w:color w:val="auto"/>
        </w:rPr>
        <w:t>Anti-Takeover Effects of Certain Provisions of Delaware Law, Our Amended and Restated Certificate of Incorporation and Our Amended and Restated Bylaws</w:t>
      </w:r>
    </w:p>
    <w:p>
      <w:pPr>
        <w:spacing w:after="0" w:line="17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02"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Classified Board</w:t>
      </w:r>
    </w:p>
    <w:p>
      <w:pPr>
        <w:spacing w:after="0" w:line="202"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Our amended and restated certificate of incorporation provides that our board of directors is divided into three classes, designated Class I, Class II and Class III. Each class has an equal number of directors, as nearly as possible, consisting of one third of the total number of directors constituting the entire board of directors. At each annual meeting of stockholders, successors to the class of directors whose term expires at that annual meeting will be elected for a three-year term.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Vacancies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Our amended and restated certificate of incorporation authorizes only our board of directors to fill vacant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b w:val="1"/>
          <w:bCs w:val="1"/>
          <w:i w:val="1"/>
          <w:iCs w:val="1"/>
          <w:color w:val="auto"/>
        </w:rPr>
        <w:t>No Cumulative Voting</w:t>
      </w:r>
    </w:p>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Our amended and restated certificate of incorporation provides that stockholders do not have the right to cumulate votes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Meetings of Stockholders</w:t>
      </w:r>
    </w:p>
    <w:p>
      <w:pPr>
        <w:spacing w:after="0" w:line="202" w:lineRule="exact"/>
        <w:rPr>
          <w:sz w:val="20"/>
          <w:szCs w:val="20"/>
          <w:color w:val="auto"/>
        </w:rPr>
      </w:pPr>
    </w:p>
    <w:p>
      <w:pPr>
        <w:jc w:val="both"/>
        <w:ind w:right="280"/>
        <w:spacing w:after="0" w:line="237" w:lineRule="auto"/>
        <w:rPr>
          <w:sz w:val="20"/>
          <w:szCs w:val="20"/>
          <w:color w:val="auto"/>
        </w:rPr>
      </w:pPr>
      <w:r>
        <w:rPr>
          <w:rFonts w:ascii="Arial" w:cs="Arial" w:eastAsia="Arial" w:hAnsi="Arial"/>
          <w:sz w:val="20"/>
          <w:szCs w:val="20"/>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Advance Notice Procedures for Director Nominations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Action by Written Consent</w:t>
      </w:r>
    </w:p>
    <w:p>
      <w:pPr>
        <w:spacing w:after="0" w:line="202" w:lineRule="exact"/>
        <w:rPr>
          <w:sz w:val="20"/>
          <w:szCs w:val="20"/>
          <w:color w:val="auto"/>
        </w:rPr>
      </w:pPr>
    </w:p>
    <w:p>
      <w:pPr>
        <w:ind w:right="760"/>
        <w:spacing w:after="0" w:line="36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Amending Our Certificate of Incorporation and Bylaws</w:t>
      </w:r>
    </w:p>
    <w:p>
      <w:pPr>
        <w:spacing w:after="0" w:line="202"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But Unissued Shares</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9"/>
          <w:szCs w:val="19"/>
          <w:color w:val="auto"/>
        </w:rPr>
        <w:t>Our authorized but unissued shares of common stock and preferred stock are available for future issuances without stockholder approval, except as required by the listing standards of the Nasdaq Global Select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b w:val="1"/>
          <w:bCs w:val="1"/>
          <w:i w:val="1"/>
          <w:iCs w:val="1"/>
          <w:color w:val="auto"/>
        </w:rPr>
        <w:t>Exclusive Jurisdiction</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Combinations with Interested Stockholders</w:t>
      </w:r>
    </w:p>
    <w:p>
      <w:pPr>
        <w:spacing w:after="0" w:line="202" w:lineRule="exact"/>
        <w:rPr>
          <w:sz w:val="20"/>
          <w:szCs w:val="20"/>
          <w:color w:val="auto"/>
        </w:rPr>
      </w:pPr>
    </w:p>
    <w:p>
      <w:pPr>
        <w:ind w:right="820"/>
        <w:spacing w:after="0" w:line="246" w:lineRule="auto"/>
        <w:rPr>
          <w:sz w:val="20"/>
          <w:szCs w:val="20"/>
          <w:color w:val="auto"/>
        </w:rPr>
      </w:pPr>
      <w:r>
        <w:rPr>
          <w:rFonts w:ascii="Arial" w:cs="Arial" w:eastAsia="Arial" w:hAnsi="Arial"/>
          <w:sz w:val="20"/>
          <w:szCs w:val="20"/>
          <w:color w:val="auto"/>
        </w:rPr>
        <w:t>We are governed by Section 203 of the DGCL. Subject to certain exceptions, Section 203 of the DGCL prohibits a public Delaware corporation from engaging in a business combination (as defined in such section)</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 of Liability and Indemnification of Officers and Directors</w:t>
      </w:r>
    </w:p>
    <w:p>
      <w:pPr>
        <w:spacing w:after="0" w:line="20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99" w:name="page200"/>
    <w:bookmarkEnd w:id="199"/>
    <w:p>
      <w:pPr>
        <w:spacing w:after="0" w:line="232" w:lineRule="auto"/>
        <w:rPr>
          <w:sz w:val="20"/>
          <w:szCs w:val="20"/>
          <w:color w:val="auto"/>
        </w:rPr>
      </w:pPr>
      <w:r>
        <w:rPr>
          <w:rFonts w:ascii="Arial" w:cs="Arial" w:eastAsia="Arial" w:hAnsi="Arial"/>
          <w:sz w:val="20"/>
          <w:szCs w:val="20"/>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1" w:right="39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3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TENAYA THERAPEUTICS, INC.</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2021 EQUITY INCENTIVE PLAN</w:t>
      </w:r>
    </w:p>
    <w:p>
      <w:pPr>
        <w:spacing w:after="0" w:line="212" w:lineRule="exact"/>
        <w:rPr>
          <w:sz w:val="20"/>
          <w:szCs w:val="20"/>
          <w:color w:val="auto"/>
        </w:rPr>
      </w:pPr>
    </w:p>
    <w:p>
      <w:pPr>
        <w:ind w:left="1500" w:hanging="743"/>
        <w:spacing w:after="0"/>
        <w:tabs>
          <w:tab w:leader="none" w:pos="15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Plan are:</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to provide additional incentive to Employees, Directors and Consultants, and</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206"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The Plan permits the grant of Incentive Stock Options, Nonstatutory Stock Options, Stock Appreciation Rights, Restricted Stock, Restricted Stock Units and Performance Awards.</w:t>
      </w:r>
    </w:p>
    <w:p>
      <w:pPr>
        <w:spacing w:after="0" w:line="175" w:lineRule="exact"/>
        <w:rPr>
          <w:sz w:val="20"/>
          <w:szCs w:val="20"/>
          <w:color w:val="auto"/>
        </w:rPr>
      </w:pPr>
    </w:p>
    <w:p>
      <w:pPr>
        <w:ind w:left="1500" w:hanging="743"/>
        <w:spacing w:after="0"/>
        <w:tabs>
          <w:tab w:leader="none" w:pos="15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2.1</w:t>
            </w:r>
          </w:p>
        </w:tc>
        <w:tc>
          <w:tcPr>
            <w:tcW w:w="8860" w:type="dxa"/>
            <w:vAlign w:val="bottom"/>
            <w:gridSpan w:val="4"/>
          </w:tcPr>
          <w:p>
            <w:pPr>
              <w:ind w:left="620"/>
              <w:spacing w:after="0"/>
              <w:rPr>
                <w:sz w:val="20"/>
                <w:szCs w:val="20"/>
                <w:color w:val="auto"/>
              </w:rPr>
            </w:pPr>
            <w:r>
              <w:rPr>
                <w:rFonts w:ascii="Arial" w:cs="Arial" w:eastAsia="Arial" w:hAnsi="Arial"/>
                <w:sz w:val="22"/>
                <w:szCs w:val="22"/>
                <w:color w:val="auto"/>
                <w:w w:val="92"/>
              </w:rPr>
              <w:t>“Administrator” means the Board or any of its Committees as will be administering the Plan,</w:t>
            </w:r>
          </w:p>
        </w:tc>
      </w:tr>
      <w:tr>
        <w:trPr>
          <w:trHeight w:val="20"/>
        </w:trPr>
        <w:tc>
          <w:tcPr>
            <w:tcW w:w="310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73"/>
        </w:trPr>
        <w:tc>
          <w:tcPr>
            <w:tcW w:w="11240" w:type="dxa"/>
            <w:vAlign w:val="bottom"/>
            <w:gridSpan w:val="5"/>
          </w:tcPr>
          <w:p>
            <w:pPr>
              <w:spacing w:after="0"/>
              <w:rPr>
                <w:sz w:val="20"/>
                <w:szCs w:val="20"/>
                <w:color w:val="auto"/>
              </w:rPr>
            </w:pPr>
            <w:r>
              <w:rPr>
                <w:rFonts w:ascii="Arial" w:cs="Arial" w:eastAsia="Arial" w:hAnsi="Arial"/>
                <w:sz w:val="22"/>
                <w:szCs w:val="22"/>
                <w:color w:val="auto"/>
              </w:rPr>
              <w:t>in accordance with Section 4 of the Plan.</w:t>
            </w:r>
          </w:p>
        </w:tc>
      </w:tr>
      <w:tr>
        <w:trPr>
          <w:trHeight w:val="408"/>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2.2</w:t>
            </w:r>
          </w:p>
        </w:tc>
        <w:tc>
          <w:tcPr>
            <w:tcW w:w="8860" w:type="dxa"/>
            <w:vAlign w:val="bottom"/>
            <w:gridSpan w:val="4"/>
          </w:tcPr>
          <w:p>
            <w:pPr>
              <w:ind w:left="620"/>
              <w:spacing w:after="0"/>
              <w:rPr>
                <w:sz w:val="20"/>
                <w:szCs w:val="20"/>
                <w:color w:val="auto"/>
              </w:rPr>
            </w:pPr>
            <w:r>
              <w:rPr>
                <w:rFonts w:ascii="Arial" w:cs="Arial" w:eastAsia="Arial" w:hAnsi="Arial"/>
                <w:sz w:val="22"/>
                <w:szCs w:val="22"/>
                <w:color w:val="auto"/>
                <w:w w:val="91"/>
              </w:rPr>
              <w:t>“Applicable Laws” means the legal and regulatory requirements relating to the administration</w:t>
            </w:r>
          </w:p>
        </w:tc>
      </w:tr>
      <w:tr>
        <w:trPr>
          <w:trHeight w:val="20"/>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2.3</w:t>
            </w:r>
          </w:p>
        </w:tc>
        <w:tc>
          <w:tcPr>
            <w:tcW w:w="8860" w:type="dxa"/>
            <w:vAlign w:val="bottom"/>
            <w:gridSpan w:val="4"/>
          </w:tcPr>
          <w:p>
            <w:pPr>
              <w:ind w:left="620"/>
              <w:spacing w:after="0"/>
              <w:rPr>
                <w:sz w:val="20"/>
                <w:szCs w:val="20"/>
                <w:color w:val="auto"/>
              </w:rPr>
            </w:pPr>
            <w:r>
              <w:rPr>
                <w:rFonts w:ascii="Arial" w:cs="Arial" w:eastAsia="Arial" w:hAnsi="Arial"/>
                <w:sz w:val="22"/>
                <w:szCs w:val="22"/>
                <w:color w:val="auto"/>
              </w:rPr>
              <w:t>“Award” means, individually or collectively, a grant under the Plan of Options, Stock</w:t>
            </w:r>
          </w:p>
        </w:tc>
      </w:tr>
      <w:tr>
        <w:trPr>
          <w:trHeight w:val="20"/>
        </w:trPr>
        <w:tc>
          <w:tcPr>
            <w:tcW w:w="31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Appreciation Rights, Restricted Stock, Restricted Stock Units, or Performance Awards.</w:t>
            </w:r>
          </w:p>
        </w:tc>
      </w:tr>
      <w:tr>
        <w:trPr>
          <w:trHeight w:val="408"/>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2.4</w:t>
            </w:r>
          </w:p>
        </w:tc>
        <w:tc>
          <w:tcPr>
            <w:tcW w:w="8860" w:type="dxa"/>
            <w:vAlign w:val="bottom"/>
            <w:gridSpan w:val="4"/>
          </w:tcPr>
          <w:p>
            <w:pPr>
              <w:ind w:left="620"/>
              <w:spacing w:after="0"/>
              <w:rPr>
                <w:sz w:val="20"/>
                <w:szCs w:val="20"/>
                <w:color w:val="auto"/>
              </w:rPr>
            </w:pPr>
            <w:r>
              <w:rPr>
                <w:rFonts w:ascii="Arial" w:cs="Arial" w:eastAsia="Arial" w:hAnsi="Arial"/>
                <w:sz w:val="22"/>
                <w:szCs w:val="22"/>
                <w:color w:val="auto"/>
                <w:w w:val="94"/>
              </w:rPr>
              <w:t>“Award Agreement” means the written or electronic agreement setting forth the terms and</w:t>
            </w:r>
          </w:p>
        </w:tc>
      </w:tr>
      <w:tr>
        <w:trPr>
          <w:trHeight w:val="20"/>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provisions applicable to each Award granted under the Plan. The Award Agreement is subject to the terms and conditions of the Plan.</w:t>
      </w:r>
    </w:p>
    <w:p>
      <w:pPr>
        <w:spacing w:after="0" w:line="14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2.5</w:t>
            </w:r>
          </w:p>
        </w:tc>
        <w:tc>
          <w:tcPr>
            <w:tcW w:w="8500" w:type="dxa"/>
            <w:vAlign w:val="bottom"/>
            <w:gridSpan w:val="6"/>
          </w:tcPr>
          <w:p>
            <w:pPr>
              <w:ind w:left="260"/>
              <w:spacing w:after="0"/>
              <w:rPr>
                <w:sz w:val="20"/>
                <w:szCs w:val="20"/>
                <w:color w:val="auto"/>
              </w:rPr>
            </w:pPr>
            <w:r>
              <w:rPr>
                <w:rFonts w:ascii="Arial" w:cs="Arial" w:eastAsia="Arial" w:hAnsi="Arial"/>
                <w:sz w:val="22"/>
                <w:szCs w:val="22"/>
                <w:color w:val="auto"/>
              </w:rPr>
              <w:t>“Board” means the Board of Directors of the Company.</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9"/>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2.6</w:t>
            </w:r>
          </w:p>
        </w:tc>
        <w:tc>
          <w:tcPr>
            <w:tcW w:w="8500" w:type="dxa"/>
            <w:vAlign w:val="bottom"/>
            <w:gridSpan w:val="6"/>
          </w:tcPr>
          <w:p>
            <w:pPr>
              <w:ind w:left="260"/>
              <w:spacing w:after="0"/>
              <w:rPr>
                <w:sz w:val="20"/>
                <w:szCs w:val="20"/>
                <w:color w:val="auto"/>
              </w:rPr>
            </w:pPr>
            <w:r>
              <w:rPr>
                <w:rFonts w:ascii="Arial" w:cs="Arial" w:eastAsia="Arial" w:hAnsi="Arial"/>
                <w:sz w:val="22"/>
                <w:szCs w:val="22"/>
                <w:color w:val="auto"/>
              </w:rPr>
              <w:t>“Change in Control” means the occurrence of any of the following events:</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9"/>
        </w:trPr>
        <w:tc>
          <w:tcPr>
            <w:tcW w:w="1240" w:type="dxa"/>
            <w:vAlign w:val="bottom"/>
          </w:tcPr>
          <w:p>
            <w:pPr>
              <w:jc w:val="right"/>
              <w:ind w:right="132"/>
              <w:spacing w:after="0"/>
              <w:rPr>
                <w:sz w:val="20"/>
                <w:szCs w:val="20"/>
                <w:color w:val="auto"/>
              </w:rPr>
            </w:pPr>
            <w:r>
              <w:rPr>
                <w:rFonts w:ascii="Arial" w:cs="Arial" w:eastAsia="Arial" w:hAnsi="Arial"/>
                <w:sz w:val="22"/>
                <w:szCs w:val="22"/>
                <w:color w:val="auto"/>
              </w:rPr>
              <w:t>(a)</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4"/>
              </w:rPr>
              <w:t>Change in Ownership of the Company.  A change in the ownership of the</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which occurs on the date that any one person, or more than one person acting as a group (“</w:t>
      </w:r>
      <w:r>
        <w:rPr>
          <w:rFonts w:ascii="Arial" w:cs="Arial" w:eastAsia="Arial" w:hAnsi="Arial"/>
          <w:sz w:val="22"/>
          <w:szCs w:val="22"/>
          <w:u w:val="single" w:color="auto"/>
          <w:color w:val="auto"/>
        </w:rPr>
        <w:t>Person</w:t>
      </w:r>
      <w:r>
        <w:rPr>
          <w:rFonts w:ascii="Arial" w:cs="Arial" w:eastAsia="Arial" w:hAnsi="Arial"/>
          <w:sz w:val="22"/>
          <w:szCs w:val="22"/>
          <w:color w:val="auto"/>
        </w:rPr>
        <w:t>”), acquires ownership of the stock of the Company that, together with the stock held by such Person, constitutes more than fifty percent (50%) of the total voting power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1" w:name="page202"/>
    <w:bookmarkEnd w:id="201"/>
    <w:p>
      <w:pPr>
        <w:jc w:val="both"/>
        <w:spacing w:after="0" w:line="273" w:lineRule="auto"/>
        <w:rPr>
          <w:sz w:val="20"/>
          <w:szCs w:val="20"/>
          <w:color w:val="auto"/>
        </w:rPr>
      </w:pPr>
      <w:r>
        <w:rPr>
          <w:rFonts w:ascii="Arial" w:cs="Arial" w:eastAsia="Arial" w:hAnsi="Arial"/>
          <w:sz w:val="19"/>
          <w:szCs w:val="19"/>
          <w:color w:val="auto"/>
        </w:rPr>
        <w:t>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Change in Effective Control of the Company</w:t>
      </w:r>
      <w:r>
        <w:rPr>
          <w:rFonts w:ascii="Arial" w:cs="Arial" w:eastAsia="Arial" w:hAnsi="Arial"/>
          <w:sz w:val="19"/>
          <w:szCs w:val="19"/>
          <w:color w:val="auto"/>
        </w:rPr>
        <w:t>. If the Company has a class of</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w:t>
      </w:r>
    </w:p>
    <w:p>
      <w:pPr>
        <w:spacing w:after="0" w:line="5" w:lineRule="exact"/>
        <w:rPr>
          <w:sz w:val="20"/>
          <w:szCs w:val="20"/>
          <w:color w:val="auto"/>
        </w:rPr>
      </w:pPr>
    </w:p>
    <w:p>
      <w:pPr>
        <w:jc w:val="both"/>
        <w:ind w:firstLine="8"/>
        <w:spacing w:after="0" w:line="273" w:lineRule="auto"/>
        <w:tabs>
          <w:tab w:leader="none" w:pos="3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59"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2" w:name="page203"/>
    <w:bookmarkEnd w:id="202"/>
    <w:p>
      <w:pPr>
        <w:jc w:val="both"/>
        <w:ind w:right="20" w:firstLine="2246"/>
        <w:spacing w:after="0" w:line="250"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Code Section 409A.</w:t>
      </w:r>
    </w:p>
    <w:p>
      <w:pPr>
        <w:spacing w:after="0" w:line="175"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ind w:left="1500"/>
              <w:spacing w:after="0"/>
              <w:rPr>
                <w:sz w:val="20"/>
                <w:szCs w:val="20"/>
                <w:color w:val="auto"/>
              </w:rPr>
            </w:pPr>
            <w:r>
              <w:rPr>
                <w:rFonts w:ascii="Arial" w:cs="Arial" w:eastAsia="Arial" w:hAnsi="Arial"/>
                <w:sz w:val="22"/>
                <w:szCs w:val="22"/>
                <w:color w:val="auto"/>
              </w:rPr>
              <w:t>2.8</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w w:val="95"/>
              </w:rPr>
              <w:t>“Committee” means a committee of Directors or of other individuals satisfying Applicable</w:t>
            </w:r>
          </w:p>
        </w:tc>
      </w:tr>
      <w:tr>
        <w:trPr>
          <w:trHeight w:val="20"/>
        </w:trPr>
        <w:tc>
          <w:tcPr>
            <w:tcW w:w="31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74"/>
        </w:trPr>
        <w:tc>
          <w:tcPr>
            <w:tcW w:w="11240" w:type="dxa"/>
            <w:vAlign w:val="bottom"/>
            <w:gridSpan w:val="6"/>
          </w:tcPr>
          <w:p>
            <w:pPr>
              <w:spacing w:after="0"/>
              <w:rPr>
                <w:sz w:val="20"/>
                <w:szCs w:val="20"/>
                <w:color w:val="auto"/>
              </w:rPr>
            </w:pPr>
            <w:r>
              <w:rPr>
                <w:rFonts w:ascii="Arial" w:cs="Arial" w:eastAsia="Arial" w:hAnsi="Arial"/>
                <w:sz w:val="22"/>
                <w:szCs w:val="22"/>
                <w:color w:val="auto"/>
              </w:rPr>
              <w:t>Laws appointed by the Board, or by a duly authorized committee of the Board, in accordance with Section 4 hereof.</w:t>
            </w:r>
          </w:p>
        </w:tc>
      </w:tr>
      <w:tr>
        <w:trPr>
          <w:trHeight w:val="408"/>
        </w:trPr>
        <w:tc>
          <w:tcPr>
            <w:tcW w:w="2440" w:type="dxa"/>
            <w:vAlign w:val="bottom"/>
          </w:tcPr>
          <w:p>
            <w:pPr>
              <w:ind w:left="1500"/>
              <w:spacing w:after="0"/>
              <w:rPr>
                <w:sz w:val="20"/>
                <w:szCs w:val="20"/>
                <w:color w:val="auto"/>
              </w:rPr>
            </w:pPr>
            <w:r>
              <w:rPr>
                <w:rFonts w:ascii="Arial" w:cs="Arial" w:eastAsia="Arial" w:hAnsi="Arial"/>
                <w:sz w:val="22"/>
                <w:szCs w:val="22"/>
                <w:color w:val="auto"/>
              </w:rPr>
              <w:t>2.9</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rPr>
              <w:t>“Common Stock” means the common stock of the Company.</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39"/>
        </w:trPr>
        <w:tc>
          <w:tcPr>
            <w:tcW w:w="2440" w:type="dxa"/>
            <w:vAlign w:val="bottom"/>
          </w:tcPr>
          <w:p>
            <w:pPr>
              <w:ind w:left="1500"/>
              <w:spacing w:after="0"/>
              <w:rPr>
                <w:sz w:val="20"/>
                <w:szCs w:val="20"/>
                <w:color w:val="auto"/>
              </w:rPr>
            </w:pPr>
            <w:r>
              <w:rPr>
                <w:rFonts w:ascii="Arial" w:cs="Arial" w:eastAsia="Arial" w:hAnsi="Arial"/>
                <w:sz w:val="22"/>
                <w:szCs w:val="22"/>
                <w:color w:val="auto"/>
              </w:rPr>
              <w:t>2.10</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w w:val="95"/>
              </w:rPr>
              <w:t>“Company” means Tenaya Therapeutics, Inc., a Delaware corporation, or any successor</w:t>
            </w:r>
          </w:p>
        </w:tc>
      </w:tr>
      <w:tr>
        <w:trPr>
          <w:trHeight w:val="273"/>
        </w:trPr>
        <w:tc>
          <w:tcPr>
            <w:tcW w:w="2440" w:type="dxa"/>
            <w:vAlign w:val="bottom"/>
          </w:tcPr>
          <w:p>
            <w:pPr>
              <w:spacing w:after="0"/>
              <w:rPr>
                <w:sz w:val="20"/>
                <w:szCs w:val="20"/>
                <w:color w:val="auto"/>
              </w:rPr>
            </w:pPr>
            <w:r>
              <w:rPr>
                <w:rFonts w:ascii="Arial" w:cs="Arial" w:eastAsia="Arial" w:hAnsi="Arial"/>
                <w:sz w:val="22"/>
                <w:szCs w:val="22"/>
                <w:color w:val="auto"/>
              </w:rPr>
              <w:t>thereto.</w:t>
            </w:r>
          </w:p>
        </w:tc>
        <w:tc>
          <w:tcPr>
            <w:tcW w:w="66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0" w:type="dxa"/>
            <w:vAlign w:val="bottom"/>
          </w:tcPr>
          <w:p>
            <w:pPr>
              <w:spacing w:after="0"/>
              <w:rPr>
                <w:sz w:val="23"/>
                <w:szCs w:val="23"/>
                <w:color w:val="auto"/>
              </w:rPr>
            </w:pPr>
          </w:p>
        </w:tc>
      </w:tr>
      <w:tr>
        <w:trPr>
          <w:trHeight w:val="408"/>
        </w:trPr>
        <w:tc>
          <w:tcPr>
            <w:tcW w:w="2440" w:type="dxa"/>
            <w:vAlign w:val="bottom"/>
          </w:tcPr>
          <w:p>
            <w:pPr>
              <w:ind w:left="1500"/>
              <w:spacing w:after="0"/>
              <w:rPr>
                <w:sz w:val="20"/>
                <w:szCs w:val="20"/>
                <w:color w:val="auto"/>
              </w:rPr>
            </w:pPr>
            <w:r>
              <w:rPr>
                <w:rFonts w:ascii="Arial" w:cs="Arial" w:eastAsia="Arial" w:hAnsi="Arial"/>
                <w:sz w:val="22"/>
                <w:szCs w:val="22"/>
                <w:color w:val="auto"/>
              </w:rPr>
              <w:t>2.11</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w w:val="89"/>
              </w:rPr>
              <w:t>“Consultant” means any natural person, including an advisor, engaged by the Company or any</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58"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2.12</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rPr>
              <w:t>“Director” means a member of the Board.</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39"/>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2.13</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9"/>
              </w:rPr>
              <w:t>“Disability” means total and permanent disability as defined in Code Section 22(e)(3),</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86"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ind w:left="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3" w:name="page204"/>
    <w:bookmarkEnd w:id="203"/>
    <w:p>
      <w:pPr>
        <w:jc w:val="both"/>
        <w:ind w:firstLine="1497"/>
        <w:spacing w:after="0" w:line="282"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jc w:val="right"/>
              <w:ind w:right="752"/>
              <w:spacing w:after="0"/>
              <w:rPr>
                <w:sz w:val="20"/>
                <w:szCs w:val="20"/>
                <w:color w:val="auto"/>
              </w:rPr>
            </w:pPr>
            <w:r>
              <w:rPr>
                <w:rFonts w:ascii="Arial" w:cs="Arial" w:eastAsia="Arial" w:hAnsi="Arial"/>
                <w:sz w:val="22"/>
                <w:szCs w:val="22"/>
                <w:color w:val="auto"/>
              </w:rPr>
              <w:t>2.17</w:t>
            </w:r>
          </w:p>
        </w:tc>
        <w:tc>
          <w:tcPr>
            <w:tcW w:w="8500" w:type="dxa"/>
            <w:vAlign w:val="bottom"/>
            <w:gridSpan w:val="3"/>
          </w:tcPr>
          <w:p>
            <w:pPr>
              <w:jc w:val="right"/>
              <w:spacing w:after="0"/>
              <w:rPr>
                <w:sz w:val="20"/>
                <w:szCs w:val="20"/>
                <w:color w:val="auto"/>
              </w:rPr>
            </w:pPr>
            <w:r>
              <w:rPr>
                <w:rFonts w:ascii="Arial" w:cs="Arial" w:eastAsia="Arial" w:hAnsi="Arial"/>
                <w:sz w:val="22"/>
                <w:szCs w:val="22"/>
                <w:color w:val="auto"/>
                <w:w w:val="92"/>
              </w:rPr>
              <w:t>“Fair Market Value” means, as of any date and unless the Administrator determines otherwise,</w:t>
            </w:r>
          </w:p>
        </w:tc>
      </w:tr>
      <w:tr>
        <w:trPr>
          <w:trHeight w:val="20"/>
        </w:trPr>
        <w:tc>
          <w:tcPr>
            <w:tcW w:w="310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74"/>
        </w:trPr>
        <w:tc>
          <w:tcPr>
            <w:tcW w:w="11240" w:type="dxa"/>
            <w:vAlign w:val="bottom"/>
            <w:gridSpan w:val="4"/>
          </w:tcPr>
          <w:p>
            <w:pPr>
              <w:jc w:val="right"/>
              <w:ind w:right="6780"/>
              <w:spacing w:after="0"/>
              <w:rPr>
                <w:sz w:val="20"/>
                <w:szCs w:val="20"/>
                <w:color w:val="auto"/>
              </w:rPr>
            </w:pPr>
            <w:r>
              <w:rPr>
                <w:rFonts w:ascii="Arial" w:cs="Arial" w:eastAsia="Arial" w:hAnsi="Arial"/>
                <w:sz w:val="22"/>
                <w:szCs w:val="22"/>
                <w:color w:val="auto"/>
                <w:w w:val="89"/>
              </w:rPr>
              <w:t>the value of Common Stock determined as follows:</w:t>
            </w:r>
          </w:p>
        </w:tc>
      </w:tr>
      <w:tr>
        <w:trPr>
          <w:trHeight w:val="446"/>
        </w:trPr>
        <w:tc>
          <w:tcPr>
            <w:tcW w:w="2740" w:type="dxa"/>
            <w:vAlign w:val="bottom"/>
          </w:tcPr>
          <w:p>
            <w:pPr>
              <w:jc w:val="right"/>
              <w:ind w:right="132"/>
              <w:spacing w:after="0"/>
              <w:rPr>
                <w:sz w:val="20"/>
                <w:szCs w:val="20"/>
                <w:color w:val="auto"/>
              </w:rPr>
            </w:pPr>
            <w:r>
              <w:rPr>
                <w:rFonts w:ascii="Arial" w:cs="Arial" w:eastAsia="Arial" w:hAnsi="Arial"/>
                <w:sz w:val="22"/>
                <w:szCs w:val="22"/>
                <w:color w:val="auto"/>
              </w:rPr>
              <w:t>(a)</w:t>
            </w:r>
          </w:p>
        </w:tc>
        <w:tc>
          <w:tcPr>
            <w:tcW w:w="360" w:type="dxa"/>
            <w:vAlign w:val="bottom"/>
          </w:tcPr>
          <w:p>
            <w:pPr>
              <w:spacing w:after="0"/>
              <w:rPr>
                <w:sz w:val="24"/>
                <w:szCs w:val="24"/>
                <w:color w:val="auto"/>
              </w:rPr>
            </w:pPr>
          </w:p>
        </w:tc>
        <w:tc>
          <w:tcPr>
            <w:tcW w:w="8140" w:type="dxa"/>
            <w:vAlign w:val="bottom"/>
            <w:gridSpan w:val="2"/>
          </w:tcPr>
          <w:p>
            <w:pPr>
              <w:jc w:val="right"/>
              <w:ind w:right="20"/>
              <w:spacing w:after="0"/>
              <w:rPr>
                <w:sz w:val="20"/>
                <w:szCs w:val="20"/>
                <w:color w:val="auto"/>
              </w:rPr>
            </w:pPr>
            <w:r>
              <w:rPr>
                <w:rFonts w:ascii="Arial" w:cs="Arial" w:eastAsia="Arial" w:hAnsi="Arial"/>
                <w:sz w:val="22"/>
                <w:szCs w:val="22"/>
                <w:color w:val="auto"/>
              </w:rPr>
              <w:t>If the Common Stock is listed on any established stock exchange or a</w:t>
            </w:r>
          </w:p>
        </w:tc>
      </w:tr>
    </w:tbl>
    <w:p>
      <w:pPr>
        <w:jc w:val="both"/>
        <w:spacing w:after="0" w:line="245" w:lineRule="auto"/>
        <w:rPr>
          <w:sz w:val="20"/>
          <w:szCs w:val="20"/>
          <w:color w:val="auto"/>
        </w:rPr>
      </w:pPr>
      <w:r>
        <w:rPr>
          <w:rFonts w:ascii="Arial" w:cs="Arial" w:eastAsia="Arial" w:hAnsi="Arial"/>
          <w:sz w:val="21"/>
          <w:szCs w:val="21"/>
          <w:color w:val="auto"/>
        </w:rPr>
        <w:t xml:space="preserve">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21"/>
          <w:szCs w:val="21"/>
          <w:i w:val="1"/>
          <w:iCs w:val="1"/>
          <w:color w:val="auto"/>
        </w:rPr>
        <w:t>The Wall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Street Journal </w:t>
      </w:r>
      <w:r>
        <w:rPr>
          <w:rFonts w:ascii="Arial" w:cs="Arial" w:eastAsia="Arial" w:hAnsi="Arial"/>
          <w:sz w:val="21"/>
          <w:szCs w:val="21"/>
          <w:color w:val="auto"/>
        </w:rPr>
        <w:t>or such other source as the Administrator deems reliable;</w:t>
      </w:r>
    </w:p>
    <w:p>
      <w:pPr>
        <w:spacing w:after="0" w:line="180"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 xml:space="preserve">(b)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8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(c) 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Pr>
          <w:p>
            <w:pPr>
              <w:jc w:val="right"/>
              <w:ind w:right="152"/>
              <w:spacing w:after="0"/>
              <w:rPr>
                <w:sz w:val="20"/>
                <w:szCs w:val="20"/>
                <w:color w:val="auto"/>
              </w:rPr>
            </w:pPr>
            <w:r>
              <w:rPr>
                <w:rFonts w:ascii="Arial" w:cs="Arial" w:eastAsia="Arial" w:hAnsi="Arial"/>
                <w:sz w:val="22"/>
                <w:szCs w:val="22"/>
                <w:color w:val="auto"/>
              </w:rPr>
              <w:t>(d)</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180" w:type="dxa"/>
            <w:vAlign w:val="bottom"/>
            <w:gridSpan w:val="2"/>
          </w:tcPr>
          <w:p>
            <w:pPr>
              <w:jc w:val="right"/>
              <w:spacing w:after="0"/>
              <w:rPr>
                <w:sz w:val="20"/>
                <w:szCs w:val="20"/>
                <w:color w:val="auto"/>
              </w:rPr>
            </w:pPr>
            <w:r>
              <w:rPr>
                <w:rFonts w:ascii="Arial" w:cs="Arial" w:eastAsia="Arial" w:hAnsi="Arial"/>
                <w:sz w:val="22"/>
                <w:szCs w:val="22"/>
                <w:color w:val="auto"/>
              </w:rPr>
              <w:t>In the absence of an established market for the Common Stock, the Fair</w:t>
            </w:r>
          </w:p>
        </w:tc>
      </w:tr>
      <w:tr>
        <w:trPr>
          <w:trHeight w:val="274"/>
        </w:trPr>
        <w:tc>
          <w:tcPr>
            <w:tcW w:w="11240" w:type="dxa"/>
            <w:vAlign w:val="bottom"/>
            <w:gridSpan w:val="5"/>
          </w:tcPr>
          <w:p>
            <w:pPr>
              <w:jc w:val="right"/>
              <w:ind w:right="5340"/>
              <w:spacing w:after="0"/>
              <w:rPr>
                <w:sz w:val="20"/>
                <w:szCs w:val="20"/>
                <w:color w:val="auto"/>
              </w:rPr>
            </w:pPr>
            <w:r>
              <w:rPr>
                <w:rFonts w:ascii="Arial" w:cs="Arial" w:eastAsia="Arial" w:hAnsi="Arial"/>
                <w:sz w:val="22"/>
                <w:szCs w:val="22"/>
                <w:color w:val="auto"/>
                <w:w w:val="90"/>
              </w:rPr>
              <w:t>Market Value will be determined in good faith by the Administrator.</w:t>
            </w:r>
          </w:p>
        </w:tc>
      </w:tr>
      <w:tr>
        <w:trPr>
          <w:trHeight w:val="408"/>
        </w:trPr>
        <w:tc>
          <w:tcPr>
            <w:tcW w:w="2760" w:type="dxa"/>
            <w:vAlign w:val="bottom"/>
          </w:tcPr>
          <w:p>
            <w:pPr>
              <w:jc w:val="right"/>
              <w:ind w:right="772"/>
              <w:spacing w:after="0"/>
              <w:rPr>
                <w:sz w:val="20"/>
                <w:szCs w:val="20"/>
                <w:color w:val="auto"/>
              </w:rPr>
            </w:pPr>
            <w:r>
              <w:rPr>
                <w:rFonts w:ascii="Arial" w:cs="Arial" w:eastAsia="Arial" w:hAnsi="Arial"/>
                <w:sz w:val="22"/>
                <w:szCs w:val="22"/>
                <w:color w:val="auto"/>
              </w:rPr>
              <w:t>2.18</w:t>
            </w:r>
          </w:p>
        </w:tc>
        <w:tc>
          <w:tcPr>
            <w:tcW w:w="8480" w:type="dxa"/>
            <w:vAlign w:val="bottom"/>
            <w:gridSpan w:val="4"/>
          </w:tcPr>
          <w:p>
            <w:pPr>
              <w:jc w:val="right"/>
              <w:ind w:right="3720"/>
              <w:spacing w:after="0"/>
              <w:rPr>
                <w:sz w:val="20"/>
                <w:szCs w:val="20"/>
                <w:color w:val="auto"/>
              </w:rPr>
            </w:pPr>
            <w:r>
              <w:rPr>
                <w:rFonts w:ascii="Arial" w:cs="Arial" w:eastAsia="Arial" w:hAnsi="Arial"/>
                <w:sz w:val="22"/>
                <w:szCs w:val="22"/>
                <w:color w:val="auto"/>
                <w:w w:val="93"/>
              </w:rPr>
              <w:t>“Fiscal Year” means the fiscal year of the Company.</w:t>
            </w:r>
          </w:p>
        </w:tc>
      </w:tr>
      <w:tr>
        <w:trPr>
          <w:trHeight w:val="20"/>
        </w:trPr>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439"/>
        </w:trPr>
        <w:tc>
          <w:tcPr>
            <w:tcW w:w="2760" w:type="dxa"/>
            <w:vAlign w:val="bottom"/>
          </w:tcPr>
          <w:p>
            <w:pPr>
              <w:jc w:val="right"/>
              <w:ind w:right="772"/>
              <w:spacing w:after="0"/>
              <w:rPr>
                <w:sz w:val="20"/>
                <w:szCs w:val="20"/>
                <w:color w:val="auto"/>
              </w:rPr>
            </w:pPr>
            <w:r>
              <w:rPr>
                <w:rFonts w:ascii="Arial" w:cs="Arial" w:eastAsia="Arial" w:hAnsi="Arial"/>
                <w:sz w:val="22"/>
                <w:szCs w:val="22"/>
                <w:color w:val="auto"/>
              </w:rPr>
              <w:t>2.19</w:t>
            </w:r>
          </w:p>
        </w:tc>
        <w:tc>
          <w:tcPr>
            <w:tcW w:w="8480" w:type="dxa"/>
            <w:vAlign w:val="bottom"/>
            <w:gridSpan w:val="4"/>
          </w:tcPr>
          <w:p>
            <w:pPr>
              <w:jc w:val="right"/>
              <w:spacing w:after="0"/>
              <w:rPr>
                <w:sz w:val="20"/>
                <w:szCs w:val="20"/>
                <w:color w:val="auto"/>
              </w:rPr>
            </w:pPr>
            <w:r>
              <w:rPr>
                <w:rFonts w:ascii="Arial" w:cs="Arial" w:eastAsia="Arial" w:hAnsi="Arial"/>
                <w:sz w:val="22"/>
                <w:szCs w:val="22"/>
                <w:color w:val="auto"/>
                <w:w w:val="92"/>
              </w:rPr>
              <w:t>“Incentive Stock Option” means an Option that by its terms qualifies and is otherwise intended</w:t>
            </w:r>
          </w:p>
        </w:tc>
      </w:tr>
      <w:tr>
        <w:trPr>
          <w:trHeight w:val="20"/>
        </w:trPr>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to qualify as an incentive stock option within the meaning of Code Section 422 and the regulations promulgated thereunder.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2.20</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6"/>
              </w:rPr>
              <w:t>“Nonstatutory Stock Option” means an Option that by its terms does not qualify or is not</w:t>
            </w:r>
          </w:p>
        </w:tc>
      </w:tr>
      <w:tr>
        <w:trPr>
          <w:trHeight w:val="20"/>
        </w:trPr>
        <w:tc>
          <w:tcPr>
            <w:tcW w:w="3100" w:type="dxa"/>
            <w:vAlign w:val="bottom"/>
            <w:gridSpan w:val="2"/>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intended to qualify as an Incentive Stock Option.</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2.21</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1"/>
              </w:rPr>
              <w:t>“Officer” means a person who is an officer of the Company within the meaning of Section 16</w:t>
            </w:r>
          </w:p>
        </w:tc>
      </w:tr>
      <w:tr>
        <w:trPr>
          <w:trHeight w:val="20"/>
        </w:trPr>
        <w:tc>
          <w:tcPr>
            <w:tcW w:w="3100" w:type="dxa"/>
            <w:vAlign w:val="bottom"/>
            <w:gridSpan w:val="2"/>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of the Exchange Act and the rules and regulations promulgated thereunder.</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2.22</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rPr>
              <w:t>“Option” means a stock option granted pursuant to the Plan.</w:t>
            </w:r>
          </w:p>
        </w:tc>
      </w:tr>
      <w:tr>
        <w:trPr>
          <w:trHeight w:val="273"/>
        </w:trPr>
        <w:tc>
          <w:tcPr>
            <w:tcW w:w="2440" w:type="dxa"/>
            <w:vAlign w:val="bottom"/>
          </w:tcPr>
          <w:p>
            <w:pPr>
              <w:jc w:val="right"/>
              <w:ind w:right="1812"/>
              <w:spacing w:after="0"/>
              <w:rPr>
                <w:sz w:val="20"/>
                <w:szCs w:val="20"/>
                <w:color w:val="auto"/>
              </w:rPr>
            </w:pPr>
            <w:r>
              <w:rPr>
                <w:rFonts w:ascii="Arial" w:cs="Arial" w:eastAsia="Arial" w:hAnsi="Arial"/>
                <w:sz w:val="22"/>
                <w:szCs w:val="22"/>
                <w:color w:val="auto"/>
              </w:rPr>
              <w:t>-4-</w:t>
            </w:r>
          </w:p>
        </w:tc>
        <w:tc>
          <w:tcPr>
            <w:tcW w:w="66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118"/>
        </w:trPr>
        <w:tc>
          <w:tcPr>
            <w:tcW w:w="2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2.23</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rPr>
              <w:t>“Outside Director” means a Director who is not an Employee.</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2.24</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w w:val="91"/>
              </w:rPr>
              <w:t>“Parent” means a “parent corporation,” whether now or hereafter existing, as defined in Code</w:t>
            </w:r>
          </w:p>
        </w:tc>
      </w:tr>
      <w:tr>
        <w:trPr>
          <w:trHeight w:val="273"/>
        </w:trPr>
        <w:tc>
          <w:tcPr>
            <w:tcW w:w="2440" w:type="dxa"/>
            <w:vAlign w:val="bottom"/>
          </w:tcPr>
          <w:p>
            <w:pPr>
              <w:jc w:val="right"/>
              <w:ind w:right="1012"/>
              <w:spacing w:after="0"/>
              <w:rPr>
                <w:sz w:val="20"/>
                <w:szCs w:val="20"/>
                <w:color w:val="auto"/>
              </w:rPr>
            </w:pPr>
            <w:r>
              <w:rPr>
                <w:rFonts w:ascii="Arial" w:cs="Arial" w:eastAsia="Arial" w:hAnsi="Arial"/>
                <w:sz w:val="22"/>
                <w:szCs w:val="22"/>
                <w:color w:val="auto"/>
                <w:w w:val="87"/>
              </w:rPr>
              <w:t>Section 424(e).</w:t>
            </w:r>
          </w:p>
        </w:tc>
        <w:tc>
          <w:tcPr>
            <w:tcW w:w="6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300" w:type="dxa"/>
            <w:vAlign w:val="bottom"/>
          </w:tcPr>
          <w:p>
            <w:pPr>
              <w:spacing w:after="0"/>
              <w:rPr>
                <w:sz w:val="23"/>
                <w:szCs w:val="23"/>
                <w:color w:val="auto"/>
              </w:rPr>
            </w:pP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2.25</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rPr>
              <w:t>“Participant” means the holder of an outstanding Award.</w:t>
            </w:r>
          </w:p>
        </w:tc>
      </w:tr>
      <w:tr>
        <w:trPr>
          <w:trHeight w:val="20"/>
        </w:trPr>
        <w:tc>
          <w:tcPr>
            <w:tcW w:w="2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2.26</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w w:val="97"/>
              </w:rPr>
              <w:t>“Performance Awards” means an Award which may be earned in whole or in part upon</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attainment of performance goals or other vesting criteria as the Administrator may determine and which may be cash- or stock-denominated and may be settled for cash, Shares or other securities or a combination of the foregoing under Section 10.</w:t>
      </w:r>
    </w:p>
    <w:p>
      <w:pPr>
        <w:spacing w:after="0" w:line="7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2.27</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rPr>
              <w:t>“Performance Period” means Performance Period as defined in Section 10.1.</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39"/>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2.28</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8"/>
              </w:rPr>
              <w:t>“Period of Restriction” means the period (if any) during which the transfer of Shares of</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5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2.29</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rPr>
              <w:t>“Plan” means this 2021 Equity Incentive Plan.</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39"/>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2.30</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2"/>
              </w:rPr>
              <w:t>“Registration Date” means the effective date of the first registration statement that is filed by</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and declared effective pursuant to Section 12(b) of the Exchange Act, with respect to any class of the Company’s securities.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2.31</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5"/>
              </w:rPr>
              <w:t>“Restricted Stock” means Shares issued pursuant to an Award of Restricted Stock under</w:t>
            </w:r>
          </w:p>
        </w:tc>
      </w:tr>
      <w:tr>
        <w:trPr>
          <w:trHeight w:val="20"/>
        </w:trPr>
        <w:tc>
          <w:tcPr>
            <w:tcW w:w="310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Section 8 of the Plan, or issued pursuant to the early exercise of an Option.</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2.32</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1"/>
              </w:rPr>
              <w:t>“Restricted Stock Unit” means a bookkeeping entry representing an amount equal to the Fair</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Market Value of one Share, granted pursuant to Section 9. Each Restricted Stock Unit represents an unfunded and unsecured obligation of the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2.33</w:t>
            </w:r>
          </w:p>
        </w:tc>
        <w:tc>
          <w:tcPr>
            <w:tcW w:w="8800" w:type="dxa"/>
            <w:vAlign w:val="bottom"/>
            <w:gridSpan w:val="7"/>
          </w:tcPr>
          <w:p>
            <w:pPr>
              <w:ind w:left="560"/>
              <w:spacing w:after="0" w:line="253" w:lineRule="exact"/>
              <w:rPr>
                <w:sz w:val="20"/>
                <w:szCs w:val="20"/>
                <w:color w:val="auto"/>
              </w:rPr>
            </w:pPr>
            <w:r>
              <w:rPr>
                <w:rFonts w:ascii="Arial" w:cs="Arial" w:eastAsia="Arial" w:hAnsi="Arial"/>
                <w:sz w:val="22"/>
                <w:szCs w:val="22"/>
                <w:color w:val="auto"/>
                <w:w w:val="93"/>
              </w:rPr>
              <w:t>“Rule 16b</w:t>
            </w:r>
            <w:r>
              <w:rPr>
                <w:rFonts w:ascii="MS PGothic" w:cs="MS PGothic" w:eastAsia="MS PGothic" w:hAnsi="MS PGothic"/>
                <w:sz w:val="22"/>
                <w:szCs w:val="22"/>
                <w:color w:val="auto"/>
                <w:w w:val="93"/>
              </w:rPr>
              <w:t>‑</w:t>
            </w:r>
            <w:r>
              <w:rPr>
                <w:rFonts w:ascii="Arial" w:cs="Arial" w:eastAsia="Arial" w:hAnsi="Arial"/>
                <w:sz w:val="22"/>
                <w:szCs w:val="22"/>
                <w:color w:val="auto"/>
                <w:w w:val="93"/>
              </w:rPr>
              <w:t>3” means Rule 16b</w:t>
            </w:r>
            <w:r>
              <w:rPr>
                <w:rFonts w:ascii="MS PGothic" w:cs="MS PGothic" w:eastAsia="MS PGothic" w:hAnsi="MS PGothic"/>
                <w:sz w:val="22"/>
                <w:szCs w:val="22"/>
                <w:color w:val="auto"/>
                <w:w w:val="93"/>
              </w:rPr>
              <w:t>‑</w:t>
            </w:r>
            <w:r>
              <w:rPr>
                <w:rFonts w:ascii="Arial" w:cs="Arial" w:eastAsia="Arial" w:hAnsi="Arial"/>
                <w:sz w:val="22"/>
                <w:szCs w:val="22"/>
                <w:color w:val="auto"/>
                <w:w w:val="93"/>
              </w:rPr>
              <w:t>3 of the Exchange Act or any successor to Rule 16b</w:t>
            </w:r>
            <w:r>
              <w:rPr>
                <w:rFonts w:ascii="MS PGothic" w:cs="MS PGothic" w:eastAsia="MS PGothic" w:hAnsi="MS PGothic"/>
                <w:sz w:val="22"/>
                <w:szCs w:val="22"/>
                <w:color w:val="auto"/>
                <w:w w:val="93"/>
              </w:rPr>
              <w:t>‑</w:t>
            </w:r>
            <w:r>
              <w:rPr>
                <w:rFonts w:ascii="Arial" w:cs="Arial" w:eastAsia="Arial" w:hAnsi="Arial"/>
                <w:sz w:val="22"/>
                <w:szCs w:val="22"/>
                <w:color w:val="auto"/>
                <w:w w:val="93"/>
              </w:rPr>
              <w:t>3, as in</w:t>
            </w:r>
          </w:p>
        </w:tc>
      </w:tr>
      <w:tr>
        <w:trPr>
          <w:trHeight w:val="20"/>
        </w:trPr>
        <w:tc>
          <w:tcPr>
            <w:tcW w:w="310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74"/>
        </w:trPr>
        <w:tc>
          <w:tcPr>
            <w:tcW w:w="11240" w:type="dxa"/>
            <w:vAlign w:val="bottom"/>
            <w:gridSpan w:val="8"/>
          </w:tcPr>
          <w:p>
            <w:pPr>
              <w:spacing w:after="0"/>
              <w:rPr>
                <w:sz w:val="20"/>
                <w:szCs w:val="20"/>
                <w:color w:val="auto"/>
              </w:rPr>
            </w:pPr>
            <w:r>
              <w:rPr>
                <w:rFonts w:ascii="Arial" w:cs="Arial" w:eastAsia="Arial" w:hAnsi="Arial"/>
                <w:sz w:val="22"/>
                <w:szCs w:val="22"/>
                <w:color w:val="auto"/>
              </w:rPr>
              <w:t>effect when discretion is being exercised with respect to the Plan.</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2.34</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rPr>
              <w:t>“Section 16b” means Section 16(b) of the Exchange Act.</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2.35</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w w:val="91"/>
              </w:rPr>
              <w:t>“Section 409A” means Code Section 409A and the U.S. Treasury Regulations and guidance</w:t>
            </w:r>
          </w:p>
        </w:tc>
      </w:tr>
      <w:tr>
        <w:trPr>
          <w:trHeight w:val="20"/>
        </w:trPr>
        <w:tc>
          <w:tcPr>
            <w:tcW w:w="3100" w:type="dxa"/>
            <w:vAlign w:val="bottom"/>
            <w:gridSpan w:val="2"/>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73"/>
        </w:trPr>
        <w:tc>
          <w:tcPr>
            <w:tcW w:w="11240" w:type="dxa"/>
            <w:vAlign w:val="bottom"/>
            <w:gridSpan w:val="8"/>
          </w:tcPr>
          <w:p>
            <w:pPr>
              <w:spacing w:after="0"/>
              <w:rPr>
                <w:sz w:val="20"/>
                <w:szCs w:val="20"/>
                <w:color w:val="auto"/>
              </w:rPr>
            </w:pPr>
            <w:r>
              <w:rPr>
                <w:rFonts w:ascii="Arial" w:cs="Arial" w:eastAsia="Arial" w:hAnsi="Arial"/>
                <w:sz w:val="22"/>
                <w:szCs w:val="22"/>
                <w:color w:val="auto"/>
                <w:w w:val="94"/>
              </w:rPr>
              <w:t>thereunder, and any applicable state law equivalent, as each may be promulgated, amended or modified from time to time.</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2.36</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w w:val="92"/>
              </w:rPr>
              <w:t>“Securities Act” means the U.S. Securities Act of 1933, as amended, including the rules and</w:t>
            </w:r>
          </w:p>
        </w:tc>
      </w:tr>
      <w:tr>
        <w:trPr>
          <w:trHeight w:val="20"/>
        </w:trPr>
        <w:tc>
          <w:tcPr>
            <w:tcW w:w="3100" w:type="dxa"/>
            <w:vAlign w:val="bottom"/>
            <w:gridSpan w:val="2"/>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74"/>
        </w:trPr>
        <w:tc>
          <w:tcPr>
            <w:tcW w:w="11240" w:type="dxa"/>
            <w:vAlign w:val="bottom"/>
            <w:gridSpan w:val="8"/>
          </w:tcPr>
          <w:p>
            <w:pPr>
              <w:spacing w:after="0"/>
              <w:rPr>
                <w:sz w:val="20"/>
                <w:szCs w:val="20"/>
                <w:color w:val="auto"/>
              </w:rPr>
            </w:pPr>
            <w:r>
              <w:rPr>
                <w:rFonts w:ascii="Arial" w:cs="Arial" w:eastAsia="Arial" w:hAnsi="Arial"/>
                <w:sz w:val="22"/>
                <w:szCs w:val="22"/>
                <w:color w:val="auto"/>
              </w:rPr>
              <w:t>regulations promulgated thereunder.</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2.37</w:t>
            </w:r>
          </w:p>
        </w:tc>
        <w:tc>
          <w:tcPr>
            <w:tcW w:w="8800" w:type="dxa"/>
            <w:vAlign w:val="bottom"/>
            <w:gridSpan w:val="7"/>
          </w:tcPr>
          <w:p>
            <w:pPr>
              <w:ind w:left="560"/>
              <w:spacing w:after="0"/>
              <w:rPr>
                <w:sz w:val="20"/>
                <w:szCs w:val="20"/>
                <w:color w:val="auto"/>
              </w:rPr>
            </w:pPr>
            <w:r>
              <w:rPr>
                <w:rFonts w:ascii="Arial" w:cs="Arial" w:eastAsia="Arial" w:hAnsi="Arial"/>
                <w:sz w:val="22"/>
                <w:szCs w:val="22"/>
                <w:color w:val="auto"/>
              </w:rPr>
              <w:t>“Service Provider” means an Employee, Director or Consultant.</w:t>
            </w:r>
          </w:p>
        </w:tc>
      </w:tr>
      <w:tr>
        <w:trPr>
          <w:trHeight w:val="274"/>
        </w:trPr>
        <w:tc>
          <w:tcPr>
            <w:tcW w:w="2440" w:type="dxa"/>
            <w:vAlign w:val="bottom"/>
          </w:tcPr>
          <w:p>
            <w:pPr>
              <w:jc w:val="right"/>
              <w:ind w:right="1812"/>
              <w:spacing w:after="0"/>
              <w:rPr>
                <w:sz w:val="20"/>
                <w:szCs w:val="20"/>
                <w:color w:val="auto"/>
              </w:rPr>
            </w:pPr>
            <w:r>
              <w:rPr>
                <w:rFonts w:ascii="Arial" w:cs="Arial" w:eastAsia="Arial" w:hAnsi="Arial"/>
                <w:sz w:val="22"/>
                <w:szCs w:val="22"/>
                <w:color w:val="auto"/>
              </w:rPr>
              <w:t>-5-</w:t>
            </w:r>
          </w:p>
        </w:tc>
        <w:tc>
          <w:tcPr>
            <w:tcW w:w="66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700" w:type="dxa"/>
            <w:vAlign w:val="bottom"/>
          </w:tcPr>
          <w:p>
            <w:pPr>
              <w:spacing w:after="0"/>
              <w:rPr>
                <w:sz w:val="23"/>
                <w:szCs w:val="23"/>
                <w:color w:val="auto"/>
              </w:rPr>
            </w:pPr>
          </w:p>
        </w:tc>
      </w:tr>
      <w:tr>
        <w:trPr>
          <w:trHeight w:val="118"/>
        </w:trPr>
        <w:tc>
          <w:tcPr>
            <w:tcW w:w="2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53"/>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2.38</w:t>
            </w:r>
          </w:p>
        </w:tc>
        <w:tc>
          <w:tcPr>
            <w:tcW w:w="8720" w:type="dxa"/>
            <w:vAlign w:val="bottom"/>
            <w:gridSpan w:val="7"/>
          </w:tcPr>
          <w:p>
            <w:pPr>
              <w:ind w:left="480"/>
              <w:spacing w:after="0"/>
              <w:rPr>
                <w:sz w:val="20"/>
                <w:szCs w:val="20"/>
                <w:color w:val="auto"/>
              </w:rPr>
            </w:pPr>
            <w:r>
              <w:rPr>
                <w:rFonts w:ascii="Arial" w:cs="Arial" w:eastAsia="Arial" w:hAnsi="Arial"/>
                <w:sz w:val="22"/>
                <w:szCs w:val="22"/>
                <w:color w:val="auto"/>
                <w:w w:val="88"/>
              </w:rPr>
              <w:t>“Share” means a share of the Common Stock, as adjusted in accordance with Section 14 of the</w:t>
            </w:r>
          </w:p>
        </w:tc>
      </w:tr>
      <w:tr>
        <w:trPr>
          <w:trHeight w:val="274"/>
        </w:trPr>
        <w:tc>
          <w:tcPr>
            <w:tcW w:w="2520" w:type="dxa"/>
            <w:vAlign w:val="bottom"/>
          </w:tcPr>
          <w:p>
            <w:pPr>
              <w:spacing w:after="0"/>
              <w:rPr>
                <w:sz w:val="20"/>
                <w:szCs w:val="20"/>
                <w:color w:val="auto"/>
              </w:rPr>
            </w:pPr>
            <w:r>
              <w:rPr>
                <w:rFonts w:ascii="Arial" w:cs="Arial" w:eastAsia="Arial" w:hAnsi="Arial"/>
                <w:sz w:val="22"/>
                <w:szCs w:val="22"/>
                <w:color w:val="auto"/>
              </w:rPr>
              <w:t>Plan.</w:t>
            </w:r>
          </w:p>
        </w:tc>
        <w:tc>
          <w:tcPr>
            <w:tcW w:w="5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40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2.39</w:t>
            </w:r>
          </w:p>
        </w:tc>
        <w:tc>
          <w:tcPr>
            <w:tcW w:w="8720" w:type="dxa"/>
            <w:vAlign w:val="bottom"/>
            <w:gridSpan w:val="7"/>
          </w:tcPr>
          <w:p>
            <w:pPr>
              <w:ind w:left="480"/>
              <w:spacing w:after="0"/>
              <w:rPr>
                <w:sz w:val="20"/>
                <w:szCs w:val="20"/>
                <w:color w:val="auto"/>
              </w:rPr>
            </w:pPr>
            <w:r>
              <w:rPr>
                <w:rFonts w:ascii="Arial" w:cs="Arial" w:eastAsia="Arial" w:hAnsi="Arial"/>
                <w:sz w:val="22"/>
                <w:szCs w:val="22"/>
                <w:color w:val="auto"/>
                <w:w w:val="92"/>
              </w:rPr>
              <w:t>“Stock Appreciation Right” means an Award, granted alone or in connection with an Option,</w:t>
            </w:r>
          </w:p>
        </w:tc>
      </w:tr>
      <w:tr>
        <w:trPr>
          <w:trHeight w:val="20"/>
        </w:trPr>
        <w:tc>
          <w:tcPr>
            <w:tcW w:w="3120" w:type="dxa"/>
            <w:vAlign w:val="bottom"/>
            <w:gridSpan w:val="3"/>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73"/>
        </w:trPr>
        <w:tc>
          <w:tcPr>
            <w:tcW w:w="11240" w:type="dxa"/>
            <w:vAlign w:val="bottom"/>
            <w:gridSpan w:val="8"/>
          </w:tcPr>
          <w:p>
            <w:pPr>
              <w:spacing w:after="0"/>
              <w:rPr>
                <w:sz w:val="20"/>
                <w:szCs w:val="20"/>
                <w:color w:val="auto"/>
              </w:rPr>
            </w:pPr>
            <w:r>
              <w:rPr>
                <w:rFonts w:ascii="Arial" w:cs="Arial" w:eastAsia="Arial" w:hAnsi="Arial"/>
                <w:sz w:val="22"/>
                <w:szCs w:val="22"/>
                <w:color w:val="auto"/>
              </w:rPr>
              <w:t>that pursuant to Section 7 is designated as a Stock Appreciation Right.</w:t>
            </w:r>
          </w:p>
        </w:tc>
      </w:tr>
      <w:tr>
        <w:trPr>
          <w:trHeight w:val="40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2.40</w:t>
            </w:r>
          </w:p>
        </w:tc>
        <w:tc>
          <w:tcPr>
            <w:tcW w:w="8720" w:type="dxa"/>
            <w:vAlign w:val="bottom"/>
            <w:gridSpan w:val="7"/>
          </w:tcPr>
          <w:p>
            <w:pPr>
              <w:ind w:left="480"/>
              <w:spacing w:after="0"/>
              <w:rPr>
                <w:sz w:val="20"/>
                <w:szCs w:val="20"/>
                <w:color w:val="auto"/>
              </w:rPr>
            </w:pPr>
            <w:r>
              <w:rPr>
                <w:rFonts w:ascii="Arial" w:cs="Arial" w:eastAsia="Arial" w:hAnsi="Arial"/>
                <w:sz w:val="22"/>
                <w:szCs w:val="22"/>
                <w:color w:val="auto"/>
                <w:w w:val="91"/>
              </w:rPr>
              <w:t>“Subsidiary” means a “subsidiary corporation,” whether now or hereafter existing, as defined</w:t>
            </w:r>
          </w:p>
        </w:tc>
      </w:tr>
      <w:tr>
        <w:trPr>
          <w:trHeight w:val="273"/>
        </w:trPr>
        <w:tc>
          <w:tcPr>
            <w:tcW w:w="2520" w:type="dxa"/>
            <w:vAlign w:val="bottom"/>
          </w:tcPr>
          <w:p>
            <w:pPr>
              <w:spacing w:after="0"/>
              <w:rPr>
                <w:sz w:val="20"/>
                <w:szCs w:val="20"/>
                <w:color w:val="auto"/>
              </w:rPr>
            </w:pPr>
            <w:r>
              <w:rPr>
                <w:rFonts w:ascii="Arial" w:cs="Arial" w:eastAsia="Arial" w:hAnsi="Arial"/>
                <w:sz w:val="22"/>
                <w:szCs w:val="22"/>
                <w:color w:val="auto"/>
              </w:rPr>
              <w:t>in Code Section 424(f).</w:t>
            </w:r>
          </w:p>
        </w:tc>
        <w:tc>
          <w:tcPr>
            <w:tcW w:w="5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40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2.41</w:t>
            </w:r>
          </w:p>
        </w:tc>
        <w:tc>
          <w:tcPr>
            <w:tcW w:w="8720" w:type="dxa"/>
            <w:vAlign w:val="bottom"/>
            <w:gridSpan w:val="7"/>
          </w:tcPr>
          <w:p>
            <w:pPr>
              <w:ind w:left="480"/>
              <w:spacing w:after="0"/>
              <w:rPr>
                <w:sz w:val="20"/>
                <w:szCs w:val="20"/>
                <w:color w:val="auto"/>
              </w:rPr>
            </w:pPr>
            <w:r>
              <w:rPr>
                <w:rFonts w:ascii="Arial" w:cs="Arial" w:eastAsia="Arial" w:hAnsi="Arial"/>
                <w:sz w:val="22"/>
                <w:szCs w:val="22"/>
                <w:color w:val="auto"/>
                <w:w w:val="90"/>
              </w:rPr>
              <w:t>“Trading Day” means a day that the primary stock exchange, national market system, or other</w:t>
            </w:r>
          </w:p>
        </w:tc>
      </w:tr>
      <w:tr>
        <w:trPr>
          <w:trHeight w:val="20"/>
        </w:trPr>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trading platform, as applicable, upon which the Common Stock is listed (or otherwise trades regularly, as determined by the Administrator, in its sole discretion) is open for trading.</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U.S. Treasury Regulations</w:t>
      </w:r>
      <w:r>
        <w:rPr>
          <w:rFonts w:ascii="Arial" w:cs="Arial" w:eastAsia="Arial" w:hAnsi="Arial"/>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5" w:lineRule="exact"/>
        <w:rPr>
          <w:sz w:val="20"/>
          <w:szCs w:val="20"/>
          <w:color w:val="auto"/>
        </w:rPr>
      </w:pPr>
    </w:p>
    <w:p>
      <w:pPr>
        <w:ind w:left="1500" w:hanging="743"/>
        <w:spacing w:after="0"/>
        <w:tabs>
          <w:tab w:leader="none" w:pos="15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 Subject to adjustment upon changes in capitalization of the Company as provided in Section 14 and the automatic increase set forth in Section 3.2, the maximum aggregate number of Shares that may be subject to Awards and sold under the Plan will be equal to (a) 4,000,000 Shares, plus (b) any Shares subject to stock options, restricted stock units, or similar awards granted under the Company’s 2016 Equity Incentive Plan (the “</w:t>
      </w:r>
      <w:r>
        <w:rPr>
          <w:rFonts w:ascii="Arial" w:cs="Arial" w:eastAsia="Arial" w:hAnsi="Arial"/>
          <w:sz w:val="21"/>
          <w:szCs w:val="21"/>
          <w:u w:val="single" w:color="auto"/>
          <w:color w:val="auto"/>
        </w:rPr>
        <w:t>2016 Plan</w:t>
      </w:r>
      <w:r>
        <w:rPr>
          <w:rFonts w:ascii="Arial" w:cs="Arial" w:eastAsia="Arial" w:hAnsi="Arial"/>
          <w:sz w:val="21"/>
          <w:szCs w:val="21"/>
          <w:color w:val="auto"/>
        </w:rPr>
        <w:t>”)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2,430,000 Shares. In addition, Shares may become available for issuance under Sections 3.2 and 3.3. The Shares may be authorized but unissued, or reacquired Common Stock.</w:t>
      </w:r>
    </w:p>
    <w:p>
      <w:pPr>
        <w:spacing w:after="0" w:line="184"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Automatic Share Reserve Increase</w:t>
      </w:r>
      <w:r>
        <w:rPr>
          <w:rFonts w:ascii="Arial" w:cs="Arial" w:eastAsia="Arial" w:hAnsi="Arial"/>
          <w:sz w:val="21"/>
          <w:szCs w:val="21"/>
          <w:color w:val="auto"/>
        </w:rPr>
        <w:t>. Subject to adjustment upon changes in capitalization of the Company as provided in Section 14, the number of Shares available for issuance under the Plan will be increased on the first day of each Fiscal Year beginning with the 2022 Fiscal Year, in an amount equal to the least of (a) 4,000,000 Shares, (b) four percent (4%) of the outstanding Shares on the last day of the immediately preceding Fiscal Year, or (c) such number of Shares determined by the Board no later than the last day of the immediately preceding Fiscal Year.</w:t>
      </w:r>
    </w:p>
    <w:p>
      <w:pPr>
        <w:spacing w:after="0" w:line="17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Lapsed Awards</w:t>
      </w:r>
      <w:r>
        <w:rPr>
          <w:rFonts w:ascii="Arial" w:cs="Arial" w:eastAsia="Arial" w:hAnsi="Arial"/>
          <w:sz w:val="21"/>
          <w:szCs w:val="21"/>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w:t>
      </w:r>
    </w:p>
    <w:p>
      <w:pPr>
        <w:ind w:left="2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6" w:name="page207"/>
    <w:bookmarkEnd w:id="206"/>
    <w:p>
      <w:pPr>
        <w:jc w:val="both"/>
        <w:spacing w:after="0" w:line="272" w:lineRule="auto"/>
        <w:rPr>
          <w:sz w:val="20"/>
          <w:szCs w:val="20"/>
          <w:color w:val="auto"/>
        </w:rPr>
      </w:pPr>
      <w:r>
        <w:rPr>
          <w:rFonts w:ascii="Arial" w:cs="Arial" w:eastAsia="Arial" w:hAnsi="Arial"/>
          <w:sz w:val="19"/>
          <w:szCs w:val="19"/>
          <w:color w:val="auto"/>
        </w:rPr>
        <w:t>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5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75" w:lineRule="exact"/>
        <w:rPr>
          <w:sz w:val="20"/>
          <w:szCs w:val="20"/>
          <w:color w:val="auto"/>
        </w:rPr>
      </w:pPr>
    </w:p>
    <w:p>
      <w:pPr>
        <w:ind w:left="1500" w:hanging="743"/>
        <w:spacing w:after="0"/>
        <w:tabs>
          <w:tab w:leader="none" w:pos="15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40" w:type="dxa"/>
            <w:vAlign w:val="bottom"/>
          </w:tcPr>
          <w:p>
            <w:pPr>
              <w:jc w:val="right"/>
              <w:ind w:right="952"/>
              <w:spacing w:after="0"/>
              <w:rPr>
                <w:sz w:val="20"/>
                <w:szCs w:val="20"/>
                <w:color w:val="auto"/>
              </w:rPr>
            </w:pPr>
            <w:r>
              <w:rPr>
                <w:rFonts w:ascii="Arial" w:cs="Arial" w:eastAsia="Arial" w:hAnsi="Arial"/>
                <w:sz w:val="22"/>
                <w:szCs w:val="22"/>
                <w:color w:val="auto"/>
              </w:rPr>
              <w:t>4.1</w:t>
            </w:r>
          </w:p>
        </w:tc>
        <w:tc>
          <w:tcPr>
            <w:tcW w:w="8400" w:type="dxa"/>
            <w:vAlign w:val="bottom"/>
            <w:gridSpan w:val="6"/>
          </w:tcPr>
          <w:p>
            <w:pPr>
              <w:ind w:left="160"/>
              <w:spacing w:after="0"/>
              <w:rPr>
                <w:sz w:val="20"/>
                <w:szCs w:val="20"/>
                <w:color w:val="auto"/>
              </w:rPr>
            </w:pPr>
            <w:r>
              <w:rPr>
                <w:rFonts w:ascii="Arial" w:cs="Arial" w:eastAsia="Arial" w:hAnsi="Arial"/>
                <w:sz w:val="22"/>
                <w:szCs w:val="22"/>
                <w:color w:val="auto"/>
              </w:rPr>
              <w:t>Procedure.</w:t>
            </w:r>
          </w:p>
        </w:tc>
      </w:tr>
      <w:tr>
        <w:trPr>
          <w:trHeight w:val="439"/>
        </w:trPr>
        <w:tc>
          <w:tcPr>
            <w:tcW w:w="2840" w:type="dxa"/>
            <w:vAlign w:val="bottom"/>
          </w:tcPr>
          <w:p>
            <w:pPr>
              <w:jc w:val="right"/>
              <w:ind w:right="52"/>
              <w:spacing w:after="0"/>
              <w:rPr>
                <w:sz w:val="20"/>
                <w:szCs w:val="20"/>
                <w:color w:val="auto"/>
              </w:rPr>
            </w:pPr>
            <w:r>
              <w:rPr>
                <w:rFonts w:ascii="Arial" w:cs="Arial" w:eastAsia="Arial" w:hAnsi="Arial"/>
                <w:sz w:val="22"/>
                <w:szCs w:val="22"/>
                <w:color w:val="auto"/>
              </w:rPr>
              <w:t>4.1.1</w:t>
            </w: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9"/>
              </w:rPr>
              <w:t>Multiple Administrative Bodies.   Different Committees with respect to</w:t>
            </w:r>
          </w:p>
        </w:tc>
      </w:tr>
      <w:tr>
        <w:trPr>
          <w:trHeight w:val="20"/>
        </w:trPr>
        <w:tc>
          <w:tcPr>
            <w:tcW w:w="4500" w:type="dxa"/>
            <w:vAlign w:val="bottom"/>
            <w:gridSpan w:val="4"/>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73"/>
        </w:trPr>
        <w:tc>
          <w:tcPr>
            <w:tcW w:w="11240" w:type="dxa"/>
            <w:vAlign w:val="bottom"/>
            <w:gridSpan w:val="7"/>
          </w:tcPr>
          <w:p>
            <w:pPr>
              <w:spacing w:after="0"/>
              <w:rPr>
                <w:sz w:val="20"/>
                <w:szCs w:val="20"/>
                <w:color w:val="auto"/>
              </w:rPr>
            </w:pPr>
            <w:r>
              <w:rPr>
                <w:rFonts w:ascii="Arial" w:cs="Arial" w:eastAsia="Arial" w:hAnsi="Arial"/>
                <w:sz w:val="22"/>
                <w:szCs w:val="22"/>
                <w:color w:val="auto"/>
              </w:rPr>
              <w:t>different groups of Service Providers may administer the Plan.</w:t>
            </w:r>
          </w:p>
        </w:tc>
      </w:tr>
      <w:tr>
        <w:trPr>
          <w:trHeight w:val="408"/>
        </w:trPr>
        <w:tc>
          <w:tcPr>
            <w:tcW w:w="2840" w:type="dxa"/>
            <w:vAlign w:val="bottom"/>
          </w:tcPr>
          <w:p>
            <w:pPr>
              <w:jc w:val="right"/>
              <w:ind w:right="52"/>
              <w:spacing w:after="0"/>
              <w:rPr>
                <w:sz w:val="20"/>
                <w:szCs w:val="20"/>
                <w:color w:val="auto"/>
              </w:rPr>
            </w:pPr>
            <w:r>
              <w:rPr>
                <w:rFonts w:ascii="Arial" w:cs="Arial" w:eastAsia="Arial" w:hAnsi="Arial"/>
                <w:sz w:val="22"/>
                <w:szCs w:val="22"/>
                <w:color w:val="auto"/>
              </w:rPr>
              <w:t>4.1.2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5"/>
              </w:rPr>
              <w:t>Rule 16b-3.  To the extent desirable to qualify transactions hereunder as</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exempt under Rule 16b-3, the transactions contemplated hereunder will be structured to satisfy the requirements for exemption under Rule 16b-3.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jc w:val="right"/>
              <w:ind w:right="212"/>
              <w:spacing w:after="0"/>
              <w:rPr>
                <w:sz w:val="20"/>
                <w:szCs w:val="20"/>
                <w:color w:val="auto"/>
              </w:rPr>
            </w:pPr>
            <w:r>
              <w:rPr>
                <w:rFonts w:ascii="Arial" w:cs="Arial" w:eastAsia="Arial" w:hAnsi="Arial"/>
                <w:sz w:val="22"/>
                <w:szCs w:val="22"/>
                <w:color w:val="auto"/>
              </w:rPr>
              <w:t>4.1.3</w:t>
            </w:r>
          </w:p>
        </w:tc>
        <w:tc>
          <w:tcPr>
            <w:tcW w:w="1500" w:type="dxa"/>
            <w:vAlign w:val="bottom"/>
          </w:tcPr>
          <w:p>
            <w:pPr>
              <w:spacing w:after="0"/>
              <w:rPr>
                <w:sz w:val="21"/>
                <w:szCs w:val="21"/>
                <w:color w:val="auto"/>
              </w:rPr>
            </w:pPr>
          </w:p>
        </w:tc>
        <w:tc>
          <w:tcPr>
            <w:tcW w:w="6740" w:type="dxa"/>
            <w:vAlign w:val="bottom"/>
            <w:gridSpan w:val="3"/>
          </w:tcPr>
          <w:p>
            <w:pPr>
              <w:jc w:val="right"/>
              <w:spacing w:after="0"/>
              <w:rPr>
                <w:sz w:val="20"/>
                <w:szCs w:val="20"/>
                <w:color w:val="auto"/>
              </w:rPr>
            </w:pPr>
            <w:r>
              <w:rPr>
                <w:rFonts w:ascii="Arial" w:cs="Arial" w:eastAsia="Arial" w:hAnsi="Arial"/>
                <w:sz w:val="22"/>
                <w:szCs w:val="22"/>
                <w:color w:val="auto"/>
              </w:rPr>
              <w:t>Other Administration.  Other than as provided above, the Plan will be</w:t>
            </w:r>
          </w:p>
        </w:tc>
      </w:tr>
      <w:tr>
        <w:trPr>
          <w:trHeight w:val="20"/>
        </w:trPr>
        <w:tc>
          <w:tcPr>
            <w:tcW w:w="45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74"/>
        </w:trPr>
        <w:tc>
          <w:tcPr>
            <w:tcW w:w="11240" w:type="dxa"/>
            <w:vAlign w:val="bottom"/>
            <w:gridSpan w:val="5"/>
          </w:tcPr>
          <w:p>
            <w:pPr>
              <w:jc w:val="right"/>
              <w:ind w:right="620"/>
              <w:spacing w:after="0"/>
              <w:rPr>
                <w:sz w:val="20"/>
                <w:szCs w:val="20"/>
                <w:color w:val="auto"/>
              </w:rPr>
            </w:pPr>
            <w:r>
              <w:rPr>
                <w:rFonts w:ascii="Arial" w:cs="Arial" w:eastAsia="Arial" w:hAnsi="Arial"/>
                <w:sz w:val="22"/>
                <w:szCs w:val="22"/>
                <w:color w:val="auto"/>
                <w:w w:val="91"/>
              </w:rPr>
              <w:t>administered by (A) the Board or (B) a Committee, which Committee will be constituted to comply with Applicable Laws.</w:t>
            </w:r>
          </w:p>
        </w:tc>
      </w:tr>
      <w:tr>
        <w:trPr>
          <w:trHeight w:val="408"/>
        </w:trPr>
        <w:tc>
          <w:tcPr>
            <w:tcW w:w="3000" w:type="dxa"/>
            <w:vAlign w:val="bottom"/>
          </w:tcPr>
          <w:p>
            <w:pPr>
              <w:jc w:val="right"/>
              <w:ind w:right="1112"/>
              <w:spacing w:after="0"/>
              <w:rPr>
                <w:sz w:val="20"/>
                <w:szCs w:val="20"/>
                <w:color w:val="auto"/>
              </w:rPr>
            </w:pPr>
            <w:r>
              <w:rPr>
                <w:rFonts w:ascii="Arial" w:cs="Arial" w:eastAsia="Arial" w:hAnsi="Arial"/>
                <w:sz w:val="22"/>
                <w:szCs w:val="22"/>
                <w:color w:val="auto"/>
              </w:rPr>
              <w:t>4.2</w:t>
            </w:r>
          </w:p>
        </w:tc>
        <w:tc>
          <w:tcPr>
            <w:tcW w:w="8240" w:type="dxa"/>
            <w:vAlign w:val="bottom"/>
            <w:gridSpan w:val="4"/>
          </w:tcPr>
          <w:p>
            <w:pPr>
              <w:jc w:val="right"/>
              <w:spacing w:after="0"/>
              <w:rPr>
                <w:sz w:val="20"/>
                <w:szCs w:val="20"/>
                <w:color w:val="auto"/>
              </w:rPr>
            </w:pPr>
            <w:r>
              <w:rPr>
                <w:rFonts w:ascii="Arial" w:cs="Arial" w:eastAsia="Arial" w:hAnsi="Arial"/>
                <w:sz w:val="22"/>
                <w:szCs w:val="22"/>
                <w:color w:val="auto"/>
                <w:w w:val="97"/>
              </w:rPr>
              <w:t>Powers of the Administrator.  Subject to the provisions of the Plan, and in the case of a</w:t>
            </w:r>
          </w:p>
        </w:tc>
      </w:tr>
      <w:tr>
        <w:trPr>
          <w:trHeight w:val="20"/>
        </w:trPr>
        <w:tc>
          <w:tcPr>
            <w:tcW w:w="30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Committee, subject to the specific duties delegated by the Board to such Committee, the Administrator will have the authority, in its discretion: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00" w:type="dxa"/>
            <w:vAlign w:val="bottom"/>
          </w:tcPr>
          <w:p>
            <w:pPr>
              <w:ind w:left="2260"/>
              <w:spacing w:after="0"/>
              <w:rPr>
                <w:sz w:val="20"/>
                <w:szCs w:val="20"/>
                <w:color w:val="auto"/>
              </w:rPr>
            </w:pPr>
            <w:r>
              <w:rPr>
                <w:rFonts w:ascii="Arial" w:cs="Arial" w:eastAsia="Arial" w:hAnsi="Arial"/>
                <w:sz w:val="22"/>
                <w:szCs w:val="22"/>
                <w:color w:val="auto"/>
              </w:rPr>
              <w:t>(a)</w:t>
            </w:r>
          </w:p>
        </w:tc>
        <w:tc>
          <w:tcPr>
            <w:tcW w:w="7740" w:type="dxa"/>
            <w:vAlign w:val="bottom"/>
          </w:tcPr>
          <w:p>
            <w:pPr>
              <w:ind w:left="1000"/>
              <w:spacing w:after="0"/>
              <w:rPr>
                <w:sz w:val="20"/>
                <w:szCs w:val="20"/>
                <w:color w:val="auto"/>
              </w:rPr>
            </w:pPr>
            <w:r>
              <w:rPr>
                <w:rFonts w:ascii="Arial" w:cs="Arial" w:eastAsia="Arial" w:hAnsi="Arial"/>
                <w:sz w:val="22"/>
                <w:szCs w:val="22"/>
                <w:color w:val="auto"/>
              </w:rPr>
              <w:t>to determine the Fair Market Value;</w:t>
            </w:r>
          </w:p>
        </w:tc>
      </w:tr>
      <w:tr>
        <w:trPr>
          <w:trHeight w:val="459"/>
        </w:trPr>
        <w:tc>
          <w:tcPr>
            <w:tcW w:w="3500" w:type="dxa"/>
            <w:vAlign w:val="bottom"/>
          </w:tcPr>
          <w:p>
            <w:pPr>
              <w:ind w:left="2260"/>
              <w:spacing w:after="0"/>
              <w:rPr>
                <w:sz w:val="20"/>
                <w:szCs w:val="20"/>
                <w:color w:val="auto"/>
              </w:rPr>
            </w:pPr>
            <w:r>
              <w:rPr>
                <w:rFonts w:ascii="Arial" w:cs="Arial" w:eastAsia="Arial" w:hAnsi="Arial"/>
                <w:sz w:val="22"/>
                <w:szCs w:val="22"/>
                <w:color w:val="auto"/>
              </w:rPr>
              <w:t>(b)</w:t>
            </w:r>
          </w:p>
        </w:tc>
        <w:tc>
          <w:tcPr>
            <w:tcW w:w="7740" w:type="dxa"/>
            <w:vAlign w:val="bottom"/>
          </w:tcPr>
          <w:p>
            <w:pPr>
              <w:ind w:left="1000"/>
              <w:spacing w:after="0"/>
              <w:rPr>
                <w:sz w:val="20"/>
                <w:szCs w:val="20"/>
                <w:color w:val="auto"/>
              </w:rPr>
            </w:pPr>
            <w:r>
              <w:rPr>
                <w:rFonts w:ascii="Arial" w:cs="Arial" w:eastAsia="Arial" w:hAnsi="Arial"/>
                <w:sz w:val="22"/>
                <w:szCs w:val="22"/>
                <w:color w:val="auto"/>
                <w:w w:val="91"/>
              </w:rPr>
              <w:t>to select the Service Providers to whom Awards may be granted hereunder;</w:t>
            </w:r>
          </w:p>
        </w:tc>
      </w:tr>
      <w:tr>
        <w:trPr>
          <w:trHeight w:val="428"/>
        </w:trPr>
        <w:tc>
          <w:tcPr>
            <w:tcW w:w="3500" w:type="dxa"/>
            <w:vAlign w:val="bottom"/>
          </w:tcPr>
          <w:p>
            <w:pPr>
              <w:ind w:left="2260"/>
              <w:spacing w:after="0"/>
              <w:rPr>
                <w:sz w:val="20"/>
                <w:szCs w:val="20"/>
                <w:color w:val="auto"/>
              </w:rPr>
            </w:pPr>
            <w:r>
              <w:rPr>
                <w:rFonts w:ascii="Arial" w:cs="Arial" w:eastAsia="Arial" w:hAnsi="Arial"/>
                <w:sz w:val="22"/>
                <w:szCs w:val="22"/>
                <w:color w:val="auto"/>
              </w:rPr>
              <w:t>(c)</w:t>
            </w:r>
          </w:p>
        </w:tc>
        <w:tc>
          <w:tcPr>
            <w:tcW w:w="7740" w:type="dxa"/>
            <w:vAlign w:val="bottom"/>
          </w:tcPr>
          <w:p>
            <w:pPr>
              <w:ind w:left="1000"/>
              <w:spacing w:after="0"/>
              <w:rPr>
                <w:sz w:val="20"/>
                <w:szCs w:val="20"/>
                <w:color w:val="auto"/>
              </w:rPr>
            </w:pPr>
            <w:r>
              <w:rPr>
                <w:rFonts w:ascii="Arial" w:cs="Arial" w:eastAsia="Arial" w:hAnsi="Arial"/>
                <w:sz w:val="22"/>
                <w:szCs w:val="22"/>
                <w:color w:val="auto"/>
                <w:w w:val="94"/>
              </w:rPr>
              <w:t>to determine the number of Shares to be covered by each Award granted</w:t>
            </w:r>
          </w:p>
        </w:tc>
      </w:tr>
      <w:tr>
        <w:trPr>
          <w:trHeight w:val="243"/>
        </w:trPr>
        <w:tc>
          <w:tcPr>
            <w:tcW w:w="3500" w:type="dxa"/>
            <w:vAlign w:val="bottom"/>
          </w:tcPr>
          <w:p>
            <w:pPr>
              <w:spacing w:after="0" w:line="243" w:lineRule="exact"/>
              <w:rPr>
                <w:sz w:val="20"/>
                <w:szCs w:val="20"/>
                <w:color w:val="auto"/>
              </w:rPr>
            </w:pPr>
            <w:r>
              <w:rPr>
                <w:rFonts w:ascii="Arial" w:cs="Arial" w:eastAsia="Arial" w:hAnsi="Arial"/>
                <w:sz w:val="22"/>
                <w:szCs w:val="22"/>
                <w:color w:val="auto"/>
              </w:rPr>
              <w:t>hereunder;</w:t>
            </w:r>
          </w:p>
        </w:tc>
        <w:tc>
          <w:tcPr>
            <w:tcW w:w="7740" w:type="dxa"/>
            <w:vAlign w:val="bottom"/>
          </w:tcPr>
          <w:p>
            <w:pPr>
              <w:spacing w:after="0"/>
              <w:rPr>
                <w:sz w:val="21"/>
                <w:szCs w:val="21"/>
                <w:color w:val="auto"/>
              </w:rPr>
            </w:pPr>
          </w:p>
        </w:tc>
      </w:tr>
      <w:tr>
        <w:trPr>
          <w:trHeight w:val="274"/>
        </w:trPr>
        <w:tc>
          <w:tcPr>
            <w:tcW w:w="3500" w:type="dxa"/>
            <w:vAlign w:val="bottom"/>
          </w:tcPr>
          <w:p>
            <w:pPr>
              <w:ind w:left="280"/>
              <w:spacing w:after="0"/>
              <w:rPr>
                <w:sz w:val="20"/>
                <w:szCs w:val="20"/>
                <w:color w:val="auto"/>
              </w:rPr>
            </w:pPr>
            <w:r>
              <w:rPr>
                <w:rFonts w:ascii="Arial" w:cs="Arial" w:eastAsia="Arial" w:hAnsi="Arial"/>
                <w:sz w:val="22"/>
                <w:szCs w:val="22"/>
                <w:color w:val="auto"/>
              </w:rPr>
              <w:t>-7-</w:t>
            </w:r>
          </w:p>
        </w:tc>
        <w:tc>
          <w:tcPr>
            <w:tcW w:w="7740" w:type="dxa"/>
            <w:vAlign w:val="bottom"/>
          </w:tcPr>
          <w:p>
            <w:pPr>
              <w:spacing w:after="0"/>
              <w:rPr>
                <w:sz w:val="23"/>
                <w:szCs w:val="23"/>
                <w:color w:val="auto"/>
              </w:rPr>
            </w:pPr>
          </w:p>
        </w:tc>
      </w:tr>
      <w:tr>
        <w:trPr>
          <w:trHeight w:val="118"/>
        </w:trPr>
        <w:tc>
          <w:tcPr>
            <w:tcW w:w="3500" w:type="dxa"/>
            <w:vAlign w:val="bottom"/>
            <w:tcBorders>
              <w:bottom w:val="single" w:sz="8" w:color="9A9A9A"/>
            </w:tcBorders>
          </w:tcPr>
          <w:p>
            <w:pPr>
              <w:spacing w:after="0"/>
              <w:rPr>
                <w:sz w:val="10"/>
                <w:szCs w:val="10"/>
                <w:color w:val="auto"/>
              </w:rPr>
            </w:pPr>
          </w:p>
        </w:tc>
        <w:tc>
          <w:tcPr>
            <w:tcW w:w="7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7" w:name="page208"/>
    <w:bookmarkEnd w:id="207"/>
    <w:p>
      <w:pPr>
        <w:ind w:left="226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approve forms of Award Agreements for use under the Plan;</w:t>
      </w:r>
    </w:p>
    <w:p>
      <w:pPr>
        <w:spacing w:after="0" w:line="200" w:lineRule="exact"/>
        <w:rPr>
          <w:sz w:val="20"/>
          <w:szCs w:val="20"/>
          <w:color w:val="auto"/>
        </w:rPr>
      </w:pPr>
    </w:p>
    <w:p>
      <w:pPr>
        <w:sectPr>
          <w:pgSz w:w="11900" w:h="16838" w:orient="portrait"/>
          <w:cols w:equalWidth="0" w:num="2">
            <w:col w:w="3780" w:space="720"/>
            <w:col w:w="6740"/>
          </w:cols>
          <w:pgMar w:left="320" w:top="564" w:right="339" w:bottom="1440" w:gutter="0" w:footer="0" w:header="0"/>
        </w:sectPr>
      </w:pPr>
    </w:p>
    <w:p>
      <w:pPr>
        <w:spacing w:after="0" w:line="41"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to determine the terms and conditions, not inconsistent with the terms of the</w:t>
      </w:r>
    </w:p>
    <w:p>
      <w:pPr>
        <w:sectPr>
          <w:pgSz w:w="11900" w:h="16838" w:orient="portrait"/>
          <w:cols w:equalWidth="0" w:num="1">
            <w:col w:w="11240"/>
          </w:cols>
          <w:pgMar w:left="320" w:top="564" w:right="339" w:bottom="1440" w:gutter="0" w:footer="0" w:header="0"/>
          <w:type w:val="continuous"/>
        </w:sectPr>
      </w:pP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88" w:lineRule="exact"/>
        <w:rPr>
          <w:sz w:val="20"/>
          <w:szCs w:val="20"/>
          <w:color w:val="auto"/>
        </w:rPr>
      </w:pPr>
    </w:p>
    <w:p>
      <w:pPr>
        <w:jc w:val="both"/>
        <w:ind w:firstLine="2246"/>
        <w:spacing w:after="0" w:line="297" w:lineRule="auto"/>
        <w:rPr>
          <w:sz w:val="20"/>
          <w:szCs w:val="20"/>
          <w:color w:val="auto"/>
        </w:rPr>
      </w:pPr>
      <w:r>
        <w:rPr>
          <w:rFonts w:ascii="Arial" w:cs="Arial" w:eastAsia="Arial" w:hAnsi="Arial"/>
          <w:sz w:val="19"/>
          <w:szCs w:val="19"/>
          <w:color w:val="auto"/>
        </w:rPr>
        <w:t>(f) to institute and determine the terms and conditions of an Exchange Program, The undersigned Participant has been granted an Option to purchase Common Stock of the Company, subject including, subject to Section 19.3, to unilaterally implement an Exchange Program without the consent of the applicable Award holder;</w:t>
      </w:r>
    </w:p>
    <w:p>
      <w:pPr>
        <w:sectPr>
          <w:pgSz w:w="11900" w:h="16838" w:orient="portrait"/>
          <w:cols w:equalWidth="0" w:num="1">
            <w:col w:w="11240"/>
          </w:cols>
          <w:pgMar w:left="320" w:top="564" w:right="339" w:bottom="1440" w:gutter="0" w:footer="0" w:header="0"/>
          <w:type w:val="continuous"/>
        </w:sectPr>
      </w:pPr>
    </w:p>
    <w:p>
      <w:pPr>
        <w:spacing w:after="0" w:line="134"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to construe and interpret the terms of the Plan and Awards granted pursuant</w:t>
      </w:r>
    </w:p>
    <w:p>
      <w:pPr>
        <w:spacing w:after="0" w:line="46" w:lineRule="exact"/>
        <w:rPr>
          <w:sz w:val="20"/>
          <w:szCs w:val="20"/>
          <w:color w:val="auto"/>
        </w:rPr>
      </w:pPr>
    </w:p>
    <w:p>
      <w:pPr>
        <w:sectPr>
          <w:pgSz w:w="11900" w:h="16838" w:orient="portrait"/>
          <w:cols w:equalWidth="0" w:num="2">
            <w:col w:w="3780" w:space="720"/>
            <w:col w:w="6740"/>
          </w:cols>
          <w:pgMar w:left="320" w:top="564" w:right="339" w:bottom="1440" w:gutter="0" w:footer="0" w:header="0"/>
          <w:type w:val="continuous"/>
        </w:sectPr>
      </w:pPr>
    </w:p>
    <w:p>
      <w:pPr>
        <w:spacing w:after="0"/>
        <w:rPr>
          <w:sz w:val="20"/>
          <w:szCs w:val="20"/>
          <w:color w:val="auto"/>
        </w:rPr>
      </w:pPr>
      <w:r>
        <w:rPr>
          <w:rFonts w:ascii="Arial" w:cs="Arial" w:eastAsia="Arial" w:hAnsi="Arial"/>
          <w:sz w:val="22"/>
          <w:szCs w:val="22"/>
          <w:color w:val="auto"/>
        </w:rPr>
        <w:t>to the Plan;</w:t>
      </w:r>
    </w:p>
    <w:p>
      <w:pPr>
        <w:spacing w:after="0" w:line="18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color w:val="auto"/>
        </w:rPr>
        <w:t>to prescribe, amend and rescind rules and regulations relating to the Plan,</w:t>
      </w:r>
    </w:p>
    <w:p>
      <w:pPr>
        <w:sectPr>
          <w:pgSz w:w="11900" w:h="16838" w:orient="portrait"/>
          <w:cols w:equalWidth="0" w:num="1">
            <w:col w:w="11240"/>
          </w:cols>
          <w:pgMar w:left="320" w:top="564" w:right="339" w:bottom="1440" w:gutter="0" w:footer="0" w:header="0"/>
          <w:type w:val="continuous"/>
        </w:sectPr>
      </w:pPr>
    </w:p>
    <w:p>
      <w:pPr>
        <w:spacing w:after="0" w:line="56" w:lineRule="exact"/>
        <w:rPr>
          <w:sz w:val="20"/>
          <w:szCs w:val="20"/>
          <w:color w:val="auto"/>
        </w:rPr>
      </w:pPr>
    </w:p>
    <w:p>
      <w:pPr>
        <w:jc w:val="both"/>
        <w:spacing w:after="0" w:line="243" w:lineRule="exact"/>
        <w:rPr>
          <w:sz w:val="20"/>
          <w:szCs w:val="20"/>
          <w:color w:val="auto"/>
        </w:rPr>
      </w:pPr>
      <w:r>
        <w:rPr>
          <w:rFonts w:ascii="Arial" w:cs="Arial" w:eastAsia="Arial" w:hAnsi="Arial"/>
          <w:sz w:val="22"/>
          <w:szCs w:val="22"/>
          <w:color w:val="auto"/>
        </w:rPr>
        <w:t>including rules and regulations relating to sub-plans established for the purpose of satisfying applicable non</w:t>
      </w:r>
      <w:r>
        <w:rPr>
          <w:rFonts w:ascii="MS PGothic" w:cs="MS PGothic" w:eastAsia="MS PGothic" w:hAnsi="MS PGothic"/>
          <w:sz w:val="22"/>
          <w:szCs w:val="22"/>
          <w:color w:val="auto"/>
        </w:rPr>
        <w:t>‑</w:t>
      </w:r>
      <w:r>
        <w:rPr>
          <w:rFonts w:ascii="Arial" w:cs="Arial" w:eastAsia="Arial" w:hAnsi="Arial"/>
          <w:sz w:val="22"/>
          <w:szCs w:val="22"/>
          <w:color w:val="auto"/>
        </w:rPr>
        <w:t>U.S. laws or for qualifying for favorable tax treatment under applicable non</w:t>
      </w:r>
      <w:r>
        <w:rPr>
          <w:rFonts w:ascii="MS PGothic" w:cs="MS PGothic" w:eastAsia="MS PGothic" w:hAnsi="MS PGothic"/>
          <w:sz w:val="22"/>
          <w:szCs w:val="22"/>
          <w:color w:val="auto"/>
        </w:rPr>
        <w:t>‑</w:t>
      </w:r>
      <w:r>
        <w:rPr>
          <w:rFonts w:ascii="Arial" w:cs="Arial" w:eastAsia="Arial" w:hAnsi="Arial"/>
          <w:sz w:val="22"/>
          <w:szCs w:val="22"/>
          <w:color w:val="auto"/>
        </w:rPr>
        <w:t>U.S. laws;</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to modify or amend each Award (subject to Section 19.3), including but not limited to the discretionary authority to extend the post-termination exercisability period of Awards and to extend the maximum term of an Option or Stock Appreciation Right (subject to Sections 6.4 and 7.5);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2260"/>
              <w:spacing w:after="0"/>
              <w:rPr>
                <w:sz w:val="20"/>
                <w:szCs w:val="20"/>
                <w:color w:val="auto"/>
              </w:rPr>
            </w:pPr>
            <w:r>
              <w:rPr>
                <w:rFonts w:ascii="Arial" w:cs="Arial" w:eastAsia="Arial" w:hAnsi="Arial"/>
                <w:sz w:val="22"/>
                <w:szCs w:val="22"/>
                <w:color w:val="auto"/>
              </w:rPr>
              <w:t>(j)</w:t>
            </w:r>
          </w:p>
        </w:tc>
        <w:tc>
          <w:tcPr>
            <w:tcW w:w="2360" w:type="dxa"/>
            <w:vAlign w:val="bottom"/>
          </w:tcPr>
          <w:p>
            <w:pPr>
              <w:ind w:left="1500"/>
              <w:spacing w:after="0"/>
              <w:rPr>
                <w:sz w:val="20"/>
                <w:szCs w:val="20"/>
                <w:color w:val="auto"/>
              </w:rPr>
            </w:pPr>
            <w:r>
              <w:rPr>
                <w:rFonts w:ascii="Arial" w:cs="Arial" w:eastAsia="Arial" w:hAnsi="Arial"/>
                <w:sz w:val="22"/>
                <w:szCs w:val="22"/>
                <w:color w:val="auto"/>
              </w:rPr>
              <w:t>to allow</w:t>
            </w:r>
          </w:p>
        </w:tc>
        <w:tc>
          <w:tcPr>
            <w:tcW w:w="1040" w:type="dxa"/>
            <w:vAlign w:val="bottom"/>
            <w:gridSpan w:val="2"/>
          </w:tcPr>
          <w:p>
            <w:pPr>
              <w:ind w:left="20"/>
              <w:spacing w:after="0"/>
              <w:rPr>
                <w:sz w:val="20"/>
                <w:szCs w:val="20"/>
                <w:color w:val="auto"/>
              </w:rPr>
            </w:pPr>
            <w:r>
              <w:rPr>
                <w:rFonts w:ascii="Arial" w:cs="Arial" w:eastAsia="Arial" w:hAnsi="Arial"/>
                <w:sz w:val="22"/>
                <w:szCs w:val="22"/>
                <w:color w:val="auto"/>
                <w:w w:val="86"/>
              </w:rPr>
              <w:t>Participants</w:t>
            </w:r>
          </w:p>
        </w:tc>
        <w:tc>
          <w:tcPr>
            <w:tcW w:w="4840" w:type="dxa"/>
            <w:vAlign w:val="bottom"/>
            <w:gridSpan w:val="2"/>
          </w:tcPr>
          <w:p>
            <w:pPr>
              <w:jc w:val="right"/>
              <w:spacing w:after="0"/>
              <w:rPr>
                <w:sz w:val="20"/>
                <w:szCs w:val="20"/>
                <w:color w:val="auto"/>
              </w:rPr>
            </w:pPr>
            <w:r>
              <w:rPr>
                <w:rFonts w:ascii="Arial" w:cs="Arial" w:eastAsia="Arial" w:hAnsi="Arial"/>
                <w:sz w:val="22"/>
                <w:szCs w:val="22"/>
                <w:color w:val="auto"/>
              </w:rPr>
              <w:t>to satisfy withholding tax obligations in a manner</w:t>
            </w:r>
          </w:p>
        </w:tc>
      </w:tr>
      <w:tr>
        <w:trPr>
          <w:trHeight w:val="274"/>
        </w:trPr>
        <w:tc>
          <w:tcPr>
            <w:tcW w:w="3000" w:type="dxa"/>
            <w:vAlign w:val="bottom"/>
          </w:tcPr>
          <w:p>
            <w:pPr>
              <w:spacing w:after="0"/>
              <w:rPr>
                <w:sz w:val="20"/>
                <w:szCs w:val="20"/>
                <w:color w:val="auto"/>
              </w:rPr>
            </w:pPr>
            <w:r>
              <w:rPr>
                <w:rFonts w:ascii="Arial" w:cs="Arial" w:eastAsia="Arial" w:hAnsi="Arial"/>
                <w:sz w:val="22"/>
                <w:szCs w:val="22"/>
                <w:color w:val="auto"/>
              </w:rPr>
              <w:t>prescribed in Section 16;</w:t>
            </w:r>
          </w:p>
        </w:tc>
        <w:tc>
          <w:tcPr>
            <w:tcW w:w="2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28"/>
        </w:trPr>
        <w:tc>
          <w:tcPr>
            <w:tcW w:w="3000" w:type="dxa"/>
            <w:vAlign w:val="bottom"/>
          </w:tcPr>
          <w:p>
            <w:pPr>
              <w:ind w:left="2260"/>
              <w:spacing w:after="0"/>
              <w:rPr>
                <w:sz w:val="20"/>
                <w:szCs w:val="20"/>
                <w:color w:val="auto"/>
              </w:rPr>
            </w:pPr>
            <w:r>
              <w:rPr>
                <w:rFonts w:ascii="Arial" w:cs="Arial" w:eastAsia="Arial" w:hAnsi="Arial"/>
                <w:sz w:val="22"/>
                <w:szCs w:val="22"/>
                <w:color w:val="auto"/>
              </w:rPr>
              <w:t>(k)</w:t>
            </w:r>
          </w:p>
        </w:tc>
        <w:tc>
          <w:tcPr>
            <w:tcW w:w="8240" w:type="dxa"/>
            <w:vAlign w:val="bottom"/>
            <w:gridSpan w:val="5"/>
          </w:tcPr>
          <w:p>
            <w:pPr>
              <w:jc w:val="right"/>
              <w:spacing w:after="0"/>
              <w:rPr>
                <w:sz w:val="20"/>
                <w:szCs w:val="20"/>
                <w:color w:val="auto"/>
              </w:rPr>
            </w:pPr>
            <w:r>
              <w:rPr>
                <w:rFonts w:ascii="Arial" w:cs="Arial" w:eastAsia="Arial" w:hAnsi="Arial"/>
                <w:sz w:val="22"/>
                <w:szCs w:val="22"/>
                <w:color w:val="auto"/>
              </w:rPr>
              <w:t>to authorize any person to execute on behalf of the Company any instrument</w:t>
            </w:r>
          </w:p>
        </w:tc>
      </w:tr>
      <w:tr>
        <w:trPr>
          <w:trHeight w:val="274"/>
        </w:trPr>
        <w:tc>
          <w:tcPr>
            <w:tcW w:w="10880" w:type="dxa"/>
            <w:vAlign w:val="bottom"/>
            <w:gridSpan w:val="5"/>
          </w:tcPr>
          <w:p>
            <w:pPr>
              <w:spacing w:after="0"/>
              <w:rPr>
                <w:sz w:val="20"/>
                <w:szCs w:val="20"/>
                <w:color w:val="auto"/>
              </w:rPr>
            </w:pPr>
            <w:r>
              <w:rPr>
                <w:rFonts w:ascii="Arial" w:cs="Arial" w:eastAsia="Arial" w:hAnsi="Arial"/>
                <w:sz w:val="22"/>
                <w:szCs w:val="22"/>
                <w:color w:val="auto"/>
              </w:rPr>
              <w:t>required to effect the grant of an Award previously granted by the Administrator;</w:t>
            </w:r>
          </w:p>
        </w:tc>
        <w:tc>
          <w:tcPr>
            <w:tcW w:w="360" w:type="dxa"/>
            <w:vAlign w:val="bottom"/>
          </w:tcPr>
          <w:p>
            <w:pPr>
              <w:spacing w:after="0"/>
              <w:rPr>
                <w:sz w:val="23"/>
                <w:szCs w:val="23"/>
                <w:color w:val="auto"/>
              </w:rPr>
            </w:pPr>
          </w:p>
        </w:tc>
      </w:tr>
      <w:tr>
        <w:trPr>
          <w:trHeight w:val="428"/>
        </w:trPr>
        <w:tc>
          <w:tcPr>
            <w:tcW w:w="3000" w:type="dxa"/>
            <w:vAlign w:val="bottom"/>
          </w:tcPr>
          <w:p>
            <w:pPr>
              <w:ind w:left="2260"/>
              <w:spacing w:after="0"/>
              <w:rPr>
                <w:sz w:val="20"/>
                <w:szCs w:val="20"/>
                <w:color w:val="auto"/>
              </w:rPr>
            </w:pPr>
            <w:r>
              <w:rPr>
                <w:rFonts w:ascii="Arial" w:cs="Arial" w:eastAsia="Arial" w:hAnsi="Arial"/>
                <w:sz w:val="22"/>
                <w:szCs w:val="22"/>
                <w:color w:val="auto"/>
              </w:rPr>
              <w:t>(l)</w:t>
            </w:r>
          </w:p>
        </w:tc>
        <w:tc>
          <w:tcPr>
            <w:tcW w:w="8240" w:type="dxa"/>
            <w:vAlign w:val="bottom"/>
            <w:gridSpan w:val="5"/>
          </w:tcPr>
          <w:p>
            <w:pPr>
              <w:jc w:val="right"/>
              <w:spacing w:after="0"/>
              <w:rPr>
                <w:sz w:val="20"/>
                <w:szCs w:val="20"/>
                <w:color w:val="auto"/>
              </w:rPr>
            </w:pPr>
            <w:r>
              <w:rPr>
                <w:rFonts w:ascii="Arial" w:cs="Arial" w:eastAsia="Arial" w:hAnsi="Arial"/>
                <w:sz w:val="22"/>
                <w:szCs w:val="22"/>
                <w:color w:val="auto"/>
              </w:rPr>
              <w:t>to allow a Participant to defer the receipt of the payment of cash or the</w:t>
            </w:r>
          </w:p>
        </w:tc>
      </w:tr>
      <w:tr>
        <w:trPr>
          <w:trHeight w:val="274"/>
        </w:trPr>
        <w:tc>
          <w:tcPr>
            <w:tcW w:w="10880" w:type="dxa"/>
            <w:vAlign w:val="bottom"/>
            <w:gridSpan w:val="5"/>
          </w:tcPr>
          <w:p>
            <w:pPr>
              <w:spacing w:after="0"/>
              <w:rPr>
                <w:sz w:val="20"/>
                <w:szCs w:val="20"/>
                <w:color w:val="auto"/>
              </w:rPr>
            </w:pPr>
            <w:r>
              <w:rPr>
                <w:rFonts w:ascii="Arial" w:cs="Arial" w:eastAsia="Arial" w:hAnsi="Arial"/>
                <w:sz w:val="22"/>
                <w:szCs w:val="22"/>
                <w:color w:val="auto"/>
              </w:rPr>
              <w:t>delivery of Shares that otherwise would be due to such Participant under an Award; and</w:t>
            </w:r>
          </w:p>
        </w:tc>
        <w:tc>
          <w:tcPr>
            <w:tcW w:w="360" w:type="dxa"/>
            <w:vAlign w:val="bottom"/>
          </w:tcPr>
          <w:p>
            <w:pPr>
              <w:spacing w:after="0"/>
              <w:rPr>
                <w:sz w:val="23"/>
                <w:szCs w:val="23"/>
                <w:color w:val="auto"/>
              </w:rPr>
            </w:pPr>
          </w:p>
        </w:tc>
      </w:tr>
      <w:tr>
        <w:trPr>
          <w:trHeight w:val="428"/>
        </w:trPr>
        <w:tc>
          <w:tcPr>
            <w:tcW w:w="3000" w:type="dxa"/>
            <w:vAlign w:val="bottom"/>
          </w:tcPr>
          <w:p>
            <w:pPr>
              <w:ind w:left="2260"/>
              <w:spacing w:after="0"/>
              <w:rPr>
                <w:sz w:val="20"/>
                <w:szCs w:val="20"/>
                <w:color w:val="auto"/>
              </w:rPr>
            </w:pPr>
            <w:r>
              <w:rPr>
                <w:rFonts w:ascii="Arial" w:cs="Arial" w:eastAsia="Arial" w:hAnsi="Arial"/>
                <w:sz w:val="22"/>
                <w:szCs w:val="22"/>
                <w:color w:val="auto"/>
              </w:rPr>
              <w:t>(m)</w:t>
            </w:r>
          </w:p>
        </w:tc>
        <w:tc>
          <w:tcPr>
            <w:tcW w:w="2360" w:type="dxa"/>
            <w:vAlign w:val="bottom"/>
          </w:tcPr>
          <w:p>
            <w:pPr>
              <w:ind w:left="1500"/>
              <w:spacing w:after="0"/>
              <w:rPr>
                <w:sz w:val="20"/>
                <w:szCs w:val="20"/>
                <w:color w:val="auto"/>
              </w:rPr>
            </w:pPr>
            <w:r>
              <w:rPr>
                <w:rFonts w:ascii="Arial" w:cs="Arial" w:eastAsia="Arial" w:hAnsi="Arial"/>
                <w:sz w:val="22"/>
                <w:szCs w:val="22"/>
                <w:color w:val="auto"/>
                <w:w w:val="99"/>
              </w:rPr>
              <w:t>to  make</w:t>
            </w:r>
          </w:p>
        </w:tc>
        <w:tc>
          <w:tcPr>
            <w:tcW w:w="1040" w:type="dxa"/>
            <w:vAlign w:val="bottom"/>
            <w:gridSpan w:val="2"/>
          </w:tcPr>
          <w:p>
            <w:pPr>
              <w:ind w:left="80"/>
              <w:spacing w:after="0"/>
              <w:rPr>
                <w:sz w:val="20"/>
                <w:szCs w:val="20"/>
                <w:color w:val="auto"/>
              </w:rPr>
            </w:pPr>
            <w:r>
              <w:rPr>
                <w:rFonts w:ascii="Arial" w:cs="Arial" w:eastAsia="Arial" w:hAnsi="Arial"/>
                <w:sz w:val="22"/>
                <w:szCs w:val="22"/>
                <w:color w:val="auto"/>
              </w:rPr>
              <w:t>all  other</w:t>
            </w:r>
          </w:p>
        </w:tc>
        <w:tc>
          <w:tcPr>
            <w:tcW w:w="4480" w:type="dxa"/>
            <w:vAlign w:val="bottom"/>
          </w:tcPr>
          <w:p>
            <w:pPr>
              <w:ind w:left="20"/>
              <w:spacing w:after="0"/>
              <w:rPr>
                <w:sz w:val="20"/>
                <w:szCs w:val="20"/>
                <w:color w:val="auto"/>
              </w:rPr>
            </w:pPr>
            <w:r>
              <w:rPr>
                <w:rFonts w:ascii="Arial" w:cs="Arial" w:eastAsia="Arial" w:hAnsi="Arial"/>
                <w:sz w:val="22"/>
                <w:szCs w:val="22"/>
                <w:color w:val="auto"/>
                <w:w w:val="91"/>
              </w:rPr>
              <w:t>determinations  deemed  necessary  or  advisable</w:t>
            </w:r>
          </w:p>
        </w:tc>
        <w:tc>
          <w:tcPr>
            <w:tcW w:w="360" w:type="dxa"/>
            <w:vAlign w:val="bottom"/>
          </w:tcPr>
          <w:p>
            <w:pPr>
              <w:jc w:val="right"/>
              <w:spacing w:after="0"/>
              <w:rPr>
                <w:sz w:val="20"/>
                <w:szCs w:val="20"/>
                <w:color w:val="auto"/>
              </w:rPr>
            </w:pPr>
            <w:r>
              <w:rPr>
                <w:rFonts w:ascii="Arial" w:cs="Arial" w:eastAsia="Arial" w:hAnsi="Arial"/>
                <w:sz w:val="22"/>
                <w:szCs w:val="22"/>
                <w:color w:val="auto"/>
              </w:rPr>
              <w:t>for</w:t>
            </w:r>
          </w:p>
        </w:tc>
      </w:tr>
      <w:tr>
        <w:trPr>
          <w:trHeight w:val="274"/>
        </w:trPr>
        <w:tc>
          <w:tcPr>
            <w:tcW w:w="3000" w:type="dxa"/>
            <w:vAlign w:val="bottom"/>
          </w:tcPr>
          <w:p>
            <w:pPr>
              <w:spacing w:after="0"/>
              <w:rPr>
                <w:sz w:val="20"/>
                <w:szCs w:val="20"/>
                <w:color w:val="auto"/>
              </w:rPr>
            </w:pPr>
            <w:r>
              <w:rPr>
                <w:rFonts w:ascii="Arial" w:cs="Arial" w:eastAsia="Arial" w:hAnsi="Arial"/>
                <w:sz w:val="22"/>
                <w:szCs w:val="22"/>
                <w:color w:val="auto"/>
              </w:rPr>
              <w:t>administering the Plan.</w:t>
            </w:r>
          </w:p>
        </w:tc>
        <w:tc>
          <w:tcPr>
            <w:tcW w:w="2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08"/>
        </w:trPr>
        <w:tc>
          <w:tcPr>
            <w:tcW w:w="3000" w:type="dxa"/>
            <w:vAlign w:val="bottom"/>
          </w:tcPr>
          <w:p>
            <w:pPr>
              <w:ind w:left="1500"/>
              <w:spacing w:after="0"/>
              <w:rPr>
                <w:sz w:val="20"/>
                <w:szCs w:val="20"/>
                <w:color w:val="auto"/>
              </w:rPr>
            </w:pPr>
            <w:r>
              <w:rPr>
                <w:rFonts w:ascii="Arial" w:cs="Arial" w:eastAsia="Arial" w:hAnsi="Arial"/>
                <w:sz w:val="22"/>
                <w:szCs w:val="22"/>
                <w:color w:val="auto"/>
              </w:rPr>
              <w:t>4.3</w:t>
            </w:r>
          </w:p>
        </w:tc>
        <w:tc>
          <w:tcPr>
            <w:tcW w:w="2360" w:type="dxa"/>
            <w:vAlign w:val="bottom"/>
          </w:tcPr>
          <w:p>
            <w:pPr>
              <w:spacing w:after="0"/>
              <w:rPr>
                <w:sz w:val="20"/>
                <w:szCs w:val="20"/>
                <w:color w:val="auto"/>
              </w:rPr>
            </w:pPr>
            <w:r>
              <w:rPr>
                <w:rFonts w:ascii="Arial" w:cs="Arial" w:eastAsia="Arial" w:hAnsi="Arial"/>
                <w:sz w:val="22"/>
                <w:szCs w:val="22"/>
                <w:color w:val="auto"/>
              </w:rPr>
              <w:t>Effect of Administrator’s</w:t>
            </w:r>
          </w:p>
        </w:tc>
        <w:tc>
          <w:tcPr>
            <w:tcW w:w="1040" w:type="dxa"/>
            <w:vAlign w:val="bottom"/>
            <w:gridSpan w:val="2"/>
          </w:tcPr>
          <w:p>
            <w:pPr>
              <w:ind w:left="100"/>
              <w:spacing w:after="0"/>
              <w:rPr>
                <w:sz w:val="20"/>
                <w:szCs w:val="20"/>
                <w:color w:val="auto"/>
              </w:rPr>
            </w:pPr>
            <w:r>
              <w:rPr>
                <w:rFonts w:ascii="Arial" w:cs="Arial" w:eastAsia="Arial" w:hAnsi="Arial"/>
                <w:sz w:val="22"/>
                <w:szCs w:val="22"/>
                <w:color w:val="auto"/>
              </w:rPr>
              <w:t>Decision.</w:t>
            </w:r>
          </w:p>
        </w:tc>
        <w:tc>
          <w:tcPr>
            <w:tcW w:w="4480" w:type="dxa"/>
            <w:vAlign w:val="bottom"/>
          </w:tcPr>
          <w:p>
            <w:pPr>
              <w:ind w:left="140"/>
              <w:spacing w:after="0"/>
              <w:rPr>
                <w:sz w:val="20"/>
                <w:szCs w:val="20"/>
                <w:color w:val="auto"/>
              </w:rPr>
            </w:pPr>
            <w:r>
              <w:rPr>
                <w:rFonts w:ascii="Arial" w:cs="Arial" w:eastAsia="Arial" w:hAnsi="Arial"/>
                <w:sz w:val="22"/>
                <w:szCs w:val="22"/>
                <w:color w:val="auto"/>
                <w:w w:val="97"/>
              </w:rPr>
              <w:t>The Administrator’s decisions, determinations</w:t>
            </w:r>
          </w:p>
        </w:tc>
        <w:tc>
          <w:tcPr>
            <w:tcW w:w="360" w:type="dxa"/>
            <w:vAlign w:val="bottom"/>
          </w:tcPr>
          <w:p>
            <w:pPr>
              <w:jc w:val="right"/>
              <w:spacing w:after="0"/>
              <w:rPr>
                <w:sz w:val="20"/>
                <w:szCs w:val="20"/>
                <w:color w:val="auto"/>
              </w:rPr>
            </w:pPr>
            <w:r>
              <w:rPr>
                <w:rFonts w:ascii="Arial" w:cs="Arial" w:eastAsia="Arial" w:hAnsi="Arial"/>
                <w:sz w:val="22"/>
                <w:szCs w:val="22"/>
                <w:color w:val="auto"/>
                <w:w w:val="92"/>
              </w:rPr>
              <w:t>and</w:t>
            </w:r>
          </w:p>
        </w:tc>
      </w:tr>
      <w:tr>
        <w:trPr>
          <w:trHeight w:val="20"/>
        </w:trPr>
        <w:tc>
          <w:tcPr>
            <w:tcW w:w="30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interpretations will be final and binding on all Participants and any other holders of Awards and will be given the maximum deference permitted by Applicable Laws.</w:t>
      </w:r>
    </w:p>
    <w:p>
      <w:pPr>
        <w:ind w:left="2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type w:val="continuous"/>
        </w:sectPr>
      </w:pPr>
    </w:p>
    <w:bookmarkStart w:id="208" w:name="page209"/>
    <w:bookmarkEnd w:id="208"/>
    <w:p>
      <w:pPr>
        <w:jc w:val="both"/>
        <w:ind w:firstLine="757"/>
        <w:spacing w:after="0"/>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Grant of Options</w:t>
      </w:r>
      <w:r>
        <w:rPr>
          <w:rFonts w:ascii="Arial" w:cs="Arial" w:eastAsia="Arial" w:hAnsi="Arial"/>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Option Agreement</w:t>
      </w:r>
      <w:r>
        <w:rPr>
          <w:rFonts w:ascii="Arial" w:cs="Arial" w:eastAsia="Arial" w:hAnsi="Arial"/>
          <w:sz w:val="19"/>
          <w:szCs w:val="19"/>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34"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Limitations</w:t>
      </w:r>
      <w:r>
        <w:rPr>
          <w:rFonts w:ascii="Arial" w:cs="Arial" w:eastAsia="Arial" w:hAnsi="Arial"/>
          <w:sz w:val="21"/>
          <w:szCs w:val="21"/>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0"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59"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6.5</w:t>
            </w:r>
          </w:p>
        </w:tc>
        <w:tc>
          <w:tcPr>
            <w:tcW w:w="160" w:type="dxa"/>
            <w:vAlign w:val="bottom"/>
          </w:tcPr>
          <w:p>
            <w:pPr>
              <w:spacing w:after="0"/>
              <w:rPr>
                <w:sz w:val="21"/>
                <w:szCs w:val="21"/>
                <w:color w:val="auto"/>
              </w:rPr>
            </w:pPr>
          </w:p>
        </w:tc>
        <w:tc>
          <w:tcPr>
            <w:tcW w:w="8240" w:type="dxa"/>
            <w:vAlign w:val="bottom"/>
            <w:gridSpan w:val="4"/>
          </w:tcPr>
          <w:p>
            <w:pPr>
              <w:spacing w:after="0"/>
              <w:rPr>
                <w:sz w:val="20"/>
                <w:szCs w:val="20"/>
                <w:color w:val="auto"/>
              </w:rPr>
            </w:pPr>
            <w:r>
              <w:rPr>
                <w:rFonts w:ascii="Arial" w:cs="Arial" w:eastAsia="Arial" w:hAnsi="Arial"/>
                <w:sz w:val="22"/>
                <w:szCs w:val="22"/>
                <w:color w:val="auto"/>
              </w:rPr>
              <w:t>Option Exercise Price and Consideration.</w:t>
            </w: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39"/>
        </w:trPr>
        <w:tc>
          <w:tcPr>
            <w:tcW w:w="1340" w:type="dxa"/>
            <w:vAlign w:val="bottom"/>
          </w:tcPr>
          <w:p>
            <w:pPr>
              <w:jc w:val="right"/>
              <w:ind w:right="52"/>
              <w:spacing w:after="0"/>
              <w:rPr>
                <w:sz w:val="20"/>
                <w:szCs w:val="20"/>
                <w:color w:val="auto"/>
              </w:rPr>
            </w:pPr>
            <w:r>
              <w:rPr>
                <w:rFonts w:ascii="Arial" w:cs="Arial" w:eastAsia="Arial" w:hAnsi="Arial"/>
                <w:sz w:val="22"/>
                <w:szCs w:val="22"/>
                <w:color w:val="auto"/>
              </w:rPr>
              <w:t>6.5.1</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4"/>
              </w:rPr>
              <w:t>Exercise Price.  The per Share exercise price for the Shares to be issued</w:t>
            </w: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9" w:name="page210"/>
    <w:bookmarkEnd w:id="209"/>
    <w:p>
      <w:pPr>
        <w:jc w:val="both"/>
        <w:ind w:firstLine="2246"/>
        <w:spacing w:after="0"/>
        <w:rPr>
          <w:sz w:val="20"/>
          <w:szCs w:val="20"/>
          <w:color w:val="auto"/>
        </w:rPr>
      </w:pPr>
      <w:r>
        <w:rPr>
          <w:rFonts w:ascii="Arial" w:cs="Arial" w:eastAsia="Arial" w:hAnsi="Arial"/>
          <w:sz w:val="22"/>
          <w:szCs w:val="22"/>
          <w:color w:val="auto"/>
        </w:rPr>
        <w:t xml:space="preserve">6.5.2 </w:t>
      </w: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86" w:lineRule="exact"/>
        <w:rPr>
          <w:sz w:val="20"/>
          <w:szCs w:val="20"/>
          <w:color w:val="auto"/>
        </w:rPr>
      </w:pPr>
    </w:p>
    <w:p>
      <w:pPr>
        <w:jc w:val="both"/>
        <w:ind w:firstLine="2246"/>
        <w:spacing w:after="0" w:line="244" w:lineRule="auto"/>
        <w:rPr>
          <w:sz w:val="20"/>
          <w:szCs w:val="20"/>
          <w:color w:val="auto"/>
        </w:rPr>
      </w:pPr>
      <w:r>
        <w:rPr>
          <w:rFonts w:ascii="Arial" w:cs="Arial" w:eastAsia="Arial" w:hAnsi="Arial"/>
          <w:sz w:val="21"/>
          <w:szCs w:val="21"/>
          <w:color w:val="auto"/>
        </w:rPr>
        <w:t xml:space="preserve">6.5.3 </w:t>
      </w:r>
      <w:r>
        <w:rPr>
          <w:rFonts w:ascii="Arial" w:cs="Arial" w:eastAsia="Arial" w:hAnsi="Arial"/>
          <w:sz w:val="21"/>
          <w:szCs w:val="21"/>
          <w:u w:val="single" w:color="auto"/>
          <w:color w:val="auto"/>
        </w:rPr>
        <w:t>Form of Consideration</w:t>
      </w:r>
      <w:r>
        <w:rPr>
          <w:rFonts w:ascii="Arial" w:cs="Arial" w:eastAsia="Arial" w:hAnsi="Arial"/>
          <w:sz w:val="21"/>
          <w:szCs w:val="21"/>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5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6.6</w:t>
            </w:r>
          </w:p>
        </w:tc>
        <w:tc>
          <w:tcPr>
            <w:tcW w:w="160" w:type="dxa"/>
            <w:vAlign w:val="bottom"/>
          </w:tcPr>
          <w:p>
            <w:pPr>
              <w:spacing w:after="0"/>
              <w:rPr>
                <w:sz w:val="21"/>
                <w:szCs w:val="21"/>
                <w:color w:val="auto"/>
              </w:rPr>
            </w:pPr>
          </w:p>
        </w:tc>
        <w:tc>
          <w:tcPr>
            <w:tcW w:w="8240" w:type="dxa"/>
            <w:vAlign w:val="bottom"/>
            <w:gridSpan w:val="4"/>
          </w:tcPr>
          <w:p>
            <w:pPr>
              <w:spacing w:after="0"/>
              <w:rPr>
                <w:sz w:val="20"/>
                <w:szCs w:val="20"/>
                <w:color w:val="auto"/>
              </w:rPr>
            </w:pPr>
            <w:r>
              <w:rPr>
                <w:rFonts w:ascii="Arial" w:cs="Arial" w:eastAsia="Arial" w:hAnsi="Arial"/>
                <w:sz w:val="22"/>
                <w:szCs w:val="22"/>
                <w:color w:val="auto"/>
              </w:rPr>
              <w:t>Exercise of Option.</w:t>
            </w: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39"/>
        </w:trPr>
        <w:tc>
          <w:tcPr>
            <w:tcW w:w="1340" w:type="dxa"/>
            <w:vAlign w:val="bottom"/>
          </w:tcPr>
          <w:p>
            <w:pPr>
              <w:jc w:val="right"/>
              <w:ind w:right="52"/>
              <w:spacing w:after="0"/>
              <w:rPr>
                <w:sz w:val="20"/>
                <w:szCs w:val="20"/>
                <w:color w:val="auto"/>
              </w:rPr>
            </w:pPr>
            <w:r>
              <w:rPr>
                <w:rFonts w:ascii="Arial" w:cs="Arial" w:eastAsia="Arial" w:hAnsi="Arial"/>
                <w:sz w:val="22"/>
                <w:szCs w:val="22"/>
                <w:color w:val="auto"/>
              </w:rPr>
              <w:t>6.6.1</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8"/>
              </w:rPr>
              <w:t>Procedure for Exercise; Rights as a Stockholder.   Any Option granted</w:t>
            </w: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hereunder will be exercisable according to the terms of the Plan and at such times and under such conditions as determined by the Administrator and set forth in the Award Agreement. An Option may not be exercised for a fraction of a Share.</w:t>
      </w:r>
    </w:p>
    <w:p>
      <w:pPr>
        <w:spacing w:after="0" w:line="105"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61" w:lineRule="exact"/>
        <w:rPr>
          <w:sz w:val="20"/>
          <w:szCs w:val="20"/>
          <w:color w:val="auto"/>
        </w:rPr>
      </w:pPr>
    </w:p>
    <w:p>
      <w:pPr>
        <w:jc w:val="both"/>
        <w:ind w:firstLine="2246"/>
        <w:spacing w:after="0" w:line="276" w:lineRule="auto"/>
        <w:rPr>
          <w:sz w:val="20"/>
          <w:szCs w:val="20"/>
          <w:color w:val="auto"/>
        </w:rPr>
      </w:pPr>
      <w:r>
        <w:rPr>
          <w:rFonts w:ascii="Arial" w:cs="Arial" w:eastAsia="Arial" w:hAnsi="Arial"/>
          <w:sz w:val="19"/>
          <w:szCs w:val="19"/>
          <w:color w:val="auto"/>
        </w:rPr>
        <w:t>Exercising an Option in any manner will decrease the number of Shares thereafter available, both for purposes of the Plan and for sale under the Option, by the number of Shares as to which the Option is exercised.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0" w:name="page211"/>
    <w:bookmarkEnd w:id="210"/>
    <w:p>
      <w:pPr>
        <w:ind w:left="2260"/>
        <w:spacing w:after="0"/>
        <w:tabs>
          <w:tab w:leader="none" w:pos="4480" w:val="left"/>
        </w:tabs>
        <w:rPr>
          <w:sz w:val="20"/>
          <w:szCs w:val="20"/>
          <w:color w:val="auto"/>
        </w:rPr>
      </w:pPr>
      <w:r>
        <w:rPr>
          <w:rFonts w:ascii="Arial" w:cs="Arial" w:eastAsia="Arial" w:hAnsi="Arial"/>
          <w:sz w:val="22"/>
          <w:szCs w:val="22"/>
          <w:color w:val="auto"/>
        </w:rPr>
        <w:t>6.6.2</w:t>
      </w:r>
      <w:r>
        <w:rPr>
          <w:sz w:val="20"/>
          <w:szCs w:val="20"/>
          <w:color w:val="auto"/>
        </w:rPr>
        <w:tab/>
      </w: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6"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 xml:space="preserve">6.6.3 </w:t>
      </w:r>
      <w:r>
        <w:rPr>
          <w:rFonts w:ascii="Arial" w:cs="Arial" w:eastAsia="Arial" w:hAnsi="Arial"/>
          <w:sz w:val="21"/>
          <w:szCs w:val="21"/>
          <w:u w:val="single" w:color="auto"/>
          <w:color w:val="auto"/>
        </w:rPr>
        <w:t>Disability of Participant</w:t>
      </w:r>
      <w:r>
        <w:rPr>
          <w:rFonts w:ascii="Arial" w:cs="Arial" w:eastAsia="Arial" w:hAnsi="Arial"/>
          <w:sz w:val="21"/>
          <w:szCs w:val="21"/>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0" w:lineRule="exact"/>
        <w:rPr>
          <w:sz w:val="20"/>
          <w:szCs w:val="20"/>
          <w:color w:val="auto"/>
        </w:rPr>
      </w:pPr>
    </w:p>
    <w:p>
      <w:pPr>
        <w:jc w:val="both"/>
        <w:ind w:firstLine="2246"/>
        <w:spacing w:after="0" w:line="244" w:lineRule="auto"/>
        <w:rPr>
          <w:sz w:val="20"/>
          <w:szCs w:val="20"/>
          <w:color w:val="auto"/>
        </w:rPr>
      </w:pPr>
      <w:r>
        <w:rPr>
          <w:rFonts w:ascii="Arial" w:cs="Arial" w:eastAsia="Arial" w:hAnsi="Arial"/>
          <w:sz w:val="21"/>
          <w:szCs w:val="21"/>
          <w:color w:val="auto"/>
        </w:rPr>
        <w:t xml:space="preserve">6.6.4 </w:t>
      </w:r>
      <w:r>
        <w:rPr>
          <w:rFonts w:ascii="Arial" w:cs="Arial" w:eastAsia="Arial" w:hAnsi="Arial"/>
          <w:sz w:val="21"/>
          <w:szCs w:val="21"/>
          <w:u w:val="single" w:color="auto"/>
          <w:color w:val="auto"/>
        </w:rPr>
        <w:t>Death of Participant</w:t>
      </w:r>
      <w:r>
        <w:rPr>
          <w:rFonts w:ascii="Arial" w:cs="Arial" w:eastAsia="Arial" w:hAnsi="Arial"/>
          <w:sz w:val="21"/>
          <w:szCs w:val="21"/>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21"/>
          <w:szCs w:val="21"/>
          <w:u w:val="single" w:color="auto"/>
          <w:color w:val="auto"/>
        </w:rPr>
        <w:t>Legal Representative</w:t>
      </w:r>
      <w:r>
        <w:rPr>
          <w:rFonts w:ascii="Arial" w:cs="Arial" w:eastAsia="Arial" w:hAnsi="Arial"/>
          <w:sz w:val="21"/>
          <w:szCs w:val="21"/>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253"/>
        </w:trPr>
        <w:tc>
          <w:tcPr>
            <w:tcW w:w="2240" w:type="dxa"/>
            <w:vAlign w:val="bottom"/>
          </w:tcPr>
          <w:p>
            <w:pPr>
              <w:jc w:val="right"/>
              <w:ind w:right="1712"/>
              <w:spacing w:after="0"/>
              <w:rPr>
                <w:sz w:val="20"/>
                <w:szCs w:val="20"/>
                <w:color w:val="auto"/>
              </w:rPr>
            </w:pPr>
            <w:r>
              <w:rPr>
                <w:rFonts w:ascii="Arial" w:cs="Arial" w:eastAsia="Arial" w:hAnsi="Arial"/>
                <w:sz w:val="22"/>
                <w:szCs w:val="22"/>
                <w:color w:val="auto"/>
                <w:w w:val="81"/>
              </w:rPr>
              <w:t>6.6.5</w:t>
            </w:r>
          </w:p>
        </w:tc>
        <w:tc>
          <w:tcPr>
            <w:tcW w:w="1700" w:type="dxa"/>
            <w:vAlign w:val="bottom"/>
            <w:gridSpan w:val="2"/>
          </w:tcPr>
          <w:p>
            <w:pPr>
              <w:spacing w:after="0"/>
              <w:rPr>
                <w:sz w:val="20"/>
                <w:szCs w:val="20"/>
                <w:color w:val="auto"/>
              </w:rPr>
            </w:pPr>
            <w:r>
              <w:rPr>
                <w:rFonts w:ascii="Arial" w:cs="Arial" w:eastAsia="Arial" w:hAnsi="Arial"/>
                <w:sz w:val="22"/>
                <w:szCs w:val="22"/>
                <w:color w:val="auto"/>
                <w:w w:val="96"/>
              </w:rPr>
              <w:t>Tolling Expiration.</w:t>
            </w:r>
          </w:p>
        </w:tc>
        <w:tc>
          <w:tcPr>
            <w:tcW w:w="5040" w:type="dxa"/>
            <w:vAlign w:val="bottom"/>
          </w:tcPr>
          <w:p>
            <w:pPr>
              <w:ind w:left="40"/>
              <w:spacing w:after="0"/>
              <w:rPr>
                <w:sz w:val="20"/>
                <w:szCs w:val="20"/>
                <w:color w:val="auto"/>
              </w:rPr>
            </w:pPr>
            <w:r>
              <w:rPr>
                <w:rFonts w:ascii="Arial" w:cs="Arial" w:eastAsia="Arial" w:hAnsi="Arial"/>
                <w:sz w:val="22"/>
                <w:szCs w:val="22"/>
                <w:color w:val="auto"/>
                <w:w w:val="91"/>
              </w:rPr>
              <w:t>A Participant’s Award Agreement may also provide that:</w:t>
            </w:r>
          </w:p>
        </w:tc>
      </w:tr>
      <w:tr>
        <w:trPr>
          <w:trHeight w:val="20"/>
        </w:trPr>
        <w:tc>
          <w:tcPr>
            <w:tcW w:w="2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76"/>
        </w:trPr>
        <w:tc>
          <w:tcPr>
            <w:tcW w:w="2240" w:type="dxa"/>
            <w:vAlign w:val="bottom"/>
          </w:tcPr>
          <w:p>
            <w:pPr>
              <w:jc w:val="right"/>
              <w:ind w:right="1152"/>
              <w:spacing w:after="0"/>
              <w:rPr>
                <w:sz w:val="20"/>
                <w:szCs w:val="20"/>
                <w:color w:val="auto"/>
              </w:rPr>
            </w:pPr>
            <w:r>
              <w:rPr>
                <w:rFonts w:ascii="Arial" w:cs="Arial" w:eastAsia="Arial" w:hAnsi="Arial"/>
                <w:sz w:val="22"/>
                <w:szCs w:val="22"/>
                <w:color w:val="auto"/>
              </w:rPr>
              <w:t>(a)</w:t>
            </w:r>
          </w:p>
        </w:tc>
        <w:tc>
          <w:tcPr>
            <w:tcW w:w="1700" w:type="dxa"/>
            <w:vAlign w:val="bottom"/>
            <w:gridSpan w:val="2"/>
          </w:tcPr>
          <w:p>
            <w:pPr>
              <w:ind w:left="1500"/>
              <w:spacing w:after="0"/>
              <w:rPr>
                <w:sz w:val="20"/>
                <w:szCs w:val="20"/>
                <w:color w:val="auto"/>
              </w:rPr>
            </w:pPr>
            <w:r>
              <w:rPr>
                <w:rFonts w:ascii="Arial" w:cs="Arial" w:eastAsia="Arial" w:hAnsi="Arial"/>
                <w:sz w:val="22"/>
                <w:szCs w:val="22"/>
                <w:color w:val="auto"/>
              </w:rPr>
              <w:t>if</w:t>
            </w:r>
          </w:p>
        </w:tc>
        <w:tc>
          <w:tcPr>
            <w:tcW w:w="5040" w:type="dxa"/>
            <w:vAlign w:val="bottom"/>
          </w:tcPr>
          <w:p>
            <w:pPr>
              <w:ind w:left="40"/>
              <w:spacing w:after="0"/>
              <w:rPr>
                <w:sz w:val="20"/>
                <w:szCs w:val="20"/>
                <w:color w:val="auto"/>
              </w:rPr>
            </w:pPr>
            <w:r>
              <w:rPr>
                <w:rFonts w:ascii="Arial" w:cs="Arial" w:eastAsia="Arial" w:hAnsi="Arial"/>
                <w:sz w:val="22"/>
                <w:szCs w:val="22"/>
                <w:color w:val="auto"/>
                <w:w w:val="99"/>
              </w:rPr>
              <w:t>the exercise of the Option following the cessation of</w:t>
            </w:r>
          </w:p>
        </w:tc>
      </w:tr>
    </w:tbl>
    <w:p>
      <w:pPr>
        <w:spacing w:after="0" w:line="230" w:lineRule="auto"/>
        <w:rPr>
          <w:sz w:val="20"/>
          <w:szCs w:val="20"/>
          <w:color w:val="auto"/>
        </w:rPr>
      </w:pPr>
      <w:r>
        <w:rPr>
          <w:rFonts w:ascii="Arial" w:cs="Arial" w:eastAsia="Arial" w:hAnsi="Arial"/>
          <w:sz w:val="22"/>
          <w:szCs w:val="22"/>
          <w:color w:val="auto"/>
        </w:rPr>
        <w:t>Participant’s status as a Service Provider (other than upon the Participant’s death or Disability)</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1" w:name="page212"/>
    <w:bookmarkEnd w:id="211"/>
    <w:p>
      <w:pPr>
        <w:jc w:val="both"/>
        <w:spacing w:after="0"/>
        <w:rPr>
          <w:sz w:val="20"/>
          <w:szCs w:val="20"/>
          <w:color w:val="auto"/>
        </w:rPr>
      </w:pPr>
      <w:r>
        <w:rPr>
          <w:rFonts w:ascii="Arial" w:cs="Arial" w:eastAsia="Arial" w:hAnsi="Arial"/>
          <w:sz w:val="22"/>
          <w:szCs w:val="22"/>
          <w:color w:val="auto"/>
        </w:rPr>
        <w:t>would result in liability under Section 16(b), then the Option will terminate on the earlier of (i) the expiration of the term of the Option set forth in the Award Agreement, or (ii) the tenth (10</w:t>
      </w:r>
      <w:r>
        <w:rPr>
          <w:rFonts w:ascii="Arial" w:cs="Arial" w:eastAsia="Arial" w:hAnsi="Arial"/>
          <w:sz w:val="14"/>
          <w:szCs w:val="14"/>
          <w:color w:val="auto"/>
        </w:rPr>
        <w:t>th</w:t>
      </w:r>
      <w:r>
        <w:rPr>
          <w:rFonts w:ascii="Arial" w:cs="Arial" w:eastAsia="Arial" w:hAnsi="Arial"/>
          <w:sz w:val="22"/>
          <w:szCs w:val="22"/>
          <w:color w:val="auto"/>
        </w:rPr>
        <w:t>) day after the last date on which such exercise would result in liability under Section 16(b); or</w:t>
      </w:r>
    </w:p>
    <w:p>
      <w:pPr>
        <w:spacing w:after="0" w:line="186" w:lineRule="exact"/>
        <w:rPr>
          <w:sz w:val="20"/>
          <w:szCs w:val="20"/>
          <w:color w:val="auto"/>
        </w:rPr>
      </w:pPr>
    </w:p>
    <w:p>
      <w:pPr>
        <w:jc w:val="both"/>
        <w:ind w:firstLine="2995"/>
        <w:spacing w:after="0" w:line="235" w:lineRule="auto"/>
        <w:rPr>
          <w:sz w:val="20"/>
          <w:szCs w:val="20"/>
          <w:color w:val="auto"/>
        </w:rPr>
      </w:pPr>
      <w:r>
        <w:rPr>
          <w:rFonts w:ascii="Arial" w:cs="Arial" w:eastAsia="Arial" w:hAnsi="Arial"/>
          <w:sz w:val="22"/>
          <w:szCs w:val="22"/>
          <w:color w:val="auto"/>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8" w:lineRule="exact"/>
        <w:rPr>
          <w:sz w:val="20"/>
          <w:szCs w:val="20"/>
          <w:color w:val="auto"/>
        </w:rPr>
      </w:pPr>
    </w:p>
    <w:p>
      <w:pPr>
        <w:ind w:left="1500" w:hanging="743"/>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jc w:val="right"/>
              <w:ind w:right="1112"/>
              <w:spacing w:after="0"/>
              <w:rPr>
                <w:sz w:val="20"/>
                <w:szCs w:val="20"/>
                <w:color w:val="auto"/>
              </w:rPr>
            </w:pPr>
            <w:r>
              <w:rPr>
                <w:rFonts w:ascii="Arial" w:cs="Arial" w:eastAsia="Arial" w:hAnsi="Arial"/>
                <w:sz w:val="22"/>
                <w:szCs w:val="22"/>
                <w:color w:val="auto"/>
              </w:rPr>
              <w:t>7.2</w:t>
            </w:r>
          </w:p>
        </w:tc>
        <w:tc>
          <w:tcPr>
            <w:tcW w:w="8240" w:type="dxa"/>
            <w:vAlign w:val="bottom"/>
            <w:gridSpan w:val="3"/>
          </w:tcPr>
          <w:p>
            <w:pPr>
              <w:spacing w:after="0"/>
              <w:rPr>
                <w:sz w:val="20"/>
                <w:szCs w:val="20"/>
                <w:color w:val="auto"/>
              </w:rPr>
            </w:pPr>
            <w:r>
              <w:rPr>
                <w:rFonts w:ascii="Arial" w:cs="Arial" w:eastAsia="Arial" w:hAnsi="Arial"/>
                <w:sz w:val="22"/>
                <w:szCs w:val="22"/>
                <w:color w:val="auto"/>
                <w:w w:val="91"/>
              </w:rPr>
              <w:t>Number of Shares. The Administrator will have complete discretion to determine the number</w:t>
            </w:r>
          </w:p>
        </w:tc>
      </w:tr>
      <w:tr>
        <w:trPr>
          <w:trHeight w:val="20"/>
        </w:trPr>
        <w:tc>
          <w:tcPr>
            <w:tcW w:w="3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rPr>
              <w:t>of Shares subject to any Award of Stock Appreciation Rights.</w:t>
            </w:r>
          </w:p>
        </w:tc>
      </w:tr>
      <w:tr>
        <w:trPr>
          <w:trHeight w:val="408"/>
        </w:trPr>
        <w:tc>
          <w:tcPr>
            <w:tcW w:w="3000" w:type="dxa"/>
            <w:vAlign w:val="bottom"/>
          </w:tcPr>
          <w:p>
            <w:pPr>
              <w:jc w:val="right"/>
              <w:ind w:right="1112"/>
              <w:spacing w:after="0"/>
              <w:rPr>
                <w:sz w:val="20"/>
                <w:szCs w:val="20"/>
                <w:color w:val="auto"/>
              </w:rPr>
            </w:pPr>
            <w:r>
              <w:rPr>
                <w:rFonts w:ascii="Arial" w:cs="Arial" w:eastAsia="Arial" w:hAnsi="Arial"/>
                <w:sz w:val="22"/>
                <w:szCs w:val="22"/>
                <w:color w:val="auto"/>
              </w:rPr>
              <w:t>7.3</w:t>
            </w:r>
          </w:p>
        </w:tc>
        <w:tc>
          <w:tcPr>
            <w:tcW w:w="8240" w:type="dxa"/>
            <w:vAlign w:val="bottom"/>
            <w:gridSpan w:val="3"/>
          </w:tcPr>
          <w:p>
            <w:pPr>
              <w:spacing w:after="0"/>
              <w:rPr>
                <w:sz w:val="20"/>
                <w:szCs w:val="20"/>
                <w:color w:val="auto"/>
              </w:rPr>
            </w:pPr>
            <w:r>
              <w:rPr>
                <w:rFonts w:ascii="Arial" w:cs="Arial" w:eastAsia="Arial" w:hAnsi="Arial"/>
                <w:sz w:val="22"/>
                <w:szCs w:val="22"/>
                <w:color w:val="auto"/>
                <w:w w:val="98"/>
              </w:rPr>
              <w:t>Exercise Price and Other Terms.  The per Share exercise price for the Shares that will</w:t>
            </w:r>
          </w:p>
        </w:tc>
      </w:tr>
      <w:tr>
        <w:trPr>
          <w:trHeight w:val="20"/>
        </w:trPr>
        <w:tc>
          <w:tcPr>
            <w:tcW w:w="3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500"/>
              <w:spacing w:after="0"/>
              <w:rPr>
                <w:sz w:val="20"/>
                <w:szCs w:val="20"/>
                <w:color w:val="auto"/>
              </w:rPr>
            </w:pPr>
            <w:r>
              <w:rPr>
                <w:rFonts w:ascii="Arial" w:cs="Arial" w:eastAsia="Arial" w:hAnsi="Arial"/>
                <w:sz w:val="22"/>
                <w:szCs w:val="22"/>
                <w:color w:val="auto"/>
              </w:rPr>
              <w:t>7.6</w:t>
            </w:r>
          </w:p>
        </w:tc>
        <w:tc>
          <w:tcPr>
            <w:tcW w:w="8240" w:type="dxa"/>
            <w:vAlign w:val="bottom"/>
            <w:gridSpan w:val="2"/>
          </w:tcPr>
          <w:p>
            <w:pPr>
              <w:jc w:val="right"/>
              <w:ind w:right="20"/>
              <w:spacing w:after="0"/>
              <w:rPr>
                <w:sz w:val="20"/>
                <w:szCs w:val="20"/>
                <w:color w:val="auto"/>
              </w:rPr>
            </w:pPr>
            <w:r>
              <w:rPr>
                <w:rFonts w:ascii="Arial" w:cs="Arial" w:eastAsia="Arial" w:hAnsi="Arial"/>
                <w:sz w:val="22"/>
                <w:szCs w:val="22"/>
                <w:color w:val="auto"/>
                <w:w w:val="92"/>
              </w:rPr>
              <w:t>Payment of Stock Appreciation Right Amount. Upon exercise of a Stock Appreciation Right,</w:t>
            </w:r>
          </w:p>
        </w:tc>
      </w:tr>
      <w:tr>
        <w:trPr>
          <w:trHeight w:val="20"/>
        </w:trPr>
        <w:tc>
          <w:tcPr>
            <w:tcW w:w="300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74"/>
        </w:trPr>
        <w:tc>
          <w:tcPr>
            <w:tcW w:w="11240" w:type="dxa"/>
            <w:vAlign w:val="bottom"/>
            <w:gridSpan w:val="3"/>
          </w:tcPr>
          <w:p>
            <w:pPr>
              <w:spacing w:after="0"/>
              <w:rPr>
                <w:sz w:val="20"/>
                <w:szCs w:val="20"/>
                <w:color w:val="auto"/>
              </w:rPr>
            </w:pPr>
            <w:r>
              <w:rPr>
                <w:rFonts w:ascii="Arial" w:cs="Arial" w:eastAsia="Arial" w:hAnsi="Arial"/>
                <w:sz w:val="22"/>
                <w:szCs w:val="22"/>
                <w:color w:val="auto"/>
              </w:rPr>
              <w:t>a Participant will be entitled to receive payment from the Company in an amount determined by multiplying:</w:t>
            </w:r>
          </w:p>
        </w:tc>
      </w:tr>
      <w:tr>
        <w:trPr>
          <w:trHeight w:val="428"/>
        </w:trPr>
        <w:tc>
          <w:tcPr>
            <w:tcW w:w="3000" w:type="dxa"/>
            <w:vAlign w:val="bottom"/>
          </w:tcPr>
          <w:p>
            <w:pPr>
              <w:ind w:left="2260"/>
              <w:spacing w:after="0"/>
              <w:rPr>
                <w:sz w:val="20"/>
                <w:szCs w:val="20"/>
                <w:color w:val="auto"/>
              </w:rPr>
            </w:pPr>
            <w:r>
              <w:rPr>
                <w:rFonts w:ascii="Arial" w:cs="Arial" w:eastAsia="Arial" w:hAnsi="Arial"/>
                <w:sz w:val="22"/>
                <w:szCs w:val="22"/>
                <w:color w:val="auto"/>
              </w:rPr>
              <w:t>(a)</w:t>
            </w:r>
          </w:p>
        </w:tc>
        <w:tc>
          <w:tcPr>
            <w:tcW w:w="8240" w:type="dxa"/>
            <w:vAlign w:val="bottom"/>
            <w:gridSpan w:val="2"/>
          </w:tcPr>
          <w:p>
            <w:pPr>
              <w:jc w:val="right"/>
              <w:spacing w:after="0"/>
              <w:rPr>
                <w:sz w:val="20"/>
                <w:szCs w:val="20"/>
                <w:color w:val="auto"/>
              </w:rPr>
            </w:pPr>
            <w:r>
              <w:rPr>
                <w:rFonts w:ascii="Arial" w:cs="Arial" w:eastAsia="Arial" w:hAnsi="Arial"/>
                <w:sz w:val="22"/>
                <w:szCs w:val="22"/>
                <w:color w:val="auto"/>
              </w:rPr>
              <w:t>The difference between the Fair Market Value of a Share on the date of</w:t>
            </w:r>
          </w:p>
        </w:tc>
      </w:tr>
      <w:tr>
        <w:trPr>
          <w:trHeight w:val="274"/>
        </w:trPr>
        <w:tc>
          <w:tcPr>
            <w:tcW w:w="11240" w:type="dxa"/>
            <w:vAlign w:val="bottom"/>
            <w:gridSpan w:val="3"/>
          </w:tcPr>
          <w:p>
            <w:pPr>
              <w:spacing w:after="0"/>
              <w:rPr>
                <w:sz w:val="20"/>
                <w:szCs w:val="20"/>
                <w:color w:val="auto"/>
              </w:rPr>
            </w:pPr>
            <w:r>
              <w:rPr>
                <w:rFonts w:ascii="Arial" w:cs="Arial" w:eastAsia="Arial" w:hAnsi="Arial"/>
                <w:sz w:val="22"/>
                <w:szCs w:val="22"/>
                <w:color w:val="auto"/>
              </w:rPr>
              <w:t>exercise over the exercise price; times</w:t>
            </w:r>
          </w:p>
        </w:tc>
      </w:tr>
      <w:tr>
        <w:trPr>
          <w:trHeight w:val="428"/>
        </w:trPr>
        <w:tc>
          <w:tcPr>
            <w:tcW w:w="3000" w:type="dxa"/>
            <w:vAlign w:val="bottom"/>
          </w:tcPr>
          <w:p>
            <w:pPr>
              <w:ind w:left="2260"/>
              <w:spacing w:after="0"/>
              <w:rPr>
                <w:sz w:val="20"/>
                <w:szCs w:val="20"/>
                <w:color w:val="auto"/>
              </w:rPr>
            </w:pPr>
            <w:r>
              <w:rPr>
                <w:rFonts w:ascii="Arial" w:cs="Arial" w:eastAsia="Arial" w:hAnsi="Arial"/>
                <w:sz w:val="22"/>
                <w:szCs w:val="22"/>
                <w:color w:val="auto"/>
              </w:rPr>
              <w:t>(b)</w:t>
            </w:r>
          </w:p>
        </w:tc>
        <w:tc>
          <w:tcPr>
            <w:tcW w:w="8240" w:type="dxa"/>
            <w:vAlign w:val="bottom"/>
            <w:gridSpan w:val="2"/>
          </w:tcPr>
          <w:p>
            <w:pPr>
              <w:jc w:val="right"/>
              <w:spacing w:after="0"/>
              <w:rPr>
                <w:sz w:val="20"/>
                <w:szCs w:val="20"/>
                <w:color w:val="auto"/>
              </w:rPr>
            </w:pPr>
            <w:r>
              <w:rPr>
                <w:rFonts w:ascii="Arial" w:cs="Arial" w:eastAsia="Arial" w:hAnsi="Arial"/>
                <w:sz w:val="22"/>
                <w:szCs w:val="22"/>
                <w:color w:val="auto"/>
              </w:rPr>
              <w:t>The number of Shares with respect to which the Stock Appreciation Right is</w:t>
            </w:r>
          </w:p>
        </w:tc>
      </w:tr>
      <w:tr>
        <w:trPr>
          <w:trHeight w:val="243"/>
        </w:trPr>
        <w:tc>
          <w:tcPr>
            <w:tcW w:w="3000" w:type="dxa"/>
            <w:vAlign w:val="bottom"/>
          </w:tcPr>
          <w:p>
            <w:pPr>
              <w:spacing w:after="0" w:line="243" w:lineRule="exact"/>
              <w:rPr>
                <w:sz w:val="20"/>
                <w:szCs w:val="20"/>
                <w:color w:val="auto"/>
              </w:rPr>
            </w:pPr>
            <w:r>
              <w:rPr>
                <w:rFonts w:ascii="Arial" w:cs="Arial" w:eastAsia="Arial" w:hAnsi="Arial"/>
                <w:sz w:val="22"/>
                <w:szCs w:val="22"/>
                <w:color w:val="auto"/>
              </w:rPr>
              <w:t>exercised.</w:t>
            </w:r>
          </w:p>
        </w:tc>
        <w:tc>
          <w:tcPr>
            <w:tcW w:w="406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74"/>
        </w:trPr>
        <w:tc>
          <w:tcPr>
            <w:tcW w:w="3000" w:type="dxa"/>
            <w:vAlign w:val="bottom"/>
          </w:tcPr>
          <w:p>
            <w:pPr>
              <w:ind w:left="280"/>
              <w:spacing w:after="0"/>
              <w:rPr>
                <w:sz w:val="20"/>
                <w:szCs w:val="20"/>
                <w:color w:val="auto"/>
              </w:rPr>
            </w:pPr>
            <w:r>
              <w:rPr>
                <w:rFonts w:ascii="Arial" w:cs="Arial" w:eastAsia="Arial" w:hAnsi="Arial"/>
                <w:sz w:val="22"/>
                <w:szCs w:val="22"/>
                <w:color w:val="auto"/>
              </w:rPr>
              <w:t>-12-</w:t>
            </w:r>
          </w:p>
        </w:tc>
        <w:tc>
          <w:tcPr>
            <w:tcW w:w="4060" w:type="dxa"/>
            <w:vAlign w:val="bottom"/>
          </w:tcPr>
          <w:p>
            <w:pPr>
              <w:spacing w:after="0"/>
              <w:rPr>
                <w:sz w:val="23"/>
                <w:szCs w:val="23"/>
                <w:color w:val="auto"/>
              </w:rPr>
            </w:pPr>
          </w:p>
        </w:tc>
        <w:tc>
          <w:tcPr>
            <w:tcW w:w="4180" w:type="dxa"/>
            <w:vAlign w:val="bottom"/>
          </w:tcPr>
          <w:p>
            <w:pPr>
              <w:spacing w:after="0"/>
              <w:rPr>
                <w:sz w:val="23"/>
                <w:szCs w:val="23"/>
                <w:color w:val="auto"/>
              </w:rPr>
            </w:pPr>
          </w:p>
        </w:tc>
      </w:tr>
      <w:tr>
        <w:trPr>
          <w:trHeight w:val="118"/>
        </w:trPr>
        <w:tc>
          <w:tcPr>
            <w:tcW w:w="30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2" w:name="page213"/>
    <w:bookmarkEnd w:id="212"/>
    <w:p>
      <w:pPr>
        <w:ind w:firstLine="2246"/>
        <w:spacing w:after="0" w:line="250" w:lineRule="auto"/>
        <w:rPr>
          <w:sz w:val="20"/>
          <w:szCs w:val="20"/>
          <w:color w:val="auto"/>
        </w:rPr>
      </w:pPr>
      <w:r>
        <w:rPr>
          <w:rFonts w:ascii="Arial" w:cs="Arial" w:eastAsia="Arial" w:hAnsi="Arial"/>
          <w:sz w:val="22"/>
          <w:szCs w:val="22"/>
          <w:color w:val="auto"/>
        </w:rPr>
        <w:t>At the discretion of the Administrator, the payment upon Stock Appreciation Right exercise may be in cash, in Shares of equivalent value, or in some combination thereof.</w:t>
      </w:r>
    </w:p>
    <w:p>
      <w:pPr>
        <w:spacing w:after="0" w:line="175" w:lineRule="exact"/>
        <w:rPr>
          <w:sz w:val="20"/>
          <w:szCs w:val="20"/>
          <w:color w:val="auto"/>
        </w:rPr>
      </w:pPr>
    </w:p>
    <w:p>
      <w:pPr>
        <w:ind w:left="1500" w:hanging="743"/>
        <w:spacing w:after="0"/>
        <w:tabs>
          <w:tab w:leader="none" w:pos="15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8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Restricted Stock Agreement</w:t>
      </w:r>
      <w:r>
        <w:rPr>
          <w:rFonts w:ascii="Arial" w:cs="Arial" w:eastAsia="Arial" w:hAnsi="Arial"/>
          <w:sz w:val="21"/>
          <w:szCs w:val="21"/>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Transferability</w:t>
      </w:r>
      <w:r>
        <w:rPr>
          <w:rFonts w:ascii="Arial" w:cs="Arial" w:eastAsia="Arial" w:hAnsi="Arial"/>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jc w:val="right"/>
              <w:ind w:right="1112"/>
              <w:spacing w:after="0"/>
              <w:rPr>
                <w:sz w:val="20"/>
                <w:szCs w:val="20"/>
                <w:color w:val="auto"/>
              </w:rPr>
            </w:pPr>
            <w:r>
              <w:rPr>
                <w:rFonts w:ascii="Arial" w:cs="Arial" w:eastAsia="Arial" w:hAnsi="Arial"/>
                <w:sz w:val="22"/>
                <w:szCs w:val="22"/>
                <w:color w:val="auto"/>
              </w:rPr>
              <w:t>8.4</w:t>
            </w:r>
          </w:p>
        </w:tc>
        <w:tc>
          <w:tcPr>
            <w:tcW w:w="8240" w:type="dxa"/>
            <w:vAlign w:val="bottom"/>
            <w:gridSpan w:val="3"/>
          </w:tcPr>
          <w:p>
            <w:pPr>
              <w:spacing w:after="0"/>
              <w:rPr>
                <w:sz w:val="20"/>
                <w:szCs w:val="20"/>
                <w:color w:val="auto"/>
              </w:rPr>
            </w:pPr>
            <w:r>
              <w:rPr>
                <w:rFonts w:ascii="Arial" w:cs="Arial" w:eastAsia="Arial" w:hAnsi="Arial"/>
                <w:sz w:val="22"/>
                <w:szCs w:val="22"/>
                <w:color w:val="auto"/>
              </w:rPr>
              <w:t>Other Restrictions.   The Administrator, in its sole discretion, may impose such other</w:t>
            </w:r>
          </w:p>
        </w:tc>
      </w:tr>
      <w:tr>
        <w:trPr>
          <w:trHeight w:val="20"/>
        </w:trPr>
        <w:tc>
          <w:tcPr>
            <w:tcW w:w="30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rPr>
              <w:t>restrictions on Shares of Restricted Stock as it may deem advisable or appropriate.</w:t>
            </w:r>
          </w:p>
        </w:tc>
      </w:tr>
      <w:tr>
        <w:trPr>
          <w:trHeight w:val="408"/>
        </w:trPr>
        <w:tc>
          <w:tcPr>
            <w:tcW w:w="3000" w:type="dxa"/>
            <w:vAlign w:val="bottom"/>
          </w:tcPr>
          <w:p>
            <w:pPr>
              <w:jc w:val="right"/>
              <w:ind w:right="1112"/>
              <w:spacing w:after="0"/>
              <w:rPr>
                <w:sz w:val="20"/>
                <w:szCs w:val="20"/>
                <w:color w:val="auto"/>
              </w:rPr>
            </w:pPr>
            <w:r>
              <w:rPr>
                <w:rFonts w:ascii="Arial" w:cs="Arial" w:eastAsia="Arial" w:hAnsi="Arial"/>
                <w:sz w:val="22"/>
                <w:szCs w:val="22"/>
                <w:color w:val="auto"/>
              </w:rPr>
              <w:t>8.5</w:t>
            </w:r>
          </w:p>
        </w:tc>
        <w:tc>
          <w:tcPr>
            <w:tcW w:w="8240" w:type="dxa"/>
            <w:vAlign w:val="bottom"/>
            <w:gridSpan w:val="3"/>
          </w:tcPr>
          <w:p>
            <w:pPr>
              <w:spacing w:after="0"/>
              <w:rPr>
                <w:sz w:val="20"/>
                <w:szCs w:val="20"/>
                <w:color w:val="auto"/>
              </w:rPr>
            </w:pPr>
            <w:r>
              <w:rPr>
                <w:rFonts w:ascii="Arial" w:cs="Arial" w:eastAsia="Arial" w:hAnsi="Arial"/>
                <w:sz w:val="22"/>
                <w:szCs w:val="22"/>
                <w:color w:val="auto"/>
                <w:w w:val="90"/>
              </w:rPr>
              <w:t>Removal of Restrictions. Except as otherwise provided in this Section 8, Shares of Restricted</w:t>
            </w:r>
          </w:p>
        </w:tc>
      </w:tr>
      <w:tr>
        <w:trPr>
          <w:trHeight w:val="20"/>
        </w:trPr>
        <w:tc>
          <w:tcPr>
            <w:tcW w:w="30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Voting Rights</w:t>
      </w:r>
      <w:r>
        <w:rPr>
          <w:rFonts w:ascii="Arial" w:cs="Arial" w:eastAsia="Arial" w:hAnsi="Arial"/>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Dividends and Other Distributions</w:t>
      </w:r>
      <w:r>
        <w:rPr>
          <w:rFonts w:ascii="Arial" w:cs="Arial" w:eastAsia="Arial" w:hAnsi="Arial"/>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Return of Restricted Stock to Company</w:t>
      </w:r>
      <w:r>
        <w:rPr>
          <w:rFonts w:ascii="Arial" w:cs="Arial" w:eastAsia="Arial" w:hAnsi="Arial"/>
          <w:sz w:val="22"/>
          <w:szCs w:val="22"/>
          <w:color w:val="auto"/>
        </w:rPr>
        <w:t>. On the date set forth in the Award Agreement, the Restricted Stock for which restrictions have not lapsed will revert to the Company and again will become available for grant under the Plan.</w:t>
      </w:r>
    </w:p>
    <w:p>
      <w:pPr>
        <w:spacing w:after="0" w:line="186" w:lineRule="exact"/>
        <w:rPr>
          <w:sz w:val="20"/>
          <w:szCs w:val="20"/>
          <w:color w:val="auto"/>
        </w:rPr>
      </w:pPr>
    </w:p>
    <w:p>
      <w:pPr>
        <w:ind w:left="1500" w:hanging="743"/>
        <w:spacing w:after="0"/>
        <w:tabs>
          <w:tab w:leader="none" w:pos="150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3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Grant</w:t>
      </w:r>
      <w:r>
        <w:rPr>
          <w:rFonts w:ascii="Arial" w:cs="Arial" w:eastAsia="Arial" w:hAnsi="Arial"/>
          <w:sz w:val="22"/>
          <w:szCs w:val="22"/>
          <w:color w:val="auto"/>
        </w:rPr>
        <w:t>. Restricted Stock Units may be granted at any time and from time to time as determined by the Administrator. After the Administrator determines that it will grant</w:t>
      </w:r>
    </w:p>
    <w:p>
      <w:pPr>
        <w:ind w:left="2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3" w:name="page214"/>
    <w:bookmarkEnd w:id="213"/>
    <w:p>
      <w:pPr>
        <w:jc w:val="both"/>
        <w:spacing w:after="0" w:line="250" w:lineRule="auto"/>
        <w:rPr>
          <w:sz w:val="20"/>
          <w:szCs w:val="20"/>
          <w:color w:val="auto"/>
        </w:rPr>
      </w:pPr>
      <w:r>
        <w:rPr>
          <w:rFonts w:ascii="Arial" w:cs="Arial" w:eastAsia="Arial" w:hAnsi="Arial"/>
          <w:sz w:val="22"/>
          <w:szCs w:val="22"/>
          <w:color w:val="auto"/>
        </w:rPr>
        <w:t>Restricted Stock Units, it will advise the Participant in an Award Agreement of the terms, conditions, and restrictions related to the grant, including the number of Restricted Stock Units.</w:t>
      </w:r>
    </w:p>
    <w:p>
      <w:pPr>
        <w:spacing w:after="0" w:line="175"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Vesting Criteria and Other Terms</w:t>
      </w:r>
      <w:r>
        <w:rPr>
          <w:rFonts w:ascii="Arial" w:cs="Arial" w:eastAsia="Arial" w:hAnsi="Arial"/>
          <w:sz w:val="21"/>
          <w:szCs w:val="21"/>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Earning Restricted Stock Units</w:t>
      </w:r>
      <w:r>
        <w:rPr>
          <w:rFonts w:ascii="Arial" w:cs="Arial" w:eastAsia="Arial" w:hAnsi="Arial"/>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Cancellation</w:t>
      </w:r>
      <w:r>
        <w:rPr>
          <w:rFonts w:ascii="Arial" w:cs="Arial" w:eastAsia="Arial" w:hAnsi="Arial"/>
          <w:sz w:val="22"/>
          <w:szCs w:val="22"/>
          <w:color w:val="auto"/>
        </w:rPr>
        <w:t>. On the date set forth in the Award Agreement, all unearned Restricted Stock Units will be forfeited to the Company.</w:t>
      </w:r>
    </w:p>
    <w:p>
      <w:pPr>
        <w:spacing w:after="0" w:line="175" w:lineRule="exact"/>
        <w:rPr>
          <w:sz w:val="20"/>
          <w:szCs w:val="20"/>
          <w:color w:val="auto"/>
        </w:rPr>
      </w:pPr>
    </w:p>
    <w:p>
      <w:pPr>
        <w:ind w:left="1500" w:hanging="743"/>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Performance Awards</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jc w:val="right"/>
              <w:ind w:right="832"/>
              <w:spacing w:after="0"/>
              <w:rPr>
                <w:sz w:val="20"/>
                <w:szCs w:val="20"/>
                <w:color w:val="auto"/>
              </w:rPr>
            </w:pPr>
            <w:r>
              <w:rPr>
                <w:rFonts w:ascii="Arial" w:cs="Arial" w:eastAsia="Arial" w:hAnsi="Arial"/>
                <w:sz w:val="22"/>
                <w:szCs w:val="22"/>
                <w:color w:val="auto"/>
              </w:rPr>
              <w:t>10.1</w:t>
            </w:r>
          </w:p>
        </w:tc>
        <w:tc>
          <w:tcPr>
            <w:tcW w:w="180" w:type="dxa"/>
            <w:vAlign w:val="bottom"/>
          </w:tcPr>
          <w:p>
            <w:pPr>
              <w:spacing w:after="0"/>
              <w:rPr>
                <w:sz w:val="21"/>
                <w:szCs w:val="21"/>
                <w:color w:val="auto"/>
              </w:rPr>
            </w:pPr>
          </w:p>
        </w:tc>
        <w:tc>
          <w:tcPr>
            <w:tcW w:w="8240" w:type="dxa"/>
            <w:vAlign w:val="bottom"/>
            <w:gridSpan w:val="2"/>
          </w:tcPr>
          <w:p>
            <w:pPr>
              <w:jc w:val="right"/>
              <w:spacing w:after="0"/>
              <w:rPr>
                <w:sz w:val="20"/>
                <w:szCs w:val="20"/>
                <w:color w:val="auto"/>
              </w:rPr>
            </w:pPr>
            <w:r>
              <w:rPr>
                <w:rFonts w:ascii="Arial" w:cs="Arial" w:eastAsia="Arial" w:hAnsi="Arial"/>
                <w:sz w:val="22"/>
                <w:szCs w:val="22"/>
                <w:color w:val="auto"/>
                <w:w w:val="91"/>
              </w:rPr>
              <w:t>Award Agreement. Each Performance Award will be evidenced by an Award Agreement that</w:t>
            </w:r>
          </w:p>
        </w:tc>
        <w:tc>
          <w:tcPr>
            <w:tcW w:w="0" w:type="dxa"/>
            <w:vAlign w:val="bottom"/>
          </w:tcPr>
          <w:p>
            <w:pPr>
              <w:spacing w:after="0"/>
              <w:rPr>
                <w:sz w:val="1"/>
                <w:szCs w:val="1"/>
                <w:color w:val="auto"/>
              </w:rPr>
            </w:pPr>
          </w:p>
        </w:tc>
      </w:tr>
      <w:tr>
        <w:trPr>
          <w:trHeight w:val="20"/>
        </w:trPr>
        <w:tc>
          <w:tcPr>
            <w:tcW w:w="2820" w:type="dxa"/>
            <w:vAlign w:val="bottom"/>
            <w:vMerge w:val="restart"/>
          </w:tcPr>
          <w:p>
            <w:pPr>
              <w:jc w:val="right"/>
              <w:spacing w:after="0"/>
              <w:rPr>
                <w:sz w:val="20"/>
                <w:szCs w:val="20"/>
                <w:color w:val="auto"/>
              </w:rPr>
            </w:pPr>
            <w:r>
              <w:rPr>
                <w:rFonts w:ascii="Arial" w:cs="Arial" w:eastAsia="Arial" w:hAnsi="Arial"/>
                <w:sz w:val="22"/>
                <w:szCs w:val="22"/>
                <w:color w:val="auto"/>
              </w:rPr>
              <w:t>will specify any time period</w:t>
            </w:r>
          </w:p>
        </w:tc>
        <w:tc>
          <w:tcPr>
            <w:tcW w:w="1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8420" w:type="dxa"/>
            <w:vAlign w:val="bottom"/>
            <w:gridSpan w:val="3"/>
          </w:tcPr>
          <w:p>
            <w:pPr>
              <w:jc w:val="right"/>
              <w:spacing w:after="0"/>
              <w:rPr>
                <w:sz w:val="20"/>
                <w:szCs w:val="20"/>
                <w:color w:val="auto"/>
              </w:rPr>
            </w:pPr>
            <w:r>
              <w:rPr>
                <w:rFonts w:ascii="Arial" w:cs="Arial" w:eastAsia="Arial" w:hAnsi="Arial"/>
                <w:sz w:val="22"/>
                <w:szCs w:val="22"/>
                <w:color w:val="auto"/>
              </w:rPr>
              <w:t>during which any performance objectives or other vesting provisions will be measured</w:t>
            </w:r>
          </w:p>
        </w:tc>
        <w:tc>
          <w:tcPr>
            <w:tcW w:w="0" w:type="dxa"/>
            <w:vAlign w:val="bottom"/>
          </w:tcPr>
          <w:p>
            <w:pPr>
              <w:spacing w:after="0"/>
              <w:rPr>
                <w:sz w:val="1"/>
                <w:szCs w:val="1"/>
                <w:color w:val="auto"/>
              </w:rPr>
            </w:pPr>
          </w:p>
        </w:tc>
      </w:tr>
    </w:tbl>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and such other terms and conditions as the Administrator determines. Each Performance Award will have an initial value that is determined by the Administrator on or before its date of grant.</w:t>
      </w:r>
    </w:p>
    <w:p>
      <w:pPr>
        <w:spacing w:after="0" w:line="18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Objectives or Vesting Provisions and Other Terms</w:t>
      </w:r>
      <w:r>
        <w:rPr>
          <w:rFonts w:ascii="Arial" w:cs="Arial" w:eastAsia="Arial" w:hAnsi="Arial"/>
          <w:sz w:val="19"/>
          <w:szCs w:val="19"/>
          <w:color w:val="auto"/>
        </w:rPr>
        <w:t>. The Administrator will set any objectives</w:t>
      </w:r>
    </w:p>
    <w:p>
      <w:pPr>
        <w:spacing w:after="0" w:line="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Earning Performance Awards</w:t>
      </w:r>
      <w:r>
        <w:rPr>
          <w:rFonts w:ascii="Arial" w:cs="Arial" w:eastAsia="Arial" w:hAnsi="Arial"/>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85" w:lineRule="exact"/>
        <w:rPr>
          <w:sz w:val="20"/>
          <w:szCs w:val="20"/>
          <w:color w:val="auto"/>
        </w:rPr>
      </w:pPr>
    </w:p>
    <w:p>
      <w:pPr>
        <w:jc w:val="both"/>
        <w:ind w:right="20" w:firstLine="1497"/>
        <w:spacing w:after="0" w:line="239"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Payment of earned Performance Awards will be made at the time(s) determined by the Administrator and set forth in the Award Agreement.</w:t>
      </w:r>
    </w:p>
    <w:p>
      <w:pPr>
        <w:ind w:left="2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4" w:name="page215"/>
    <w:bookmarkEnd w:id="214"/>
    <w:p>
      <w:pPr>
        <w:spacing w:after="0"/>
        <w:rPr>
          <w:sz w:val="20"/>
          <w:szCs w:val="20"/>
          <w:color w:val="auto"/>
        </w:rPr>
      </w:pPr>
      <w:r>
        <w:rPr>
          <w:rFonts w:ascii="Arial" w:cs="Arial" w:eastAsia="Arial" w:hAnsi="Arial"/>
          <w:sz w:val="19"/>
          <w:szCs w:val="19"/>
          <w:color w:val="auto"/>
        </w:rPr>
        <w:t>The Administrator, in its sole discretion, may settle earned Performance Awards in cash, Shares, or a combination of both.</w:t>
      </w:r>
    </w:p>
    <w:p>
      <w:pPr>
        <w:spacing w:after="0" w:line="241"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Cancellation of Performance Awards</w:t>
      </w:r>
      <w:r>
        <w:rPr>
          <w:rFonts w:ascii="Arial" w:cs="Arial" w:eastAsia="Arial" w:hAnsi="Arial"/>
          <w:sz w:val="21"/>
          <w:szCs w:val="21"/>
          <w:color w:val="auto"/>
        </w:rPr>
        <w:t>. On the date set forth in the Award Agreement, all unearned or unvested Performance Awards will be forfeited to the Company, and again will be available for grant under the Plan.</w:t>
      </w:r>
    </w:p>
    <w:p>
      <w:pPr>
        <w:spacing w:after="0" w:line="151" w:lineRule="exact"/>
        <w:rPr>
          <w:sz w:val="20"/>
          <w:szCs w:val="20"/>
          <w:color w:val="auto"/>
        </w:rPr>
      </w:pPr>
    </w:p>
    <w:p>
      <w:pPr>
        <w:jc w:val="both"/>
        <w:ind w:firstLine="757"/>
        <w:spacing w:after="0" w:line="272" w:lineRule="auto"/>
        <w:tabs>
          <w:tab w:leader="none" w:pos="1498"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60" w:lineRule="exact"/>
        <w:rPr>
          <w:rFonts w:ascii="Arial" w:cs="Arial" w:eastAsia="Arial" w:hAnsi="Arial"/>
          <w:sz w:val="19"/>
          <w:szCs w:val="19"/>
          <w:color w:val="auto"/>
        </w:rPr>
      </w:pPr>
    </w:p>
    <w:p>
      <w:pPr>
        <w:jc w:val="both"/>
        <w:ind w:firstLine="757"/>
        <w:spacing w:after="0" w:line="260" w:lineRule="auto"/>
        <w:tabs>
          <w:tab w:leader="none" w:pos="1498"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Leaves of Absence/Transfer Between Locations</w:t>
      </w:r>
      <w:r>
        <w:rPr>
          <w:rFonts w:ascii="Arial" w:cs="Arial" w:eastAsia="Arial" w:hAnsi="Arial"/>
          <w:sz w:val="20"/>
          <w:szCs w:val="20"/>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3"/>
          <w:szCs w:val="13"/>
          <w:color w:val="auto"/>
        </w:rPr>
        <w:t>st</w:t>
      </w:r>
      <w:r>
        <w:rPr>
          <w:rFonts w:ascii="Arial" w:cs="Arial" w:eastAsia="Arial" w:hAnsi="Arial"/>
          <w:sz w:val="20"/>
          <w:szCs w:val="20"/>
          <w:color w:val="auto"/>
        </w:rPr>
        <w:t>) day of such leave, any Incentive Stock Option held by the Participant will cease to be treated as an Incentive Stock Option and will be treated for tax purposes as a Nonstatutory Stock Option.</w:t>
      </w:r>
    </w:p>
    <w:p>
      <w:pPr>
        <w:spacing w:after="0" w:line="166" w:lineRule="exact"/>
        <w:rPr>
          <w:rFonts w:ascii="Arial" w:cs="Arial" w:eastAsia="Arial" w:hAnsi="Arial"/>
          <w:sz w:val="20"/>
          <w:szCs w:val="20"/>
          <w:color w:val="auto"/>
        </w:rPr>
      </w:pPr>
    </w:p>
    <w:p>
      <w:pPr>
        <w:jc w:val="both"/>
        <w:ind w:firstLine="757"/>
        <w:spacing w:after="0" w:line="233"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Limited Transferability of Awards</w:t>
      </w:r>
      <w:r>
        <w:rPr>
          <w:rFonts w:ascii="Arial" w:cs="Arial" w:eastAsia="Arial" w:hAnsi="Arial"/>
          <w:sz w:val="22"/>
          <w:szCs w:val="22"/>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2" w:lineRule="exact"/>
        <w:rPr>
          <w:rFonts w:ascii="Arial" w:cs="Arial" w:eastAsia="Arial" w:hAnsi="Arial"/>
          <w:sz w:val="22"/>
          <w:szCs w:val="22"/>
          <w:color w:val="auto"/>
        </w:rPr>
      </w:pPr>
    </w:p>
    <w:p>
      <w:pPr>
        <w:ind w:left="280"/>
        <w:spacing w:after="0"/>
        <w:rPr>
          <w:rFonts w:ascii="Arial" w:cs="Arial" w:eastAsia="Arial" w:hAnsi="Arial"/>
          <w:sz w:val="22"/>
          <w:szCs w:val="22"/>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5" w:name="page216"/>
    <w:bookmarkEnd w:id="215"/>
    <w:p>
      <w:pPr>
        <w:ind w:left="1500" w:hanging="743"/>
        <w:spacing w:after="0"/>
        <w:tabs>
          <w:tab w:leader="none" w:pos="15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52"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w:t>
      </w:r>
    </w:p>
    <w:p>
      <w:pPr>
        <w:spacing w:after="0" w:line="1" w:lineRule="exact"/>
        <w:rPr>
          <w:sz w:val="20"/>
          <w:szCs w:val="20"/>
          <w:color w:val="auto"/>
        </w:rPr>
      </w:pPr>
    </w:p>
    <w:p>
      <w:pPr>
        <w:jc w:val="both"/>
        <w:ind w:firstLine="8"/>
        <w:spacing w:after="0" w:line="272" w:lineRule="auto"/>
        <w:tabs>
          <w:tab w:leader="none" w:pos="27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161"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6" w:name="page217"/>
    <w:bookmarkEnd w:id="216"/>
    <w:p>
      <w:pPr>
        <w:jc w:val="both"/>
        <w:spacing w:after="0" w:line="273" w:lineRule="auto"/>
        <w:rPr>
          <w:sz w:val="20"/>
          <w:szCs w:val="20"/>
          <w:color w:val="auto"/>
        </w:rPr>
      </w:pPr>
      <w:r>
        <w:rPr>
          <w:rFonts w:ascii="Arial" w:cs="Arial" w:eastAsia="Arial" w:hAnsi="Arial"/>
          <w:sz w:val="19"/>
          <w:szCs w:val="19"/>
          <w:color w:val="auto"/>
        </w:rPr>
        <w:t>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61"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For the purposes of this Section 14.3 and Section 14.4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5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5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7" w:name="page218"/>
    <w:bookmarkEnd w:id="217"/>
    <w:p>
      <w:pPr>
        <w:jc w:val="both"/>
        <w:ind w:firstLine="1497"/>
        <w:spacing w:after="0" w:line="246"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u w:val="single" w:color="auto"/>
          <w:color w:val="auto"/>
        </w:rPr>
        <w:t>Outside Director Awards</w:t>
      </w:r>
      <w:r>
        <w:rPr>
          <w:rFonts w:ascii="Arial" w:cs="Arial" w:eastAsia="Arial" w:hAnsi="Arial"/>
          <w:sz w:val="21"/>
          <w:szCs w:val="21"/>
          <w:color w:val="auto"/>
        </w:rPr>
        <w:t>. With respect to Awards granted to an Outside Director,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spacing w:after="0" w:line="184" w:lineRule="exact"/>
        <w:rPr>
          <w:sz w:val="20"/>
          <w:szCs w:val="20"/>
          <w:color w:val="auto"/>
        </w:rPr>
      </w:pPr>
    </w:p>
    <w:p>
      <w:pPr>
        <w:ind w:left="1500" w:hanging="743"/>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8" w:lineRule="exact"/>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Withholding Requirements</w:t>
      </w:r>
      <w:r>
        <w:rPr>
          <w:rFonts w:ascii="Arial" w:cs="Arial" w:eastAsia="Arial" w:hAnsi="Arial"/>
          <w:sz w:val="21"/>
          <w:szCs w:val="21"/>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1"/>
          <w:szCs w:val="21"/>
          <w:color w:val="auto"/>
        </w:rPr>
        <w:t>‑</w:t>
      </w:r>
      <w:r>
        <w:rPr>
          <w:rFonts w:ascii="Arial" w:cs="Arial" w:eastAsia="Arial" w:hAnsi="Arial"/>
          <w:sz w:val="21"/>
          <w:szCs w:val="21"/>
          <w:color w:val="auto"/>
        </w:rPr>
        <w:t>U.S., and other taxes (including the Participant’s FICA obligation) required to be withheld or paid with respect to such Award (or exercise thereof).</w:t>
      </w:r>
    </w:p>
    <w:p>
      <w:pPr>
        <w:spacing w:after="0" w:line="189"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8" w:name="page219"/>
    <w:bookmarkEnd w:id="218"/>
    <w:p>
      <w:pPr>
        <w:jc w:val="both"/>
        <w:ind w:firstLine="757"/>
        <w:spacing w:after="0" w:line="236" w:lineRule="auto"/>
        <w:tabs>
          <w:tab w:leader="none" w:pos="149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87" w:lineRule="exact"/>
        <w:rPr>
          <w:rFonts w:ascii="Arial" w:cs="Arial" w:eastAsia="Arial" w:hAnsi="Arial"/>
          <w:sz w:val="22"/>
          <w:szCs w:val="22"/>
          <w:color w:val="auto"/>
        </w:rPr>
      </w:pPr>
    </w:p>
    <w:p>
      <w:pPr>
        <w:jc w:val="both"/>
        <w:ind w:firstLine="757"/>
        <w:spacing w:after="0" w:line="297" w:lineRule="auto"/>
        <w:tabs>
          <w:tab w:leader="none" w:pos="1498"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Date of Grant</w:t>
      </w:r>
      <w:r>
        <w:rPr>
          <w:rFonts w:ascii="Arial" w:cs="Arial" w:eastAsia="Arial" w:hAnsi="Arial"/>
          <w:sz w:val="19"/>
          <w:szCs w:val="19"/>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33" w:lineRule="exact"/>
        <w:rPr>
          <w:rFonts w:ascii="Arial" w:cs="Arial" w:eastAsia="Arial" w:hAnsi="Arial"/>
          <w:sz w:val="19"/>
          <w:szCs w:val="19"/>
          <w:color w:val="auto"/>
        </w:rPr>
      </w:pPr>
    </w:p>
    <w:p>
      <w:pPr>
        <w:jc w:val="both"/>
        <w:ind w:firstLine="757"/>
        <w:spacing w:after="0" w:line="271" w:lineRule="auto"/>
        <w:tabs>
          <w:tab w:leader="none" w:pos="1498"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Subject to Section 22 of the Plan, the Plan will become effective as of one business day prior to the Registration Date. The Plan will continue in effect until terminated under Section 19,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w:t>
      </w:r>
    </w:p>
    <w:p>
      <w:pPr>
        <w:spacing w:after="0" w:line="3" w:lineRule="exact"/>
        <w:rPr>
          <w:rFonts w:ascii="Arial" w:cs="Arial" w:eastAsia="Arial" w:hAnsi="Arial"/>
          <w:sz w:val="19"/>
          <w:szCs w:val="19"/>
          <w:color w:val="auto"/>
        </w:rPr>
      </w:pPr>
    </w:p>
    <w:p>
      <w:pPr>
        <w:ind w:left="420" w:hanging="412"/>
        <w:spacing w:after="0"/>
        <w:tabs>
          <w:tab w:leader="none" w:pos="4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year anniversary of the earlier of the Board or stockholder approval of the Plan.</w:t>
      </w:r>
    </w:p>
    <w:p>
      <w:pPr>
        <w:spacing w:after="0" w:line="188" w:lineRule="exact"/>
        <w:rPr>
          <w:rFonts w:ascii="Arial" w:cs="Arial" w:eastAsia="Arial" w:hAnsi="Arial"/>
          <w:sz w:val="22"/>
          <w:szCs w:val="22"/>
          <w:color w:val="auto"/>
        </w:rPr>
      </w:pPr>
    </w:p>
    <w:p>
      <w:pPr>
        <w:ind w:left="1500" w:hanging="743"/>
        <w:spacing w:after="0"/>
        <w:tabs>
          <w:tab w:leader="none" w:pos="1500"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jc w:val="right"/>
              <w:ind w:right="1012"/>
              <w:spacing w:after="0"/>
              <w:rPr>
                <w:sz w:val="20"/>
                <w:szCs w:val="20"/>
                <w:color w:val="auto"/>
              </w:rPr>
            </w:pPr>
            <w:r>
              <w:rPr>
                <w:rFonts w:ascii="Arial" w:cs="Arial" w:eastAsia="Arial" w:hAnsi="Arial"/>
                <w:sz w:val="22"/>
                <w:szCs w:val="22"/>
                <w:color w:val="auto"/>
              </w:rPr>
              <w:t>19.1</w:t>
            </w:r>
          </w:p>
        </w:tc>
        <w:tc>
          <w:tcPr>
            <w:tcW w:w="8240" w:type="dxa"/>
            <w:vAlign w:val="bottom"/>
            <w:gridSpan w:val="4"/>
          </w:tcPr>
          <w:p>
            <w:pPr>
              <w:spacing w:after="0"/>
              <w:rPr>
                <w:sz w:val="20"/>
                <w:szCs w:val="20"/>
                <w:color w:val="auto"/>
              </w:rPr>
            </w:pPr>
            <w:r>
              <w:rPr>
                <w:rFonts w:ascii="Arial" w:cs="Arial" w:eastAsia="Arial" w:hAnsi="Arial"/>
                <w:sz w:val="22"/>
                <w:szCs w:val="22"/>
                <w:color w:val="auto"/>
                <w:w w:val="92"/>
              </w:rPr>
              <w:t>Amendment and Termination.  The Administrator may at any time amend, alter, suspend or</w:t>
            </w:r>
          </w:p>
        </w:tc>
      </w:tr>
      <w:tr>
        <w:trPr>
          <w:trHeight w:val="273"/>
        </w:trPr>
        <w:tc>
          <w:tcPr>
            <w:tcW w:w="3000" w:type="dxa"/>
            <w:vAlign w:val="bottom"/>
          </w:tcPr>
          <w:p>
            <w:pPr>
              <w:spacing w:after="0"/>
              <w:rPr>
                <w:sz w:val="20"/>
                <w:szCs w:val="20"/>
                <w:color w:val="auto"/>
              </w:rPr>
            </w:pPr>
            <w:r>
              <w:rPr>
                <w:rFonts w:ascii="Arial" w:cs="Arial" w:eastAsia="Arial" w:hAnsi="Arial"/>
                <w:sz w:val="22"/>
                <w:szCs w:val="22"/>
                <w:color w:val="auto"/>
              </w:rPr>
              <w:t>terminate the Plan.</w:t>
            </w:r>
          </w:p>
        </w:tc>
        <w:tc>
          <w:tcPr>
            <w:tcW w:w="20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408"/>
        </w:trPr>
        <w:tc>
          <w:tcPr>
            <w:tcW w:w="3000" w:type="dxa"/>
            <w:vAlign w:val="bottom"/>
          </w:tcPr>
          <w:p>
            <w:pPr>
              <w:jc w:val="right"/>
              <w:ind w:right="1012"/>
              <w:spacing w:after="0"/>
              <w:rPr>
                <w:sz w:val="20"/>
                <w:szCs w:val="20"/>
                <w:color w:val="auto"/>
              </w:rPr>
            </w:pPr>
            <w:r>
              <w:rPr>
                <w:rFonts w:ascii="Arial" w:cs="Arial" w:eastAsia="Arial" w:hAnsi="Arial"/>
                <w:sz w:val="22"/>
                <w:szCs w:val="22"/>
                <w:color w:val="auto"/>
              </w:rPr>
              <w:t>19.2</w:t>
            </w:r>
          </w:p>
        </w:tc>
        <w:tc>
          <w:tcPr>
            <w:tcW w:w="8240" w:type="dxa"/>
            <w:vAlign w:val="bottom"/>
            <w:gridSpan w:val="4"/>
          </w:tcPr>
          <w:p>
            <w:pPr>
              <w:spacing w:after="0"/>
              <w:rPr>
                <w:sz w:val="20"/>
                <w:szCs w:val="20"/>
                <w:color w:val="auto"/>
              </w:rPr>
            </w:pPr>
            <w:r>
              <w:rPr>
                <w:rFonts w:ascii="Arial" w:cs="Arial" w:eastAsia="Arial" w:hAnsi="Arial"/>
                <w:sz w:val="22"/>
                <w:szCs w:val="22"/>
                <w:color w:val="auto"/>
                <w:w w:val="96"/>
              </w:rPr>
              <w:t>Stockholder Approval.   The  Company  will  obtain  stockholder  approval  of  any  Plan</w:t>
            </w:r>
          </w:p>
        </w:tc>
      </w:tr>
      <w:tr>
        <w:trPr>
          <w:trHeight w:val="20"/>
        </w:trPr>
        <w:tc>
          <w:tcPr>
            <w:tcW w:w="30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73"/>
        </w:trPr>
        <w:tc>
          <w:tcPr>
            <w:tcW w:w="11240" w:type="dxa"/>
            <w:vAlign w:val="bottom"/>
            <w:gridSpan w:val="5"/>
          </w:tcPr>
          <w:p>
            <w:pPr>
              <w:spacing w:after="0"/>
              <w:rPr>
                <w:sz w:val="20"/>
                <w:szCs w:val="20"/>
                <w:color w:val="auto"/>
              </w:rPr>
            </w:pPr>
            <w:r>
              <w:rPr>
                <w:rFonts w:ascii="Arial" w:cs="Arial" w:eastAsia="Arial" w:hAnsi="Arial"/>
                <w:sz w:val="22"/>
                <w:szCs w:val="22"/>
                <w:color w:val="auto"/>
              </w:rPr>
              <w:t>amendment to the extent necessary and desirable to comply with Applicable Laws.</w:t>
            </w:r>
          </w:p>
        </w:tc>
      </w:tr>
      <w:tr>
        <w:trPr>
          <w:trHeight w:val="408"/>
        </w:trPr>
        <w:tc>
          <w:tcPr>
            <w:tcW w:w="3000" w:type="dxa"/>
            <w:vAlign w:val="bottom"/>
          </w:tcPr>
          <w:p>
            <w:pPr>
              <w:jc w:val="right"/>
              <w:ind w:right="1012"/>
              <w:spacing w:after="0"/>
              <w:rPr>
                <w:sz w:val="20"/>
                <w:szCs w:val="20"/>
                <w:color w:val="auto"/>
              </w:rPr>
            </w:pPr>
            <w:r>
              <w:rPr>
                <w:rFonts w:ascii="Arial" w:cs="Arial" w:eastAsia="Arial" w:hAnsi="Arial"/>
                <w:sz w:val="22"/>
                <w:szCs w:val="22"/>
                <w:color w:val="auto"/>
              </w:rPr>
              <w:t>19.3</w:t>
            </w:r>
          </w:p>
        </w:tc>
        <w:tc>
          <w:tcPr>
            <w:tcW w:w="8240" w:type="dxa"/>
            <w:vAlign w:val="bottom"/>
            <w:gridSpan w:val="4"/>
          </w:tcPr>
          <w:p>
            <w:pPr>
              <w:spacing w:after="0"/>
              <w:rPr>
                <w:sz w:val="20"/>
                <w:szCs w:val="20"/>
                <w:color w:val="auto"/>
              </w:rPr>
            </w:pPr>
            <w:r>
              <w:rPr>
                <w:rFonts w:ascii="Arial" w:cs="Arial" w:eastAsia="Arial" w:hAnsi="Arial"/>
                <w:sz w:val="22"/>
                <w:szCs w:val="22"/>
                <w:color w:val="auto"/>
                <w:w w:val="90"/>
              </w:rPr>
              <w:t>Effect of Amendment or Termination. No amendment, alteration, suspension or termination of</w:t>
            </w:r>
          </w:p>
        </w:tc>
      </w:tr>
      <w:tr>
        <w:trPr>
          <w:trHeight w:val="20"/>
        </w:trPr>
        <w:tc>
          <w:tcPr>
            <w:tcW w:w="30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5" w:lineRule="exact"/>
        <w:rPr>
          <w:sz w:val="20"/>
          <w:szCs w:val="20"/>
          <w:color w:val="auto"/>
        </w:rPr>
      </w:pPr>
    </w:p>
    <w:p>
      <w:pPr>
        <w:ind w:left="1500" w:hanging="743"/>
        <w:spacing w:after="0"/>
        <w:tabs>
          <w:tab w:leader="none" w:pos="15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6"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9" w:name="page220"/>
    <w:bookmarkEnd w:id="219"/>
    <w:p>
      <w:pPr>
        <w:jc w:val="both"/>
        <w:ind w:left="-8" w:firstLine="757"/>
        <w:spacing w:after="0" w:line="247" w:lineRule="exact"/>
        <w:tabs>
          <w:tab w:leader="none" w:pos="1490"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Inability to Obtain Authority</w:t>
      </w:r>
      <w:r>
        <w:rPr>
          <w:rFonts w:ascii="Arial" w:cs="Arial" w:eastAsia="Arial" w:hAnsi="Arial"/>
          <w:sz w:val="19"/>
          <w:szCs w:val="19"/>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19"/>
          <w:szCs w:val="19"/>
          <w:color w:val="auto"/>
        </w:rPr>
        <w:t>‑</w:t>
      </w:r>
      <w:r>
        <w:rPr>
          <w:rFonts w:ascii="Arial" w:cs="Arial" w:eastAsia="Arial" w:hAnsi="Arial"/>
          <w:sz w:val="19"/>
          <w:szCs w:val="19"/>
          <w:color w:val="auto"/>
        </w:rPr>
        <w:t>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90" w:lineRule="exact"/>
        <w:rPr>
          <w:rFonts w:ascii="Arial" w:cs="Arial" w:eastAsia="Arial" w:hAnsi="Arial"/>
          <w:sz w:val="19"/>
          <w:szCs w:val="19"/>
          <w:color w:val="auto"/>
        </w:rPr>
      </w:pPr>
    </w:p>
    <w:p>
      <w:pPr>
        <w:ind w:left="1492" w:hanging="743"/>
        <w:spacing w:after="0"/>
        <w:tabs>
          <w:tab w:leader="none" w:pos="1492"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42" w:lineRule="exact"/>
        <w:rPr>
          <w:rFonts w:ascii="Arial" w:cs="Arial" w:eastAsia="Arial" w:hAnsi="Arial"/>
          <w:sz w:val="19"/>
          <w:szCs w:val="19"/>
          <w:color w:val="auto"/>
        </w:rPr>
      </w:pPr>
    </w:p>
    <w:p>
      <w:pPr>
        <w:ind w:left="-8" w:firstLine="8"/>
        <w:spacing w:after="0" w:line="236" w:lineRule="auto"/>
        <w:tabs>
          <w:tab w:leader="none" w:pos="40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86" w:lineRule="exact"/>
        <w:rPr>
          <w:rFonts w:ascii="Arial" w:cs="Arial" w:eastAsia="Arial" w:hAnsi="Arial"/>
          <w:sz w:val="22"/>
          <w:szCs w:val="22"/>
          <w:color w:val="auto"/>
        </w:rPr>
      </w:pPr>
    </w:p>
    <w:p>
      <w:pPr>
        <w:jc w:val="both"/>
        <w:ind w:left="-8" w:firstLine="757"/>
        <w:spacing w:after="0" w:line="248" w:lineRule="exact"/>
        <w:tabs>
          <w:tab w:leader="none" w:pos="1490"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Forfeiture Events</w:t>
      </w:r>
      <w:r>
        <w:rPr>
          <w:rFonts w:ascii="Arial" w:cs="Arial" w:eastAsia="Arial" w:hAnsi="Arial"/>
          <w:sz w:val="19"/>
          <w:szCs w:val="19"/>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19"/>
          <w:szCs w:val="19"/>
          <w:color w:val="auto"/>
        </w:rPr>
        <w:t>‑</w:t>
      </w:r>
      <w:r>
        <w:rPr>
          <w:rFonts w:ascii="Arial" w:cs="Arial" w:eastAsia="Arial" w:hAnsi="Arial"/>
          <w:sz w:val="19"/>
          <w:szCs w:val="19"/>
          <w:color w:val="auto"/>
        </w:rPr>
        <w:t>Frank Wall Street Reform and Consumer Protection Act) (the “</w:t>
      </w:r>
      <w:r>
        <w:rPr>
          <w:rFonts w:ascii="Arial" w:cs="Arial" w:eastAsia="Arial" w:hAnsi="Arial"/>
          <w:sz w:val="19"/>
          <w:szCs w:val="19"/>
          <w:u w:val="single" w:color="auto"/>
          <w:color w:val="auto"/>
        </w:rPr>
        <w:t>Clawback Policy</w:t>
      </w:r>
      <w:r>
        <w:rPr>
          <w:rFonts w:ascii="Arial" w:cs="Arial" w:eastAsia="Arial" w:hAnsi="Arial"/>
          <w:sz w:val="19"/>
          <w:szCs w:val="19"/>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2"/>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64"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19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Unless otherwise defined herein, the terms defined in the Tenaya Therapeutics, Inc. 2021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Stock Option Agreement, which includes the Notice of Stock Option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xml:space="preserve">”), the Terms and Conditions of Stock Option Grant,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Exercise Notice,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and all other exhibits, appendices, and addenda attached hereto (together, the “</w:t>
      </w:r>
      <w:r>
        <w:rPr>
          <w:rFonts w:ascii="Arial" w:cs="Arial" w:eastAsia="Arial" w:hAnsi="Arial"/>
          <w:sz w:val="19"/>
          <w:szCs w:val="19"/>
          <w:u w:val="single" w:color="auto"/>
          <w:color w:val="auto"/>
        </w:rPr>
        <w:t>Option Agreement</w:t>
      </w:r>
      <w:r>
        <w:rPr>
          <w:rFonts w:ascii="Arial" w:cs="Arial" w:eastAsia="Arial" w:hAnsi="Arial"/>
          <w:sz w:val="19"/>
          <w:szCs w:val="19"/>
          <w:color w:val="auto"/>
        </w:rPr>
        <w: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Participant Name: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Address:</w:t>
      </w:r>
    </w:p>
    <w:p>
      <w:pPr>
        <w:spacing w:after="0" w:line="19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The undersigned Participant has been granted an Option to purchase Common Stock of the Company, subject to the terms and conditions of the Plan and this Option Agreement,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540" w:type="dxa"/>
            <w:vAlign w:val="bottom"/>
            <w:gridSpan w:val="3"/>
          </w:tcPr>
          <w:p>
            <w:pPr>
              <w:spacing w:after="0"/>
              <w:rPr>
                <w:sz w:val="20"/>
                <w:szCs w:val="20"/>
                <w:color w:val="auto"/>
              </w:rPr>
            </w:pPr>
            <w:r>
              <w:rPr>
                <w:rFonts w:ascii="Arial" w:cs="Arial" w:eastAsia="Arial" w:hAnsi="Arial"/>
                <w:sz w:val="22"/>
                <w:szCs w:val="22"/>
                <w:color w:val="auto"/>
              </w:rPr>
              <w:t>Grant Number:</w:t>
            </w:r>
          </w:p>
        </w:tc>
        <w:tc>
          <w:tcPr>
            <w:tcW w:w="42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452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98"/>
        </w:trPr>
        <w:tc>
          <w:tcPr>
            <w:tcW w:w="4520" w:type="dxa"/>
            <w:vAlign w:val="bottom"/>
            <w:gridSpan w:val="2"/>
          </w:tcPr>
          <w:p>
            <w:pPr>
              <w:spacing w:after="0"/>
              <w:rPr>
                <w:sz w:val="20"/>
                <w:szCs w:val="20"/>
                <w:color w:val="auto"/>
              </w:rPr>
            </w:pPr>
            <w:r>
              <w:rPr>
                <w:rFonts w:ascii="Arial" w:cs="Arial" w:eastAsia="Arial" w:hAnsi="Arial"/>
                <w:sz w:val="22"/>
                <w:szCs w:val="22"/>
                <w:color w:val="auto"/>
              </w:rPr>
              <w:t>Vesting Commencement Date:</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85"/>
        </w:trPr>
        <w:tc>
          <w:tcPr>
            <w:tcW w:w="4540" w:type="dxa"/>
            <w:vAlign w:val="bottom"/>
            <w:gridSpan w:val="3"/>
          </w:tcPr>
          <w:p>
            <w:pPr>
              <w:spacing w:after="0"/>
              <w:rPr>
                <w:sz w:val="20"/>
                <w:szCs w:val="20"/>
                <w:color w:val="auto"/>
              </w:rPr>
            </w:pPr>
            <w:r>
              <w:rPr>
                <w:rFonts w:ascii="Arial" w:cs="Arial" w:eastAsia="Arial" w:hAnsi="Arial"/>
                <w:sz w:val="22"/>
                <w:szCs w:val="22"/>
                <w:color w:val="auto"/>
              </w:rPr>
              <w:t>Exercise Price per Share:</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6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4520" w:type="dxa"/>
            <w:vAlign w:val="bottom"/>
            <w:gridSpan w:val="2"/>
          </w:tcPr>
          <w:p>
            <w:pPr>
              <w:spacing w:after="0"/>
              <w:rPr>
                <w:sz w:val="20"/>
                <w:szCs w:val="20"/>
                <w:color w:val="auto"/>
              </w:rPr>
            </w:pPr>
            <w:r>
              <w:rPr>
                <w:rFonts w:ascii="Arial" w:cs="Arial" w:eastAsia="Arial" w:hAnsi="Arial"/>
                <w:sz w:val="22"/>
                <w:szCs w:val="22"/>
                <w:color w:val="auto"/>
              </w:rPr>
              <w:t>Total Number of Shares Granted:</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85"/>
        </w:trPr>
        <w:tc>
          <w:tcPr>
            <w:tcW w:w="4540" w:type="dxa"/>
            <w:vAlign w:val="bottom"/>
            <w:gridSpan w:val="3"/>
          </w:tcPr>
          <w:p>
            <w:pPr>
              <w:spacing w:after="0"/>
              <w:rPr>
                <w:sz w:val="20"/>
                <w:szCs w:val="20"/>
                <w:color w:val="auto"/>
              </w:rPr>
            </w:pPr>
            <w:r>
              <w:rPr>
                <w:rFonts w:ascii="Arial" w:cs="Arial" w:eastAsia="Arial" w:hAnsi="Arial"/>
                <w:sz w:val="22"/>
                <w:szCs w:val="22"/>
                <w:color w:val="auto"/>
              </w:rPr>
              <w:t>Total Exercise Price:</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6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540" w:type="dxa"/>
            <w:vAlign w:val="bottom"/>
            <w:gridSpan w:val="3"/>
          </w:tcPr>
          <w:p>
            <w:pPr>
              <w:spacing w:after="0"/>
              <w:rPr>
                <w:sz w:val="20"/>
                <w:szCs w:val="20"/>
                <w:color w:val="auto"/>
              </w:rPr>
            </w:pPr>
            <w:r>
              <w:rPr>
                <w:rFonts w:ascii="Arial" w:cs="Arial" w:eastAsia="Arial" w:hAnsi="Arial"/>
                <w:sz w:val="22"/>
                <w:szCs w:val="22"/>
                <w:color w:val="auto"/>
              </w:rPr>
              <w:t>Type of Option:</w:t>
            </w:r>
          </w:p>
        </w:tc>
        <w:tc>
          <w:tcPr>
            <w:tcW w:w="42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22"/>
                <w:szCs w:val="22"/>
                <w:color w:val="auto"/>
              </w:rPr>
              <w:t>Incentive Stock Option</w:t>
            </w:r>
          </w:p>
        </w:tc>
        <w:tc>
          <w:tcPr>
            <w:tcW w:w="20" w:type="dxa"/>
            <w:vAlign w:val="bottom"/>
          </w:tcPr>
          <w:p>
            <w:pPr>
              <w:spacing w:after="0"/>
              <w:rPr>
                <w:sz w:val="24"/>
                <w:szCs w:val="24"/>
                <w:color w:val="auto"/>
              </w:rPr>
            </w:pPr>
          </w:p>
        </w:tc>
      </w:tr>
      <w:tr>
        <w:trPr>
          <w:trHeight w:val="426"/>
        </w:trPr>
        <w:tc>
          <w:tcPr>
            <w:tcW w:w="1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22"/>
                <w:szCs w:val="22"/>
                <w:color w:val="auto"/>
              </w:rPr>
              <w:t>Nonstatutory Stock Option</w:t>
            </w:r>
          </w:p>
        </w:tc>
        <w:tc>
          <w:tcPr>
            <w:tcW w:w="20" w:type="dxa"/>
            <w:vAlign w:val="bottom"/>
          </w:tcPr>
          <w:p>
            <w:pPr>
              <w:spacing w:after="0"/>
              <w:rPr>
                <w:sz w:val="24"/>
                <w:szCs w:val="24"/>
                <w:color w:val="auto"/>
              </w:rPr>
            </w:pPr>
          </w:p>
        </w:tc>
      </w:tr>
      <w:tr>
        <w:trPr>
          <w:trHeight w:val="398"/>
        </w:trPr>
        <w:tc>
          <w:tcPr>
            <w:tcW w:w="4520" w:type="dxa"/>
            <w:vAlign w:val="bottom"/>
            <w:gridSpan w:val="2"/>
          </w:tcPr>
          <w:p>
            <w:pPr>
              <w:spacing w:after="0"/>
              <w:rPr>
                <w:sz w:val="20"/>
                <w:szCs w:val="20"/>
                <w:color w:val="auto"/>
              </w:rPr>
            </w:pPr>
            <w:r>
              <w:rPr>
                <w:rFonts w:ascii="Arial" w:cs="Arial" w:eastAsia="Arial" w:hAnsi="Arial"/>
                <w:sz w:val="22"/>
                <w:szCs w:val="22"/>
                <w:color w:val="auto"/>
              </w:rPr>
              <w:t>Term/Expiration Date:</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71"/>
        </w:trPr>
        <w:tc>
          <w:tcPr>
            <w:tcW w:w="4540" w:type="dxa"/>
            <w:vAlign w:val="bottom"/>
            <w:gridSpan w:val="3"/>
          </w:tcPr>
          <w:p>
            <w:pPr>
              <w:spacing w:after="0"/>
              <w:rPr>
                <w:sz w:val="20"/>
                <w:szCs w:val="20"/>
                <w:color w:val="auto"/>
              </w:rPr>
            </w:pPr>
            <w:r>
              <w:rPr>
                <w:rFonts w:ascii="Arial" w:cs="Arial" w:eastAsia="Arial" w:hAnsi="Arial"/>
                <w:sz w:val="22"/>
                <w:szCs w:val="22"/>
                <w:color w:val="auto"/>
              </w:rPr>
              <w:t>Vesting Schedule:</w:t>
            </w:r>
          </w:p>
        </w:tc>
        <w:tc>
          <w:tcPr>
            <w:tcW w:w="4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13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vesting schedule, e.g.:</w:t>
      </w:r>
      <w:r>
        <w:rPr>
          <w:rFonts w:ascii="Arial" w:cs="Arial" w:eastAsia="Arial" w:hAnsi="Arial"/>
          <w:sz w:val="20"/>
          <w:szCs w:val="20"/>
          <w:color w:val="auto"/>
        </w:rPr>
        <w:t xml:space="preserve"> Twenty-five percent (25%) of the Total Number of Shares Granted under the Option shall be scheduled to vest on the one (1) year anniversary of the Vesting Commencement Date, and one forty-eighth (1/48</w:t>
      </w:r>
      <w:r>
        <w:rPr>
          <w:rFonts w:ascii="Arial" w:cs="Arial" w:eastAsia="Arial" w:hAnsi="Arial"/>
          <w:sz w:val="13"/>
          <w:szCs w:val="13"/>
          <w:color w:val="auto"/>
        </w:rPr>
        <w:t>th</w:t>
      </w:r>
      <w:r>
        <w:rPr>
          <w:rFonts w:ascii="Arial" w:cs="Arial" w:eastAsia="Arial" w:hAnsi="Arial"/>
          <w:sz w:val="20"/>
          <w:szCs w:val="20"/>
          <w:color w:val="auto"/>
        </w:rPr>
        <w:t>) of the Total Number of Shares Granted under the Option shall be scheduled to vest each month thereafter on the same day of the month as the Vesting Commencement Date (and if there is no corresponding day in a particular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1" w:name="page222"/>
    <w:bookmarkEnd w:id="221"/>
    <w:p>
      <w:pPr>
        <w:spacing w:after="0"/>
        <w:rPr>
          <w:sz w:val="20"/>
          <w:szCs w:val="20"/>
          <w:color w:val="auto"/>
        </w:rPr>
      </w:pPr>
      <w:r>
        <w:rPr>
          <w:rFonts w:ascii="Arial" w:cs="Arial" w:eastAsia="Arial" w:hAnsi="Arial"/>
          <w:sz w:val="21"/>
          <w:szCs w:val="21"/>
          <w:color w:val="auto"/>
        </w:rPr>
        <w:t>month, on the last day of the month), subject to Participant continuing to be a Service Provider through each such date.]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Termination Period</w:t>
      </w:r>
      <w:r>
        <w:rPr>
          <w:rFonts w:ascii="Arial" w:cs="Arial" w:eastAsia="Arial" w:hAnsi="Arial"/>
          <w:sz w:val="22"/>
          <w:szCs w:val="22"/>
          <w:color w:val="auto"/>
        </w:rPr>
        <w:t>:</w:t>
      </w:r>
    </w:p>
    <w:p>
      <w:pPr>
        <w:spacing w:after="0" w:line="193" w:lineRule="exact"/>
        <w:rPr>
          <w:sz w:val="20"/>
          <w:szCs w:val="20"/>
          <w:color w:val="auto"/>
        </w:rPr>
      </w:pPr>
    </w:p>
    <w:p>
      <w:pPr>
        <w:jc w:val="both"/>
        <w:ind w:firstLine="749"/>
        <w:spacing w:after="0" w:line="226" w:lineRule="auto"/>
        <w:rPr>
          <w:sz w:val="20"/>
          <w:szCs w:val="20"/>
          <w:color w:val="auto"/>
        </w:rPr>
      </w:pPr>
      <w:r>
        <w:rPr>
          <w:rFonts w:ascii="Arial" w:cs="Arial" w:eastAsia="Arial" w:hAnsi="Arial"/>
          <w:sz w:val="22"/>
          <w:szCs w:val="22"/>
          <w:color w:val="auto"/>
        </w:rPr>
        <w:t>This Option shall be exercisable, to the extent vested, for three (3) months after Participant ceases to be a Service Provider, unless such termination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7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Exercise Notice,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480" w:type="dxa"/>
            <w:vAlign w:val="bottom"/>
          </w:tcPr>
          <w:p>
            <w:pPr>
              <w:spacing w:after="0"/>
              <w:rPr>
                <w:sz w:val="20"/>
                <w:szCs w:val="20"/>
                <w:color w:val="auto"/>
              </w:rPr>
            </w:pPr>
            <w:r>
              <w:rPr>
                <w:rFonts w:ascii="Arial" w:cs="Arial" w:eastAsia="Arial" w:hAnsi="Arial"/>
                <w:sz w:val="22"/>
                <w:szCs w:val="22"/>
                <w:color w:val="auto"/>
              </w:rPr>
              <w:t>PARTICIPANT</w:t>
            </w:r>
          </w:p>
        </w:tc>
        <w:tc>
          <w:tcPr>
            <w:tcW w:w="2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TENAYA THERAPEUTICS, INC.</w:t>
            </w:r>
          </w:p>
        </w:tc>
      </w:tr>
      <w:tr>
        <w:trPr>
          <w:trHeight w:val="449"/>
        </w:trPr>
        <w:tc>
          <w:tcPr>
            <w:tcW w:w="5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Signature</w:t>
            </w:r>
          </w:p>
        </w:tc>
      </w:tr>
      <w:tr>
        <w:trPr>
          <w:trHeight w:val="216"/>
        </w:trPr>
        <w:tc>
          <w:tcPr>
            <w:tcW w:w="5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Print Name</w:t>
            </w:r>
          </w:p>
        </w:tc>
        <w:tc>
          <w:tcPr>
            <w:tcW w:w="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 Name</w:t>
            </w: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r>
      <w:tr>
        <w:trPr>
          <w:trHeight w:val="250"/>
        </w:trPr>
        <w:tc>
          <w:tcPr>
            <w:tcW w:w="5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w:t>
            </w:r>
          </w:p>
        </w:tc>
      </w:tr>
      <w:tr>
        <w:trPr>
          <w:trHeight w:val="553"/>
        </w:trPr>
        <w:tc>
          <w:tcPr>
            <w:tcW w:w="5480" w:type="dxa"/>
            <w:vAlign w:val="bottom"/>
          </w:tcPr>
          <w:p>
            <w:pPr>
              <w:spacing w:after="0"/>
              <w:rPr>
                <w:sz w:val="20"/>
                <w:szCs w:val="20"/>
                <w:color w:val="auto"/>
              </w:rPr>
            </w:pPr>
            <w:r>
              <w:rPr>
                <w:rFonts w:ascii="Arial" w:cs="Arial" w:eastAsia="Arial" w:hAnsi="Arial"/>
                <w:sz w:val="18"/>
                <w:szCs w:val="18"/>
                <w:color w:val="auto"/>
              </w:rPr>
              <w:t>Residence Address:</w:t>
            </w:r>
          </w:p>
        </w:tc>
        <w:tc>
          <w:tcPr>
            <w:tcW w:w="2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70"/>
        </w:trPr>
        <w:tc>
          <w:tcPr>
            <w:tcW w:w="548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5460" w:type="dxa"/>
            <w:vAlign w:val="bottom"/>
          </w:tcPr>
          <w:p>
            <w:pPr>
              <w:spacing w:after="0"/>
              <w:rPr>
                <w:sz w:val="23"/>
                <w:szCs w:val="23"/>
                <w:color w:val="auto"/>
              </w:rPr>
            </w:pPr>
          </w:p>
        </w:tc>
      </w:tr>
      <w:tr>
        <w:trPr>
          <w:trHeight w:val="358"/>
        </w:trPr>
        <w:tc>
          <w:tcPr>
            <w:tcW w:w="5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22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AND CONDITIONS OF STOCK OPTION GRANT</w:t>
      </w:r>
    </w:p>
    <w:p>
      <w:pPr>
        <w:spacing w:after="0" w:line="199" w:lineRule="exact"/>
        <w:rPr>
          <w:sz w:val="20"/>
          <w:szCs w:val="20"/>
          <w:color w:val="auto"/>
        </w:rPr>
      </w:pPr>
    </w:p>
    <w:p>
      <w:pPr>
        <w:ind w:left="1500" w:hanging="743"/>
        <w:spacing w:after="0"/>
        <w:tabs>
          <w:tab w:leader="none" w:pos="15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35" w:lineRule="auto"/>
        <w:tabs>
          <w:tab w:leader="none" w:pos="2995"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The Company hereby grants to the individual (“</w:t>
      </w:r>
      <w:r>
        <w:rPr>
          <w:rFonts w:ascii="Arial" w:cs="Arial" w:eastAsia="Arial" w:hAnsi="Arial"/>
          <w:sz w:val="22"/>
          <w:szCs w:val="22"/>
          <w:u w:val="single" w:color="auto"/>
          <w:color w:val="auto"/>
        </w:rPr>
        <w:t>Participant</w:t>
      </w:r>
      <w:r>
        <w:rPr>
          <w:rFonts w:ascii="Arial" w:cs="Arial" w:eastAsia="Arial" w:hAnsi="Arial"/>
          <w:sz w:val="22"/>
          <w:szCs w:val="22"/>
          <w:color w:val="auto"/>
        </w:rPr>
        <w:t>”) named in the Notice of Stock Option Grant of this Option Agreement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an option (the “</w:t>
      </w:r>
      <w:r>
        <w:rPr>
          <w:rFonts w:ascii="Arial" w:cs="Arial" w:eastAsia="Arial" w:hAnsi="Arial"/>
          <w:sz w:val="22"/>
          <w:szCs w:val="22"/>
          <w:u w:val="single" w:color="auto"/>
          <w:color w:val="auto"/>
        </w:rPr>
        <w:t>Option</w:t>
      </w:r>
      <w:r>
        <w:rPr>
          <w:rFonts w:ascii="Arial" w:cs="Arial" w:eastAsia="Arial" w:hAnsi="Arial"/>
          <w:sz w:val="22"/>
          <w:szCs w:val="22"/>
          <w:color w:val="auto"/>
        </w:rPr>
        <w:t>”) to purchase the number of Shares set forth in the Notice of Grant, at the exercise price per Share set forth in the Notice of Grant (the “</w:t>
      </w:r>
      <w:r>
        <w:rPr>
          <w:rFonts w:ascii="Arial" w:cs="Arial" w:eastAsia="Arial" w:hAnsi="Arial"/>
          <w:sz w:val="22"/>
          <w:szCs w:val="22"/>
          <w:u w:val="single" w:color="auto"/>
          <w:color w:val="auto"/>
        </w:rPr>
        <w:t>Exercise Price</w:t>
      </w:r>
      <w:r>
        <w:rPr>
          <w:rFonts w:ascii="Arial" w:cs="Arial" w:eastAsia="Arial" w:hAnsi="Arial"/>
          <w:sz w:val="22"/>
          <w:szCs w:val="22"/>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7" w:lineRule="exact"/>
        <w:rPr>
          <w:rFonts w:ascii="Arial" w:cs="Arial" w:eastAsia="Arial" w:hAnsi="Arial"/>
          <w:sz w:val="22"/>
          <w:szCs w:val="22"/>
          <w:color w:val="auto"/>
        </w:rPr>
      </w:pPr>
    </w:p>
    <w:p>
      <w:pPr>
        <w:jc w:val="both"/>
        <w:ind w:firstLine="1505"/>
        <w:spacing w:after="0" w:line="277" w:lineRule="auto"/>
        <w:tabs>
          <w:tab w:leader="none" w:pos="299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For U.S. taxpayers, if designated in the Notice of Grant as an Incentive Stock Option (“</w:t>
      </w:r>
      <w:r>
        <w:rPr>
          <w:rFonts w:ascii="Arial" w:cs="Arial" w:eastAsia="Arial" w:hAnsi="Arial"/>
          <w:sz w:val="19"/>
          <w:szCs w:val="19"/>
          <w:u w:val="single" w:color="auto"/>
          <w:color w:val="auto"/>
        </w:rPr>
        <w:t>ISO</w:t>
      </w:r>
      <w:r>
        <w:rPr>
          <w:rFonts w:ascii="Arial" w:cs="Arial" w:eastAsia="Arial" w:hAnsi="Arial"/>
          <w:sz w:val="19"/>
          <w:szCs w:val="19"/>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19"/>
          <w:szCs w:val="19"/>
          <w:u w:val="single" w:color="auto"/>
          <w:color w:val="auto"/>
        </w:rPr>
        <w:t>NSO</w:t>
      </w:r>
      <w:r>
        <w:rPr>
          <w:rFonts w:ascii="Arial" w:cs="Arial" w:eastAsia="Arial" w:hAnsi="Arial"/>
          <w:sz w:val="19"/>
          <w:szCs w:val="19"/>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51" w:lineRule="exact"/>
        <w:rPr>
          <w:rFonts w:ascii="Arial" w:cs="Arial" w:eastAsia="Arial" w:hAnsi="Arial"/>
          <w:sz w:val="19"/>
          <w:szCs w:val="19"/>
          <w:color w:val="auto"/>
        </w:rPr>
      </w:pPr>
    </w:p>
    <w:p>
      <w:pPr>
        <w:ind w:left="3000" w:hanging="1495"/>
        <w:spacing w:after="0"/>
        <w:tabs>
          <w:tab w:leader="none" w:pos="300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For non-U.S. taxpayers, the Option will be designated as an NSO.</w:t>
      </w:r>
    </w:p>
    <w:p>
      <w:pPr>
        <w:spacing w:after="0" w:line="206" w:lineRule="exact"/>
        <w:rPr>
          <w:rFonts w:ascii="Arial" w:cs="Arial" w:eastAsia="Arial" w:hAnsi="Arial"/>
          <w:sz w:val="22"/>
          <w:szCs w:val="22"/>
          <w:color w:val="auto"/>
        </w:rPr>
      </w:pPr>
    </w:p>
    <w:p>
      <w:pPr>
        <w:jc w:val="both"/>
        <w:ind w:firstLine="757"/>
        <w:spacing w:after="0" w:line="248" w:lineRule="auto"/>
        <w:tabs>
          <w:tab w:leader="none" w:pos="1498"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76" w:lineRule="exact"/>
        <w:rPr>
          <w:rFonts w:ascii="Arial" w:cs="Arial" w:eastAsia="Arial" w:hAnsi="Arial"/>
          <w:sz w:val="21"/>
          <w:szCs w:val="21"/>
          <w:color w:val="auto"/>
        </w:rPr>
      </w:pPr>
    </w:p>
    <w:p>
      <w:pPr>
        <w:jc w:val="both"/>
        <w:ind w:firstLine="757"/>
        <w:spacing w:after="0"/>
        <w:tabs>
          <w:tab w:leader="none" w:pos="149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3" w:name="page224"/>
    <w:bookmarkEnd w:id="223"/>
    <w:p>
      <w:pPr>
        <w:ind w:left="1500" w:hanging="743"/>
        <w:spacing w:after="0"/>
        <w:tabs>
          <w:tab w:leader="none" w:pos="15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328" w:lineRule="auto"/>
        <w:tabs>
          <w:tab w:leader="none" w:pos="2995"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This Option shall be exercisable during its term in accordance with the Vesting Schedule set out in the Notice of Grant and with the applicable provisions of the Plan and this Option Agreement.</w:t>
      </w:r>
    </w:p>
    <w:p>
      <w:pPr>
        <w:spacing w:after="0" w:line="104" w:lineRule="exact"/>
        <w:rPr>
          <w:rFonts w:ascii="Arial" w:cs="Arial" w:eastAsia="Arial" w:hAnsi="Arial"/>
          <w:sz w:val="19"/>
          <w:szCs w:val="19"/>
          <w:color w:val="auto"/>
        </w:rPr>
      </w:pPr>
    </w:p>
    <w:p>
      <w:pPr>
        <w:jc w:val="both"/>
        <w:ind w:firstLine="1505"/>
        <w:spacing w:after="0" w:line="275" w:lineRule="auto"/>
        <w:tabs>
          <w:tab w:leader="none" w:pos="2995"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This Option shall be exercisable by delivery of an exercise notice (the “</w:t>
      </w:r>
      <w:r>
        <w:rPr>
          <w:rFonts w:ascii="Arial" w:cs="Arial" w:eastAsia="Arial" w:hAnsi="Arial"/>
          <w:sz w:val="19"/>
          <w:szCs w:val="19"/>
          <w:u w:val="single" w:color="auto"/>
          <w:color w:val="auto"/>
        </w:rPr>
        <w:t>Exercise Notice</w:t>
      </w:r>
      <w:r>
        <w:rPr>
          <w:rFonts w:ascii="Arial" w:cs="Arial" w:eastAsia="Arial" w:hAnsi="Arial"/>
          <w:sz w:val="19"/>
          <w:szCs w:val="19"/>
          <w:color w:val="auto"/>
        </w:rPr>
        <w:t xml:space="preserve">”) in the form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9"/>
          <w:szCs w:val="19"/>
          <w:u w:val="single" w:color="auto"/>
          <w:color w:val="auto"/>
        </w:rPr>
        <w:t>Exercised Shares</w:t>
      </w:r>
      <w:r>
        <w:rPr>
          <w:rFonts w:ascii="Arial" w:cs="Arial" w:eastAsia="Arial" w:hAnsi="Arial"/>
          <w:sz w:val="19"/>
          <w:szCs w:val="19"/>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57" w:lineRule="exact"/>
        <w:rPr>
          <w:sz w:val="20"/>
          <w:szCs w:val="20"/>
          <w:color w:val="auto"/>
        </w:rPr>
      </w:pPr>
    </w:p>
    <w:p>
      <w:pPr>
        <w:jc w:val="both"/>
        <w:ind w:firstLine="1497"/>
        <w:spacing w:after="0" w:line="231" w:lineRule="auto"/>
        <w:rPr>
          <w:sz w:val="20"/>
          <w:szCs w:val="20"/>
          <w:color w:val="auto"/>
        </w:rPr>
      </w:pPr>
      <w:r>
        <w:rPr>
          <w:rFonts w:ascii="Arial" w:cs="Arial" w:eastAsia="Arial" w:hAnsi="Arial"/>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4" w:lineRule="exact"/>
        <w:rPr>
          <w:sz w:val="20"/>
          <w:szCs w:val="20"/>
          <w:color w:val="auto"/>
        </w:rPr>
      </w:pPr>
    </w:p>
    <w:p>
      <w:pPr>
        <w:ind w:firstLine="757"/>
        <w:spacing w:after="0" w:line="250" w:lineRule="auto"/>
        <w:tabs>
          <w:tab w:leader="none" w:pos="14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Participant:</w:t>
      </w:r>
    </w:p>
    <w:p>
      <w:pPr>
        <w:spacing w:after="0" w:line="174" w:lineRule="exact"/>
        <w:rPr>
          <w:rFonts w:ascii="Arial" w:cs="Arial" w:eastAsia="Arial" w:hAnsi="Arial"/>
          <w:sz w:val="22"/>
          <w:szCs w:val="22"/>
          <w:color w:val="auto"/>
        </w:rPr>
      </w:pPr>
    </w:p>
    <w:p>
      <w:pPr>
        <w:ind w:left="3000" w:hanging="1495"/>
        <w:spacing w:after="0"/>
        <w:tabs>
          <w:tab w:leader="none" w:pos="30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3000" w:hanging="1495"/>
        <w:spacing w:after="0"/>
        <w:tabs>
          <w:tab w:leader="none" w:pos="30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firstLine="1505"/>
        <w:spacing w:after="0" w:line="250" w:lineRule="auto"/>
        <w:tabs>
          <w:tab w:leader="none" w:pos="299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299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5" w:lineRule="exact"/>
        <w:rPr>
          <w:sz w:val="20"/>
          <w:szCs w:val="20"/>
          <w:color w:val="auto"/>
        </w:rPr>
      </w:pPr>
    </w:p>
    <w:p>
      <w:pPr>
        <w:ind w:firstLine="749"/>
        <w:spacing w:after="0" w:line="239" w:lineRule="auto"/>
        <w:rPr>
          <w:sz w:val="20"/>
          <w:szCs w:val="20"/>
          <w:color w:val="auto"/>
        </w:rPr>
      </w:pPr>
      <w:r>
        <w:rPr>
          <w:rFonts w:ascii="Arial" w:cs="Arial" w:eastAsia="Arial" w:hAnsi="Arial"/>
          <w:sz w:val="22"/>
          <w:szCs w:val="22"/>
          <w:color w:val="auto"/>
        </w:rPr>
        <w:t>A non-U.S. resident’s methods of exercise may be restricted by the terms and conditions of any appendix to this Agreement for Participant’s country (including the Country Addendum, as defined below).</w:t>
      </w:r>
    </w:p>
    <w:p>
      <w:pPr>
        <w:spacing w:after="0" w:line="171" w:lineRule="exact"/>
        <w:rPr>
          <w:sz w:val="20"/>
          <w:szCs w:val="20"/>
          <w:color w:val="auto"/>
        </w:rPr>
      </w:pPr>
    </w:p>
    <w:p>
      <w:pPr>
        <w:ind w:firstLine="757"/>
        <w:spacing w:after="0" w:line="250" w:lineRule="auto"/>
        <w:tabs>
          <w:tab w:leader="none" w:pos="149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This Option may not be transferred in any manner otherwise than by will or by the laws of descent or distribution and may be exercised during the lifetime of Participant only by Participant.</w:t>
      </w:r>
    </w:p>
    <w:p>
      <w:pPr>
        <w:ind w:left="280"/>
        <w:spacing w:after="0"/>
        <w:rPr>
          <w:rFonts w:ascii="Arial" w:cs="Arial" w:eastAsia="Arial" w:hAnsi="Arial"/>
          <w:sz w:val="21"/>
          <w:szCs w:val="21"/>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4" w:name="page225"/>
    <w:bookmarkEnd w:id="224"/>
    <w:p>
      <w:pPr>
        <w:ind w:left="-280" w:firstLine="757"/>
        <w:spacing w:after="0" w:line="250" w:lineRule="auto"/>
        <w:tabs>
          <w:tab w:leader="none" w:pos="121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This Option may be exercised only within the term set out in the Notice of Grant, and may be exercised during such term only in accordance with the Plan and the terms of this Option Agreement.</w:t>
      </w:r>
    </w:p>
    <w:p>
      <w:pPr>
        <w:spacing w:after="0" w:line="174" w:lineRule="exact"/>
        <w:rPr>
          <w:rFonts w:ascii="Arial" w:cs="Arial" w:eastAsia="Arial" w:hAnsi="Arial"/>
          <w:sz w:val="22"/>
          <w:szCs w:val="22"/>
          <w:color w:val="auto"/>
        </w:rPr>
      </w:pPr>
    </w:p>
    <w:p>
      <w:pPr>
        <w:ind w:left="1220" w:hanging="743"/>
        <w:spacing w:after="0"/>
        <w:tabs>
          <w:tab w:leader="none" w:pos="122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80" w:firstLine="1505"/>
        <w:spacing w:after="0" w:line="270" w:lineRule="auto"/>
        <w:tabs>
          <w:tab w:leader="none" w:pos="2715"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or any Parent or Subsidiary to which Participant is providing services (together, the “</w:t>
      </w:r>
      <w:r>
        <w:rPr>
          <w:rFonts w:ascii="Arial" w:cs="Arial" w:eastAsia="Arial" w:hAnsi="Arial"/>
          <w:sz w:val="19"/>
          <w:szCs w:val="19"/>
          <w:u w:val="single" w:color="auto"/>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80" w:firstLine="1505"/>
        <w:spacing w:after="0" w:line="268" w:lineRule="auto"/>
        <w:tabs>
          <w:tab w:leader="none" w:pos="2715"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60325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64" w:right="339" w:bottom="1440" w:gutter="0" w:footer="0" w:header="0"/>
        </w:sectPr>
      </w:pPr>
    </w:p>
    <w:bookmarkStart w:id="225" w:name="page226"/>
    <w:bookmarkEnd w:id="225"/>
    <w:p>
      <w:pPr>
        <w:jc w:val="both"/>
        <w:spacing w:after="0" w:line="235" w:lineRule="auto"/>
        <w:rPr>
          <w:sz w:val="20"/>
          <w:szCs w:val="20"/>
          <w:color w:val="auto"/>
        </w:rPr>
      </w:pPr>
      <w:r>
        <w:rPr>
          <w:rFonts w:ascii="Arial" w:cs="Arial" w:eastAsia="Arial" w:hAnsi="Arial"/>
          <w:sz w:val="22"/>
          <w:szCs w:val="22"/>
          <w:color w:val="auto"/>
        </w:rPr>
        <w:t>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8" w:lineRule="exact"/>
        <w:rPr>
          <w:sz w:val="20"/>
          <w:szCs w:val="20"/>
          <w:color w:val="auto"/>
        </w:rPr>
      </w:pPr>
    </w:p>
    <w:p>
      <w:pPr>
        <w:jc w:val="both"/>
        <w:ind w:firstLine="1505"/>
        <w:spacing w:after="0" w:line="276" w:lineRule="auto"/>
        <w:tabs>
          <w:tab w:leader="none" w:pos="2995" w:val="left"/>
        </w:tabs>
        <w:numPr>
          <w:ilvl w:val="2"/>
          <w:numId w:val="119"/>
        </w:numPr>
        <w:rPr>
          <w:rFonts w:ascii="Arial" w:cs="Arial" w:eastAsia="Arial" w:hAnsi="Arial"/>
          <w:sz w:val="19"/>
          <w:szCs w:val="19"/>
          <w:color w:val="auto"/>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the Option granted to Participant herein is an ISO, and if Participant sells or otherwise disposes of any of the Shares acquired pursuant to the ISO on or before the later of</w:t>
      </w:r>
    </w:p>
    <w:p>
      <w:pPr>
        <w:spacing w:after="0" w:line="1" w:lineRule="exact"/>
        <w:rPr>
          <w:rFonts w:ascii="Arial" w:cs="Arial" w:eastAsia="Arial" w:hAnsi="Arial"/>
          <w:sz w:val="19"/>
          <w:szCs w:val="19"/>
          <w:color w:val="auto"/>
        </w:rPr>
      </w:pPr>
    </w:p>
    <w:p>
      <w:pPr>
        <w:jc w:val="both"/>
        <w:ind w:firstLine="8"/>
        <w:spacing w:after="0" w:line="234" w:lineRule="auto"/>
        <w:tabs>
          <w:tab w:leader="none" w:pos="29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87" w:lineRule="exact"/>
        <w:rPr>
          <w:rFonts w:ascii="Arial" w:cs="Arial" w:eastAsia="Arial" w:hAnsi="Arial"/>
          <w:sz w:val="22"/>
          <w:szCs w:val="22"/>
          <w:color w:val="auto"/>
        </w:rPr>
      </w:pPr>
    </w:p>
    <w:p>
      <w:pPr>
        <w:jc w:val="both"/>
        <w:ind w:firstLine="1505"/>
        <w:spacing w:after="0" w:line="243" w:lineRule="auto"/>
        <w:tabs>
          <w:tab w:leader="none" w:pos="2995" w:val="left"/>
        </w:tabs>
        <w:numPr>
          <w:ilvl w:val="2"/>
          <w:numId w:val="12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21"/>
          <w:szCs w:val="21"/>
          <w:u w:val="single" w:color="auto"/>
          <w:color w:val="auto"/>
        </w:rPr>
        <w:t>IRS</w:t>
      </w:r>
      <w:r>
        <w:rPr>
          <w:rFonts w:ascii="Arial" w:cs="Arial" w:eastAsia="Arial" w:hAnsi="Arial"/>
          <w:sz w:val="21"/>
          <w:szCs w:val="21"/>
          <w:color w:val="auto"/>
        </w:rPr>
        <w:t>”) to be less than the fair market value of an underlying share on the date of grant (a “</w:t>
      </w:r>
      <w:r>
        <w:rPr>
          <w:rFonts w:ascii="Arial" w:cs="Arial" w:eastAsia="Arial" w:hAnsi="Arial"/>
          <w:sz w:val="21"/>
          <w:szCs w:val="21"/>
          <w:u w:val="single" w:color="auto"/>
          <w:color w:val="auto"/>
        </w:rPr>
        <w:t>discount option</w:t>
      </w:r>
      <w:r>
        <w:rPr>
          <w:rFonts w:ascii="Arial" w:cs="Arial" w:eastAsia="Arial" w:hAnsi="Arial"/>
          <w:sz w:val="21"/>
          <w:szCs w:val="21"/>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93" w:lineRule="exact"/>
        <w:rPr>
          <w:rFonts w:ascii="Arial" w:cs="Arial" w:eastAsia="Arial" w:hAnsi="Arial"/>
          <w:sz w:val="21"/>
          <w:szCs w:val="21"/>
          <w:color w:val="auto"/>
        </w:rPr>
      </w:pPr>
    </w:p>
    <w:p>
      <w:pPr>
        <w:jc w:val="both"/>
        <w:ind w:firstLine="757"/>
        <w:spacing w:after="0" w:line="279" w:lineRule="auto"/>
        <w:tabs>
          <w:tab w:leader="none" w:pos="1498"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50" w:lineRule="exact"/>
        <w:rPr>
          <w:rFonts w:ascii="Arial" w:cs="Arial" w:eastAsia="Arial" w:hAnsi="Arial"/>
          <w:sz w:val="19"/>
          <w:szCs w:val="19"/>
          <w:color w:val="auto"/>
        </w:rPr>
      </w:pPr>
    </w:p>
    <w:p>
      <w:pPr>
        <w:jc w:val="both"/>
        <w:ind w:firstLine="757"/>
        <w:spacing w:after="0" w:line="236" w:lineRule="auto"/>
        <w:tabs>
          <w:tab w:leader="none" w:pos="1498"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Entire Agreement; Governing Law</w:t>
      </w:r>
      <w:r>
        <w:rPr>
          <w:rFonts w:ascii="Arial" w:cs="Arial" w:eastAsia="Arial" w:hAnsi="Arial"/>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w:t>
      </w:r>
    </w:p>
    <w:p>
      <w:pPr>
        <w:ind w:left="280"/>
        <w:spacing w:after="0"/>
        <w:rPr>
          <w:rFonts w:ascii="Arial" w:cs="Arial" w:eastAsia="Arial" w:hAnsi="Arial"/>
          <w:sz w:val="22"/>
          <w:szCs w:val="22"/>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6" w:name="page227"/>
    <w:bookmarkEnd w:id="226"/>
    <w:p>
      <w:pPr>
        <w:jc w:val="both"/>
        <w:spacing w:after="0"/>
        <w:rPr>
          <w:sz w:val="20"/>
          <w:szCs w:val="20"/>
          <w:color w:val="auto"/>
        </w:rPr>
      </w:pPr>
      <w:r>
        <w:rPr>
          <w:rFonts w:ascii="Arial" w:cs="Arial" w:eastAsia="Arial" w:hAnsi="Arial"/>
          <w:sz w:val="22"/>
          <w:szCs w:val="22"/>
          <w:color w:val="auto"/>
        </w:rPr>
        <w:t>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86" w:lineRule="exact"/>
        <w:rPr>
          <w:sz w:val="20"/>
          <w:szCs w:val="20"/>
          <w:color w:val="auto"/>
        </w:rPr>
      </w:pPr>
    </w:p>
    <w:p>
      <w:pPr>
        <w:jc w:val="both"/>
        <w:ind w:firstLine="757"/>
        <w:spacing w:after="0" w:line="244" w:lineRule="auto"/>
        <w:tabs>
          <w:tab w:leader="none" w:pos="149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183" w:lineRule="exact"/>
        <w:rPr>
          <w:rFonts w:ascii="Arial" w:cs="Arial" w:eastAsia="Arial" w:hAnsi="Arial"/>
          <w:sz w:val="21"/>
          <w:szCs w:val="21"/>
          <w:color w:val="auto"/>
        </w:rPr>
      </w:pPr>
    </w:p>
    <w:p>
      <w:pPr>
        <w:ind w:left="1500" w:hanging="743"/>
        <w:spacing w:after="0"/>
        <w:tabs>
          <w:tab w:leader="none" w:pos="15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Option, Participant acknowledges, understands and agrees that:</w:t>
      </w:r>
    </w:p>
    <w:p>
      <w:pPr>
        <w:spacing w:after="0" w:line="206" w:lineRule="exact"/>
        <w:rPr>
          <w:rFonts w:ascii="Arial" w:cs="Arial" w:eastAsia="Arial" w:hAnsi="Arial"/>
          <w:sz w:val="22"/>
          <w:szCs w:val="22"/>
          <w:color w:val="auto"/>
        </w:rPr>
      </w:pPr>
    </w:p>
    <w:p>
      <w:pPr>
        <w:ind w:firstLine="1505"/>
        <w:spacing w:after="0" w:line="328" w:lineRule="auto"/>
        <w:tabs>
          <w:tab w:leader="none" w:pos="2995"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grant of the Option is voluntary and occasional and does not create any contractual or other right to receive future grants of options, or benefits in lieu of options, even if options have been granted in the past;</w:t>
      </w:r>
    </w:p>
    <w:p>
      <w:pPr>
        <w:spacing w:after="0" w:line="104" w:lineRule="exact"/>
        <w:rPr>
          <w:rFonts w:ascii="Arial" w:cs="Arial" w:eastAsia="Arial" w:hAnsi="Arial"/>
          <w:sz w:val="19"/>
          <w:szCs w:val="19"/>
          <w:color w:val="auto"/>
        </w:rPr>
      </w:pPr>
    </w:p>
    <w:p>
      <w:pPr>
        <w:ind w:left="3000" w:hanging="1495"/>
        <w:spacing w:after="0"/>
        <w:tabs>
          <w:tab w:leader="none" w:pos="30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all decisions with respect to future option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Administrator;</w:t>
      </w:r>
    </w:p>
    <w:p>
      <w:pPr>
        <w:spacing w:after="0" w:line="188" w:lineRule="exact"/>
        <w:rPr>
          <w:rFonts w:ascii="Arial" w:cs="Arial" w:eastAsia="Arial" w:hAnsi="Arial"/>
          <w:sz w:val="19"/>
          <w:szCs w:val="19"/>
          <w:color w:val="auto"/>
        </w:rPr>
      </w:pPr>
    </w:p>
    <w:p>
      <w:pPr>
        <w:ind w:left="3000" w:hanging="1495"/>
        <w:spacing w:after="0"/>
        <w:tabs>
          <w:tab w:leader="none" w:pos="30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06" w:lineRule="exact"/>
        <w:rPr>
          <w:rFonts w:ascii="Arial" w:cs="Arial" w:eastAsia="Arial" w:hAnsi="Arial"/>
          <w:sz w:val="22"/>
          <w:szCs w:val="22"/>
          <w:color w:val="auto"/>
        </w:rPr>
      </w:pPr>
    </w:p>
    <w:p>
      <w:pPr>
        <w:ind w:left="3000" w:hanging="1495"/>
        <w:spacing w:after="0"/>
        <w:tabs>
          <w:tab w:leader="none" w:pos="30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are not intended to replace any pension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rights or compensation;</w:t>
      </w:r>
    </w:p>
    <w:p>
      <w:pPr>
        <w:spacing w:after="0" w:line="188" w:lineRule="exact"/>
        <w:rPr>
          <w:rFonts w:ascii="Arial" w:cs="Arial" w:eastAsia="Arial" w:hAnsi="Arial"/>
          <w:sz w:val="19"/>
          <w:szCs w:val="19"/>
          <w:color w:val="auto"/>
        </w:rPr>
      </w:pPr>
    </w:p>
    <w:p>
      <w:pPr>
        <w:jc w:val="both"/>
        <w:ind w:firstLine="1505"/>
        <w:spacing w:after="0" w:line="297" w:lineRule="auto"/>
        <w:tabs>
          <w:tab w:leader="none" w:pos="2995"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500"/>
              <w:spacing w:after="0"/>
              <w:rPr>
                <w:sz w:val="20"/>
                <w:szCs w:val="20"/>
                <w:color w:val="auto"/>
              </w:rPr>
            </w:pPr>
            <w:r>
              <w:rPr>
                <w:rFonts w:ascii="Arial" w:cs="Arial" w:eastAsia="Arial" w:hAnsi="Arial"/>
                <w:sz w:val="22"/>
                <w:szCs w:val="22"/>
                <w:color w:val="auto"/>
              </w:rPr>
              <w:t>(f)</w:t>
            </w:r>
          </w:p>
        </w:tc>
        <w:tc>
          <w:tcPr>
            <w:tcW w:w="8540" w:type="dxa"/>
            <w:vAlign w:val="bottom"/>
          </w:tcPr>
          <w:p>
            <w:pPr>
              <w:ind w:left="300"/>
              <w:spacing w:after="0"/>
              <w:rPr>
                <w:sz w:val="20"/>
                <w:szCs w:val="20"/>
                <w:color w:val="auto"/>
              </w:rPr>
            </w:pPr>
            <w:r>
              <w:rPr>
                <w:rFonts w:ascii="Arial" w:cs="Arial" w:eastAsia="Arial" w:hAnsi="Arial"/>
                <w:sz w:val="22"/>
                <w:szCs w:val="22"/>
                <w:color w:val="auto"/>
                <w:w w:val="91"/>
              </w:rPr>
              <w:t>the future value of the Shares underlying the Option is unknown, indeterminable, and cannot</w:t>
            </w:r>
          </w:p>
        </w:tc>
      </w:tr>
      <w:tr>
        <w:trPr>
          <w:trHeight w:val="274"/>
        </w:trPr>
        <w:tc>
          <w:tcPr>
            <w:tcW w:w="2700" w:type="dxa"/>
            <w:vAlign w:val="bottom"/>
          </w:tcPr>
          <w:p>
            <w:pPr>
              <w:spacing w:after="0"/>
              <w:rPr>
                <w:sz w:val="20"/>
                <w:szCs w:val="20"/>
                <w:color w:val="auto"/>
              </w:rPr>
            </w:pPr>
            <w:r>
              <w:rPr>
                <w:rFonts w:ascii="Arial" w:cs="Arial" w:eastAsia="Arial" w:hAnsi="Arial"/>
                <w:sz w:val="22"/>
                <w:szCs w:val="22"/>
                <w:color w:val="auto"/>
              </w:rPr>
              <w:t>be predicted with certainty;</w:t>
            </w:r>
          </w:p>
        </w:tc>
        <w:tc>
          <w:tcPr>
            <w:tcW w:w="8540" w:type="dxa"/>
            <w:vAlign w:val="bottom"/>
          </w:tcPr>
          <w:p>
            <w:pPr>
              <w:spacing w:after="0"/>
              <w:rPr>
                <w:sz w:val="23"/>
                <w:szCs w:val="23"/>
                <w:color w:val="auto"/>
              </w:rPr>
            </w:pPr>
          </w:p>
        </w:tc>
      </w:tr>
      <w:tr>
        <w:trPr>
          <w:trHeight w:val="428"/>
        </w:trPr>
        <w:tc>
          <w:tcPr>
            <w:tcW w:w="2700" w:type="dxa"/>
            <w:vAlign w:val="bottom"/>
          </w:tcPr>
          <w:p>
            <w:pPr>
              <w:ind w:left="1500"/>
              <w:spacing w:after="0"/>
              <w:rPr>
                <w:sz w:val="20"/>
                <w:szCs w:val="20"/>
                <w:color w:val="auto"/>
              </w:rPr>
            </w:pPr>
            <w:r>
              <w:rPr>
                <w:rFonts w:ascii="Arial" w:cs="Arial" w:eastAsia="Arial" w:hAnsi="Arial"/>
                <w:sz w:val="22"/>
                <w:szCs w:val="22"/>
                <w:color w:val="auto"/>
              </w:rPr>
              <w:t>(g)</w:t>
            </w:r>
          </w:p>
        </w:tc>
        <w:tc>
          <w:tcPr>
            <w:tcW w:w="8540" w:type="dxa"/>
            <w:vAlign w:val="bottom"/>
          </w:tcPr>
          <w:p>
            <w:pPr>
              <w:ind w:left="300"/>
              <w:spacing w:after="0"/>
              <w:rPr>
                <w:sz w:val="20"/>
                <w:szCs w:val="20"/>
                <w:color w:val="auto"/>
              </w:rPr>
            </w:pPr>
            <w:r>
              <w:rPr>
                <w:rFonts w:ascii="Arial" w:cs="Arial" w:eastAsia="Arial" w:hAnsi="Arial"/>
                <w:sz w:val="22"/>
                <w:szCs w:val="22"/>
                <w:color w:val="auto"/>
              </w:rPr>
              <w:t>if the underlying Shares do not increase in value, the Option will have no value;</w:t>
            </w:r>
          </w:p>
        </w:tc>
      </w:tr>
      <w:tr>
        <w:trPr>
          <w:trHeight w:val="274"/>
        </w:trPr>
        <w:tc>
          <w:tcPr>
            <w:tcW w:w="2700" w:type="dxa"/>
            <w:vAlign w:val="bottom"/>
          </w:tcPr>
          <w:p>
            <w:pPr>
              <w:jc w:val="right"/>
              <w:ind w:right="2072"/>
              <w:spacing w:after="0"/>
              <w:rPr>
                <w:sz w:val="20"/>
                <w:szCs w:val="20"/>
                <w:color w:val="auto"/>
              </w:rPr>
            </w:pPr>
            <w:r>
              <w:rPr>
                <w:rFonts w:ascii="Arial" w:cs="Arial" w:eastAsia="Arial" w:hAnsi="Arial"/>
                <w:sz w:val="22"/>
                <w:szCs w:val="22"/>
                <w:color w:val="auto"/>
              </w:rPr>
              <w:t>-5-</w:t>
            </w:r>
          </w:p>
        </w:tc>
        <w:tc>
          <w:tcPr>
            <w:tcW w:w="8540" w:type="dxa"/>
            <w:vAlign w:val="bottom"/>
          </w:tcPr>
          <w:p>
            <w:pPr>
              <w:spacing w:after="0"/>
              <w:rPr>
                <w:sz w:val="23"/>
                <w:szCs w:val="23"/>
                <w:color w:val="auto"/>
              </w:rPr>
            </w:pPr>
          </w:p>
        </w:tc>
      </w:tr>
      <w:tr>
        <w:trPr>
          <w:trHeight w:val="118"/>
        </w:trPr>
        <w:tc>
          <w:tcPr>
            <w:tcW w:w="270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7" w:name="page228"/>
    <w:bookmarkEnd w:id="227"/>
    <w:p>
      <w:pPr>
        <w:ind w:right="20" w:firstLine="1505"/>
        <w:spacing w:after="0" w:line="250" w:lineRule="auto"/>
        <w:tabs>
          <w:tab w:leader="none" w:pos="299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75"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(i) 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6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(j) 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ectPr>
          <w:pgSz w:w="11900" w:h="16838" w:orient="portrait"/>
          <w:cols w:equalWidth="0" w:num="1">
            <w:col w:w="11240"/>
          </w:cols>
          <w:pgMar w:left="320" w:top="564" w:right="339" w:bottom="1440" w:gutter="0" w:footer="0" w:header="0"/>
        </w:sectPr>
      </w:pP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provisions apply only if Participant is providing services outside the United</w:t>
      </w:r>
    </w:p>
    <w:p>
      <w:pPr>
        <w:spacing w:after="0" w:line="32" w:lineRule="exact"/>
        <w:rPr>
          <w:sz w:val="20"/>
          <w:szCs w:val="20"/>
          <w:color w:val="auto"/>
        </w:rPr>
      </w:pPr>
    </w:p>
    <w:p>
      <w:pPr>
        <w:sectPr>
          <w:pgSz w:w="11900" w:h="16838" w:orient="portrait"/>
          <w:cols w:equalWidth="0" w:num="2">
            <w:col w:w="2280" w:space="720"/>
            <w:col w:w="8240"/>
          </w:cols>
          <w:pgMar w:left="320" w:top="564" w:right="339" w:bottom="1440" w:gutter="0" w:footer="0" w:header="0"/>
          <w:type w:val="continuous"/>
        </w:sectPr>
      </w:pPr>
    </w:p>
    <w:p>
      <w:pPr>
        <w:spacing w:after="0"/>
        <w:rPr>
          <w:sz w:val="20"/>
          <w:szCs w:val="20"/>
          <w:color w:val="auto"/>
        </w:rPr>
      </w:pPr>
      <w:r>
        <w:rPr>
          <w:rFonts w:ascii="Arial" w:cs="Arial" w:eastAsia="Arial" w:hAnsi="Arial"/>
          <w:sz w:val="18"/>
          <w:szCs w:val="18"/>
          <w:color w:val="auto"/>
        </w:rPr>
        <w:t>States:</w:t>
      </w:r>
    </w:p>
    <w:p>
      <w:pPr>
        <w:sectPr>
          <w:pgSz w:w="11900" w:h="16838" w:orient="portrait"/>
          <w:cols w:equalWidth="0" w:num="1">
            <w:col w:w="11240"/>
          </w:cols>
          <w:pgMar w:left="320" w:top="564" w:right="339" w:bottom="1440" w:gutter="0" w:footer="0" w:header="0"/>
          <w:type w:val="continuous"/>
        </w:sectPr>
      </w:pPr>
    </w:p>
    <w:p>
      <w:pPr>
        <w:spacing w:after="0" w:line="2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expected compensation or salary for any purpose;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the Option and the Shares subject to the Option are not part of normal or</w:t>
      </w:r>
    </w:p>
    <w:p>
      <w:pPr>
        <w:spacing w:after="0" w:line="460" w:lineRule="exact"/>
        <w:rPr>
          <w:sz w:val="20"/>
          <w:szCs w:val="20"/>
          <w:color w:val="auto"/>
        </w:rPr>
      </w:pPr>
    </w:p>
    <w:p>
      <w:pPr>
        <w:sectPr>
          <w:pgSz w:w="11900" w:h="16838" w:orient="portrait"/>
          <w:cols w:equalWidth="0" w:num="2">
            <w:col w:w="4300" w:space="200"/>
            <w:col w:w="6740"/>
          </w:cols>
          <w:pgMar w:left="320" w:top="564" w:right="339" w:bottom="1440" w:gutter="0" w:footer="0" w:header="0"/>
          <w:type w:val="continuous"/>
        </w:sectPr>
      </w:pPr>
    </w:p>
    <w:p>
      <w:pPr>
        <w:spacing w:after="0" w:line="2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Participant acknowledges and agrees that no Service Recipient shall be liable</w:t>
      </w:r>
    </w:p>
    <w:p>
      <w:pPr>
        <w:sectPr>
          <w:pgSz w:w="11900" w:h="16838" w:orient="portrait"/>
          <w:cols w:equalWidth="0" w:num="1">
            <w:col w:w="11240"/>
          </w:cols>
          <w:pgMar w:left="320" w:top="56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6" w:lineRule="exact"/>
        <w:rPr>
          <w:sz w:val="20"/>
          <w:szCs w:val="20"/>
          <w:color w:val="auto"/>
        </w:rPr>
      </w:pPr>
    </w:p>
    <w:p>
      <w:pPr>
        <w:jc w:val="both"/>
        <w:ind w:firstLine="2246"/>
        <w:spacing w:after="0" w:line="245" w:lineRule="auto"/>
        <w:rPr>
          <w:sz w:val="20"/>
          <w:szCs w:val="20"/>
          <w:color w:val="auto"/>
        </w:rPr>
      </w:pPr>
      <w:r>
        <w:rPr>
          <w:rFonts w:ascii="Arial" w:cs="Arial" w:eastAsia="Arial" w:hAnsi="Arial"/>
          <w:sz w:val="21"/>
          <w:szCs w:val="21"/>
          <w:color w:val="auto"/>
        </w:rPr>
        <w:t>(iii) 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w:t>
      </w:r>
    </w:p>
    <w:p>
      <w:pPr>
        <w:ind w:left="2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type w:val="continuous"/>
        </w:sectPr>
      </w:pPr>
    </w:p>
    <w:bookmarkStart w:id="228" w:name="page229"/>
    <w:bookmarkEnd w:id="228"/>
    <w:p>
      <w:pPr>
        <w:jc w:val="both"/>
        <w:spacing w:after="0" w:line="252" w:lineRule="auto"/>
        <w:rPr>
          <w:sz w:val="20"/>
          <w:szCs w:val="20"/>
          <w:color w:val="auto"/>
        </w:rPr>
      </w:pPr>
      <w:r>
        <w:rPr>
          <w:rFonts w:ascii="Arial" w:cs="Arial" w:eastAsia="Arial" w:hAnsi="Arial"/>
          <w:sz w:val="21"/>
          <w:szCs w:val="21"/>
          <w:color w:val="auto"/>
        </w:rPr>
        <w:t>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4" w:lineRule="exact"/>
        <w:rPr>
          <w:sz w:val="20"/>
          <w:szCs w:val="20"/>
          <w:color w:val="auto"/>
        </w:rPr>
      </w:pPr>
    </w:p>
    <w:p>
      <w:pPr>
        <w:jc w:val="both"/>
        <w:ind w:firstLine="757"/>
        <w:spacing w:after="0" w:line="252" w:lineRule="auto"/>
        <w:tabs>
          <w:tab w:leader="none" w:pos="1498"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67" w:lineRule="exact"/>
        <w:rPr>
          <w:rFonts w:ascii="Arial" w:cs="Arial" w:eastAsia="Arial" w:hAnsi="Arial"/>
          <w:sz w:val="21"/>
          <w:szCs w:val="21"/>
          <w:color w:val="auto"/>
        </w:rPr>
      </w:pPr>
    </w:p>
    <w:p>
      <w:pPr>
        <w:jc w:val="both"/>
        <w:ind w:firstLine="757"/>
        <w:spacing w:after="0" w:line="239" w:lineRule="auto"/>
        <w:tabs>
          <w:tab w:leader="none" w:pos="1498" w:val="left"/>
        </w:tabs>
        <w:numPr>
          <w:ilvl w:val="0"/>
          <w:numId w:val="123"/>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Participant hereby explicitly and unambiguously consents to the collection, use and transfer,</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86" w:lineRule="exact"/>
        <w:rPr>
          <w:sz w:val="20"/>
          <w:szCs w:val="20"/>
          <w:color w:val="auto"/>
        </w:rPr>
      </w:pPr>
    </w:p>
    <w:p>
      <w:pPr>
        <w:jc w:val="both"/>
        <w:ind w:firstLine="749"/>
        <w:spacing w:after="0" w:line="224" w:lineRule="auto"/>
        <w:rPr>
          <w:sz w:val="20"/>
          <w:szCs w:val="20"/>
          <w:color w:val="auto"/>
        </w:rPr>
      </w:pPr>
      <w:r>
        <w:rPr>
          <w:rFonts w:ascii="Arial" w:cs="Arial" w:eastAsia="Arial" w:hAnsi="Arial"/>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Arial" w:cs="Arial" w:eastAsia="Arial" w:hAnsi="Arial"/>
          <w:sz w:val="22"/>
          <w:szCs w:val="22"/>
          <w:b w:val="1"/>
          <w:bCs w:val="1"/>
          <w:i w:val="1"/>
          <w:iCs w:val="1"/>
          <w:u w:val="single" w:color="auto"/>
          <w:color w:val="auto"/>
        </w:rPr>
        <w:t>Data</w:t>
      </w:r>
      <w:r>
        <w:rPr>
          <w:rFonts w:ascii="Arial" w:cs="Arial" w:eastAsia="Arial" w:hAnsi="Arial"/>
          <w:sz w:val="22"/>
          <w:szCs w:val="22"/>
          <w:b w:val="1"/>
          <w:bCs w:val="1"/>
          <w:i w:val="1"/>
          <w:iCs w:val="1"/>
          <w:color w:val="auto"/>
        </w:rPr>
        <w:t>”), for the exclusive purpose of implementing, administering and managing the Plan.</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9" w:name="page230"/>
    <w:bookmarkEnd w:id="229"/>
    <w:p>
      <w:pPr>
        <w:jc w:val="both"/>
        <w:spacing w:after="0" w:line="228" w:lineRule="auto"/>
        <w:rPr>
          <w:sz w:val="20"/>
          <w:szCs w:val="20"/>
          <w:color w:val="auto"/>
        </w:rPr>
      </w:pPr>
      <w:r>
        <w:rPr>
          <w:rFonts w:ascii="Arial" w:cs="Arial" w:eastAsia="Arial" w:hAnsi="Arial"/>
          <w:sz w:val="22"/>
          <w:szCs w:val="22"/>
          <w:b w:val="1"/>
          <w:bCs w:val="1"/>
          <w:i w:val="1"/>
          <w:iCs w:val="1"/>
          <w:color w:val="auto"/>
        </w:rPr>
        <w:t>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3" w:lineRule="exact"/>
        <w:rPr>
          <w:sz w:val="20"/>
          <w:szCs w:val="20"/>
          <w:color w:val="auto"/>
        </w:rPr>
      </w:pPr>
    </w:p>
    <w:p>
      <w:pPr>
        <w:jc w:val="both"/>
        <w:ind w:firstLine="757"/>
        <w:spacing w:after="0"/>
        <w:tabs>
          <w:tab w:leader="none" w:pos="149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Option Agreement will be addressed to the Company at Tenaya Therapeutics, Inc., 171 Oyster Point Boulevard South San Francisco, CA 94080, or at such other address as the Company may hereafter designate in writing.</w:t>
      </w:r>
    </w:p>
    <w:p>
      <w:pPr>
        <w:spacing w:after="0" w:line="186"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87" w:lineRule="exact"/>
        <w:rPr>
          <w:rFonts w:ascii="Arial" w:cs="Arial" w:eastAsia="Arial" w:hAnsi="Arial"/>
          <w:sz w:val="22"/>
          <w:szCs w:val="22"/>
          <w:color w:val="auto"/>
        </w:rPr>
      </w:pPr>
    </w:p>
    <w:p>
      <w:pPr>
        <w:jc w:val="both"/>
        <w:ind w:firstLine="757"/>
        <w:spacing w:after="0" w:line="272" w:lineRule="auto"/>
        <w:tabs>
          <w:tab w:leader="none" w:pos="149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757"/>
        <w:spacing w:after="0"/>
        <w:tabs>
          <w:tab w:leader="none" w:pos="149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2"/>
          <w:szCs w:val="22"/>
          <w:color w:val="auto"/>
        </w:rPr>
      </w:pPr>
    </w:p>
    <w:p>
      <w:pPr>
        <w:jc w:val="both"/>
        <w:ind w:firstLine="757"/>
        <w:spacing w:after="0" w:line="244" w:lineRule="auto"/>
        <w:tabs>
          <w:tab w:leader="none" w:pos="149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w:t>
      </w:r>
    </w:p>
    <w:p>
      <w:pPr>
        <w:spacing w:after="0" w:line="2" w:lineRule="exact"/>
        <w:rPr>
          <w:rFonts w:ascii="Arial" w:cs="Arial" w:eastAsia="Arial" w:hAnsi="Arial"/>
          <w:sz w:val="21"/>
          <w:szCs w:val="21"/>
          <w:color w:val="auto"/>
        </w:rPr>
      </w:pPr>
    </w:p>
    <w:p>
      <w:pPr>
        <w:ind w:left="280"/>
        <w:spacing w:after="0"/>
        <w:rPr>
          <w:rFonts w:ascii="Arial" w:cs="Arial" w:eastAsia="Arial" w:hAnsi="Arial"/>
          <w:sz w:val="21"/>
          <w:szCs w:val="21"/>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for any action, determination or interpretation made in good faith with respect to the Plan or this Option Agreement.</w:t>
      </w:r>
    </w:p>
    <w:p>
      <w:pPr>
        <w:spacing w:after="0" w:line="206" w:lineRule="exact"/>
        <w:rPr>
          <w:sz w:val="20"/>
          <w:szCs w:val="20"/>
          <w:color w:val="auto"/>
        </w:rPr>
      </w:pPr>
    </w:p>
    <w:p>
      <w:pPr>
        <w:jc w:val="both"/>
        <w:ind w:firstLine="757"/>
        <w:spacing w:after="0" w:line="236"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7" w:lineRule="exact"/>
        <w:rPr>
          <w:rFonts w:ascii="Arial" w:cs="Arial" w:eastAsia="Arial" w:hAnsi="Arial"/>
          <w:sz w:val="22"/>
          <w:szCs w:val="22"/>
          <w:color w:val="auto"/>
        </w:rPr>
      </w:pPr>
    </w:p>
    <w:p>
      <w:pPr>
        <w:ind w:right="20" w:firstLine="757"/>
        <w:spacing w:after="0" w:line="250"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Option Agreement.</w:t>
      </w:r>
    </w:p>
    <w:p>
      <w:pPr>
        <w:spacing w:after="0" w:line="174" w:lineRule="exact"/>
        <w:rPr>
          <w:rFonts w:ascii="Arial" w:cs="Arial" w:eastAsia="Arial" w:hAnsi="Arial"/>
          <w:sz w:val="22"/>
          <w:szCs w:val="22"/>
          <w:color w:val="auto"/>
        </w:rPr>
      </w:pPr>
    </w:p>
    <w:p>
      <w:pPr>
        <w:jc w:val="both"/>
        <w:ind w:firstLine="757"/>
        <w:spacing w:after="0"/>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Option Agreement Severable</w:t>
      </w:r>
      <w:r>
        <w:rPr>
          <w:rFonts w:ascii="Arial" w:cs="Arial" w:eastAsia="Arial" w:hAnsi="Arial"/>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86"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4" w:lineRule="exact"/>
        <w:rPr>
          <w:rFonts w:ascii="Arial" w:cs="Arial" w:eastAsia="Arial" w:hAnsi="Arial"/>
          <w:sz w:val="22"/>
          <w:szCs w:val="22"/>
          <w:color w:val="auto"/>
        </w:rPr>
      </w:pPr>
    </w:p>
    <w:p>
      <w:pPr>
        <w:jc w:val="both"/>
        <w:ind w:firstLine="757"/>
        <w:spacing w:after="0" w:line="234"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Country Addendum</w:t>
      </w:r>
      <w:r>
        <w:rPr>
          <w:rFonts w:ascii="Arial" w:cs="Arial" w:eastAsia="Arial" w:hAnsi="Arial"/>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Arial" w:cs="Arial" w:eastAsia="Arial" w:hAnsi="Arial"/>
          <w:sz w:val="22"/>
          <w:szCs w:val="22"/>
          <w:u w:val="single" w:color="auto"/>
          <w:color w:val="auto"/>
        </w:rPr>
        <w:t>Country Addendum</w:t>
      </w:r>
      <w:r>
        <w:rPr>
          <w:rFonts w:ascii="Arial" w:cs="Arial" w:eastAsia="Arial" w:hAnsi="Arial"/>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90"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Modifications to the Option Agreement</w:t>
      </w:r>
      <w:r>
        <w:rPr>
          <w:rFonts w:ascii="Arial" w:cs="Arial" w:eastAsia="Arial" w:hAnsi="Arial"/>
          <w:sz w:val="21"/>
          <w:szCs w:val="21"/>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79" w:lineRule="exact"/>
        <w:rPr>
          <w:rFonts w:ascii="Arial" w:cs="Arial" w:eastAsia="Arial" w:hAnsi="Arial"/>
          <w:sz w:val="21"/>
          <w:szCs w:val="21"/>
          <w:color w:val="auto"/>
        </w:rPr>
      </w:pPr>
    </w:p>
    <w:p>
      <w:pPr>
        <w:ind w:firstLine="757"/>
        <w:spacing w:after="0" w:line="239"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Either party’s failure to enforce any provision or provisions of this Option Agreement shall not in any way be construed as a waiver of any such provision or</w:t>
      </w:r>
    </w:p>
    <w:p>
      <w:pPr>
        <w:ind w:left="280"/>
        <w:spacing w:after="0"/>
        <w:rPr>
          <w:rFonts w:ascii="Arial" w:cs="Arial" w:eastAsia="Arial" w:hAnsi="Arial"/>
          <w:sz w:val="22"/>
          <w:szCs w:val="22"/>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1" w:name="page232"/>
    <w:bookmarkEnd w:id="231"/>
    <w:p>
      <w:pPr>
        <w:jc w:val="both"/>
        <w:spacing w:after="0"/>
        <w:rPr>
          <w:sz w:val="20"/>
          <w:szCs w:val="20"/>
          <w:color w:val="auto"/>
        </w:rPr>
      </w:pPr>
      <w:r>
        <w:rPr>
          <w:rFonts w:ascii="Arial" w:cs="Arial" w:eastAsia="Arial" w:hAnsi="Arial"/>
          <w:sz w:val="22"/>
          <w:szCs w:val="22"/>
          <w:color w:val="auto"/>
        </w:rPr>
        <w:t>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6" w:lineRule="exact"/>
        <w:rPr>
          <w:sz w:val="20"/>
          <w:szCs w:val="20"/>
          <w:color w:val="auto"/>
        </w:rPr>
      </w:pPr>
    </w:p>
    <w:p>
      <w:pPr>
        <w:jc w:val="both"/>
        <w:ind w:firstLine="757"/>
        <w:spacing w:after="0" w:line="282" w:lineRule="auto"/>
        <w:tabs>
          <w:tab w:leader="none" w:pos="14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37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EXERCISE NOTICE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Tenaya Therapeutics, Inc.</w:t>
      </w:r>
    </w:p>
    <w:p>
      <w:pPr>
        <w:spacing w:after="0" w:line="217" w:lineRule="auto"/>
        <w:rPr>
          <w:sz w:val="20"/>
          <w:szCs w:val="20"/>
          <w:color w:val="auto"/>
        </w:rPr>
      </w:pPr>
      <w:r>
        <w:rPr>
          <w:rFonts w:ascii="Arial" w:cs="Arial" w:eastAsia="Arial" w:hAnsi="Arial"/>
          <w:sz w:val="22"/>
          <w:szCs w:val="22"/>
          <w:color w:val="auto"/>
        </w:rPr>
        <w:t>171 Oyster Point Boulevard</w:t>
      </w:r>
    </w:p>
    <w:p>
      <w:pPr>
        <w:spacing w:after="0" w:line="218" w:lineRule="auto"/>
        <w:rPr>
          <w:sz w:val="20"/>
          <w:szCs w:val="20"/>
          <w:color w:val="auto"/>
        </w:rPr>
      </w:pPr>
      <w:r>
        <w:rPr>
          <w:rFonts w:ascii="Arial" w:cs="Arial" w:eastAsia="Arial" w:hAnsi="Arial"/>
          <w:sz w:val="22"/>
          <w:szCs w:val="22"/>
          <w:color w:val="auto"/>
        </w:rPr>
        <w:t>South San Francisco, CA 94080</w:t>
      </w:r>
    </w:p>
    <w:p>
      <w:pPr>
        <w:spacing w:after="0"/>
        <w:rPr>
          <w:sz w:val="20"/>
          <w:szCs w:val="20"/>
          <w:color w:val="auto"/>
        </w:rPr>
      </w:pPr>
      <w:r>
        <w:rPr>
          <w:rFonts w:ascii="Arial" w:cs="Arial" w:eastAsia="Arial" w:hAnsi="Arial"/>
          <w:sz w:val="22"/>
          <w:szCs w:val="22"/>
          <w:color w:val="auto"/>
        </w:rPr>
        <w:t>Attention: Stock Administration</w:t>
      </w:r>
    </w:p>
    <w:p>
      <w:pPr>
        <w:spacing w:after="0" w:line="175" w:lineRule="exact"/>
        <w:rPr>
          <w:sz w:val="20"/>
          <w:szCs w:val="20"/>
          <w:color w:val="auto"/>
        </w:rPr>
      </w:pPr>
    </w:p>
    <w:p>
      <w:pPr>
        <w:jc w:val="both"/>
        <w:ind w:firstLine="757"/>
        <w:spacing w:after="0" w:line="277" w:lineRule="auto"/>
        <w:tabs>
          <w:tab w:leader="none" w:pos="149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Effective as of today, ________________, ____, the undersigned (“</w:t>
      </w:r>
      <w:r>
        <w:rPr>
          <w:rFonts w:ascii="Arial" w:cs="Arial" w:eastAsia="Arial" w:hAnsi="Arial"/>
          <w:sz w:val="19"/>
          <w:szCs w:val="19"/>
          <w:u w:val="single" w:color="auto"/>
          <w:color w:val="auto"/>
        </w:rPr>
        <w:t>Participant</w:t>
      </w:r>
      <w:r>
        <w:rPr>
          <w:rFonts w:ascii="Arial" w:cs="Arial" w:eastAsia="Arial" w:hAnsi="Arial"/>
          <w:sz w:val="19"/>
          <w:szCs w:val="19"/>
          <w:color w:val="auto"/>
        </w:rPr>
        <w:t>”) hereby elects to exercise Participant’s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________________ shares of the Common Stock (the “Shares”) of Tenaya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under and pursuant to the 2021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and the Stock Option Agreement dated ______________, _____, including the Notice of Stock Option Grant, and the Terms and Conditions of Stock Option Grant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thereto and other exhibits, appendices and addenda attached thereto (the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51" w:lineRule="exact"/>
        <w:rPr>
          <w:rFonts w:ascii="Arial" w:cs="Arial" w:eastAsia="Arial" w:hAnsi="Arial"/>
          <w:sz w:val="19"/>
          <w:szCs w:val="19"/>
          <w:color w:val="auto"/>
        </w:rPr>
      </w:pPr>
    </w:p>
    <w:p>
      <w:pPr>
        <w:ind w:firstLine="757"/>
        <w:spacing w:after="0" w:line="274"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Participant herewith delivers to the Company the full purchase price of the Shares, as set forth in the Option Agreement, and any Tax Obligations to be paid in connection with the exercise of the Option.</w:t>
      </w:r>
    </w:p>
    <w:p>
      <w:pPr>
        <w:spacing w:after="0" w:line="150" w:lineRule="exact"/>
        <w:rPr>
          <w:rFonts w:ascii="Arial" w:cs="Arial" w:eastAsia="Arial" w:hAnsi="Arial"/>
          <w:sz w:val="21"/>
          <w:szCs w:val="21"/>
          <w:color w:val="auto"/>
        </w:rPr>
      </w:pPr>
    </w:p>
    <w:p>
      <w:pPr>
        <w:ind w:firstLine="757"/>
        <w:spacing w:after="0" w:line="274"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Representations of Participant</w:t>
      </w:r>
      <w:r>
        <w:rPr>
          <w:rFonts w:ascii="Arial" w:cs="Arial" w:eastAsia="Arial" w:hAnsi="Arial"/>
          <w:sz w:val="21"/>
          <w:szCs w:val="21"/>
          <w:color w:val="auto"/>
        </w:rPr>
        <w:t>. Participant acknowledges that Participant has received, read and understood the Plan and the Option Agreement and agrees to abide by and be bound by their terms and conditions.</w:t>
      </w:r>
    </w:p>
    <w:p>
      <w:pPr>
        <w:spacing w:after="0" w:line="150" w:lineRule="exact"/>
        <w:rPr>
          <w:rFonts w:ascii="Arial" w:cs="Arial" w:eastAsia="Arial" w:hAnsi="Arial"/>
          <w:sz w:val="21"/>
          <w:szCs w:val="21"/>
          <w:color w:val="auto"/>
        </w:rPr>
      </w:pPr>
    </w:p>
    <w:p>
      <w:pPr>
        <w:jc w:val="both"/>
        <w:ind w:firstLine="757"/>
        <w:spacing w:after="0" w:line="248"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76" w:lineRule="exact"/>
        <w:rPr>
          <w:rFonts w:ascii="Arial" w:cs="Arial" w:eastAsia="Arial" w:hAnsi="Arial"/>
          <w:sz w:val="21"/>
          <w:szCs w:val="21"/>
          <w:color w:val="auto"/>
        </w:rPr>
      </w:pPr>
    </w:p>
    <w:p>
      <w:pPr>
        <w:jc w:val="both"/>
        <w:ind w:firstLine="757"/>
        <w:spacing w:after="0" w:line="236" w:lineRule="auto"/>
        <w:tabs>
          <w:tab w:leader="none" w:pos="149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w:t>
      </w:r>
    </w:p>
    <w:p>
      <w:pPr>
        <w:ind w:left="280"/>
        <w:spacing w:after="0"/>
        <w:rPr>
          <w:rFonts w:ascii="Arial" w:cs="Arial" w:eastAsia="Arial" w:hAnsi="Arial"/>
          <w:sz w:val="22"/>
          <w:szCs w:val="22"/>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3" w:name="page234"/>
    <w:bookmarkEnd w:id="233"/>
    <w:p>
      <w:pPr>
        <w:spacing w:after="0"/>
        <w:rPr>
          <w:sz w:val="20"/>
          <w:szCs w:val="20"/>
          <w:color w:val="auto"/>
        </w:rPr>
      </w:pPr>
      <w:r>
        <w:rPr>
          <w:rFonts w:ascii="Arial" w:cs="Arial" w:eastAsia="Arial" w:hAnsi="Arial"/>
          <w:sz w:val="19"/>
          <w:szCs w:val="19"/>
          <w:color w:val="auto"/>
        </w:rPr>
        <w:t>connection with the purchase or disposition of the Shares and that Participant is not relying on the Company for any tax advice.</w:t>
      </w:r>
    </w:p>
    <w:p>
      <w:pPr>
        <w:spacing w:after="0" w:line="241" w:lineRule="exact"/>
        <w:rPr>
          <w:sz w:val="20"/>
          <w:szCs w:val="20"/>
          <w:color w:val="auto"/>
        </w:rPr>
      </w:pPr>
    </w:p>
    <w:p>
      <w:pPr>
        <w:jc w:val="both"/>
        <w:ind w:firstLine="757"/>
        <w:spacing w:after="0" w:line="297" w:lineRule="auto"/>
        <w:tabs>
          <w:tab w:leader="none" w:pos="1498"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33" w:lineRule="exact"/>
        <w:rPr>
          <w:rFonts w:ascii="Arial" w:cs="Arial" w:eastAsia="Arial" w:hAnsi="Arial"/>
          <w:sz w:val="19"/>
          <w:szCs w:val="19"/>
          <w:color w:val="auto"/>
        </w:rPr>
      </w:pPr>
    </w:p>
    <w:p>
      <w:pPr>
        <w:jc w:val="both"/>
        <w:ind w:firstLine="757"/>
        <w:spacing w:after="0"/>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86" w:lineRule="exact"/>
        <w:rPr>
          <w:rFonts w:ascii="Arial" w:cs="Arial" w:eastAsia="Arial" w:hAnsi="Arial"/>
          <w:sz w:val="22"/>
          <w:szCs w:val="22"/>
          <w:color w:val="auto"/>
        </w:rPr>
      </w:pPr>
    </w:p>
    <w:p>
      <w:pPr>
        <w:jc w:val="both"/>
        <w:ind w:firstLine="757"/>
        <w:spacing w:after="0" w:line="235" w:lineRule="auto"/>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ectPr>
          <w:pgSz w:w="11900" w:h="16838" w:orient="portrait"/>
          <w:cols w:equalWidth="0" w:num="1">
            <w:col w:w="11240"/>
          </w:cols>
          <w:pgMar w:left="320" w:top="564" w:right="339" w:bottom="1440" w:gutter="0" w:footer="0" w:header="0"/>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color w:val="auto"/>
        </w:rPr>
        <w:t>Submitted by:</w:t>
      </w:r>
    </w:p>
    <w:p>
      <w:pPr>
        <w:ind w:left="20"/>
        <w:spacing w:after="0"/>
        <w:rPr>
          <w:sz w:val="20"/>
          <w:szCs w:val="20"/>
          <w:color w:val="auto"/>
        </w:rPr>
      </w:pPr>
      <w:r>
        <w:rPr>
          <w:rFonts w:ascii="Arial" w:cs="Arial" w:eastAsia="Arial" w:hAnsi="Arial"/>
          <w:sz w:val="19"/>
          <w:szCs w:val="19"/>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829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829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2829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32829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rPr>
          <w:sz w:val="20"/>
          <w:szCs w:val="20"/>
          <w:color w:val="auto"/>
        </w:rPr>
      </w:pPr>
      <w:r>
        <w:rPr>
          <w:rFonts w:ascii="Arial" w:cs="Arial" w:eastAsia="Arial" w:hAnsi="Arial"/>
          <w:sz w:val="19"/>
          <w:szCs w:val="19"/>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412115</wp:posOffset>
            </wp:positionV>
            <wp:extent cx="32746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66"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-107315</wp:posOffset>
            </wp:positionV>
            <wp:extent cx="327469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183515</wp:posOffset>
            </wp:positionV>
            <wp:extent cx="32746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91" w:lineRule="exact"/>
        <w:rPr>
          <w:sz w:val="20"/>
          <w:szCs w:val="20"/>
          <w:color w:val="auto"/>
        </w:rPr>
      </w:pPr>
    </w:p>
    <w:p>
      <w:pPr>
        <w:jc w:val="center"/>
        <w:ind w:right="438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320675</wp:posOffset>
            </wp:positionV>
            <wp:extent cx="32746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551815</wp:posOffset>
            </wp:positionV>
            <wp:extent cx="327469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774700</wp:posOffset>
            </wp:positionV>
            <wp:extent cx="32746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439420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720"/>
            <w:col w:w="5140"/>
          </w:cols>
          <w:pgMar w:left="320" w:top="564" w:right="339" w:bottom="1440" w:gutter="0" w:footer="0" w:header="0"/>
          <w:type w:val="continuous"/>
        </w:sectPr>
      </w:pPr>
    </w:p>
    <w:bookmarkStart w:id="234" w:name="page235"/>
    <w:bookmarkEnd w:id="234"/>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COUNTRY ADDENDUM TO STOCK OPTION AGREEMENT</w:t>
      </w:r>
    </w:p>
    <w:p>
      <w:pPr>
        <w:spacing w:after="0" w:line="19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otherwise defined herein, capitalized terms used in this Country Addendum to Stock Option Agreement (the “</w:t>
      </w:r>
      <w:r>
        <w:rPr>
          <w:rFonts w:ascii="Arial" w:cs="Arial" w:eastAsia="Arial" w:hAnsi="Arial"/>
          <w:sz w:val="21"/>
          <w:szCs w:val="21"/>
          <w:u w:val="single" w:color="auto"/>
          <w:color w:val="auto"/>
        </w:rPr>
        <w:t>Country Addendum</w:t>
      </w:r>
      <w:r>
        <w:rPr>
          <w:rFonts w:ascii="Arial" w:cs="Arial" w:eastAsia="Arial" w:hAnsi="Arial"/>
          <w:sz w:val="21"/>
          <w:szCs w:val="21"/>
          <w:color w:val="auto"/>
        </w:rPr>
        <w:t>”) will be ascribed the same defined meanings as set forth in the Option Agreement of which this Country Addendum forms a part (or the Plan or other written agreement as specified in the Option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1"/>
          <w:szCs w:val="21"/>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2021. Such Applicable Laws often are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34"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22"/>
          <w:szCs w:val="22"/>
          <w:b w:val="1"/>
          <w:bCs w:val="1"/>
          <w:color w:val="auto"/>
        </w:rPr>
        <w:t>TENAYA THERAPEUTICS, INC.</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RESTRICTED STOCK UNIT AGREEMENT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199" w:lineRule="exact"/>
        <w:rPr>
          <w:sz w:val="20"/>
          <w:szCs w:val="20"/>
          <w:color w:val="auto"/>
        </w:rPr>
      </w:pPr>
    </w:p>
    <w:p>
      <w:pPr>
        <w:ind w:right="20" w:firstLine="749"/>
        <w:spacing w:after="0" w:line="239" w:lineRule="auto"/>
        <w:rPr>
          <w:sz w:val="20"/>
          <w:szCs w:val="20"/>
          <w:color w:val="auto"/>
        </w:rPr>
      </w:pPr>
      <w:r>
        <w:rPr>
          <w:rFonts w:ascii="Arial" w:cs="Arial" w:eastAsia="Arial" w:hAnsi="Arial"/>
          <w:sz w:val="21"/>
          <w:szCs w:val="21"/>
          <w:color w:val="auto"/>
        </w:rPr>
        <w:t xml:space="preserve">Unless otherwise defined herein, the terms defined in the Tenaya Therapeutics, Inc. 2021 Equity Incentive Plan (the “Plan”) will have the same defined meanings in this Restricted Stock Unit Agreement which includes the Notice of Restricted Stock Unit Grant (the “Notice of Grant”), the Terms and Conditions of Restricted Stock Unit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and all other exhibits, appendices, and addenda attached hereto (the “Award Agreement”).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Participant Name:</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Address:</w:t>
      </w:r>
    </w:p>
    <w:p>
      <w:pPr>
        <w:spacing w:after="0" w:line="199" w:lineRule="exact"/>
        <w:rPr>
          <w:sz w:val="20"/>
          <w:szCs w:val="20"/>
          <w:color w:val="auto"/>
        </w:rPr>
      </w:pPr>
    </w:p>
    <w:p>
      <w:pPr>
        <w:ind w:right="460" w:firstLine="749"/>
        <w:spacing w:after="0" w:line="239" w:lineRule="auto"/>
        <w:rPr>
          <w:sz w:val="20"/>
          <w:szCs w:val="20"/>
          <w:color w:val="auto"/>
        </w:rPr>
      </w:pPr>
      <w:r>
        <w:rPr>
          <w:rFonts w:ascii="Arial" w:cs="Arial" w:eastAsia="Arial" w:hAnsi="Arial"/>
          <w:sz w:val="22"/>
          <w:szCs w:val="22"/>
          <w:color w:val="auto"/>
        </w:rPr>
        <w:t>The undersigned Participant has been granted the right to receive an Award of Restricted Stock Units, subject to the terms and conditions of the Plan and this Award Agreement, as follows: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42437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4243705"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42437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4243705"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42437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4243705" cy="825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color w:val="auto"/>
        </w:rPr>
        <w:t>Total Number of</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-12065</wp:posOffset>
            </wp:positionV>
            <wp:extent cx="42602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ind w:right="700" w:firstLine="749"/>
        <w:spacing w:after="0" w:line="239" w:lineRule="auto"/>
        <w:rPr>
          <w:sz w:val="20"/>
          <w:szCs w:val="20"/>
          <w:color w:val="auto"/>
        </w:rPr>
      </w:pPr>
      <w:r>
        <w:rPr>
          <w:rFonts w:ascii="Arial" w:cs="Arial" w:eastAsia="Arial" w:hAnsi="Arial"/>
          <w:sz w:val="22"/>
          <w:szCs w:val="22"/>
          <w:color w:val="auto"/>
        </w:rPr>
        <w:t>Subject to any acceleration provisions contained in the Plan or set forth below, the Restricted Stock Units will be scheduled to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749"/>
        <w:spacing w:after="0" w:line="228" w:lineRule="auto"/>
        <w:rPr>
          <w:sz w:val="20"/>
          <w:szCs w:val="20"/>
          <w:color w:val="auto"/>
        </w:rPr>
      </w:pPr>
      <w:r>
        <w:rPr>
          <w:rFonts w:ascii="Arial" w:cs="Arial" w:eastAsia="Arial" w:hAnsi="Arial"/>
          <w:sz w:val="22"/>
          <w:szCs w:val="22"/>
          <w:color w:val="auto"/>
        </w:rPr>
        <w:t>In the event of cessation of Participant’s status as a Service Provider for any or no reason before Participant vests in the Restricted Stock Units, the Restricted Stock Units and Participant’s right to acquire any Shares hereunder will terminate immediately, unless specifically provided otherwise in this Award Agreement or other written agreement between Participant and the Company or any of its Subsidiaries or Parents, as applicable.</w:t>
      </w:r>
    </w:p>
    <w:p>
      <w:pPr>
        <w:spacing w:after="0" w:line="173" w:lineRule="exact"/>
        <w:rPr>
          <w:sz w:val="20"/>
          <w:szCs w:val="20"/>
          <w:color w:val="auto"/>
        </w:rPr>
      </w:pPr>
    </w:p>
    <w:p>
      <w:pPr>
        <w:ind w:right="180" w:firstLine="749"/>
        <w:spacing w:after="0" w:line="257" w:lineRule="auto"/>
        <w:rPr>
          <w:sz w:val="20"/>
          <w:szCs w:val="20"/>
          <w:color w:val="auto"/>
        </w:rPr>
      </w:pPr>
      <w:r>
        <w:rPr>
          <w:rFonts w:ascii="Arial" w:cs="Arial" w:eastAsia="Arial" w:hAnsi="Arial"/>
          <w:sz w:val="19"/>
          <w:szCs w:val="19"/>
          <w:color w:val="auto"/>
        </w:rPr>
        <w:t xml:space="preserve">By Participant’s signature and the signature of the representative of Tenaya Therapeutics,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all of which</w:t>
      </w:r>
    </w:p>
    <w:p>
      <w:pPr>
        <w:jc w:val="center"/>
        <w:ind w:right="-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236" w:name="page237"/>
    <w:bookmarkEnd w:id="236"/>
    <w:p>
      <w:pPr>
        <w:ind w:right="120"/>
        <w:spacing w:after="0" w:line="267" w:lineRule="auto"/>
        <w:rPr>
          <w:sz w:val="20"/>
          <w:szCs w:val="20"/>
          <w:color w:val="auto"/>
        </w:rPr>
      </w:pPr>
      <w:r>
        <w:rPr>
          <w:rFonts w:ascii="Arial" w:cs="Arial" w:eastAsia="Arial" w:hAnsi="Arial"/>
          <w:sz w:val="19"/>
          <w:szCs w:val="19"/>
          <w:color w:val="auto"/>
        </w:rPr>
        <w:t>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the residence address indicated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22"/>
                <w:szCs w:val="22"/>
                <w:color w:val="auto"/>
              </w:rPr>
              <w:t>PARTICIPANT</w:t>
            </w: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TENAYA THERAPEUTICS, INC.</w:t>
            </w:r>
          </w:p>
        </w:tc>
        <w:tc>
          <w:tcPr>
            <w:tcW w:w="2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Signature</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Print Name</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 Name</w:t>
            </w:r>
          </w:p>
        </w:tc>
        <w:tc>
          <w:tcPr>
            <w:tcW w:w="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Address:</w:t>
            </w: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20" w:type="dxa"/>
            <w:vAlign w:val="bottom"/>
            <w:gridSpan w:val="3"/>
          </w:tcPr>
          <w:p>
            <w:pPr>
              <w:jc w:val="right"/>
              <w:ind w:right="5326"/>
              <w:spacing w:after="0"/>
              <w:rPr>
                <w:sz w:val="20"/>
                <w:szCs w:val="20"/>
                <w:color w:val="auto"/>
              </w:rPr>
            </w:pPr>
            <w:r>
              <w:rPr>
                <w:rFonts w:ascii="Arial" w:cs="Arial" w:eastAsia="Arial" w:hAnsi="Arial"/>
                <w:sz w:val="22"/>
                <w:szCs w:val="22"/>
                <w:color w:val="auto"/>
              </w:rPr>
              <w:t>- 5 -</w:t>
            </w:r>
          </w:p>
        </w:tc>
        <w:tc>
          <w:tcPr>
            <w:tcW w:w="20" w:type="dxa"/>
            <w:vAlign w:val="bottom"/>
          </w:tcPr>
          <w:p>
            <w:pPr>
              <w:spacing w:after="0"/>
              <w:rPr>
                <w:sz w:val="24"/>
                <w:szCs w:val="24"/>
                <w:color w:val="auto"/>
              </w:rPr>
            </w:pPr>
          </w:p>
        </w:tc>
      </w:tr>
      <w:tr>
        <w:trPr>
          <w:trHeight w:val="92"/>
        </w:trPr>
        <w:tc>
          <w:tcPr>
            <w:tcW w:w="2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AND CONDITIONS OF RESTRICTED STOCK UNIT GRANT</w:t>
      </w:r>
    </w:p>
    <w:p>
      <w:pPr>
        <w:spacing w:after="0" w:line="199" w:lineRule="exact"/>
        <w:rPr>
          <w:sz w:val="20"/>
          <w:szCs w:val="20"/>
          <w:color w:val="auto"/>
        </w:rPr>
      </w:pPr>
    </w:p>
    <w:p>
      <w:pPr>
        <w:jc w:val="both"/>
        <w:ind w:firstLine="757"/>
        <w:spacing w:after="0" w:line="236" w:lineRule="auto"/>
        <w:tabs>
          <w:tab w:leader="none" w:pos="149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to the individual (“Participant”) named in the Notice of Restricted Stock Unit Grant of this Award Agreement (the “Notice of Grant”) under the Plan an Award of Restricted Stock Units, and subject to the terms and conditions of this Award Agreement and the Plan, which is incorporated herein by reference. Subject to Section 19(c) of the Plan, in the event of a conflict between the terms and conditions of the Plan and this Award Agreement, the terms and conditions of the Plan will prevail.</w:t>
      </w:r>
    </w:p>
    <w:p>
      <w:pPr>
        <w:spacing w:after="0" w:line="187"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Company’s Obligation to Pay</w:t>
      </w:r>
      <w:r>
        <w:rPr>
          <w:rFonts w:ascii="Arial" w:cs="Arial" w:eastAsia="Arial" w:hAnsi="Arial"/>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7" w:lineRule="exact"/>
        <w:rPr>
          <w:rFonts w:ascii="Arial" w:cs="Arial" w:eastAsia="Arial" w:hAnsi="Arial"/>
          <w:sz w:val="22"/>
          <w:szCs w:val="22"/>
          <w:color w:val="auto"/>
        </w:rPr>
      </w:pPr>
    </w:p>
    <w:p>
      <w:pPr>
        <w:jc w:val="both"/>
        <w:ind w:firstLine="757"/>
        <w:spacing w:after="0"/>
        <w:tabs>
          <w:tab w:leader="none" w:pos="149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4, and subject to Section 5, the Restricted Stock Units awarded by this Award Agreement will vest in accordance with the vesting provisions set forth in the Notice of Grant, subject to Participant continuing to be a Service Provider through each applicable vesting date.</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Payment after 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82" w:lineRule="auto"/>
        <w:tabs>
          <w:tab w:leader="none" w:pos="2995"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47" w:lineRule="exact"/>
        <w:rPr>
          <w:rFonts w:ascii="Arial" w:cs="Arial" w:eastAsia="Arial" w:hAnsi="Arial"/>
          <w:sz w:val="19"/>
          <w:szCs w:val="19"/>
          <w:color w:val="auto"/>
        </w:rPr>
      </w:pPr>
    </w:p>
    <w:p>
      <w:pPr>
        <w:ind w:left="3000" w:hanging="1495"/>
        <w:spacing w:after="0"/>
        <w:tabs>
          <w:tab w:leader="none" w:pos="3000"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Acceleration</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79"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will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50"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 Notwithstanding anything in the Plan or this Award Agreement or any other agreement (whether entered into before, on or after the Date of Grant), if the vesting of the balance, or some lesser portion of the balance, of the Restricted Stock Units is accelerated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8" w:name="page239"/>
    <w:bookmarkEnd w:id="238"/>
    <w:p>
      <w:pPr>
        <w:jc w:val="both"/>
        <w:spacing w:after="0" w:line="245" w:lineRule="auto"/>
        <w:rPr>
          <w:sz w:val="20"/>
          <w:szCs w:val="20"/>
          <w:color w:val="auto"/>
        </w:rPr>
      </w:pPr>
      <w:r>
        <w:rPr>
          <w:rFonts w:ascii="Arial" w:cs="Arial" w:eastAsia="Arial" w:hAnsi="Arial"/>
          <w:sz w:val="21"/>
          <w:szCs w:val="21"/>
          <w:color w:val="auto"/>
        </w:rPr>
        <w:t>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4" w:lineRule="exact"/>
        <w:rPr>
          <w:sz w:val="20"/>
          <w:szCs w:val="20"/>
          <w:color w:val="auto"/>
        </w:rPr>
      </w:pPr>
    </w:p>
    <w:p>
      <w:pPr>
        <w:jc w:val="both"/>
        <w:ind w:firstLine="1505"/>
        <w:spacing w:after="0" w:line="246" w:lineRule="auto"/>
        <w:tabs>
          <w:tab w:leader="none" w:pos="2995"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79" w:lineRule="exact"/>
        <w:rPr>
          <w:rFonts w:ascii="Arial" w:cs="Arial" w:eastAsia="Arial" w:hAnsi="Arial"/>
          <w:sz w:val="21"/>
          <w:szCs w:val="21"/>
          <w:color w:val="auto"/>
        </w:rPr>
      </w:pPr>
    </w:p>
    <w:p>
      <w:pPr>
        <w:jc w:val="both"/>
        <w:ind w:firstLine="757"/>
        <w:spacing w:after="0" w:line="287" w:lineRule="auto"/>
        <w:tabs>
          <w:tab w:leader="none" w:pos="1498"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42" w:lineRule="exact"/>
        <w:rPr>
          <w:rFonts w:ascii="Arial" w:cs="Arial" w:eastAsia="Arial" w:hAnsi="Arial"/>
          <w:sz w:val="19"/>
          <w:szCs w:val="19"/>
          <w:color w:val="auto"/>
        </w:rPr>
      </w:pPr>
    </w:p>
    <w:p>
      <w:pPr>
        <w:jc w:val="both"/>
        <w:ind w:firstLine="757"/>
        <w:spacing w:after="0" w:line="282" w:lineRule="auto"/>
        <w:tabs>
          <w:tab w:leader="none" w:pos="1498"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will be solely responsible for Participant’s own tax liability that may arise as a result of this investment or the transactions contemplated by this Award Agreement.</w:t>
      </w:r>
    </w:p>
    <w:p>
      <w:pPr>
        <w:spacing w:after="0" w:line="147" w:lineRule="exact"/>
        <w:rPr>
          <w:rFonts w:ascii="Arial" w:cs="Arial" w:eastAsia="Arial" w:hAnsi="Arial"/>
          <w:sz w:val="19"/>
          <w:szCs w:val="19"/>
          <w:color w:val="auto"/>
        </w:rPr>
      </w:pPr>
    </w:p>
    <w:p>
      <w:pPr>
        <w:jc w:val="both"/>
        <w:ind w:firstLine="757"/>
        <w:spacing w:after="0" w:line="233" w:lineRule="auto"/>
        <w:tabs>
          <w:tab w:leader="none" w:pos="149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9" w:name="page240"/>
    <w:bookmarkEnd w:id="239"/>
    <w:p>
      <w:pPr>
        <w:ind w:left="1500" w:hanging="743"/>
        <w:spacing w:after="0"/>
        <w:tabs>
          <w:tab w:leader="none" w:pos="15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06" w:lineRule="exact"/>
        <w:rPr>
          <w:rFonts w:ascii="Arial" w:cs="Arial" w:eastAsia="Arial" w:hAnsi="Arial"/>
          <w:sz w:val="22"/>
          <w:szCs w:val="22"/>
          <w:color w:val="auto"/>
        </w:rPr>
      </w:pPr>
    </w:p>
    <w:p>
      <w:pPr>
        <w:jc w:val="both"/>
        <w:ind w:firstLine="1505"/>
        <w:spacing w:after="0" w:line="269" w:lineRule="auto"/>
        <w:tabs>
          <w:tab w:leader="none" w:pos="2995"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505"/>
        <w:spacing w:after="0" w:line="270" w:lineRule="auto"/>
        <w:tabs>
          <w:tab w:leader="none" w:pos="2995"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Tax Withholding and Default Method of Tax Withholding</w:t>
      </w:r>
      <w:r>
        <w:rPr>
          <w:rFonts w:ascii="Arial" w:cs="Arial" w:eastAsia="Arial" w:hAnsi="Arial"/>
          <w:sz w:val="19"/>
          <w:szCs w:val="19"/>
          <w:color w:val="auto"/>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The minimum amount of Tax Obligations which the Company determines must be withheld with respect to this Award (“Tax Withholding Obligation”) will be satisfied by Shares being sold on Participant’s behalf at the prevailing market price pursuant to such procedures as the Administrator may specify from time to time, including through a broker-assisted arrangement (it being understood that the Shares to be sold must have vested pursuant to the terms of this Award Agreement and the Plan). The proceeds from the sale will be used to satisfy Participant’s Tax Withholding Obligation arising with respect to this Award. In addition to Shares sold to satisfy the Tax Withholding Obligation, additional Shares will be sold to satisfy any associated broker or other fees.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Arial" w:cs="Arial" w:eastAsia="Arial" w:hAnsi="Arial"/>
          <w:sz w:val="19"/>
          <w:szCs w:val="19"/>
          <w:b w:val="1"/>
          <w:bCs w:val="1"/>
          <w:color w:val="auto"/>
        </w:rPr>
        <w:t>By accepting this Award, Participant expressly consents to the sale</w:t>
      </w:r>
      <w:r>
        <w:rPr>
          <w:rFonts w:ascii="Arial" w:cs="Arial" w:eastAsia="Arial" w:hAnsi="Arial"/>
          <w:sz w:val="19"/>
          <w:szCs w:val="19"/>
          <w:color w:val="auto"/>
        </w:rPr>
        <w:t xml:space="preserve"> </w:t>
      </w:r>
      <w:r>
        <w:rPr>
          <w:rFonts w:ascii="Arial" w:cs="Arial" w:eastAsia="Arial" w:hAnsi="Arial"/>
          <w:sz w:val="19"/>
          <w:szCs w:val="19"/>
          <w:b w:val="1"/>
          <w:bCs w:val="1"/>
          <w:color w:val="auto"/>
        </w:rPr>
        <w:t>of Shares to cover the Tax Withholding Obligations (and any associated broker or other fees) and agrees and acknowledges that Participant may not satisfy them by any means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0" w:name="page241"/>
    <w:bookmarkEnd w:id="240"/>
    <w:p>
      <w:pPr>
        <w:ind w:right="20"/>
        <w:spacing w:after="0" w:line="256" w:lineRule="auto"/>
        <w:rPr>
          <w:sz w:val="20"/>
          <w:szCs w:val="20"/>
          <w:color w:val="auto"/>
        </w:rPr>
      </w:pPr>
      <w:r>
        <w:rPr>
          <w:rFonts w:ascii="Arial" w:cs="Arial" w:eastAsia="Arial" w:hAnsi="Arial"/>
          <w:sz w:val="22"/>
          <w:szCs w:val="22"/>
          <w:b w:val="1"/>
          <w:bCs w:val="1"/>
          <w:color w:val="auto"/>
        </w:rPr>
        <w:t>other than such sale of Shares, unless required to do so by the Administrator or pursuant to the Administrator’s express written consent.</w:t>
      </w:r>
    </w:p>
    <w:p>
      <w:pPr>
        <w:spacing w:after="0" w:line="168" w:lineRule="exact"/>
        <w:rPr>
          <w:sz w:val="20"/>
          <w:szCs w:val="20"/>
          <w:color w:val="auto"/>
        </w:rPr>
      </w:pPr>
    </w:p>
    <w:p>
      <w:pPr>
        <w:jc w:val="both"/>
        <w:ind w:firstLine="1505"/>
        <w:spacing w:after="0" w:line="272" w:lineRule="auto"/>
        <w:tabs>
          <w:tab w:leader="none" w:pos="2995"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Administrator Discretion</w:t>
      </w:r>
      <w:r>
        <w:rPr>
          <w:rFonts w:ascii="Arial" w:cs="Arial" w:eastAsia="Arial" w:hAnsi="Arial"/>
          <w:sz w:val="19"/>
          <w:szCs w:val="19"/>
          <w:color w:val="auto"/>
        </w:rPr>
        <w:t>. If the Administrator determines that Participant cannot satisfy Participant’s Tax Withholding Obligation through the default procedure described in Section 8(b) or the Administrator otherwise determines to allow Participant to satisfy Participant’s Tax Withholding Obligation by a method other than through the default procedure set forth in Section 8(b), it may permit or require Participant to satisfy Participant’s Tax Withholding Obligation, in whole or in part (without limitation), if permissible by applicable local law, by (i) paying cash in U.S. dollars; (ii) electing to have the Company withhold otherwise deliverable Shares having a value equal to the minimum amount statutorily required to be withheld (or such greater amount as Participant may elect if permitted by the Administrator, if such greater amount would not result in adverse financial accounting consequences);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60" w:lineRule="exact"/>
        <w:rPr>
          <w:rFonts w:ascii="Arial" w:cs="Arial" w:eastAsia="Arial" w:hAnsi="Arial"/>
          <w:sz w:val="19"/>
          <w:szCs w:val="19"/>
          <w:color w:val="auto"/>
        </w:rPr>
      </w:pPr>
    </w:p>
    <w:p>
      <w:pPr>
        <w:jc w:val="both"/>
        <w:ind w:firstLine="1505"/>
        <w:spacing w:after="0" w:line="235" w:lineRule="auto"/>
        <w:tabs>
          <w:tab w:leader="none" w:pos="2995"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No Representations</w:t>
      </w:r>
      <w:r>
        <w:rPr>
          <w:rFonts w:ascii="Arial" w:cs="Arial" w:eastAsia="Arial" w:hAnsi="Arial"/>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will be responsible for Participant’s own tax liability that may arise as a result of this investment or the transactions contemplated by this Award Agreement.</w:t>
      </w:r>
    </w:p>
    <w:p>
      <w:pPr>
        <w:spacing w:after="0" w:line="187" w:lineRule="exact"/>
        <w:rPr>
          <w:rFonts w:ascii="Arial" w:cs="Arial" w:eastAsia="Arial" w:hAnsi="Arial"/>
          <w:sz w:val="22"/>
          <w:szCs w:val="22"/>
          <w:color w:val="auto"/>
        </w:rPr>
      </w:pPr>
    </w:p>
    <w:p>
      <w:pPr>
        <w:jc w:val="both"/>
        <w:ind w:firstLine="1505"/>
        <w:spacing w:after="0" w:line="277" w:lineRule="auto"/>
        <w:tabs>
          <w:tab w:leader="none" w:pos="2995"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Company’s Obligation to Deliver Shares</w:t>
      </w:r>
      <w:r>
        <w:rPr>
          <w:rFonts w:ascii="Arial" w:cs="Arial" w:eastAsia="Arial" w:hAnsi="Arial"/>
          <w:sz w:val="19"/>
          <w:szCs w:val="19"/>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51" w:lineRule="exact"/>
        <w:rPr>
          <w:rFonts w:ascii="Arial" w:cs="Arial" w:eastAsia="Arial" w:hAnsi="Arial"/>
          <w:sz w:val="19"/>
          <w:szCs w:val="19"/>
          <w:color w:val="auto"/>
        </w:rPr>
      </w:pPr>
    </w:p>
    <w:p>
      <w:pPr>
        <w:jc w:val="both"/>
        <w:ind w:firstLine="757"/>
        <w:spacing w:after="0" w:line="276" w:lineRule="auto"/>
        <w:tabs>
          <w:tab w:leader="none" w:pos="149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1" w:name="page242"/>
    <w:bookmarkEnd w:id="241"/>
    <w:p>
      <w:pPr>
        <w:jc w:val="both"/>
        <w:ind w:firstLine="757"/>
        <w:spacing w:after="0" w:line="244" w:lineRule="auto"/>
        <w:tabs>
          <w:tab w:leader="none" w:pos="1498"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5" w:lineRule="exact"/>
        <w:rPr>
          <w:rFonts w:ascii="Arial" w:cs="Arial" w:eastAsia="Arial" w:hAnsi="Arial"/>
          <w:sz w:val="21"/>
          <w:szCs w:val="21"/>
          <w:color w:val="auto"/>
        </w:rPr>
      </w:pPr>
    </w:p>
    <w:p>
      <w:pPr>
        <w:jc w:val="both"/>
        <w:ind w:firstLine="757"/>
        <w:spacing w:after="0" w:line="235" w:lineRule="auto"/>
        <w:tabs>
          <w:tab w:leader="none" w:pos="149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7" w:lineRule="exact"/>
        <w:rPr>
          <w:rFonts w:ascii="Arial" w:cs="Arial" w:eastAsia="Arial" w:hAnsi="Arial"/>
          <w:sz w:val="22"/>
          <w:szCs w:val="22"/>
          <w:color w:val="auto"/>
        </w:rPr>
      </w:pPr>
    </w:p>
    <w:p>
      <w:pPr>
        <w:ind w:left="1500" w:hanging="743"/>
        <w:spacing w:after="0"/>
        <w:tabs>
          <w:tab w:leader="none" w:pos="150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of Restricted Stock Units, Participant acknowledges, understands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agrees that:</w:t>
      </w:r>
    </w:p>
    <w:p>
      <w:pPr>
        <w:spacing w:after="0" w:line="188" w:lineRule="exact"/>
        <w:rPr>
          <w:rFonts w:ascii="Arial" w:cs="Arial" w:eastAsia="Arial" w:hAnsi="Arial"/>
          <w:sz w:val="19"/>
          <w:szCs w:val="19"/>
          <w:color w:val="auto"/>
        </w:rPr>
      </w:pPr>
    </w:p>
    <w:p>
      <w:pPr>
        <w:jc w:val="both"/>
        <w:ind w:firstLine="1505"/>
        <w:spacing w:after="0"/>
        <w:tabs>
          <w:tab w:leader="none" w:pos="299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Arial" w:cs="Arial" w:eastAsia="Arial" w:hAnsi="Arial"/>
          <w:sz w:val="22"/>
          <w:szCs w:val="22"/>
          <w:color w:val="auto"/>
        </w:rPr>
      </w:pPr>
    </w:p>
    <w:p>
      <w:pPr>
        <w:ind w:firstLine="1505"/>
        <w:spacing w:after="0" w:line="250" w:lineRule="auto"/>
        <w:tabs>
          <w:tab w:leader="none" w:pos="299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Administrator;</w:t>
      </w:r>
    </w:p>
    <w:p>
      <w:pPr>
        <w:spacing w:after="0" w:line="174" w:lineRule="exact"/>
        <w:rPr>
          <w:rFonts w:ascii="Arial" w:cs="Arial" w:eastAsia="Arial" w:hAnsi="Arial"/>
          <w:sz w:val="22"/>
          <w:szCs w:val="22"/>
          <w:color w:val="auto"/>
        </w:rPr>
      </w:pPr>
    </w:p>
    <w:p>
      <w:pPr>
        <w:ind w:left="3000" w:hanging="1495"/>
        <w:spacing w:after="0"/>
        <w:tabs>
          <w:tab w:leader="none" w:pos="30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06" w:lineRule="exact"/>
        <w:rPr>
          <w:rFonts w:ascii="Arial" w:cs="Arial" w:eastAsia="Arial" w:hAnsi="Arial"/>
          <w:sz w:val="22"/>
          <w:szCs w:val="22"/>
          <w:color w:val="auto"/>
        </w:rPr>
      </w:pPr>
    </w:p>
    <w:p>
      <w:pPr>
        <w:ind w:right="20" w:firstLine="1505"/>
        <w:spacing w:after="0" w:line="250" w:lineRule="auto"/>
        <w:tabs>
          <w:tab w:leader="none" w:pos="299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299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5" w:lineRule="exact"/>
        <w:rPr>
          <w:sz w:val="20"/>
          <w:szCs w:val="20"/>
          <w:color w:val="auto"/>
        </w:rPr>
      </w:pPr>
    </w:p>
    <w:p>
      <w:pPr>
        <w:ind w:firstLine="1497"/>
        <w:spacing w:after="0" w:line="239" w:lineRule="auto"/>
        <w:rPr>
          <w:sz w:val="20"/>
          <w:szCs w:val="20"/>
          <w:color w:val="auto"/>
        </w:rPr>
      </w:pPr>
      <w:r>
        <w:rPr>
          <w:rFonts w:ascii="Arial" w:cs="Arial" w:eastAsia="Arial" w:hAnsi="Arial"/>
          <w:sz w:val="22"/>
          <w:szCs w:val="22"/>
          <w:color w:val="auto"/>
        </w:rPr>
        <w:t>(f) the future value of the Shares underlying the Restricted Stock Units is unknown, indeterminable, and cannot be predicted;</w:t>
      </w: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2" w:name="page243"/>
    <w:bookmarkEnd w:id="242"/>
    <w:p>
      <w:pPr>
        <w:jc w:val="both"/>
        <w:ind w:firstLine="1505"/>
        <w:spacing w:after="0" w:line="272" w:lineRule="auto"/>
        <w:tabs>
          <w:tab w:leader="none" w:pos="299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will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60" w:lineRule="exact"/>
        <w:rPr>
          <w:rFonts w:ascii="Arial" w:cs="Arial" w:eastAsia="Arial" w:hAnsi="Arial"/>
          <w:sz w:val="19"/>
          <w:szCs w:val="19"/>
          <w:color w:val="auto"/>
        </w:rPr>
      </w:pPr>
    </w:p>
    <w:p>
      <w:pPr>
        <w:jc w:val="both"/>
        <w:ind w:firstLine="1505"/>
        <w:spacing w:after="0" w:line="238" w:lineRule="auto"/>
        <w:tabs>
          <w:tab w:leader="none" w:pos="299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ectPr>
          <w:pgSz w:w="11900" w:h="16838" w:orient="portrait"/>
          <w:cols w:equalWidth="0" w:num="1">
            <w:col w:w="11240"/>
          </w:cols>
          <w:pgMar w:left="320" w:top="564" w:right="339" w:bottom="1440" w:gutter="0" w:footer="0" w:header="0"/>
        </w:sectPr>
      </w:pP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provisions apply only if Participant is providing services outside the United</w:t>
      </w:r>
    </w:p>
    <w:p>
      <w:pPr>
        <w:spacing w:after="0" w:line="23" w:lineRule="exact"/>
        <w:rPr>
          <w:sz w:val="20"/>
          <w:szCs w:val="20"/>
          <w:color w:val="auto"/>
        </w:rPr>
      </w:pPr>
    </w:p>
    <w:p>
      <w:pPr>
        <w:sectPr>
          <w:pgSz w:w="11900" w:h="16838" w:orient="portrait"/>
          <w:cols w:equalWidth="0" w:num="2">
            <w:col w:w="2280" w:space="720"/>
            <w:col w:w="8240"/>
          </w:cols>
          <w:pgMar w:left="320" w:top="564" w:right="339" w:bottom="1440" w:gutter="0" w:footer="0" w:header="0"/>
          <w:type w:val="continuous"/>
        </w:sectPr>
      </w:pPr>
    </w:p>
    <w:p>
      <w:pPr>
        <w:spacing w:after="0"/>
        <w:rPr>
          <w:sz w:val="20"/>
          <w:szCs w:val="20"/>
          <w:color w:val="auto"/>
        </w:rPr>
      </w:pPr>
      <w:r>
        <w:rPr>
          <w:rFonts w:ascii="Arial" w:cs="Arial" w:eastAsia="Arial" w:hAnsi="Arial"/>
          <w:sz w:val="22"/>
          <w:szCs w:val="22"/>
          <w:color w:val="auto"/>
        </w:rPr>
        <w:t>States:</w:t>
      </w:r>
    </w:p>
    <w:p>
      <w:pPr>
        <w:spacing w:after="0" w:line="185" w:lineRule="exact"/>
        <w:rPr>
          <w:sz w:val="20"/>
          <w:szCs w:val="20"/>
          <w:color w:val="auto"/>
        </w:rPr>
      </w:pPr>
    </w:p>
    <w:p>
      <w:pPr>
        <w:ind w:right="20" w:firstLine="2246"/>
        <w:spacing w:after="0" w:line="250" w:lineRule="auto"/>
        <w:rPr>
          <w:sz w:val="20"/>
          <w:szCs w:val="20"/>
          <w:color w:val="auto"/>
        </w:rPr>
      </w:pPr>
      <w:r>
        <w:rPr>
          <w:rFonts w:ascii="Arial" w:cs="Arial" w:eastAsia="Arial" w:hAnsi="Arial"/>
          <w:sz w:val="22"/>
          <w:szCs w:val="22"/>
          <w:color w:val="auto"/>
        </w:rPr>
        <w:t>(i) the Restricted Stock Units and the Shares subject to the Restricted Stock Units are not part of normal or expected compensation or salary for any purpose;</w:t>
      </w:r>
    </w:p>
    <w:p>
      <w:pPr>
        <w:spacing w:after="0" w:line="17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Participant acknowledges and agrees that no Service Recipient will be liable</w:t>
      </w:r>
    </w:p>
    <w:p>
      <w:pPr>
        <w:sectPr>
          <w:pgSz w:w="11900" w:h="16838" w:orient="portrait"/>
          <w:cols w:equalWidth="0" w:num="1">
            <w:col w:w="11240"/>
          </w:cols>
          <w:pgMar w:left="320" w:top="56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6" w:lineRule="exact"/>
        <w:rPr>
          <w:sz w:val="20"/>
          <w:szCs w:val="20"/>
          <w:color w:val="auto"/>
        </w:rPr>
      </w:pPr>
    </w:p>
    <w:p>
      <w:pPr>
        <w:jc w:val="both"/>
        <w:ind w:firstLine="2246"/>
        <w:spacing w:after="0" w:line="269" w:lineRule="auto"/>
        <w:rPr>
          <w:sz w:val="20"/>
          <w:szCs w:val="20"/>
          <w:color w:val="auto"/>
        </w:rPr>
      </w:pPr>
      <w:r>
        <w:rPr>
          <w:rFonts w:ascii="Arial" w:cs="Arial" w:eastAsia="Arial" w:hAnsi="Arial"/>
          <w:sz w:val="19"/>
          <w:szCs w:val="19"/>
          <w:color w:val="auto"/>
        </w:rPr>
        <w:t>(iii) no claim or entitlement to compensation or damages will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type w:val="continuous"/>
        </w:sectPr>
      </w:pPr>
    </w:p>
    <w:bookmarkStart w:id="243" w:name="page244"/>
    <w:bookmarkEnd w:id="243"/>
    <w:p>
      <w:pPr>
        <w:jc w:val="both"/>
        <w:ind w:firstLine="757"/>
        <w:spacing w:after="0" w:line="287" w:lineRule="auto"/>
        <w:tabs>
          <w:tab w:leader="none" w:pos="149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42" w:lineRule="exact"/>
        <w:rPr>
          <w:rFonts w:ascii="Arial" w:cs="Arial" w:eastAsia="Arial" w:hAnsi="Arial"/>
          <w:sz w:val="19"/>
          <w:szCs w:val="19"/>
          <w:color w:val="auto"/>
        </w:rPr>
      </w:pPr>
    </w:p>
    <w:p>
      <w:pPr>
        <w:jc w:val="both"/>
        <w:ind w:firstLine="757"/>
        <w:spacing w:after="0" w:line="252" w:lineRule="auto"/>
        <w:tabs>
          <w:tab w:leader="none" w:pos="1498" w:val="left"/>
        </w:tabs>
        <w:numPr>
          <w:ilvl w:val="0"/>
          <w:numId w:val="13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4" w:lineRule="exact"/>
        <w:rPr>
          <w:sz w:val="20"/>
          <w:szCs w:val="20"/>
          <w:color w:val="auto"/>
        </w:rPr>
      </w:pPr>
    </w:p>
    <w:p>
      <w:pPr>
        <w:ind w:right="320" w:firstLine="749"/>
        <w:spacing w:after="0" w:line="235" w:lineRule="auto"/>
        <w:rPr>
          <w:sz w:val="20"/>
          <w:szCs w:val="20"/>
          <w:color w:val="auto"/>
        </w:rPr>
      </w:pPr>
      <w:r>
        <w:rPr>
          <w:rFonts w:ascii="Arial" w:cs="Arial" w:eastAsia="Arial" w:hAnsi="Arial"/>
          <w:sz w:val="21"/>
          <w:szCs w:val="21"/>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4" w:lineRule="exact"/>
        <w:rPr>
          <w:sz w:val="20"/>
          <w:szCs w:val="20"/>
          <w:color w:val="auto"/>
        </w:rPr>
      </w:pPr>
    </w:p>
    <w:p>
      <w:pPr>
        <w:ind w:right="20" w:firstLine="749"/>
        <w:spacing w:after="0" w:line="252"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4" w:name="page245"/>
    <w:bookmarkEnd w:id="244"/>
    <w:p>
      <w:pPr>
        <w:jc w:val="both"/>
        <w:ind w:firstLine="757"/>
        <w:spacing w:after="0"/>
        <w:tabs>
          <w:tab w:leader="none" w:pos="14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Tenaya Therapeutics, Inc., 171 Oyster Point Boulevard, Suite 500, South San Francisco, CA 94080, or at such other address as the Company may hereafter designate in writing.</w:t>
      </w:r>
    </w:p>
    <w:p>
      <w:pPr>
        <w:spacing w:after="0" w:line="186" w:lineRule="exact"/>
        <w:rPr>
          <w:rFonts w:ascii="Arial" w:cs="Arial" w:eastAsia="Arial" w:hAnsi="Arial"/>
          <w:sz w:val="22"/>
          <w:szCs w:val="22"/>
          <w:color w:val="auto"/>
        </w:rPr>
      </w:pPr>
    </w:p>
    <w:p>
      <w:pPr>
        <w:jc w:val="both"/>
        <w:ind w:firstLine="757"/>
        <w:spacing w:after="0" w:line="282" w:lineRule="auto"/>
        <w:tabs>
          <w:tab w:leader="none" w:pos="1498"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7" w:lineRule="exact"/>
        <w:rPr>
          <w:rFonts w:ascii="Arial" w:cs="Arial" w:eastAsia="Arial" w:hAnsi="Arial"/>
          <w:sz w:val="19"/>
          <w:szCs w:val="19"/>
          <w:color w:val="auto"/>
        </w:rPr>
      </w:pPr>
    </w:p>
    <w:p>
      <w:pPr>
        <w:jc w:val="both"/>
        <w:ind w:firstLine="757"/>
        <w:spacing w:after="0" w:line="252" w:lineRule="auto"/>
        <w:tabs>
          <w:tab w:leader="none" w:pos="1498"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Either party’s failure to enforce any provision or provisions of this Award Agreement will not in any way be construed as a waiver of any such provision or provisions, nor prevent that party from thereafter enforcing each and every other provision of this Award Agreement. The rights granted both parties herein are cumulative and will not constitute a waiver of either party’s right to assert all other legal remedies available to it under the circumstances.</w:t>
      </w:r>
    </w:p>
    <w:p>
      <w:pPr>
        <w:spacing w:after="0" w:line="173" w:lineRule="exact"/>
        <w:rPr>
          <w:rFonts w:ascii="Arial" w:cs="Arial" w:eastAsia="Arial" w:hAnsi="Arial"/>
          <w:sz w:val="21"/>
          <w:szCs w:val="21"/>
          <w:color w:val="auto"/>
        </w:rPr>
      </w:pPr>
    </w:p>
    <w:p>
      <w:pPr>
        <w:jc w:val="both"/>
        <w:ind w:firstLine="757"/>
        <w:spacing w:after="0" w:line="236" w:lineRule="auto"/>
        <w:tabs>
          <w:tab w:leader="none" w:pos="14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Award Agreement to single or multiple assignees, and this Award Agreement will inure to the benefit of the successors and assigns of the Company. Subject to the restrictions on transfer herein set forth, this Award Agreement will be binding upon Participant and his or her heirs, executors, administrators, successors and assigns. The rights and obligations of Participant under this Award Agreement may be assigned only with the prior written consent of the Company.</w:t>
      </w:r>
    </w:p>
    <w:p>
      <w:pPr>
        <w:spacing w:after="0" w:line="187" w:lineRule="exact"/>
        <w:rPr>
          <w:rFonts w:ascii="Arial" w:cs="Arial" w:eastAsia="Arial" w:hAnsi="Arial"/>
          <w:sz w:val="22"/>
          <w:szCs w:val="22"/>
          <w:color w:val="auto"/>
        </w:rPr>
      </w:pPr>
    </w:p>
    <w:p>
      <w:pPr>
        <w:jc w:val="both"/>
        <w:ind w:firstLine="757"/>
        <w:spacing w:after="0" w:line="244" w:lineRule="auto"/>
        <w:tabs>
          <w:tab w:leader="none" w:pos="1498"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Additional Conditions to Issuance of Stock</w:t>
      </w:r>
      <w:r>
        <w:rPr>
          <w:rFonts w:ascii="Arial" w:cs="Arial" w:eastAsia="Arial" w:hAnsi="Arial"/>
          <w:sz w:val="21"/>
          <w:szCs w:val="21"/>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rFonts w:ascii="Arial" w:cs="Arial" w:eastAsia="Arial" w:hAnsi="Arial"/>
          <w:sz w:val="21"/>
          <w:szCs w:val="21"/>
          <w:color w:val="auto"/>
        </w:rPr>
      </w:pPr>
    </w:p>
    <w:p>
      <w:pPr>
        <w:jc w:val="both"/>
        <w:ind w:right="20" w:firstLine="757"/>
        <w:spacing w:after="0"/>
        <w:tabs>
          <w:tab w:leader="none" w:pos="14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2"/>
          <w:szCs w:val="22"/>
          <w:color w:val="auto"/>
        </w:rPr>
      </w:pPr>
    </w:p>
    <w:p>
      <w:pPr>
        <w:ind w:firstLine="757"/>
        <w:spacing w:after="0" w:line="239" w:lineRule="auto"/>
        <w:tabs>
          <w:tab w:leader="none" w:pos="14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Administrator will have the power to interpret the Plan and this Award Agreement and to adopt such rules for the administration, interpretation and application of the</w:t>
      </w: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5" w:name="page246"/>
    <w:bookmarkEnd w:id="245"/>
    <w:p>
      <w:pPr>
        <w:jc w:val="both"/>
        <w:spacing w:after="0" w:line="249" w:lineRule="auto"/>
        <w:rPr>
          <w:sz w:val="20"/>
          <w:szCs w:val="20"/>
          <w:color w:val="auto"/>
        </w:rPr>
      </w:pPr>
      <w:r>
        <w:rPr>
          <w:rFonts w:ascii="Arial" w:cs="Arial" w:eastAsia="Arial" w:hAnsi="Arial"/>
          <w:sz w:val="21"/>
          <w:szCs w:val="21"/>
          <w:color w:val="auto"/>
        </w:rPr>
        <w:t>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8" w:lineRule="exact"/>
        <w:rPr>
          <w:sz w:val="20"/>
          <w:szCs w:val="20"/>
          <w:color w:val="auto"/>
        </w:rPr>
      </w:pPr>
    </w:p>
    <w:p>
      <w:pPr>
        <w:ind w:right="20" w:firstLine="757"/>
        <w:spacing w:after="0" w:line="250" w:lineRule="auto"/>
        <w:tabs>
          <w:tab w:leader="none" w:pos="149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Modifications to the Award Agreement</w:t>
      </w:r>
      <w:r>
        <w:rPr>
          <w:rFonts w:ascii="Arial" w:cs="Arial" w:eastAsia="Arial" w:hAnsi="Arial"/>
          <w:sz w:val="21"/>
          <w:szCs w:val="2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9" w:lineRule="exact"/>
        <w:rPr>
          <w:rFonts w:ascii="Arial" w:cs="Arial" w:eastAsia="Arial" w:hAnsi="Arial"/>
          <w:sz w:val="21"/>
          <w:szCs w:val="21"/>
          <w:color w:val="auto"/>
        </w:rPr>
      </w:pPr>
    </w:p>
    <w:p>
      <w:pPr>
        <w:jc w:val="both"/>
        <w:ind w:firstLine="757"/>
        <w:spacing w:after="0" w:line="235" w:lineRule="auto"/>
        <w:tabs>
          <w:tab w:leader="none" w:pos="149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Governing Law; Venue; Severability</w:t>
      </w:r>
      <w:r>
        <w:rPr>
          <w:rFonts w:ascii="Arial" w:cs="Arial" w:eastAsia="Arial" w:hAnsi="Arial"/>
          <w:sz w:val="22"/>
          <w:szCs w:val="22"/>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Award of Restricted Stock Units is made and/or to be performed..</w:t>
      </w:r>
    </w:p>
    <w:p>
      <w:pPr>
        <w:spacing w:after="0" w:line="187"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7" w:lineRule="exact"/>
        <w:rPr>
          <w:rFonts w:ascii="Arial" w:cs="Arial" w:eastAsia="Arial" w:hAnsi="Arial"/>
          <w:sz w:val="22"/>
          <w:szCs w:val="22"/>
          <w:color w:val="auto"/>
        </w:rPr>
      </w:pPr>
    </w:p>
    <w:p>
      <w:pPr>
        <w:jc w:val="both"/>
        <w:ind w:firstLine="757"/>
        <w:spacing w:after="0" w:line="271" w:lineRule="auto"/>
        <w:tabs>
          <w:tab w:leader="none" w:pos="1498"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Country Addendum</w:t>
      </w:r>
      <w:r>
        <w:rPr>
          <w:rFonts w:ascii="Arial" w:cs="Arial" w:eastAsia="Arial" w:hAnsi="Arial"/>
          <w:sz w:val="19"/>
          <w:szCs w:val="19"/>
          <w:color w:val="auto"/>
        </w:rPr>
        <w:t>. Notwithstanding any provisions in this Award Agreement, the Restricted Stock Unit grant will be subject to any special terms and conditions set forth in an appendix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6" w:name="page247"/>
    <w:bookmarkEnd w:id="246"/>
    <w:p>
      <w:pPr>
        <w:jc w:val="both"/>
        <w:spacing w:after="0"/>
        <w:rPr>
          <w:sz w:val="20"/>
          <w:szCs w:val="20"/>
          <w:color w:val="auto"/>
        </w:rPr>
      </w:pPr>
      <w:r>
        <w:rPr>
          <w:rFonts w:ascii="Arial" w:cs="Arial" w:eastAsia="Arial" w:hAnsi="Arial"/>
          <w:sz w:val="22"/>
          <w:szCs w:val="22"/>
          <w:color w:val="auto"/>
        </w:rPr>
        <w:t>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22"/>
          <w:szCs w:val="22"/>
          <w:b w:val="1"/>
          <w:bCs w:val="1"/>
          <w:color w:val="auto"/>
        </w:rPr>
        <w:t>TENAYA THERAPEUTICS,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2021 EQUITY INCENTIVE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93"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This Country Addendum includes additional terms and conditions that govern the Award of Restricted Stock Units granted pursuant to the terms and conditions of the Tenaya Therapeutics, Inc. 2021 Equity Incentive Plan (the “Plan”) and the Restricted Stock Unit Agreement to which this Country Addendum is attached (the “Restricted Stock Unit Agreement”) to the extent the individual to whom the Restricted Stock Units were granted (“Participant”) resides in one of the countries listed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This Country Addendum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January 2022.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34"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will determine the extent to which the terms and conditions contained herein will apply to Participant under these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0"/>
          <w:szCs w:val="20"/>
          <w:b w:val="1"/>
          <w:bCs w:val="1"/>
          <w:color w:val="auto"/>
        </w:rPr>
        <w:t>EXHIBIT 23.1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We consent to the incorporation by reference in Registration Statement No. 333-258337 on Form S-8 of our report dated March 23, 2022, relating to the financial statements of Tenaya Therapeutics, Inc. appearing in this Annual Report on Form 10-K for the year ended December 31, 2021.</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9" w:name="page250"/>
    <w:bookmarkEnd w:id="24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198" w:lineRule="exact"/>
        <w:rPr>
          <w:sz w:val="20"/>
          <w:szCs w:val="20"/>
          <w:color w:val="auto"/>
        </w:rPr>
      </w:pPr>
    </w:p>
    <w:p>
      <w:pPr>
        <w:ind w:left="380" w:hanging="372"/>
        <w:spacing w:after="0"/>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Tenaya Therapeutics, Inc.;</w:t>
      </w:r>
    </w:p>
    <w:p>
      <w:pPr>
        <w:spacing w:after="0" w:line="238"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80" w:right="400" w:hanging="372"/>
        <w:spacing w:after="0" w:line="261" w:lineRule="auto"/>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TENAYA THERAPEUTICS, INC.</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ind w:left="61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Faraz Ali, M.B.A.</w:t>
            </w:r>
          </w:p>
        </w:tc>
      </w:tr>
      <w:tr>
        <w:trPr>
          <w:trHeight w:val="237"/>
        </w:trPr>
        <w:tc>
          <w:tcPr>
            <w:tcW w:w="6940" w:type="dxa"/>
            <w:vAlign w:val="bottom"/>
          </w:tcPr>
          <w:p>
            <w:pPr>
              <w:ind w:left="6120"/>
              <w:spacing w:after="0"/>
              <w:rPr>
                <w:sz w:val="20"/>
                <w:szCs w:val="20"/>
                <w:color w:val="auto"/>
              </w:rPr>
            </w:pPr>
            <w:r>
              <w:rPr>
                <w:rFonts w:ascii="Arial" w:cs="Arial" w:eastAsia="Arial" w:hAnsi="Arial"/>
                <w:sz w:val="18"/>
                <w:szCs w:val="18"/>
                <w:color w:val="auto"/>
              </w:rPr>
              <w:t>Name:</w:t>
            </w:r>
          </w:p>
        </w:tc>
        <w:tc>
          <w:tcPr>
            <w:tcW w:w="4300" w:type="dxa"/>
            <w:vAlign w:val="bottom"/>
          </w:tcPr>
          <w:p>
            <w:pPr>
              <w:ind w:left="40"/>
              <w:spacing w:after="0"/>
              <w:rPr>
                <w:sz w:val="20"/>
                <w:szCs w:val="20"/>
                <w:color w:val="auto"/>
              </w:rPr>
            </w:pPr>
            <w:r>
              <w:rPr>
                <w:rFonts w:ascii="Arial" w:cs="Arial" w:eastAsia="Arial" w:hAnsi="Arial"/>
                <w:sz w:val="18"/>
                <w:szCs w:val="18"/>
                <w:color w:val="auto"/>
              </w:rPr>
              <w:t>Faraz Ali, M.B.A.</w:t>
            </w:r>
          </w:p>
        </w:tc>
      </w:tr>
      <w:tr>
        <w:trPr>
          <w:trHeight w:val="229"/>
        </w:trPr>
        <w:tc>
          <w:tcPr>
            <w:tcW w:w="6940" w:type="dxa"/>
            <w:vAlign w:val="bottom"/>
          </w:tcPr>
          <w:p>
            <w:pPr>
              <w:ind w:left="6120"/>
              <w:spacing w:after="0"/>
              <w:rPr>
                <w:sz w:val="20"/>
                <w:szCs w:val="20"/>
                <w:color w:val="auto"/>
              </w:rPr>
            </w:pPr>
            <w:r>
              <w:rPr>
                <w:rFonts w:ascii="Arial" w:cs="Arial" w:eastAsia="Arial" w:hAnsi="Arial"/>
                <w:sz w:val="18"/>
                <w:szCs w:val="18"/>
                <w:color w:val="auto"/>
              </w:rPr>
              <w:t>Title:</w:t>
            </w:r>
          </w:p>
        </w:tc>
        <w:tc>
          <w:tcPr>
            <w:tcW w:w="4300" w:type="dxa"/>
            <w:vAlign w:val="bottom"/>
          </w:tcPr>
          <w:p>
            <w:pPr>
              <w:ind w:left="4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r>
      <w:tr>
        <w:trPr>
          <w:trHeight w:val="230"/>
        </w:trPr>
        <w:tc>
          <w:tcPr>
            <w:tcW w:w="694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Executive Officer)</w:t>
            </w:r>
          </w:p>
        </w:tc>
      </w:tr>
      <w:tr>
        <w:trPr>
          <w:trHeight w:val="547"/>
        </w:trPr>
        <w:tc>
          <w:tcPr>
            <w:tcW w:w="69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0" w:name="page251"/>
    <w:bookmarkEnd w:id="25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198" w:lineRule="exact"/>
        <w:rPr>
          <w:sz w:val="20"/>
          <w:szCs w:val="20"/>
          <w:color w:val="auto"/>
        </w:rPr>
      </w:pPr>
    </w:p>
    <w:p>
      <w:pPr>
        <w:ind w:left="380" w:hanging="372"/>
        <w:spacing w:after="0"/>
        <w:tabs>
          <w:tab w:leader="none" w:pos="3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Tenaya Therapeutics, Inc.;</w:t>
      </w:r>
    </w:p>
    <w:p>
      <w:pPr>
        <w:spacing w:after="0" w:line="238"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80" w:right="400" w:hanging="372"/>
        <w:spacing w:after="0" w:line="261" w:lineRule="auto"/>
        <w:tabs>
          <w:tab w:leader="none" w:pos="3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21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TENAYA THERAPEUTICS, INC.</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20" w:type="dxa"/>
            <w:vAlign w:val="bottom"/>
          </w:tcPr>
          <w:p>
            <w:pPr>
              <w:ind w:left="58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Leone D. Patterson, M.B.A.</w:t>
            </w:r>
          </w:p>
        </w:tc>
      </w:tr>
      <w:tr>
        <w:trPr>
          <w:trHeight w:val="237"/>
        </w:trPr>
        <w:tc>
          <w:tcPr>
            <w:tcW w:w="6620" w:type="dxa"/>
            <w:vAlign w:val="bottom"/>
          </w:tcPr>
          <w:p>
            <w:pPr>
              <w:ind w:left="5800"/>
              <w:spacing w:after="0"/>
              <w:rPr>
                <w:sz w:val="20"/>
                <w:szCs w:val="20"/>
                <w:color w:val="auto"/>
              </w:rPr>
            </w:pPr>
            <w:r>
              <w:rPr>
                <w:rFonts w:ascii="Arial" w:cs="Arial" w:eastAsia="Arial" w:hAnsi="Arial"/>
                <w:sz w:val="18"/>
                <w:szCs w:val="18"/>
                <w:color w:val="auto"/>
              </w:rPr>
              <w:t>Name:</w:t>
            </w:r>
          </w:p>
        </w:tc>
        <w:tc>
          <w:tcPr>
            <w:tcW w:w="4620" w:type="dxa"/>
            <w:vAlign w:val="bottom"/>
          </w:tcPr>
          <w:p>
            <w:pPr>
              <w:ind w:left="60"/>
              <w:spacing w:after="0"/>
              <w:rPr>
                <w:sz w:val="20"/>
                <w:szCs w:val="20"/>
                <w:color w:val="auto"/>
              </w:rPr>
            </w:pPr>
            <w:r>
              <w:rPr>
                <w:rFonts w:ascii="Arial" w:cs="Arial" w:eastAsia="Arial" w:hAnsi="Arial"/>
                <w:sz w:val="18"/>
                <w:szCs w:val="18"/>
                <w:color w:val="auto"/>
              </w:rPr>
              <w:t>Leone D. Patterson, M.B.A.</w:t>
            </w:r>
          </w:p>
        </w:tc>
      </w:tr>
      <w:tr>
        <w:trPr>
          <w:trHeight w:val="229"/>
        </w:trPr>
        <w:tc>
          <w:tcPr>
            <w:tcW w:w="6620" w:type="dxa"/>
            <w:vAlign w:val="bottom"/>
          </w:tcPr>
          <w:p>
            <w:pPr>
              <w:ind w:left="5800"/>
              <w:spacing w:after="0"/>
              <w:rPr>
                <w:sz w:val="20"/>
                <w:szCs w:val="20"/>
                <w:color w:val="auto"/>
              </w:rPr>
            </w:pPr>
            <w:r>
              <w:rPr>
                <w:rFonts w:ascii="Arial" w:cs="Arial" w:eastAsia="Arial" w:hAnsi="Arial"/>
                <w:sz w:val="18"/>
                <w:szCs w:val="18"/>
                <w:color w:val="auto"/>
              </w:rPr>
              <w:t>Title:</w:t>
            </w:r>
          </w:p>
        </w:tc>
        <w:tc>
          <w:tcPr>
            <w:tcW w:w="4620" w:type="dxa"/>
            <w:vAlign w:val="bottom"/>
          </w:tcPr>
          <w:p>
            <w:pPr>
              <w:ind w:left="60"/>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66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47"/>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1" w:name="page252"/>
    <w:bookmarkEnd w:id="251"/>
    <w:p>
      <w:pPr>
        <w:ind w:left="10260"/>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jc w:val="center"/>
        <w:spacing w:after="0" w:line="228" w:lineRule="auto"/>
        <w:rPr>
          <w:sz w:val="20"/>
          <w:szCs w:val="20"/>
          <w:color w:val="auto"/>
        </w:rPr>
      </w:pPr>
      <w:r>
        <w:rPr>
          <w:rFonts w:ascii="Arial" w:cs="Arial" w:eastAsia="Arial" w:hAnsi="Arial"/>
          <w:sz w:val="16"/>
          <w:szCs w:val="16"/>
          <w:b w:val="1"/>
          <w:bCs w:val="1"/>
          <w:color w:val="auto"/>
        </w:rPr>
        <w:t>18 U.S.C. SECTION 1350,</w:t>
      </w:r>
    </w:p>
    <w:p>
      <w:pPr>
        <w:jc w:val="center"/>
        <w:spacing w:after="0" w:line="229"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 Faraz Ali, M.B.A., certify, pursuant to 18 U.S.C. Section 1350 as adopted pursuant to Section 906 of the Sarbanes-Oxley Act of 2002, that, (1) the Annual Report on Form 10-K of Tenaya Therapeutics, Inc. for the year ended December 31,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Faraz Ali,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March 23,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 Leone D. Patterson, M.B.A., certify, pursuant to 18 U.S.C. Section 1350 as adopted pursuant to Section 906 of the Sarbanes-Oxley Act of 2002, that, (1) the Annual Report on Form 10-K of Tenaya Therapeutics, Inc. for the year ended December 31,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Leone D. Patterson,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2" w:name="page253"/>
    <w:bookmarkEnd w:id="2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4"/>
    </w:lvl>
  </w:abstractNum>
  <w:abstractNum w:abstractNumId="7">
    <w:nsid w:val="540A471C"/>
    <w:multiLevelType w:val="hybridMultilevel"/>
    <w:lvl w:ilvl="0">
      <w:lvlJc w:val="left"/>
      <w:lvlText w:val="•"/>
      <w:numFmt w:val="bullet"/>
      <w:start w:val="1"/>
    </w:lvl>
    <w:lvl w:ilvl="1">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decimal"/>
      <w:start w:val="2"/>
    </w:lvl>
  </w:abstractNum>
  <w:abstractNum w:abstractNumId="28">
    <w:nsid w:val="6EB5BD4"/>
    <w:multiLevelType w:val="hybridMultilevel"/>
    <w:lvl w:ilvl="0">
      <w:lvlJc w:val="left"/>
      <w:lvlText w:val="(%1)"/>
      <w:numFmt w:val="decimal"/>
      <w:start w:val="2"/>
    </w:lvl>
  </w:abstractNum>
  <w:abstractNum w:abstractNumId="29">
    <w:nsid w:val="6F6DD9AC"/>
    <w:multiLevelType w:val="hybridMultilevel"/>
    <w:lvl w:ilvl="0">
      <w:lvlJc w:val="left"/>
      <w:lvlText w:val="(%1)"/>
      <w:numFmt w:val="decimal"/>
      <w:start w:val="3"/>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1)"/>
      <w:numFmt w:val="lowerLetter"/>
      <w:start w:val="1"/>
    </w:lvl>
    <w:lvl w:ilvl="1">
      <w:lvlJc w:val="left"/>
      <w:lvlText w:val="(%2)"/>
      <w:numFmt w:val="decimal"/>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1)"/>
      <w:numFmt w:val="lowerRoman"/>
      <w:start w:val="2"/>
    </w:lvl>
  </w:abstractNum>
  <w:abstractNum w:abstractNumId="94">
    <w:nsid w:val="69E373"/>
    <w:multiLevelType w:val="hybridMultilevel"/>
    <w:lvl w:ilvl="0">
      <w:lvlJc w:val="left"/>
      <w:lvlText w:val="%1."/>
      <w:numFmt w:val="decimal"/>
      <w:start w:val="1"/>
    </w:lvl>
    <w:lvl w:ilvl="1">
      <w:lvlJc w:val="left"/>
      <w:lvlText w:val="•"/>
      <w:numFmt w:val="bullet"/>
      <w:start w:val="1"/>
    </w:lvl>
  </w:abstractNum>
  <w:abstractNum w:abstractNumId="95">
    <w:nsid w:val="2C27173B"/>
    <w:multiLevelType w:val="hybridMultilevel"/>
    <w:lvl w:ilvl="0">
      <w:lvlJc w:val="left"/>
      <w:lvlText w:val="%1."/>
      <w:numFmt w:val="decimal"/>
      <w:start w:val="2"/>
    </w:lvl>
  </w:abstractNum>
  <w:abstractNum w:abstractNumId="96">
    <w:nsid w:val="4C9B0904"/>
    <w:multiLevelType w:val="hybridMultilevel"/>
    <w:lvl w:ilvl="0">
      <w:lvlJc w:val="left"/>
      <w:lvlText w:val="(%1)"/>
      <w:numFmt w:val="lowerRoman"/>
      <w:start w:val="2"/>
    </w:lvl>
  </w:abstractNum>
  <w:abstractNum w:abstractNumId="97">
    <w:nsid w:val="6AA7B75C"/>
    <w:multiLevelType w:val="hybridMultilevel"/>
    <w:lvl w:ilvl="0">
      <w:lvlJc w:val="left"/>
      <w:lvlText w:val="%1."/>
      <w:numFmt w:val="decimal"/>
      <w:start w:val="3"/>
    </w:lvl>
  </w:abstractNum>
  <w:abstractNum w:abstractNumId="98">
    <w:nsid w:val="1DF029D3"/>
    <w:multiLevelType w:val="hybridMultilevel"/>
    <w:lvl w:ilvl="0">
      <w:lvlJc w:val="left"/>
      <w:lvlText w:val="%1."/>
      <w:numFmt w:val="decimal"/>
      <w:start w:val="4"/>
    </w:lvl>
  </w:abstractNum>
  <w:abstractNum w:abstractNumId="99">
    <w:nsid w:val="5675FF36"/>
    <w:multiLevelType w:val="hybridMultilevel"/>
    <w:lvl w:ilvl="0">
      <w:lvlJc w:val="left"/>
      <w:lvlText w:val="%1."/>
      <w:numFmt w:val="decimal"/>
      <w:start w:val="5"/>
    </w:lvl>
  </w:abstractNum>
  <w:abstractNum w:abstractNumId="100">
    <w:nsid w:val="3DD15094"/>
    <w:multiLevelType w:val="hybridMultilevel"/>
    <w:lvl w:ilvl="0">
      <w:lvlJc w:val="left"/>
      <w:lvlText w:val="%1."/>
      <w:numFmt w:val="decimal"/>
      <w:start w:val="7"/>
    </w:lvl>
  </w:abstractNum>
  <w:abstractNum w:abstractNumId="101">
    <w:nsid w:val="3DB012B3"/>
    <w:multiLevelType w:val="hybridMultilevel"/>
    <w:lvl w:ilvl="0">
      <w:lvlJc w:val="left"/>
      <w:lvlText w:val="%1."/>
      <w:numFmt w:val="decimal"/>
      <w:start w:val="8"/>
    </w:lvl>
  </w:abstractNum>
  <w:abstractNum w:abstractNumId="102">
    <w:nsid w:val="2708C9AF"/>
    <w:multiLevelType w:val="hybridMultilevel"/>
    <w:lvl w:ilvl="0">
      <w:lvlJc w:val="left"/>
      <w:lvlText w:val="%1."/>
      <w:numFmt w:val="decimal"/>
      <w:start w:val="9"/>
    </w:lvl>
  </w:abstractNum>
  <w:abstractNum w:abstractNumId="103">
    <w:nsid w:val="5B25ACE2"/>
    <w:multiLevelType w:val="hybridMultilevel"/>
    <w:lvl w:ilvl="0">
      <w:lvlJc w:val="left"/>
      <w:lvlText w:val="%1."/>
      <w:numFmt w:val="decimal"/>
      <w:start w:val="10"/>
    </w:lvl>
  </w:abstractNum>
  <w:abstractNum w:abstractNumId="104">
    <w:nsid w:val="175DFCF0"/>
    <w:multiLevelType w:val="hybridMultilevel"/>
    <w:lvl w:ilvl="0">
      <w:lvlJc w:val="left"/>
      <w:lvlText w:val="%1."/>
      <w:numFmt w:val="decimal"/>
      <w:start w:val="11"/>
    </w:lvl>
  </w:abstractNum>
  <w:abstractNum w:abstractNumId="105">
    <w:nsid w:val="4F97E3E4"/>
    <w:multiLevelType w:val="hybridMultilevel"/>
    <w:lvl w:ilvl="0">
      <w:lvlJc w:val="left"/>
      <w:lvlText w:val="%1."/>
      <w:numFmt w:val="decimal"/>
      <w:start w:val="14"/>
    </w:lvl>
  </w:abstractNum>
  <w:abstractNum w:abstractNumId="106">
    <w:nsid w:val="53B0A9E"/>
    <w:multiLevelType w:val="hybridMultilevel"/>
    <w:lvl w:ilvl="0">
      <w:lvlJc w:val="left"/>
      <w:lvlText w:val="(%1)"/>
      <w:numFmt w:val="lowerRoman"/>
      <w:start w:val="1"/>
    </w:lvl>
  </w:abstractNum>
  <w:abstractNum w:abstractNumId="107">
    <w:nsid w:val="34FD6B4F"/>
    <w:multiLevelType w:val="hybridMultilevel"/>
    <w:lvl w:ilvl="0">
      <w:lvlJc w:val="left"/>
      <w:lvlText w:val="%1."/>
      <w:numFmt w:val="decimal"/>
      <w:start w:val="15"/>
    </w:lvl>
  </w:abstractNum>
  <w:abstractNum w:abstractNumId="108">
    <w:nsid w:val="5915FF32"/>
    <w:multiLevelType w:val="hybridMultilevel"/>
    <w:lvl w:ilvl="0">
      <w:lvlJc w:val="left"/>
      <w:lvlText w:val="%1"/>
      <w:numFmt w:val="decimal"/>
      <w:start w:val="1"/>
    </w:lvl>
    <w:lvl w:ilvl="1">
      <w:lvlJc w:val="left"/>
      <w:lvlText w:val="%2."/>
      <w:numFmt w:val="decimal"/>
      <w:start w:val="16"/>
    </w:lvl>
  </w:abstractNum>
  <w:abstractNum w:abstractNumId="109">
    <w:nsid w:val="56438D15"/>
    <w:multiLevelType w:val="hybridMultilevel"/>
    <w:lvl w:ilvl="0">
      <w:lvlJc w:val="left"/>
      <w:lvlText w:val="(%1)"/>
      <w:numFmt w:val="decimal"/>
      <w:start w:val="10"/>
    </w:lvl>
    <w:lvl w:ilvl="1">
      <w:lvlJc w:val="left"/>
      <w:lvlText w:val="%2."/>
      <w:numFmt w:val="decimal"/>
      <w:start w:val="19"/>
    </w:lvl>
  </w:abstractNum>
  <w:abstractNum w:abstractNumId="110">
    <w:nsid w:val="519E3149"/>
    <w:multiLevelType w:val="hybridMultilevel"/>
    <w:lvl w:ilvl="0">
      <w:lvlJc w:val="left"/>
      <w:lvlText w:val="%1."/>
      <w:numFmt w:val="decimal"/>
      <w:start w:val="20"/>
    </w:lvl>
  </w:abstractNum>
  <w:abstractNum w:abstractNumId="111">
    <w:nsid w:val="2C6E4AFD"/>
    <w:multiLevelType w:val="hybridMultilevel"/>
    <w:lvl w:ilvl="0">
      <w:lvlJc w:val="left"/>
      <w:lvlText w:val="%1"/>
      <w:numFmt w:val="decimal"/>
      <w:start w:val="1"/>
    </w:lvl>
    <w:lvl w:ilvl="1">
      <w:lvlJc w:val="left"/>
      <w:lvlText w:val="%2."/>
      <w:numFmt w:val="decimal"/>
      <w:start w:val="21"/>
    </w:lvl>
  </w:abstractNum>
  <w:abstractNum w:abstractNumId="112">
    <w:nsid w:val="17A1B582"/>
    <w:multiLevelType w:val="hybridMultilevel"/>
    <w:lvl w:ilvl="0">
      <w:lvlJc w:val="left"/>
      <w:lvlText w:val="(%1)"/>
      <w:numFmt w:val="decimal"/>
      <w:start w:val="12"/>
    </w:lvl>
    <w:lvl w:ilvl="1">
      <w:lvlJc w:val="left"/>
      <w:lvlText w:val="%2."/>
      <w:numFmt w:val="decimal"/>
      <w:start w:val="23"/>
    </w:lvl>
  </w:abstractNum>
  <w:abstractNum w:abstractNumId="113">
    <w:nsid w:val="4DF72E4E"/>
    <w:multiLevelType w:val="hybridMultilevel"/>
    <w:lvl w:ilvl="0">
      <w:lvlJc w:val="left"/>
      <w:lvlText w:val="%1."/>
      <w:numFmt w:val="decimal"/>
      <w:start w:val="1"/>
    </w:lvl>
    <w:lvl w:ilvl="1">
      <w:lvlJc w:val="left"/>
      <w:lvlText w:val="(%2)"/>
      <w:numFmt w:val="lowerLetter"/>
      <w:start w:val="1"/>
    </w:lvl>
  </w:abstractNum>
  <w:abstractNum w:abstractNumId="114">
    <w:nsid w:val="5046B5A9"/>
    <w:multiLevelType w:val="hybridMultilevel"/>
    <w:lvl w:ilvl="0">
      <w:lvlJc w:val="left"/>
      <w:lvlText w:val="%1."/>
      <w:numFmt w:val="decimal"/>
      <w:start w:val="4"/>
    </w:lvl>
    <w:lvl w:ilvl="1">
      <w:lvlJc w:val="left"/>
      <w:lvlText w:val="(%2)"/>
      <w:numFmt w:val="lowerLetter"/>
      <w:start w:val="1"/>
    </w:lvl>
  </w:abstractNum>
  <w:abstractNum w:abstractNumId="115">
    <w:nsid w:val="5D888A08"/>
    <w:multiLevelType w:val="hybridMultilevel"/>
    <w:lvl w:ilvl="0">
      <w:lvlJc w:val="left"/>
      <w:lvlText w:val="%1."/>
      <w:numFmt w:val="decimal"/>
      <w:start w:val="5"/>
    </w:lvl>
    <w:lvl w:ilvl="1">
      <w:lvlJc w:val="left"/>
      <w:lvlText w:val="(%2)"/>
      <w:numFmt w:val="lowerLetter"/>
      <w:start w:val="1"/>
    </w:lvl>
  </w:abstractNum>
  <w:abstractNum w:abstractNumId="116">
    <w:nsid w:val="2A082C70"/>
    <w:multiLevelType w:val="hybridMultilevel"/>
    <w:lvl w:ilvl="0">
      <w:lvlJc w:val="left"/>
      <w:lvlText w:val="%1."/>
      <w:numFmt w:val="decimal"/>
      <w:start w:val="6"/>
    </w:lvl>
  </w:abstractNum>
  <w:abstractNum w:abstractNumId="117">
    <w:nsid w:val="5EC6AFD4"/>
    <w:multiLevelType w:val="hybridMultilevel"/>
    <w:lvl w:ilvl="0">
      <w:lvlJc w:val="left"/>
      <w:lvlText w:val="%1."/>
      <w:numFmt w:val="decimal"/>
      <w:start w:val="7"/>
    </w:lvl>
    <w:lvl w:ilvl="1">
      <w:lvlJc w:val="left"/>
      <w:lvlText w:val="(%2)"/>
      <w:numFmt w:val="lowerLetter"/>
      <w:start w:val="1"/>
    </w:lvl>
  </w:abstractNum>
  <w:abstractNum w:abstractNumId="118">
    <w:nsid w:val="19E21B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19">
    <w:nsid w:val="75E0858A"/>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abstractNum>
  <w:abstractNum w:abstractNumId="120">
    <w:nsid w:val="57A61A29"/>
    <w:multiLevelType w:val="hybridMultilevel"/>
    <w:lvl w:ilvl="0">
      <w:lvlJc w:val="left"/>
      <w:lvlText w:val="%1."/>
      <w:numFmt w:val="decimal"/>
      <w:start w:val="11"/>
    </w:lvl>
    <w:lvl w:ilvl="1">
      <w:lvlJc w:val="left"/>
      <w:lvlText w:val="(%2)"/>
      <w:numFmt w:val="lowerLetter"/>
      <w:start w:val="1"/>
    </w:lvl>
  </w:abstractNum>
  <w:abstractNum w:abstractNumId="121">
    <w:nsid w:val="5399C654"/>
    <w:multiLevelType w:val="hybridMultilevel"/>
    <w:lvl w:ilvl="0">
      <w:lvlJc w:val="left"/>
      <w:lvlText w:val="(%1)"/>
      <w:numFmt w:val="lowerLetter"/>
      <w:start w:val="8"/>
    </w:lvl>
  </w:abstractNum>
  <w:abstractNum w:abstractNumId="122">
    <w:nsid w:val="20EE1348"/>
    <w:multiLevelType w:val="hybridMultilevel"/>
    <w:lvl w:ilvl="0">
      <w:lvlJc w:val="left"/>
      <w:lvlText w:val="%1."/>
      <w:numFmt w:val="decimal"/>
      <w:start w:val="13"/>
    </w:lvl>
  </w:abstractNum>
  <w:abstractNum w:abstractNumId="123">
    <w:nsid w:val="4427069A"/>
    <w:multiLevelType w:val="hybridMultilevel"/>
    <w:lvl w:ilvl="0">
      <w:lvlJc w:val="left"/>
      <w:lvlText w:val="%1."/>
      <w:numFmt w:val="decimal"/>
      <w:start w:val="15"/>
    </w:lvl>
  </w:abstractNum>
  <w:abstractNum w:abstractNumId="124">
    <w:nsid w:val="B37E80A"/>
    <w:multiLevelType w:val="hybridMultilevel"/>
    <w:lvl w:ilvl="0">
      <w:lvlJc w:val="left"/>
      <w:lvlText w:val="%1."/>
      <w:numFmt w:val="decimal"/>
      <w:start w:val="20"/>
    </w:lvl>
  </w:abstractNum>
  <w:abstractNum w:abstractNumId="125">
    <w:nsid w:val="2157F6BC"/>
    <w:multiLevelType w:val="hybridMultilevel"/>
    <w:lvl w:ilvl="0">
      <w:lvlJc w:val="left"/>
      <w:lvlText w:val="%1."/>
      <w:numFmt w:val="decimal"/>
      <w:start w:val="27"/>
    </w:lvl>
  </w:abstractNum>
  <w:abstractNum w:abstractNumId="126">
    <w:nsid w:val="704E1DD5"/>
    <w:multiLevelType w:val="hybridMultilevel"/>
    <w:lvl w:ilvl="0">
      <w:lvlJc w:val="left"/>
      <w:lvlText w:val="%1."/>
      <w:numFmt w:val="decimal"/>
      <w:start w:val="1"/>
    </w:lvl>
  </w:abstractNum>
  <w:abstractNum w:abstractNumId="127">
    <w:nsid w:val="57D2F10E"/>
    <w:multiLevelType w:val="hybridMultilevel"/>
    <w:lvl w:ilvl="0">
      <w:lvlJc w:val="left"/>
      <w:lvlText w:val="%1."/>
      <w:numFmt w:val="decimal"/>
      <w:start w:val="6"/>
    </w:lvl>
  </w:abstractNum>
  <w:abstractNum w:abstractNumId="128">
    <w:nsid w:val="BFFAE18"/>
    <w:multiLevelType w:val="hybridMultilevel"/>
    <w:lvl w:ilvl="0">
      <w:lvlJc w:val="left"/>
      <w:lvlText w:val="%1."/>
      <w:numFmt w:val="decimal"/>
      <w:start w:val="1"/>
    </w:lvl>
    <w:lvl w:ilvl="1">
      <w:lvlJc w:val="left"/>
      <w:lvlText w:val="(%2)"/>
      <w:numFmt w:val="lowerLetter"/>
      <w:start w:val="1"/>
    </w:lvl>
  </w:abstractNum>
  <w:abstractNum w:abstractNumId="129">
    <w:nsid w:val="E3E47A8"/>
    <w:multiLevelType w:val="hybridMultilevel"/>
    <w:lvl w:ilvl="0">
      <w:lvlJc w:val="left"/>
      <w:lvlText w:val="%1"/>
      <w:numFmt w:val="decimal"/>
      <w:start w:val="1"/>
    </w:lvl>
    <w:lvl w:ilvl="1">
      <w:lvlJc w:val="left"/>
      <w:lvlText w:val="(%2)"/>
      <w:numFmt w:val="lowerLetter"/>
      <w:start w:val="3"/>
    </w:lvl>
  </w:abstractNum>
  <w:abstractNum w:abstractNumId="130">
    <w:nsid w:val="2E48F044"/>
    <w:multiLevelType w:val="hybridMultilevel"/>
    <w:lvl w:ilvl="0">
      <w:lvlJc w:val="left"/>
      <w:lvlText w:val="%1."/>
      <w:numFmt w:val="decimal"/>
      <w:start w:val="5"/>
    </w:lvl>
    <w:lvl w:ilvl="1">
      <w:lvlJc w:val="left"/>
      <w:lvlText w:val="%2"/>
      <w:numFmt w:val="lowerLetter"/>
      <w:start w:val="1"/>
    </w:lvl>
  </w:abstractNum>
  <w:abstractNum w:abstractNumId="131">
    <w:nsid w:val="49D0FEAC"/>
    <w:multiLevelType w:val="hybridMultilevel"/>
    <w:lvl w:ilvl="0">
      <w:lvlJc w:val="left"/>
      <w:lvlText w:val="%1."/>
      <w:numFmt w:val="decimal"/>
      <w:start w:val="8"/>
    </w:lvl>
    <w:lvl w:ilvl="1">
      <w:lvlJc w:val="left"/>
      <w:lvlText w:val="(%2)"/>
      <w:numFmt w:val="lowerLetter"/>
      <w:start w:val="1"/>
    </w:lvl>
  </w:abstractNum>
  <w:abstractNum w:abstractNumId="132">
    <w:nsid w:val="4BEE5A5B"/>
    <w:multiLevelType w:val="hybridMultilevel"/>
    <w:lvl w:ilvl="0">
      <w:lvlJc w:val="left"/>
      <w:lvlText w:val="%1"/>
      <w:numFmt w:val="decimal"/>
      <w:start w:val="1"/>
    </w:lvl>
    <w:lvl w:ilvl="1">
      <w:lvlJc w:val="left"/>
      <w:lvlText w:val="(%2)"/>
      <w:numFmt w:val="lowerLetter"/>
      <w:start w:val="3"/>
    </w:lvl>
  </w:abstractNum>
  <w:abstractNum w:abstractNumId="133">
    <w:nsid w:val="5551B9F3"/>
    <w:multiLevelType w:val="hybridMultilevel"/>
    <w:lvl w:ilvl="0">
      <w:lvlJc w:val="left"/>
      <w:lvlText w:val="%1."/>
      <w:numFmt w:val="decimal"/>
      <w:start w:val="9"/>
    </w:lvl>
    <w:lvl w:ilvl="1">
      <w:lvlJc w:val="left"/>
      <w:lvlText w:val="%2"/>
      <w:numFmt w:val="lowerLetter"/>
      <w:start w:val="1"/>
    </w:lvl>
  </w:abstractNum>
  <w:abstractNum w:abstractNumId="134">
    <w:nsid w:val="24F6AB8E"/>
    <w:multiLevelType w:val="hybridMultilevel"/>
    <w:lvl w:ilvl="0">
      <w:lvlJc w:val="left"/>
      <w:lvlText w:val="%1."/>
      <w:numFmt w:val="decimal"/>
      <w:start w:val="10"/>
    </w:lvl>
    <w:lvl w:ilvl="1">
      <w:lvlJc w:val="left"/>
      <w:lvlText w:val="(%2)"/>
      <w:numFmt w:val="lowerLetter"/>
      <w:start w:val="1"/>
    </w:lvl>
  </w:abstractNum>
  <w:abstractNum w:abstractNumId="135">
    <w:nsid w:val="634C574C"/>
    <w:multiLevelType w:val="hybridMultilevel"/>
    <w:lvl w:ilvl="0">
      <w:lvlJc w:val="left"/>
      <w:lvlText w:val="(%1)"/>
      <w:numFmt w:val="lowerLetter"/>
      <w:start w:val="7"/>
    </w:lvl>
  </w:abstractNum>
  <w:abstractNum w:abstractNumId="136">
    <w:nsid w:val="24E99DD7"/>
    <w:multiLevelType w:val="hybridMultilevel"/>
    <w:lvl w:ilvl="0">
      <w:lvlJc w:val="left"/>
      <w:lvlText w:val="%1."/>
      <w:numFmt w:val="decimal"/>
      <w:start w:val="13"/>
    </w:lvl>
  </w:abstractNum>
  <w:abstractNum w:abstractNumId="137">
    <w:nsid w:val="2A31B62D"/>
    <w:multiLevelType w:val="hybridMultilevel"/>
    <w:lvl w:ilvl="0">
      <w:lvlJc w:val="left"/>
      <w:lvlText w:val="%1."/>
      <w:numFmt w:val="decimal"/>
      <w:start w:val="15"/>
    </w:lvl>
  </w:abstractNum>
  <w:abstractNum w:abstractNumId="138">
    <w:nsid w:val="1849C29B"/>
    <w:multiLevelType w:val="hybridMultilevel"/>
    <w:lvl w:ilvl="0">
      <w:lvlJc w:val="left"/>
      <w:lvlText w:val="%1."/>
      <w:numFmt w:val="decimal"/>
      <w:start w:val="22"/>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425" Type="http://schemas.openxmlformats.org/officeDocument/2006/relationships/hyperlink" Target="https://www.sec.gov/Archives/edgar/data/1858848/000119312521235079/d193163dex31.htm" TargetMode="External"/><Relationship Id="rId426" Type="http://schemas.openxmlformats.org/officeDocument/2006/relationships/hyperlink" Target="https://www.sec.gov/Archives/edgar/data/1858848/000119312521235079/d193163dex32.htm" TargetMode="External"/><Relationship Id="rId427" Type="http://schemas.openxmlformats.org/officeDocument/2006/relationships/hyperlink" Target="https://www.sec.gov/Archives/edgar/data/1858848/000119312521223559/d175698dex42.htm" TargetMode="External"/><Relationship Id="rId428" Type="http://schemas.openxmlformats.org/officeDocument/2006/relationships/hyperlink" Target="https://www.sec.gov/Archives/edgar/data/1858848/000119312521212010/d175698dex41.htm" TargetMode="External"/><Relationship Id="rId429" Type="http://schemas.openxmlformats.org/officeDocument/2006/relationships/hyperlink" Target="https://www.sec.gov/Archives/edgar/data/1858848/000119312521212010/d175698dex101.htm" TargetMode="External"/><Relationship Id="rId430" Type="http://schemas.openxmlformats.org/officeDocument/2006/relationships/hyperlink" Target="https://www.sec.gov/Archives/edgar/data/1858848/000119312521223559/d175698dex104.htm" TargetMode="External"/><Relationship Id="rId431" Type="http://schemas.openxmlformats.org/officeDocument/2006/relationships/hyperlink" Target="https://www.sec.gov/Archives/edgar/data/1858848/000119312521212010/d175698dex105.htm" TargetMode="External"/><Relationship Id="rId432" Type="http://schemas.openxmlformats.org/officeDocument/2006/relationships/hyperlink" Target="https://www.sec.gov/Archives/edgar/data/1858848/000119312521212010/d175698dex106.htm" TargetMode="External"/><Relationship Id="rId433" Type="http://schemas.openxmlformats.org/officeDocument/2006/relationships/hyperlink" Target="https://www.sec.gov/Archives/edgar/data/1858848/000119312521212010/d175698dex107.htm" TargetMode="External"/><Relationship Id="rId434" Type="http://schemas.openxmlformats.org/officeDocument/2006/relationships/hyperlink" Target="https://www.sec.gov/Archives/edgar/data/1858848/000119312521212010/d175698dex108.htm" TargetMode="External"/><Relationship Id="rId435" Type="http://schemas.openxmlformats.org/officeDocument/2006/relationships/hyperlink" Target="https://www.sec.gov/Archives/edgar/data/1858848/000119312521212010/d175698dex1012.htm" TargetMode="External"/><Relationship Id="rId436" Type="http://schemas.openxmlformats.org/officeDocument/2006/relationships/hyperlink" Target="https://www.sec.gov/Archives/edgar/data/1858848/000119312521212010/d175698dex1013.htm" TargetMode="External"/><Relationship Id="rId437" Type="http://schemas.openxmlformats.org/officeDocument/2006/relationships/hyperlink" Target="https://www.sec.gov/Archives/edgar/data/1858848/000119312521223559/d175698dex1014.htm" TargetMode="External"/><Relationship Id="rId438" Type="http://schemas.openxmlformats.org/officeDocument/2006/relationships/hyperlink" Target="https://www.sec.gov/Archives/edgar/data/1858848/000119312521212010/d175698dex102.htm" TargetMode="External"/><Relationship Id="rId439" Type="http://schemas.openxmlformats.org/officeDocument/2006/relationships/hyperlink" Target="https://www.sec.gov/Archives/edgar/data/1858848/000119312521212010/d175698dex109.htm" TargetMode="External"/><Relationship Id="rId440" Type="http://schemas.openxmlformats.org/officeDocument/2006/relationships/hyperlink" Target="https://www.sec.gov/Archives/edgar/data/1858848/000119312521212010/d175698dex1010.htm" TargetMode="External"/><Relationship Id="rId441" Type="http://schemas.openxmlformats.org/officeDocument/2006/relationships/hyperlink" Target="https://www.sec.gov/Archives/edgar/data/1858848/000119312521212010/d175698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2022-03-23T15:38:30Z</dcterms:created>
  <dcterms:modified xsi:type="dcterms:W3CDTF">2022-03-23T15:38:30Z</dcterms:modified>
</cp:coreProperties>
</file>