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7, 2025</w:t>
      </w:r>
    </w:p>
    <w:p>
      <w:pPr>
        <w:spacing w:after="0" w:line="1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UNDER THE SECURITIES ACT OF 1933</w:t>
      </w:r>
    </w:p>
    <w:p>
      <w:pPr>
        <w:spacing w:after="0" w:line="8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tbl>
      <w:tblPr>
        <w:tblLayout w:type="fixed"/>
        <w:tblInd w:w="2220" w:type="dxa"/>
        <w:tblCellMar>
          <w:top w:w="0" w:type="dxa"/>
          <w:left w:w="0" w:type="dxa"/>
          <w:bottom w:w="0" w:type="dxa"/>
          <w:right w:w="0" w:type="dxa"/>
        </w:tblCellMar>
      </w:tblPr>
      <w:tr>
        <w:trPr>
          <w:trHeight w:val="214"/>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40" w:type="dxa"/>
            <w:vAlign w:val="bottom"/>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w w:val="98"/>
              </w:rPr>
              <w:t>81-3789973</w:t>
            </w:r>
          </w:p>
        </w:tc>
      </w:tr>
      <w:tr>
        <w:trPr>
          <w:trHeight w:val="148"/>
        </w:trPr>
        <w:tc>
          <w:tcPr>
            <w:tcW w:w="39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4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40" w:type="dxa"/>
            <w:vAlign w:val="bottom"/>
          </w:tcPr>
          <w:p>
            <w:pPr>
              <w:jc w:val="center"/>
              <w:ind w:left="194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8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9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9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Faraz Ali, M.B.A.</w:t>
      </w:r>
    </w:p>
    <w:p>
      <w:pPr>
        <w:spacing w:after="0" w:line="3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171 Oyster Point Boulevard, Suite 500</w:t>
      </w:r>
    </w:p>
    <w:p>
      <w:pPr>
        <w:spacing w:after="0" w:line="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(650) 825-6990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560" w:type="dxa"/>
            <w:vAlign w:val="bottom"/>
            <w:tcBorders>
              <w:top w:val="single" w:sz="8" w:color="auto"/>
            </w:tcBorders>
          </w:tcPr>
          <w:p>
            <w:pPr>
              <w:spacing w:after="0"/>
              <w:rPr>
                <w:sz w:val="17"/>
                <w:szCs w:val="17"/>
                <w:color w:val="auto"/>
              </w:rPr>
            </w:pPr>
          </w:p>
        </w:tc>
        <w:tc>
          <w:tcPr>
            <w:tcW w:w="6680" w:type="dxa"/>
            <w:vAlign w:val="bottom"/>
            <w:tcBorders>
              <w:top w:val="single" w:sz="8" w:color="auto"/>
            </w:tcBorders>
          </w:tcPr>
          <w:p>
            <w:pPr>
              <w:ind w:left="70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148"/>
        </w:trPr>
        <w:tc>
          <w:tcPr>
            <w:tcW w:w="4560" w:type="dxa"/>
            <w:vAlign w:val="bottom"/>
          </w:tcPr>
          <w:p>
            <w:pPr>
              <w:jc w:val="center"/>
              <w:ind w:left="988"/>
              <w:spacing w:after="0" w:line="149" w:lineRule="exact"/>
              <w:rPr>
                <w:sz w:val="20"/>
                <w:szCs w:val="20"/>
                <w:color w:val="auto"/>
              </w:rPr>
            </w:pPr>
            <w:r>
              <w:rPr>
                <w:rFonts w:ascii="Times New Roman" w:cs="Times New Roman" w:eastAsia="Times New Roman" w:hAnsi="Times New Roman"/>
                <w:sz w:val="14"/>
                <w:szCs w:val="14"/>
                <w:b w:val="1"/>
                <w:bCs w:val="1"/>
                <w:color w:val="auto"/>
              </w:rPr>
              <w:t>Kenneth A. Clark</w:t>
            </w:r>
          </w:p>
        </w:tc>
        <w:tc>
          <w:tcPr>
            <w:tcW w:w="668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Jennifer Drimmer Rokovich</w:t>
            </w:r>
          </w:p>
        </w:tc>
      </w:tr>
      <w:tr>
        <w:trPr>
          <w:trHeight w:val="149"/>
        </w:trPr>
        <w:tc>
          <w:tcPr>
            <w:tcW w:w="45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rPr>
              <w:t>Jennifer Knapp</w:t>
            </w:r>
          </w:p>
        </w:tc>
        <w:tc>
          <w:tcPr>
            <w:tcW w:w="668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General Counsel</w:t>
            </w:r>
          </w:p>
        </w:tc>
      </w:tr>
      <w:tr>
        <w:trPr>
          <w:trHeight w:val="148"/>
        </w:trPr>
        <w:tc>
          <w:tcPr>
            <w:tcW w:w="45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rPr>
              <w:t>Wilson Sonsini Goodrich &amp; Rosati</w:t>
            </w:r>
          </w:p>
        </w:tc>
        <w:tc>
          <w:tcPr>
            <w:tcW w:w="668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Tenaya Therapeutics, Inc.</w:t>
            </w:r>
          </w:p>
        </w:tc>
      </w:tr>
      <w:tr>
        <w:trPr>
          <w:trHeight w:val="148"/>
        </w:trPr>
        <w:tc>
          <w:tcPr>
            <w:tcW w:w="45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rPr>
              <w:t>Professional Corporation</w:t>
            </w:r>
          </w:p>
        </w:tc>
        <w:tc>
          <w:tcPr>
            <w:tcW w:w="668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171 Oyster Point Boulevard, Suite 500</w:t>
            </w:r>
          </w:p>
        </w:tc>
      </w:tr>
      <w:tr>
        <w:trPr>
          <w:trHeight w:val="149"/>
        </w:trPr>
        <w:tc>
          <w:tcPr>
            <w:tcW w:w="45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rPr>
              <w:t>650 Page Mill Road</w:t>
            </w:r>
          </w:p>
        </w:tc>
        <w:tc>
          <w:tcPr>
            <w:tcW w:w="6680" w:type="dxa"/>
            <w:vAlign w:val="bottom"/>
          </w:tcPr>
          <w:p>
            <w:pPr>
              <w:jc w:val="center"/>
              <w:ind w:left="1005"/>
              <w:spacing w:after="0" w:line="149" w:lineRule="exact"/>
              <w:rPr>
                <w:sz w:val="20"/>
                <w:szCs w:val="20"/>
                <w:color w:val="auto"/>
              </w:rPr>
            </w:pPr>
            <w:r>
              <w:rPr>
                <w:rFonts w:ascii="Times New Roman" w:cs="Times New Roman" w:eastAsia="Times New Roman" w:hAnsi="Times New Roman"/>
                <w:sz w:val="14"/>
                <w:szCs w:val="14"/>
                <w:b w:val="1"/>
                <w:bCs w:val="1"/>
                <w:color w:val="auto"/>
              </w:rPr>
              <w:t>South San Francisco, California 94080</w:t>
            </w:r>
          </w:p>
        </w:tc>
      </w:tr>
      <w:tr>
        <w:trPr>
          <w:trHeight w:val="148"/>
        </w:trPr>
        <w:tc>
          <w:tcPr>
            <w:tcW w:w="4560" w:type="dxa"/>
            <w:vAlign w:val="bottom"/>
          </w:tcPr>
          <w:p>
            <w:pPr>
              <w:jc w:val="center"/>
              <w:ind w:left="968"/>
              <w:spacing w:after="0" w:line="149" w:lineRule="exact"/>
              <w:rPr>
                <w:sz w:val="20"/>
                <w:szCs w:val="20"/>
                <w:color w:val="auto"/>
              </w:rPr>
            </w:pPr>
            <w:r>
              <w:rPr>
                <w:rFonts w:ascii="Times New Roman" w:cs="Times New Roman" w:eastAsia="Times New Roman" w:hAnsi="Times New Roman"/>
                <w:sz w:val="14"/>
                <w:szCs w:val="14"/>
                <w:b w:val="1"/>
                <w:bCs w:val="1"/>
                <w:color w:val="auto"/>
              </w:rPr>
              <w:t>Palo Alto, CA 94304</w:t>
            </w:r>
          </w:p>
        </w:tc>
        <w:tc>
          <w:tcPr>
            <w:tcW w:w="668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(650) 825-6990</w:t>
            </w:r>
          </w:p>
        </w:tc>
      </w:tr>
      <w:tr>
        <w:trPr>
          <w:trHeight w:val="175"/>
        </w:trPr>
        <w:tc>
          <w:tcPr>
            <w:tcW w:w="4560" w:type="dxa"/>
            <w:vAlign w:val="bottom"/>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(650) 493-9300</w:t>
            </w:r>
          </w:p>
        </w:tc>
        <w:tc>
          <w:tcPr>
            <w:tcW w:w="6680" w:type="dxa"/>
            <w:vAlign w:val="bottom"/>
          </w:tcPr>
          <w:p>
            <w:pPr>
              <w:spacing w:after="0"/>
              <w:rPr>
                <w:sz w:val="15"/>
                <w:szCs w:val="15"/>
                <w:color w:val="auto"/>
              </w:rPr>
            </w:pPr>
          </w:p>
        </w:tc>
      </w:tr>
    </w:tbl>
    <w:p>
      <w:pPr>
        <w:ind w:right="40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68"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8"/>
        </w:trPr>
        <w:tc>
          <w:tcPr>
            <w:tcW w:w="3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4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 w:name="page2"/>
    <w:bookmarkEnd w:id="1"/>
    <w:p>
      <w:pPr>
        <w:ind w:left="53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Registration Statement on Form S-8 (Registration Statement) is filed by Tenaya Therapeutics, Inc. (Registrant) for the purpose of registering 3,461,694 shares of common stock of the Registrant reserved for issuance under the 2021 Equity Incentive Plan and 800,000 shares of common stock of the Registrant reserved for issuance under the 2021 Employee Stock Purchase Plan.</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REQUIRED IN THE PROSPECTUS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in accordance with the provisions of Rule 428 under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117" w:lineRule="exact"/>
        <w:rPr>
          <w:sz w:val="20"/>
          <w:szCs w:val="20"/>
          <w:color w:val="auto"/>
        </w:rPr>
      </w:pPr>
    </w:p>
    <w:p>
      <w:pPr>
        <w:ind w:left="2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Securities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(Commission):</w:t>
      </w:r>
    </w:p>
    <w:p>
      <w:pPr>
        <w:spacing w:after="0" w:line="99" w:lineRule="exact"/>
        <w:rPr>
          <w:sz w:val="20"/>
          <w:szCs w:val="20"/>
          <w:color w:val="auto"/>
        </w:rPr>
      </w:pPr>
    </w:p>
    <w:p>
      <w:pPr>
        <w:ind w:right="100" w:firstLine="8"/>
        <w:spacing w:after="0" w:line="282" w:lineRule="auto"/>
        <w:tabs>
          <w:tab w:leader="none" w:pos="2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4">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Commission on March 18, 2024 pursuant to Section 13(a) of the Securities Exchange Act of 1934, as amended (Exchange Act); and</w:t>
      </w:r>
    </w:p>
    <w:p>
      <w:pPr>
        <w:spacing w:after="0" w:line="53" w:lineRule="exact"/>
        <w:rPr>
          <w:rFonts w:ascii="Times New Roman" w:cs="Times New Roman" w:eastAsia="Times New Roman" w:hAnsi="Times New Roman"/>
          <w:sz w:val="18"/>
          <w:szCs w:val="18"/>
          <w:color w:val="auto"/>
        </w:rPr>
      </w:pPr>
    </w:p>
    <w:p>
      <w:pPr>
        <w:ind w:right="420" w:firstLine="8"/>
        <w:spacing w:after="0" w:line="282"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with the Commission pursuant to Sections 13(a) or 15(d) of the Exchange Act since the end of the fiscal year covered by the Registrant’s Annual Report referred to in (a) above; and</w:t>
      </w:r>
    </w:p>
    <w:p>
      <w:pPr>
        <w:spacing w:after="0" w:line="53" w:lineRule="exact"/>
        <w:rPr>
          <w:rFonts w:ascii="Times New Roman" w:cs="Times New Roman" w:eastAsia="Times New Roman" w:hAnsi="Times New Roman"/>
          <w:sz w:val="18"/>
          <w:szCs w:val="18"/>
          <w:color w:val="auto"/>
        </w:rPr>
      </w:pPr>
    </w:p>
    <w:p>
      <w:pPr>
        <w:jc w:val="both"/>
        <w:ind w:right="260" w:firstLine="8"/>
        <w:spacing w:after="0" w:line="266" w:lineRule="auto"/>
        <w:tabs>
          <w:tab w:leader="none" w:pos="2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Company’s Registration Statement on </w:t>
      </w:r>
      <w:hyperlink r:id="rId1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001-40656) filed with the Commission on July 23, 2021, pursuant to Section 12(b) of Exchange Act, including any amendment or report filed for the purpose of updating such description.</w:t>
      </w:r>
    </w:p>
    <w:p>
      <w:pPr>
        <w:spacing w:after="0" w:line="68" w:lineRule="exact"/>
        <w:rPr>
          <w:rFonts w:ascii="Times New Roman" w:cs="Times New Roman" w:eastAsia="Times New Roman" w:hAnsi="Times New Roman"/>
          <w:sz w:val="18"/>
          <w:szCs w:val="18"/>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4" w:lineRule="exact"/>
        <w:rPr>
          <w:rFonts w:ascii="Times New Roman" w:cs="Times New Roman" w:eastAsia="Times New Roman" w:hAnsi="Times New Roman"/>
          <w:sz w:val="18"/>
          <w:szCs w:val="18"/>
          <w:color w:val="auto"/>
        </w:rPr>
      </w:pPr>
    </w:p>
    <w:p>
      <w:pPr>
        <w:ind w:left="2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ind w:left="2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rFonts w:ascii="Times New Roman" w:cs="Times New Roman" w:eastAsia="Times New Roman" w:hAnsi="Times New Roman"/>
          <w:sz w:val="18"/>
          <w:szCs w:val="18"/>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Section 145 of the Delaware General Corporation Law generally empowers a corporation to indemnify its directors and officers, provided that the person acted in good faith and in a manner the person reasonably believed to be in our best interests, and, with respect to any criminal action, had no reasonable cause to believe the person’s actions were unlawful, and to purchase insurance with respect to liability arising out of their capacity or status as directors and officers.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provides for the indemnification of the Registrant’s directors and officers to the fullest extent permitted under the Delaware General Corporation Law.</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the amended and restated bylaws of the Registrant require, subject to certain limitations,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or an officer of the corporation shall not be personally liable to the corporation or its stockholders for monetary damages for breach of fiduciary duty as a director or officer, except (1) for any breach of the director’s or officer’s duty of loyalty to the corporation or its stockholders, (2) for acts or omissions not in good faith or which involve intentional misconduct or a knowing violation of law, (3) for payments of unlawful dividends or unlawful stock repurchases or redemptions, (4) for any transaction from which the director or officer derived an improper personal benefit, or (5) with respect to an officer, in any action by or in the right of the corporation. The Registrant’s amended and restated certificate of incorporation provides that the Registrant’s directors and officers shall not be personally liable to it or its stockholders for monetary damages for breach of fiduciary duty as a director or officer and that if the Delaware General Corporation Law is amended to authorize corporate action further eliminating or limiting the personal liability of directors or officers, then the liability of the Registrant’s directors and officers shall be eliminated or limited to the fullest extent permitted by the Delaware General Corporation Law, as so amended.</w:t>
      </w:r>
    </w:p>
    <w:p>
      <w:pPr>
        <w:spacing w:after="0" w:line="1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Section 174 of the Delaware General Corporation Law provides, among other things, that a director who willfully or negligently approves of an unlawful payment of dividends or an unlawful stock repurchase or redemption may be held liable to the full amount of the dividend unlawfully paid, or to the full amount unlawfully paid for the repurchase or redemption of the corporation’s stock, with interest from the time such liability accrued. A director who was either absent when the unlawful actions were approved, or dissented at the time, may avoid liability by causing his or her dissent to such actions to be entered in the books containing minutes of the proceedings of the board of directors at the time such action occurred or immediately after such absent director receives notice of the unlawful acts.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permitted by the Delaware General Corporation Law, the Registrant has entered into separate indemnification agreements with each of the Registrant’s directors and executive officers which would require the Registrant, among other things, to indemnify them against certain liabilities which may arise by reason of their status as directors or executive officers.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Registrant has obtained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 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under the Securities Act of 1933, as amended.</w:t>
      </w:r>
    </w:p>
    <w:p>
      <w:pPr>
        <w:spacing w:after="0" w:line="248" w:lineRule="exact"/>
        <w:rPr>
          <w:sz w:val="20"/>
          <w:szCs w:val="20"/>
          <w:color w:val="auto"/>
        </w:rPr>
      </w:pPr>
    </w:p>
    <w:p>
      <w:pPr>
        <w:ind w:left="2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2" w:right="379" w:bottom="1440" w:gutter="0" w:footer="0" w:header="0"/>
        </w:sectPr>
      </w:pPr>
    </w:p>
    <w:bookmarkStart w:id="3" w:name="page4"/>
    <w:bookmarkEnd w:id="3"/>
    <w:tbl>
      <w:tblPr>
        <w:tblLayout w:type="fixed"/>
        <w:tblInd w:w="2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380" w:type="dxa"/>
            <w:vAlign w:val="bottom"/>
          </w:tcPr>
          <w:p>
            <w:pPr>
              <w:spacing w:after="0"/>
              <w:rPr>
                <w:sz w:val="20"/>
                <w:szCs w:val="20"/>
                <w:color w:val="auto"/>
              </w:rPr>
            </w:pPr>
          </w:p>
        </w:tc>
        <w:tc>
          <w:tcPr>
            <w:tcW w:w="5680" w:type="dxa"/>
            <w:vAlign w:val="bottom"/>
            <w:gridSpan w:val="9"/>
          </w:tcPr>
          <w:p>
            <w:pPr>
              <w:ind w:left="3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664"/>
        </w:trPr>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20" w:type="dxa"/>
            <w:vAlign w:val="bottom"/>
            <w:gridSpan w:val="7"/>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52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8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Specimen common stock certificate of the Registrant</w:t>
              </w:r>
            </w:hyperlink>
          </w:p>
        </w:tc>
        <w:tc>
          <w:tcPr>
            <w:tcW w:w="220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6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2021 Equity Incentive Plan and forms of agreements thereunder</w:t>
              </w:r>
            </w:hyperlink>
          </w:p>
        </w:tc>
        <w:tc>
          <w:tcPr>
            <w:tcW w:w="14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3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2021 Employee Stock Purchase Plan and forms of agreements thereunder</w:t>
              </w:r>
            </w:hyperlink>
          </w:p>
        </w:tc>
        <w:tc>
          <w:tcPr>
            <w:tcW w:w="7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2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Opinion of Wilson Sonsini Goodrich &amp; Rosati, Professional Corporation</w:t>
            </w:r>
          </w:p>
        </w:tc>
        <w:tc>
          <w:tcPr>
            <w:tcW w:w="7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Consent of Deloitte and Touche LLP, Independent Registered Public Accounting</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Firm</w:t>
            </w:r>
          </w:p>
        </w:tc>
        <w:tc>
          <w:tcPr>
            <w:tcW w:w="56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Consent of Wilson Sonsini Goodrich &amp; Rosati, Professional Corporation (contained</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5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in Exhibit 5.1 hereto)</w:t>
            </w:r>
          </w:p>
        </w:tc>
        <w:tc>
          <w:tcPr>
            <w:tcW w:w="45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Power of Attorney (contained on signature page hereto)</w:t>
            </w:r>
          </w:p>
        </w:tc>
        <w:tc>
          <w:tcPr>
            <w:tcW w:w="20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Filing Fee Table.</w:t>
            </w:r>
          </w:p>
        </w:tc>
        <w:tc>
          <w:tcPr>
            <w:tcW w:w="47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880" w:hanging="859"/>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18"/>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333-257820</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7/26/2021</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001-40656</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3/23/2022</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333-257820</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7/26/2021</w:t>
            </w:r>
          </w:p>
        </w:tc>
      </w:tr>
    </w:tbl>
    <w:p>
      <w:pPr>
        <w:spacing w:after="0" w:line="2683" w:lineRule="exact"/>
        <w:rPr>
          <w:sz w:val="20"/>
          <w:szCs w:val="20"/>
          <w:color w:val="auto"/>
        </w:rPr>
      </w:pPr>
    </w:p>
    <w:p>
      <w:pPr>
        <w:sectPr>
          <w:pgSz w:w="11900" w:h="16838" w:orient="portrait"/>
          <w:cols w:equalWidth="0" w:num="2">
            <w:col w:w="7020" w:space="120"/>
            <w:col w:w="4080"/>
          </w:cols>
          <w:pgMar w:left="320" w:top="1238" w:right="359" w:bottom="1440" w:gutter="0" w:footer="0" w:header="0"/>
        </w:sectPr>
      </w:pPr>
    </w:p>
    <w:p>
      <w:pPr>
        <w:spacing w:after="0" w:line="386" w:lineRule="exact"/>
        <w:rPr>
          <w:sz w:val="20"/>
          <w:szCs w:val="20"/>
          <w:color w:val="auto"/>
        </w:rPr>
      </w:pPr>
    </w:p>
    <w:p>
      <w:pPr>
        <w:ind w:left="2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5" w:lineRule="exact"/>
        <w:rPr>
          <w:sz w:val="20"/>
          <w:szCs w:val="20"/>
          <w:color w:val="auto"/>
        </w:rPr>
      </w:pPr>
    </w:p>
    <w:p>
      <w:pPr>
        <w:ind w:left="580" w:hanging="55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30" w:lineRule="exact"/>
        <w:rPr>
          <w:rFonts w:ascii="Times New Roman" w:cs="Times New Roman" w:eastAsia="Times New Roman" w:hAnsi="Times New Roman"/>
          <w:sz w:val="18"/>
          <w:szCs w:val="18"/>
          <w:color w:val="auto"/>
        </w:rPr>
      </w:pPr>
    </w:p>
    <w:p>
      <w:pPr>
        <w:ind w:left="580" w:hanging="437"/>
        <w:spacing w:after="0"/>
        <w:tabs>
          <w:tab w:leader="none" w:pos="5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file, during any period in which offers or sales are being made, a post-effective amendment to this Registration Statement:</w:t>
      </w:r>
    </w:p>
    <w:p>
      <w:pPr>
        <w:spacing w:after="0" w:line="131" w:lineRule="exact"/>
        <w:rPr>
          <w:sz w:val="20"/>
          <w:szCs w:val="20"/>
          <w:color w:val="auto"/>
        </w:rPr>
      </w:pPr>
    </w:p>
    <w:p>
      <w:pPr>
        <w:ind w:left="580" w:hanging="437"/>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580" w:right="100" w:hanging="437"/>
        <w:spacing w:after="0" w:line="255"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580" w:right="160" w:hanging="437"/>
        <w:spacing w:after="0" w:line="282"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this Registration Statement.</w:t>
      </w:r>
    </w:p>
    <w:p>
      <w:pPr>
        <w:spacing w:after="0" w:line="81" w:lineRule="exact"/>
        <w:rPr>
          <w:sz w:val="20"/>
          <w:szCs w:val="20"/>
          <w:color w:val="auto"/>
        </w:rPr>
      </w:pPr>
    </w:p>
    <w:p>
      <w:pPr>
        <w:jc w:val="both"/>
        <w:ind w:left="580" w:hanging="437"/>
        <w:spacing w:after="0" w:line="266" w:lineRule="auto"/>
        <w:tabs>
          <w:tab w:leader="none" w:pos="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580" w:right="700" w:hanging="437"/>
        <w:spacing w:after="0" w:line="282" w:lineRule="auto"/>
        <w:tabs>
          <w:tab w:leader="none" w:pos="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remove from registration by means of a post-effective amendment any of the securities being registered which remain unsold at the termination of the offering.</w:t>
      </w:r>
    </w:p>
    <w:p>
      <w:pPr>
        <w:spacing w:after="0" w:line="188" w:lineRule="exact"/>
        <w:rPr>
          <w:rFonts w:ascii="Times New Roman" w:cs="Times New Roman" w:eastAsia="Times New Roman" w:hAnsi="Times New Roman"/>
          <w:sz w:val="18"/>
          <w:szCs w:val="18"/>
          <w:color w:val="auto"/>
        </w:rPr>
      </w:pPr>
    </w:p>
    <w:p>
      <w:pPr>
        <w:ind w:left="580" w:right="480" w:hanging="559"/>
        <w:spacing w:after="0" w:line="266"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type w:val="continuous"/>
        </w:sectPr>
      </w:pPr>
    </w:p>
    <w:bookmarkStart w:id="4" w:name="page5"/>
    <w:bookmarkEnd w:id="4"/>
    <w:p>
      <w:pPr>
        <w:ind w:left="559"/>
        <w:spacing w:after="0" w:line="282" w:lineRule="auto"/>
        <w:rPr>
          <w:sz w:val="20"/>
          <w:szCs w:val="20"/>
          <w:color w:val="auto"/>
        </w:rPr>
      </w:pPr>
      <w:r>
        <w:rPr>
          <w:rFonts w:ascii="Times New Roman" w:cs="Times New Roman" w:eastAsia="Times New Roman" w:hAnsi="Times New Roman"/>
          <w:sz w:val="18"/>
          <w:szCs w:val="18"/>
          <w:color w:val="auto"/>
        </w:rPr>
        <w:t>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7" w:lineRule="exact"/>
        <w:rPr>
          <w:sz w:val="20"/>
          <w:szCs w:val="20"/>
          <w:color w:val="auto"/>
        </w:rPr>
      </w:pPr>
    </w:p>
    <w:p>
      <w:pPr>
        <w:ind w:left="559" w:right="80" w:hanging="559"/>
        <w:spacing w:after="0" w:line="254" w:lineRule="auto"/>
        <w:tabs>
          <w:tab w:leader="none" w:pos="5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763270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9"/>
          </w:cols>
          <w:pgMar w:left="341" w:top="1026" w:right="39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on Form S-8 to be signed on its behalf by the undersigned, thereunto duly authorized, in the City of South San Francisco, California, on February 7, 2025.</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Faraz Ali, M.B.A.</w:t>
            </w:r>
          </w:p>
        </w:tc>
      </w:tr>
      <w:tr>
        <w:trPr>
          <w:trHeight w:val="205"/>
        </w:trPr>
        <w:tc>
          <w:tcPr>
            <w:tcW w:w="1680" w:type="dxa"/>
            <w:vAlign w:val="bottom"/>
          </w:tcPr>
          <w:p>
            <w:pPr>
              <w:spacing w:after="0"/>
              <w:rPr>
                <w:sz w:val="17"/>
                <w:szCs w:val="17"/>
                <w:color w:val="auto"/>
              </w:rPr>
            </w:pPr>
          </w:p>
        </w:tc>
        <w:tc>
          <w:tcPr>
            <w:tcW w:w="9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Faraz Ali, M.B.A.</w:t>
            </w:r>
          </w:p>
        </w:tc>
      </w:tr>
      <w:tr>
        <w:trPr>
          <w:trHeight w:val="234"/>
        </w:trPr>
        <w:tc>
          <w:tcPr>
            <w:tcW w:w="1680" w:type="dxa"/>
            <w:vAlign w:val="bottom"/>
          </w:tcPr>
          <w:p>
            <w:pPr>
              <w:spacing w:after="0"/>
              <w:rPr>
                <w:sz w:val="20"/>
                <w:szCs w:val="20"/>
                <w:color w:val="auto"/>
              </w:rPr>
            </w:pPr>
          </w:p>
        </w:tc>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Faraz Ali as his or her true and lawful attorneys-in-fact and agents, with full power of substitution, for him or her and in his or her name, place and stead, in any and all capacities to sign this Registration Statement and any and all amendments thereto (including post-effective amendments),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2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Faraz Ali, M.B.A.</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Faraz Ali, M.B.A.</w:t>
            </w:r>
          </w:p>
        </w:tc>
        <w:tc>
          <w:tcPr>
            <w:tcW w:w="12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 and Interim Principal Financial</w:t>
            </w: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5"/>
        </w:trPr>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Tomohiro Higa, M.B.A.</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Vice President, Finance</w:t>
            </w:r>
          </w:p>
        </w:tc>
        <w:tc>
          <w:tcPr>
            <w:tcW w:w="100" w:type="dxa"/>
            <w:vAlign w:val="bottom"/>
          </w:tcPr>
          <w:p>
            <w:pPr>
              <w:spacing w:after="0"/>
              <w:rPr>
                <w:sz w:val="24"/>
                <w:szCs w:val="24"/>
                <w:color w:val="auto"/>
              </w:rPr>
            </w:pPr>
          </w:p>
        </w:tc>
        <w:tc>
          <w:tcPr>
            <w:tcW w:w="2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Tomohiro Higa, M.B.A.</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Interim Principal Accounting Officer</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Amy Burroughs, M.B.A.</w:t>
            </w: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Amy Burroughs, M.B.A.</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V. Goeddel, Ph.D.</w:t>
            </w: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David V. Goeddel, Ph.D.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June Lee, M.D.</w:t>
            </w: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Lee, M.D.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Karah Parschauer, J.D.</w:t>
            </w: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Karah Parschauer, J.D.</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Deepak Srivastava, M.D.</w:t>
            </w: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Deepak Srivastava, M.D.</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Catherine Stehman-Breen, M.D.</w:t>
            </w: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Catherine Stehman-Breen, M.D.</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Jeffrey T. Walsh, M.B.A.</w:t>
            </w:r>
          </w:p>
        </w:tc>
        <w:tc>
          <w:tcPr>
            <w:tcW w:w="1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February 7,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T. Walsh, M.B.A.</w:t>
            </w:r>
          </w:p>
        </w:tc>
        <w:tc>
          <w:tcPr>
            <w:tcW w:w="1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1"/>
        </w:trPr>
        <w:tc>
          <w:tcPr>
            <w:tcW w:w="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6" w:name="page7"/>
    <w:bookmarkEnd w:id="6"/>
    <w:p>
      <w:pPr>
        <w:spacing w:after="0"/>
        <w:tabs>
          <w:tab w:leader="none" w:pos="4200" w:val="left"/>
          <w:tab w:leader="none" w:pos="9560" w:val="left"/>
        </w:tabs>
        <w:rPr>
          <w:sz w:val="20"/>
          <w:szCs w:val="20"/>
          <w:color w:val="auto"/>
        </w:rPr>
      </w:pPr>
      <w:r>
        <w:rPr>
          <w:rFonts w:ascii="Times New Roman" w:cs="Times New Roman" w:eastAsia="Times New Roman" w:hAnsi="Times New Roman"/>
          <w:sz w:val="18"/>
          <w:szCs w:val="18"/>
          <w:color w:val="auto"/>
        </w:rPr>
        <w:t>/s/ R. Sanders (Sandy) Williams, M.D.</w:t>
      </w:r>
      <w:r>
        <w:rPr>
          <w:sz w:val="20"/>
          <w:szCs w:val="20"/>
          <w:color w:val="auto"/>
        </w:rPr>
        <w:tab/>
      </w: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February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6060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Sanders (Sandy) Williams,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644525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42" w:right="7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294005</wp:posOffset>
            </wp:positionV>
            <wp:extent cx="1011555"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115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20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O: 650.493.9300</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F: 866.974.7329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 Oyster Point Boulevard, Suite 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 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color w:val="auto"/>
        </w:rPr>
        <w:t>We have examined the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to be filed by Tenaya Therapeutics, Inc., a Delaware corporation,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or about the date hereof, in connection with the registration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of (i) 3,461,694 shares of Common Stock reserved for issuance pursuant to the 2021 Equity Incentive Plan, and (ii) 800,000 shares of Common Stock reserved for issuance pursuant to the 2021 Employee Stock Purchase Plan (which plans are referred to herein as the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 and which shares of Common Stock are referred to herein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issued and sold in the manner referred to in the Plans and pursuant to the agreements that accompany the Plans, will be legally and validly issued, fully paid, and nonassessable.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the use of our name wherever appearing in the Registration Statement and any amendments thereto. In giving such consent, we do not thereby admit that we are in the category of persons whose consent is required under Section 7 of the Act or the rules and regulations of the Commission thereunder.</w:t>
      </w:r>
    </w:p>
    <w:p>
      <w:pPr>
        <w:spacing w:after="0" w:line="39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7" w:lineRule="exact"/>
        <w:rPr>
          <w:sz w:val="20"/>
          <w:szCs w:val="20"/>
          <w:color w:val="auto"/>
        </w:rPr>
      </w:pPr>
    </w:p>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AUSTIN BEIJING BOSTON BOULDER BRUSSELS CENTURY CITY HONG KONG LONDON LOS ANGELES NEW YORK PALO ALTO SALT LAKE CITY SAN DIEGO SAN FRANCISCO SEATTLE SHANGHAI SOMA WASHINGTON, DC WILMINGTON,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18, 2024 relating to the financial statements of Tenaya Therapeutics, Inc., appearing in the Annual Report on Form 10-K of Tenaya Therapeutics, Inc. for the year ended December 31, 2023.</w:t>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 w:name="page10"/>
    <w:bookmarkEnd w:id="9"/>
    <w:p>
      <w:pPr>
        <w:ind w:left="1032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 Newly Registered Securities</w:t>
      </w:r>
    </w:p>
    <w:p>
      <w:pPr>
        <w:spacing w:after="0" w:line="28" w:lineRule="exact"/>
        <w:rPr>
          <w:sz w:val="20"/>
          <w:szCs w:val="20"/>
          <w:color w:val="auto"/>
        </w:rPr>
      </w:pPr>
    </w:p>
    <w:tbl>
      <w:tblPr>
        <w:tblLayout w:type="fixed"/>
        <w:tblInd w:w="10" w:type="dxa"/>
        <w:tblCellMar>
          <w:top w:w="0" w:type="dxa"/>
          <w:left w:w="0" w:type="dxa"/>
          <w:bottom w:w="0" w:type="dxa"/>
          <w:right w:w="0" w:type="dxa"/>
        </w:tblCellMar>
      </w:tblPr>
      <w:tr>
        <w:trPr>
          <w:trHeight w:val="112"/>
        </w:trPr>
        <w:tc>
          <w:tcPr>
            <w:tcW w:w="940" w:type="dxa"/>
            <w:vAlign w:val="bottom"/>
            <w:tcBorders>
              <w:top w:val="single" w:sz="8" w:color="auto"/>
              <w:left w:val="single" w:sz="8" w:color="auto"/>
              <w:right w:val="single" w:sz="8" w:color="auto"/>
            </w:tcBorders>
          </w:tcPr>
          <w:p>
            <w:pPr>
              <w:spacing w:after="0"/>
              <w:rPr>
                <w:sz w:val="9"/>
                <w:szCs w:val="9"/>
                <w:color w:val="auto"/>
              </w:rPr>
            </w:pPr>
          </w:p>
        </w:tc>
        <w:tc>
          <w:tcPr>
            <w:tcW w:w="3680" w:type="dxa"/>
            <w:vAlign w:val="bottom"/>
            <w:tcBorders>
              <w:top w:val="single" w:sz="8" w:color="auto"/>
              <w:right w:val="single" w:sz="8" w:color="auto"/>
            </w:tcBorders>
          </w:tcPr>
          <w:p>
            <w:pPr>
              <w:spacing w:after="0"/>
              <w:rPr>
                <w:sz w:val="9"/>
                <w:szCs w:val="9"/>
                <w:color w:val="auto"/>
              </w:rPr>
            </w:pPr>
          </w:p>
        </w:tc>
        <w:tc>
          <w:tcPr>
            <w:tcW w:w="920" w:type="dxa"/>
            <w:vAlign w:val="bottom"/>
            <w:tcBorders>
              <w:top w:val="single" w:sz="8" w:color="auto"/>
              <w:right w:val="single" w:sz="8" w:color="auto"/>
            </w:tcBorders>
          </w:tcPr>
          <w:p>
            <w:pPr>
              <w:spacing w:after="0"/>
              <w:rPr>
                <w:sz w:val="9"/>
                <w:szCs w:val="9"/>
                <w:color w:val="auto"/>
              </w:rPr>
            </w:pPr>
          </w:p>
        </w:tc>
        <w:tc>
          <w:tcPr>
            <w:tcW w:w="1000" w:type="dxa"/>
            <w:vAlign w:val="bottom"/>
            <w:tcBorders>
              <w:top w:val="single" w:sz="8" w:color="auto"/>
              <w:right w:val="single" w:sz="8" w:color="auto"/>
            </w:tcBorders>
          </w:tcPr>
          <w:p>
            <w:pPr>
              <w:spacing w:after="0"/>
              <w:rPr>
                <w:sz w:val="9"/>
                <w:szCs w:val="9"/>
                <w:color w:val="auto"/>
              </w:rPr>
            </w:pPr>
          </w:p>
        </w:tc>
        <w:tc>
          <w:tcPr>
            <w:tcW w:w="800" w:type="dxa"/>
            <w:vAlign w:val="bottom"/>
            <w:tcBorders>
              <w:top w:val="single" w:sz="8" w:color="auto"/>
              <w:right w:val="single" w:sz="8" w:color="auto"/>
            </w:tcBorders>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440" w:type="dxa"/>
            <w:vAlign w:val="bottom"/>
            <w:tcBorders>
              <w:top w:val="single" w:sz="8" w:color="auto"/>
              <w:right w:val="single" w:sz="8" w:color="auto"/>
            </w:tcBorders>
          </w:tcPr>
          <w:p>
            <w:pPr>
              <w:spacing w:after="0"/>
              <w:rPr>
                <w:sz w:val="9"/>
                <w:szCs w:val="9"/>
                <w:color w:val="auto"/>
              </w:rPr>
            </w:pPr>
          </w:p>
        </w:tc>
        <w:tc>
          <w:tcPr>
            <w:tcW w:w="1220" w:type="dxa"/>
            <w:vAlign w:val="bottom"/>
            <w:tcBorders>
              <w:top w:val="single" w:sz="8" w:color="auto"/>
              <w:right w:val="single" w:sz="8" w:color="auto"/>
            </w:tcBorders>
          </w:tcPr>
          <w:p>
            <w:pPr>
              <w:spacing w:after="0"/>
              <w:rPr>
                <w:sz w:val="9"/>
                <w:szCs w:val="9"/>
                <w:color w:val="auto"/>
              </w:rPr>
            </w:pPr>
          </w:p>
        </w:tc>
        <w:tc>
          <w:tcPr>
            <w:tcW w:w="112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36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2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3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10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2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ind w:left="240"/>
              <w:spacing w:after="0" w:line="135"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0" w:type="dxa"/>
            <w:vAlign w:val="bottom"/>
          </w:tcPr>
          <w:p>
            <w:pPr>
              <w:spacing w:after="0"/>
              <w:rPr>
                <w:sz w:val="1"/>
                <w:szCs w:val="1"/>
                <w:color w:val="auto"/>
              </w:rPr>
            </w:pPr>
          </w:p>
        </w:tc>
      </w:tr>
      <w:tr>
        <w:trPr>
          <w:trHeight w:val="142"/>
        </w:trPr>
        <w:tc>
          <w:tcPr>
            <w:tcW w:w="940" w:type="dxa"/>
            <w:vAlign w:val="bottom"/>
            <w:tcBorders>
              <w:left w:val="single" w:sz="8" w:color="auto"/>
              <w:right w:val="single" w:sz="8" w:color="auto"/>
            </w:tcBorders>
          </w:tcPr>
          <w:p>
            <w:pPr>
              <w:ind w:left="280"/>
              <w:spacing w:after="0" w:line="142" w:lineRule="exact"/>
              <w:rPr>
                <w:sz w:val="20"/>
                <w:szCs w:val="20"/>
                <w:color w:val="auto"/>
              </w:rPr>
            </w:pPr>
            <w:r>
              <w:rPr>
                <w:rFonts w:ascii="Times New Roman" w:cs="Times New Roman" w:eastAsia="Times New Roman" w:hAnsi="Times New Roman"/>
                <w:sz w:val="13"/>
                <w:szCs w:val="13"/>
                <w:b w:val="1"/>
                <w:bCs w:val="1"/>
                <w:color w:val="auto"/>
              </w:rPr>
              <w:t>Security</w:t>
            </w:r>
          </w:p>
        </w:tc>
        <w:tc>
          <w:tcPr>
            <w:tcW w:w="36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92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00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4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1220" w:type="dxa"/>
            <w:vAlign w:val="bottom"/>
            <w:tcBorders>
              <w:right w:val="single" w:sz="8" w:color="auto"/>
            </w:tcBorders>
          </w:tcPr>
          <w:p>
            <w:pPr>
              <w:ind w:left="500"/>
              <w:spacing w:after="0" w:line="142" w:lineRule="exact"/>
              <w:rPr>
                <w:sz w:val="20"/>
                <w:szCs w:val="20"/>
                <w:color w:val="auto"/>
              </w:rPr>
            </w:pPr>
            <w:r>
              <w:rPr>
                <w:rFonts w:ascii="Times New Roman" w:cs="Times New Roman" w:eastAsia="Times New Roman" w:hAnsi="Times New Roman"/>
                <w:sz w:val="13"/>
                <w:szCs w:val="13"/>
                <w:b w:val="1"/>
                <w:bCs w:val="1"/>
                <w:color w:val="auto"/>
              </w:rPr>
              <w:t>Fee</w:t>
            </w:r>
          </w:p>
        </w:tc>
        <w:tc>
          <w:tcPr>
            <w:tcW w:w="1120" w:type="dxa"/>
            <w:vAlign w:val="bottom"/>
            <w:tcBorders>
              <w:right w:val="single" w:sz="8" w:color="auto"/>
            </w:tcBorders>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Registration</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ind w:left="400"/>
              <w:spacing w:after="0" w:line="135" w:lineRule="exact"/>
              <w:rPr>
                <w:sz w:val="20"/>
                <w:szCs w:val="20"/>
                <w:color w:val="auto"/>
              </w:rPr>
            </w:pPr>
            <w:r>
              <w:rPr>
                <w:rFonts w:ascii="Times New Roman" w:cs="Times New Roman" w:eastAsia="Times New Roman" w:hAnsi="Times New Roman"/>
                <w:sz w:val="13"/>
                <w:szCs w:val="13"/>
                <w:b w:val="1"/>
                <w:bCs w:val="1"/>
                <w:color w:val="auto"/>
              </w:rPr>
              <w:t>Type</w:t>
            </w:r>
          </w:p>
        </w:tc>
        <w:tc>
          <w:tcPr>
            <w:tcW w:w="3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Title</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Rule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Registered </w:t>
            </w:r>
            <w:r>
              <w:rPr>
                <w:rFonts w:ascii="Times New Roman" w:cs="Times New Roman" w:eastAsia="Times New Roman" w:hAnsi="Times New Roman"/>
                <w:sz w:val="15"/>
                <w:szCs w:val="15"/>
                <w:b w:val="1"/>
                <w:bCs w:val="1"/>
                <w:color w:val="auto"/>
                <w:vertAlign w:val="superscript"/>
              </w:rPr>
              <w:t>(1)</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w:t>
            </w:r>
          </w:p>
        </w:tc>
        <w:tc>
          <w:tcPr>
            <w:tcW w:w="14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2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Rate</w:t>
            </w:r>
          </w:p>
        </w:tc>
        <w:tc>
          <w:tcPr>
            <w:tcW w:w="1120" w:type="dxa"/>
            <w:vAlign w:val="bottom"/>
            <w:tcBorders>
              <w:right w:val="single" w:sz="8" w:color="auto"/>
            </w:tcBorders>
          </w:tcPr>
          <w:p>
            <w:pPr>
              <w:ind w:left="440"/>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0" w:type="dxa"/>
            <w:vAlign w:val="bottom"/>
          </w:tcPr>
          <w:p>
            <w:pPr>
              <w:spacing w:after="0"/>
              <w:rPr>
                <w:sz w:val="1"/>
                <w:szCs w:val="1"/>
                <w:color w:val="auto"/>
              </w:rPr>
            </w:pPr>
          </w:p>
        </w:tc>
      </w:tr>
      <w:tr>
        <w:trPr>
          <w:trHeight w:val="2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3680" w:type="dxa"/>
            <w:vAlign w:val="bottom"/>
            <w:tcBorders>
              <w:right w:val="single" w:sz="8" w:color="auto"/>
            </w:tcBorders>
            <w:vMerge w:val="restart"/>
          </w:tcPr>
          <w:p>
            <w:pPr>
              <w:jc w:val="center"/>
              <w:ind w:right="15"/>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1000" w:type="dxa"/>
            <w:vAlign w:val="bottom"/>
            <w:tcBorders>
              <w:right w:val="single" w:sz="8" w:color="auto"/>
            </w:tcBorders>
            <w:vMerge w:val="restart"/>
          </w:tcPr>
          <w:p>
            <w:pPr>
              <w:jc w:val="center"/>
              <w:spacing w:after="0" w:line="239" w:lineRule="exact"/>
              <w:rPr>
                <w:sz w:val="20"/>
                <w:szCs w:val="20"/>
                <w:color w:val="auto"/>
              </w:rPr>
            </w:pPr>
            <w:r>
              <w:rPr>
                <w:rFonts w:ascii="Times New Roman" w:cs="Times New Roman" w:eastAsia="Times New Roman" w:hAnsi="Times New Roman"/>
                <w:sz w:val="18"/>
                <w:szCs w:val="18"/>
                <w:color w:val="auto"/>
                <w:w w:val="99"/>
              </w:rPr>
              <w:t>1,629,475</w:t>
            </w:r>
            <w:r>
              <w:rPr>
                <w:rFonts w:ascii="Times New Roman" w:cs="Times New Roman" w:eastAsia="Times New Roman" w:hAnsi="Times New Roman"/>
                <w:sz w:val="24"/>
                <w:szCs w:val="24"/>
                <w:color w:val="auto"/>
                <w:w w:val="99"/>
                <w:vertAlign w:val="superscript"/>
              </w:rPr>
              <w:t>(2)</w:t>
            </w:r>
          </w:p>
        </w:tc>
        <w:tc>
          <w:tcPr>
            <w:tcW w:w="800" w:type="dxa"/>
            <w:vAlign w:val="bottom"/>
            <w:tcBorders>
              <w:right w:val="single" w:sz="8" w:color="auto"/>
            </w:tcBorders>
            <w:vMerge w:val="restart"/>
          </w:tcPr>
          <w:p>
            <w:pPr>
              <w:jc w:val="center"/>
              <w:spacing w:after="0" w:line="239" w:lineRule="exact"/>
              <w:rPr>
                <w:sz w:val="20"/>
                <w:szCs w:val="20"/>
                <w:color w:val="auto"/>
              </w:rPr>
            </w:pPr>
            <w:r>
              <w:rPr>
                <w:rFonts w:ascii="Times New Roman" w:cs="Times New Roman" w:eastAsia="Times New Roman" w:hAnsi="Times New Roman"/>
                <w:sz w:val="17"/>
                <w:szCs w:val="17"/>
                <w:color w:val="auto"/>
                <w:w w:val="97"/>
              </w:rPr>
              <w:t>$1.07</w:t>
            </w:r>
            <w:r>
              <w:rPr>
                <w:rFonts w:ascii="Times New Roman" w:cs="Times New Roman" w:eastAsia="Times New Roman" w:hAnsi="Times New Roman"/>
                <w:sz w:val="27"/>
                <w:szCs w:val="27"/>
                <w:color w:val="auto"/>
                <w:w w:val="97"/>
                <w:vertAlign w:val="superscript"/>
              </w:rPr>
              <w:t>(3)</w:t>
            </w:r>
          </w:p>
        </w:tc>
        <w:tc>
          <w:tcPr>
            <w:tcW w:w="1440" w:type="dxa"/>
            <w:vAlign w:val="bottom"/>
            <w:tcBorders>
              <w:right w:val="single" w:sz="8" w:color="auto"/>
            </w:tcBorders>
            <w:vMerge w:val="restart"/>
          </w:tcPr>
          <w:p>
            <w:pPr>
              <w:jc w:val="right"/>
              <w:ind w:right="184"/>
              <w:spacing w:after="0"/>
              <w:rPr>
                <w:sz w:val="20"/>
                <w:szCs w:val="20"/>
                <w:color w:val="auto"/>
              </w:rPr>
            </w:pPr>
            <w:r>
              <w:rPr>
                <w:rFonts w:ascii="Times New Roman" w:cs="Times New Roman" w:eastAsia="Times New Roman" w:hAnsi="Times New Roman"/>
                <w:sz w:val="18"/>
                <w:szCs w:val="18"/>
                <w:color w:val="auto"/>
              </w:rPr>
              <w:t>$1,743,537.82</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$153.10 per</w:t>
            </w:r>
          </w:p>
        </w:tc>
        <w:tc>
          <w:tcPr>
            <w:tcW w:w="1120" w:type="dxa"/>
            <w:vAlign w:val="bottom"/>
            <w:tcBorders>
              <w:right w:val="single" w:sz="8" w:color="auto"/>
            </w:tcBorders>
            <w:vMerge w:val="restart"/>
          </w:tcPr>
          <w:p>
            <w:pPr>
              <w:jc w:val="right"/>
              <w:ind w:right="219"/>
              <w:spacing w:after="0"/>
              <w:rPr>
                <w:sz w:val="20"/>
                <w:szCs w:val="20"/>
                <w:color w:val="auto"/>
              </w:rPr>
            </w:pPr>
            <w:r>
              <w:rPr>
                <w:rFonts w:ascii="Times New Roman" w:cs="Times New Roman" w:eastAsia="Times New Roman" w:hAnsi="Times New Roman"/>
                <w:sz w:val="18"/>
                <w:szCs w:val="18"/>
                <w:color w:val="auto"/>
              </w:rPr>
              <w:t>$266.94</w:t>
            </w:r>
          </w:p>
        </w:tc>
        <w:tc>
          <w:tcPr>
            <w:tcW w:w="0" w:type="dxa"/>
            <w:vAlign w:val="bottom"/>
          </w:tcPr>
          <w:p>
            <w:pPr>
              <w:spacing w:after="0"/>
              <w:rPr>
                <w:sz w:val="1"/>
                <w:szCs w:val="1"/>
                <w:color w:val="auto"/>
              </w:rPr>
            </w:pPr>
          </w:p>
        </w:tc>
      </w:tr>
      <w:tr>
        <w:trPr>
          <w:trHeight w:val="194"/>
        </w:trPr>
        <w:tc>
          <w:tcPr>
            <w:tcW w:w="940" w:type="dxa"/>
            <w:vAlign w:val="bottom"/>
            <w:tcBorders>
              <w:left w:val="single" w:sz="8" w:color="auto"/>
              <w:right w:val="single" w:sz="8" w:color="auto"/>
            </w:tcBorders>
          </w:tcPr>
          <w:p>
            <w:pPr>
              <w:ind w:left="280"/>
              <w:spacing w:after="0" w:line="195" w:lineRule="exact"/>
              <w:rPr>
                <w:sz w:val="20"/>
                <w:szCs w:val="20"/>
                <w:color w:val="auto"/>
              </w:rPr>
            </w:pPr>
            <w:r>
              <w:rPr>
                <w:rFonts w:ascii="Times New Roman" w:cs="Times New Roman" w:eastAsia="Times New Roman" w:hAnsi="Times New Roman"/>
                <w:sz w:val="18"/>
                <w:szCs w:val="18"/>
                <w:color w:val="auto"/>
              </w:rPr>
              <w:t>Equity</w:t>
            </w:r>
          </w:p>
        </w:tc>
        <w:tc>
          <w:tcPr>
            <w:tcW w:w="3680" w:type="dxa"/>
            <w:vAlign w:val="bottom"/>
            <w:tcBorders>
              <w:right w:val="single" w:sz="8" w:color="auto"/>
            </w:tcBorders>
            <w:vMerge w:val="continue"/>
          </w:tcPr>
          <w:p>
            <w:pPr>
              <w:spacing w:after="0"/>
              <w:rPr>
                <w:sz w:val="16"/>
                <w:szCs w:val="16"/>
                <w:color w:val="auto"/>
              </w:rPr>
            </w:pPr>
          </w:p>
        </w:tc>
        <w:tc>
          <w:tcPr>
            <w:tcW w:w="920" w:type="dxa"/>
            <w:vAlign w:val="bottom"/>
            <w:tcBorders>
              <w:right w:val="single" w:sz="8" w:color="auto"/>
            </w:tcBorders>
            <w:vMerge w:val="continue"/>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80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reserved for issuance pursuant to the 2021 Equity</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10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Incentive Plan</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right w:val="single" w:sz="8" w:color="auto"/>
            </w:tcBorders>
            <w:vMerge w:val="restart"/>
          </w:tcPr>
          <w:p>
            <w:pPr>
              <w:jc w:val="right"/>
              <w:ind w:right="42"/>
              <w:spacing w:after="0"/>
              <w:rPr>
                <w:sz w:val="20"/>
                <w:szCs w:val="20"/>
                <w:color w:val="auto"/>
              </w:rPr>
            </w:pPr>
            <w:r>
              <w:rPr>
                <w:rFonts w:ascii="Times New Roman" w:cs="Times New Roman" w:eastAsia="Times New Roman" w:hAnsi="Times New Roman"/>
                <w:sz w:val="18"/>
                <w:szCs w:val="18"/>
                <w:color w:val="auto"/>
                <w:w w:val="94"/>
              </w:rPr>
              <w:t>1,832,219</w:t>
            </w:r>
            <w:r>
              <w:rPr>
                <w:rFonts w:ascii="Times New Roman" w:cs="Times New Roman" w:eastAsia="Times New Roman" w:hAnsi="Times New Roman"/>
                <w:sz w:val="24"/>
                <w:szCs w:val="24"/>
                <w:color w:val="auto"/>
                <w:w w:val="94"/>
                <w:vertAlign w:val="superscript"/>
              </w:rPr>
              <w:t>(4)</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$1.21</w:t>
            </w:r>
            <w:r>
              <w:rPr>
                <w:rFonts w:ascii="Times New Roman" w:cs="Times New Roman" w:eastAsia="Times New Roman" w:hAnsi="Times New Roman"/>
                <w:sz w:val="28"/>
                <w:szCs w:val="28"/>
                <w:color w:val="auto"/>
                <w:w w:val="93"/>
                <w:vertAlign w:val="superscript"/>
              </w:rPr>
              <w:t>(5)</w:t>
            </w:r>
          </w:p>
        </w:tc>
        <w:tc>
          <w:tcPr>
            <w:tcW w:w="14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4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Equity</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 to be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1000" w:type="dxa"/>
            <w:vAlign w:val="bottom"/>
            <w:tcBorders>
              <w:right w:val="single" w:sz="8" w:color="auto"/>
            </w:tcBorders>
            <w:vMerge w:val="continue"/>
          </w:tcPr>
          <w:p>
            <w:pPr>
              <w:spacing w:after="0"/>
              <w:rPr>
                <w:sz w:val="18"/>
                <w:szCs w:val="18"/>
                <w:color w:val="auto"/>
              </w:rPr>
            </w:pPr>
          </w:p>
        </w:tc>
        <w:tc>
          <w:tcPr>
            <w:tcW w:w="800" w:type="dxa"/>
            <w:vAlign w:val="bottom"/>
            <w:tcBorders>
              <w:right w:val="single" w:sz="8" w:color="auto"/>
            </w:tcBorders>
            <w:vMerge w:val="continue"/>
          </w:tcPr>
          <w:p>
            <w:pPr>
              <w:spacing w:after="0"/>
              <w:rPr>
                <w:sz w:val="18"/>
                <w:szCs w:val="18"/>
                <w:color w:val="auto"/>
              </w:rPr>
            </w:pPr>
          </w:p>
        </w:tc>
        <w:tc>
          <w:tcPr>
            <w:tcW w:w="1440" w:type="dxa"/>
            <w:vAlign w:val="bottom"/>
            <w:tcBorders>
              <w:right w:val="single" w:sz="8" w:color="auto"/>
            </w:tcBorders>
          </w:tcPr>
          <w:p>
            <w:pPr>
              <w:jc w:val="right"/>
              <w:ind w:right="184"/>
              <w:spacing w:after="0"/>
              <w:rPr>
                <w:sz w:val="20"/>
                <w:szCs w:val="20"/>
                <w:color w:val="auto"/>
              </w:rPr>
            </w:pPr>
            <w:r>
              <w:rPr>
                <w:rFonts w:ascii="Times New Roman" w:cs="Times New Roman" w:eastAsia="Times New Roman" w:hAnsi="Times New Roman"/>
                <w:sz w:val="18"/>
                <w:szCs w:val="18"/>
                <w:color w:val="auto"/>
              </w:rPr>
              <w:t>$2,216,984.99</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$153.10 per</w:t>
            </w:r>
          </w:p>
        </w:tc>
        <w:tc>
          <w:tcPr>
            <w:tcW w:w="11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$339.42</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issued pursuant to outstanding options under the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10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right w:val="single" w:sz="8" w:color="auto"/>
            </w:tcBorders>
          </w:tcPr>
          <w:p>
            <w:pPr>
              <w:spacing w:after="0"/>
              <w:rPr>
                <w:sz w:val="20"/>
                <w:szCs w:val="20"/>
                <w:color w:val="auto"/>
              </w:rPr>
            </w:pP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 Equity Incentive Plan</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right w:val="single" w:sz="8" w:color="auto"/>
            </w:tcBorders>
            <w:vMerge w:val="restart"/>
          </w:tcPr>
          <w:p>
            <w:pPr>
              <w:jc w:val="center"/>
              <w:ind w:right="42"/>
              <w:spacing w:after="0"/>
              <w:rPr>
                <w:sz w:val="20"/>
                <w:szCs w:val="20"/>
                <w:color w:val="auto"/>
              </w:rPr>
            </w:pPr>
            <w:r>
              <w:rPr>
                <w:rFonts w:ascii="Times New Roman" w:cs="Times New Roman" w:eastAsia="Times New Roman" w:hAnsi="Times New Roman"/>
                <w:sz w:val="18"/>
                <w:szCs w:val="18"/>
                <w:color w:val="auto"/>
              </w:rPr>
              <w:t>800,000</w:t>
            </w:r>
            <w:r>
              <w:rPr>
                <w:rFonts w:ascii="Times New Roman" w:cs="Times New Roman" w:eastAsia="Times New Roman" w:hAnsi="Times New Roman"/>
                <w:sz w:val="24"/>
                <w:szCs w:val="24"/>
                <w:color w:val="auto"/>
                <w:vertAlign w:val="superscript"/>
              </w:rPr>
              <w:t>(6)</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$0.91</w:t>
            </w:r>
            <w:r>
              <w:rPr>
                <w:rFonts w:ascii="Times New Roman" w:cs="Times New Roman" w:eastAsia="Times New Roman" w:hAnsi="Times New Roman"/>
                <w:sz w:val="28"/>
                <w:szCs w:val="28"/>
                <w:color w:val="auto"/>
                <w:w w:val="93"/>
                <w:vertAlign w:val="superscript"/>
              </w:rPr>
              <w:t>(7)</w:t>
            </w:r>
          </w:p>
        </w:tc>
        <w:tc>
          <w:tcPr>
            <w:tcW w:w="14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4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Equity</w:t>
            </w:r>
          </w:p>
        </w:tc>
        <w:tc>
          <w:tcPr>
            <w:tcW w:w="3680" w:type="dxa"/>
            <w:vAlign w:val="bottom"/>
            <w:tcBorders>
              <w:right w:val="single" w:sz="8" w:color="auto"/>
            </w:tcBorders>
          </w:tcPr>
          <w:p>
            <w:pPr>
              <w:jc w:val="center"/>
              <w:ind w:right="15"/>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1000" w:type="dxa"/>
            <w:vAlign w:val="bottom"/>
            <w:tcBorders>
              <w:right w:val="single" w:sz="8" w:color="auto"/>
            </w:tcBorders>
            <w:vMerge w:val="continue"/>
          </w:tcPr>
          <w:p>
            <w:pPr>
              <w:spacing w:after="0"/>
              <w:rPr>
                <w:sz w:val="18"/>
                <w:szCs w:val="18"/>
                <w:color w:val="auto"/>
              </w:rPr>
            </w:pPr>
          </w:p>
        </w:tc>
        <w:tc>
          <w:tcPr>
            <w:tcW w:w="800" w:type="dxa"/>
            <w:vAlign w:val="bottom"/>
            <w:tcBorders>
              <w:right w:val="single" w:sz="8" w:color="auto"/>
            </w:tcBorders>
            <w:vMerge w:val="continue"/>
          </w:tcPr>
          <w:p>
            <w:pPr>
              <w:spacing w:after="0"/>
              <w:rPr>
                <w:sz w:val="18"/>
                <w:szCs w:val="18"/>
                <w:color w:val="auto"/>
              </w:rPr>
            </w:pPr>
          </w:p>
        </w:tc>
        <w:tc>
          <w:tcPr>
            <w:tcW w:w="1440" w:type="dxa"/>
            <w:vAlign w:val="bottom"/>
            <w:tcBorders>
              <w:right w:val="single" w:sz="8" w:color="auto"/>
            </w:tcBorders>
          </w:tcPr>
          <w:p>
            <w:pPr>
              <w:jc w:val="center"/>
              <w:ind w:right="24"/>
              <w:spacing w:after="0"/>
              <w:rPr>
                <w:sz w:val="20"/>
                <w:szCs w:val="20"/>
                <w:color w:val="auto"/>
              </w:rPr>
            </w:pPr>
            <w:r>
              <w:rPr>
                <w:rFonts w:ascii="Times New Roman" w:cs="Times New Roman" w:eastAsia="Times New Roman" w:hAnsi="Times New Roman"/>
                <w:sz w:val="18"/>
                <w:szCs w:val="18"/>
                <w:color w:val="auto"/>
                <w:w w:val="99"/>
              </w:rPr>
              <w:t>$728,000.00</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$153.10 per</w:t>
            </w:r>
          </w:p>
        </w:tc>
        <w:tc>
          <w:tcPr>
            <w:tcW w:w="11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$111.46</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reserved for issuance pursuant to the 2021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10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Employee Stock Purchase Plan</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tcBorders>
          </w:tcPr>
          <w:p>
            <w:pPr>
              <w:spacing w:after="0"/>
              <w:rPr>
                <w:sz w:val="18"/>
                <w:szCs w:val="18"/>
                <w:color w:val="auto"/>
              </w:rPr>
            </w:pPr>
          </w:p>
        </w:tc>
        <w:tc>
          <w:tcPr>
            <w:tcW w:w="3680" w:type="dxa"/>
            <w:vAlign w:val="bottom"/>
            <w:tcBorders>
              <w:bottom w:val="single" w:sz="8" w:color="auto"/>
            </w:tcBorders>
          </w:tcPr>
          <w:p>
            <w:pPr>
              <w:jc w:val="center"/>
              <w:ind w:left="1055"/>
              <w:spacing w:after="0"/>
              <w:rPr>
                <w:sz w:val="20"/>
                <w:szCs w:val="20"/>
                <w:color w:val="auto"/>
              </w:rPr>
            </w:pPr>
            <w:r>
              <w:rPr>
                <w:rFonts w:ascii="Times New Roman" w:cs="Times New Roman" w:eastAsia="Times New Roman" w:hAnsi="Times New Roman"/>
                <w:sz w:val="18"/>
                <w:szCs w:val="18"/>
                <w:b w:val="1"/>
                <w:bCs w:val="1"/>
                <w:color w:val="auto"/>
                <w:w w:val="99"/>
              </w:rPr>
              <w:t>Total Offering Amounts</w:t>
            </w:r>
          </w:p>
        </w:tc>
        <w:tc>
          <w:tcPr>
            <w:tcW w:w="9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right"/>
              <w:ind w:right="184"/>
              <w:spacing w:after="0"/>
              <w:rPr>
                <w:sz w:val="20"/>
                <w:szCs w:val="20"/>
                <w:color w:val="auto"/>
              </w:rPr>
            </w:pPr>
            <w:r>
              <w:rPr>
                <w:rFonts w:ascii="Times New Roman" w:cs="Times New Roman" w:eastAsia="Times New Roman" w:hAnsi="Times New Roman"/>
                <w:sz w:val="18"/>
                <w:szCs w:val="18"/>
                <w:color w:val="auto"/>
              </w:rPr>
              <w:t>$4,688,522.81</w:t>
            </w:r>
          </w:p>
        </w:tc>
        <w:tc>
          <w:tcPr>
            <w:tcW w:w="12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$717.82</w:t>
            </w:r>
          </w:p>
        </w:tc>
        <w:tc>
          <w:tcPr>
            <w:tcW w:w="0" w:type="dxa"/>
            <w:vAlign w:val="bottom"/>
          </w:tcPr>
          <w:p>
            <w:pPr>
              <w:spacing w:after="0"/>
              <w:rPr>
                <w:sz w:val="1"/>
                <w:szCs w:val="1"/>
                <w:color w:val="auto"/>
              </w:rPr>
            </w:pPr>
          </w:p>
        </w:tc>
      </w:tr>
      <w:tr>
        <w:trPr>
          <w:trHeight w:val="209"/>
        </w:trPr>
        <w:tc>
          <w:tcPr>
            <w:tcW w:w="940" w:type="dxa"/>
            <w:vAlign w:val="bottom"/>
            <w:tcBorders>
              <w:left w:val="single" w:sz="8" w:color="auto"/>
              <w:bottom w:val="single" w:sz="8" w:color="auto"/>
            </w:tcBorders>
          </w:tcPr>
          <w:p>
            <w:pPr>
              <w:spacing w:after="0"/>
              <w:rPr>
                <w:sz w:val="18"/>
                <w:szCs w:val="18"/>
                <w:color w:val="auto"/>
              </w:rPr>
            </w:pPr>
          </w:p>
        </w:tc>
        <w:tc>
          <w:tcPr>
            <w:tcW w:w="3680" w:type="dxa"/>
            <w:vAlign w:val="bottom"/>
            <w:tcBorders>
              <w:bottom w:val="single" w:sz="8" w:color="auto"/>
            </w:tcBorders>
          </w:tcPr>
          <w:p>
            <w:pPr>
              <w:jc w:val="center"/>
              <w:ind w:left="1035"/>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9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940" w:type="dxa"/>
            <w:vAlign w:val="bottom"/>
            <w:tcBorders>
              <w:left w:val="single" w:sz="8" w:color="auto"/>
              <w:bottom w:val="single" w:sz="8" w:color="auto"/>
            </w:tcBorders>
          </w:tcPr>
          <w:p>
            <w:pPr>
              <w:spacing w:after="0"/>
              <w:rPr>
                <w:sz w:val="18"/>
                <w:szCs w:val="18"/>
                <w:color w:val="auto"/>
              </w:rPr>
            </w:pPr>
          </w:p>
        </w:tc>
        <w:tc>
          <w:tcPr>
            <w:tcW w:w="3680" w:type="dxa"/>
            <w:vAlign w:val="bottom"/>
            <w:tcBorders>
              <w:bottom w:val="single" w:sz="8" w:color="auto"/>
            </w:tcBorders>
          </w:tcPr>
          <w:p>
            <w:pPr>
              <w:jc w:val="center"/>
              <w:ind w:left="1055"/>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9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$717.82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-1705610</wp:posOffset>
            </wp:positionV>
            <wp:extent cx="64916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0548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-864870</wp:posOffset>
            </wp:positionV>
            <wp:extent cx="70548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5" w:lineRule="exact"/>
        <w:rPr>
          <w:sz w:val="20"/>
          <w:szCs w:val="20"/>
          <w:color w:val="auto"/>
        </w:rPr>
      </w:pPr>
    </w:p>
    <w:p>
      <w:pPr>
        <w:ind w:left="480" w:hanging="459"/>
        <w:spacing w:after="0" w:line="261"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(Securities Act), this Registration Statement shall also cover any additional shares of the Registrant’s common stock that become issuable under the 2021 Equity Incentive Plan (2021 Plan) and the 2021 Employee Stock Purchase Plan (2021 ESPP) by reason of any stock dividend, stock split, recapitalization or other similar transaction effected without receipt of consideration that increases the number of the Registrant’s outstanding shares of common stock.</w:t>
      </w:r>
    </w:p>
    <w:p>
      <w:pPr>
        <w:spacing w:after="0" w:line="206" w:lineRule="exact"/>
        <w:rPr>
          <w:rFonts w:ascii="Times New Roman" w:cs="Times New Roman" w:eastAsia="Times New Roman" w:hAnsi="Times New Roman"/>
          <w:sz w:val="18"/>
          <w:szCs w:val="18"/>
          <w:color w:val="auto"/>
        </w:rPr>
      </w:pPr>
    </w:p>
    <w:p>
      <w:pPr>
        <w:ind w:left="480" w:hanging="459"/>
        <w:spacing w:after="0" w:line="254"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shares of common stock reserved for issuance that were automatically added on January 1, 2025 to the shares of common stock reserved for issuance under the 2021 Plan (the Evergreen Increase) that are not subject to options granted prior to the filing of this Registration Statement. The remainder of the shares provided by the Evergreen Increase are subject to options granted prior to the filing of this Registration Statement, as described in Note 4 below. The 2021 Plan provides for an automatic annual increase in the number of shares reserved and available for issuance under the 2021 Plan as follows: the number of shares of common stock available for issuance under the 2021 Plan will be increased on the first day of each fiscal year beginning with the 2022 fiscal year, in an amount equal to the least of (i) 4,000,000 shares, (ii) four percent (4%) of the outstanding shares on the last day of the immediately preceding fiscal year, or (iii) such number of shares determined by the board of directors no later than the last day of the immediately preceding fiscal year.</w:t>
      </w:r>
    </w:p>
    <w:p>
      <w:pPr>
        <w:spacing w:after="0" w:line="218" w:lineRule="exact"/>
        <w:rPr>
          <w:rFonts w:ascii="Times New Roman" w:cs="Times New Roman" w:eastAsia="Times New Roman" w:hAnsi="Times New Roman"/>
          <w:sz w:val="18"/>
          <w:szCs w:val="18"/>
          <w:color w:val="auto"/>
        </w:rPr>
      </w:pPr>
    </w:p>
    <w:p>
      <w:pPr>
        <w:ind w:left="480" w:right="40" w:hanging="459"/>
        <w:spacing w:after="0" w:line="266"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(h) of the Securities Act solely for the purpose of calculating the registration fee on the basis of $1.07 per share, which represents the average of the high and low selling prices per share of the Registrant’s common stock on February 3, 2025 as reported by The Nasdaq Global Select Market.</w:t>
      </w:r>
    </w:p>
    <w:p>
      <w:pPr>
        <w:spacing w:after="0" w:line="202" w:lineRule="exact"/>
        <w:rPr>
          <w:rFonts w:ascii="Times New Roman" w:cs="Times New Roman" w:eastAsia="Times New Roman" w:hAnsi="Times New Roman"/>
          <w:sz w:val="18"/>
          <w:szCs w:val="18"/>
          <w:color w:val="auto"/>
        </w:rPr>
      </w:pPr>
    </w:p>
    <w:p>
      <w:pPr>
        <w:ind w:left="480" w:right="340" w:hanging="459"/>
        <w:spacing w:after="0" w:line="282"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pursuant to options outstanding under the 2021 Plan and granted from shares reserved pursuant to the Evergreen Increase.</w:t>
      </w:r>
    </w:p>
    <w:p>
      <w:pPr>
        <w:spacing w:after="0" w:line="188" w:lineRule="exact"/>
        <w:rPr>
          <w:rFonts w:ascii="Times New Roman" w:cs="Times New Roman" w:eastAsia="Times New Roman" w:hAnsi="Times New Roman"/>
          <w:sz w:val="18"/>
          <w:szCs w:val="18"/>
          <w:color w:val="auto"/>
        </w:rPr>
      </w:pPr>
    </w:p>
    <w:p>
      <w:pPr>
        <w:ind w:left="480" w:right="100" w:hanging="459"/>
        <w:spacing w:after="0" w:line="266"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(h) of the Securities Act solely for the purpose of calculating the registration fee based on the weighted average exercise price of $1.21 per share of the outstanding but unexercised options granted under the 2021 Plan following the Evergreen Increase.</w:t>
      </w:r>
    </w:p>
    <w:p>
      <w:pPr>
        <w:spacing w:after="0" w:line="202" w:lineRule="exact"/>
        <w:rPr>
          <w:rFonts w:ascii="Times New Roman" w:cs="Times New Roman" w:eastAsia="Times New Roman" w:hAnsi="Times New Roman"/>
          <w:sz w:val="18"/>
          <w:szCs w:val="18"/>
          <w:color w:val="auto"/>
        </w:rPr>
      </w:pPr>
    </w:p>
    <w:p>
      <w:pPr>
        <w:ind w:left="480" w:right="180" w:hanging="459"/>
        <w:spacing w:after="0" w:line="258"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under that were automatically added on January 1, 2025 to the shares of common stock reserved for issuance under the 2021 ESPP. The 2021 ESPP provides for an automatic annual increase in the number of shares reserved and available for issuance under the 2021 ESPP as follows: the number of shares of common stock available for issuance under the 2021 ESPP will be increased on the first day of each fiscal year beginning with the 2022 fiscal year, in an amount equal to the least of (i) 800,000 shares, (ii) one percent (1%) of the outstanding shares on the last day of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0" w:name="page11"/>
    <w:bookmarkEnd w:id="10"/>
    <w:p>
      <w:pPr>
        <w:ind w:left="459" w:right="400"/>
        <w:spacing w:after="0" w:line="282" w:lineRule="auto"/>
        <w:rPr>
          <w:sz w:val="20"/>
          <w:szCs w:val="20"/>
          <w:color w:val="auto"/>
        </w:rPr>
      </w:pPr>
      <w:r>
        <w:rPr>
          <w:rFonts w:ascii="Times New Roman" w:cs="Times New Roman" w:eastAsia="Times New Roman" w:hAnsi="Times New Roman"/>
          <w:sz w:val="18"/>
          <w:szCs w:val="18"/>
          <w:color w:val="auto"/>
        </w:rPr>
        <w:t>preceding fiscal year, or (iii) such number of shares determined by the board of directors no later than the last day of the immediately preceding fiscal year.</w:t>
      </w:r>
    </w:p>
    <w:p>
      <w:pPr>
        <w:spacing w:after="0" w:line="189" w:lineRule="exact"/>
        <w:rPr>
          <w:sz w:val="20"/>
          <w:szCs w:val="20"/>
          <w:color w:val="auto"/>
        </w:rPr>
      </w:pPr>
    </w:p>
    <w:p>
      <w:pPr>
        <w:ind w:left="459" w:hanging="459"/>
        <w:spacing w:after="0" w:line="258" w:lineRule="auto"/>
        <w:tabs>
          <w:tab w:leader="none" w:pos="4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(h) of the Securities Act solely for the purpose of calculating the registration fee on the basis of 85% of $1.07, which represents the average of the high and low selling price per share of the Registrant’s common stock on February 3, 2025 as reported by The Nasdaq Global Selected Market. Pursuant to the 2021 ESPP, the purchase price of the shares of common stock reserved for issuance thereunder will be 85% of the lower of the fair market value of the common stock on (i) the first trading day of the offering period or (ii) the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1007110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9"/>
          </w:cols>
          <w:pgMar w:left="341" w:top="229" w:right="35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1"/>
    </w:lvl>
    <w:lvl w:ilvl="1">
      <w:lvlJc w:val="left"/>
      <w:lvlText w:val="(%2)"/>
      <w:numFmt w:val="decimal"/>
      <w:start w:val="1"/>
    </w:lvl>
  </w:abstractNum>
  <w:abstractNum w:abstractNumId="3">
    <w:nsid w:val="2EB141F2"/>
    <w:multiLevelType w:val="hybridMultilevel"/>
    <w:lvl w:ilvl="0">
      <w:lvlJc w:val="left"/>
      <w:lvlText w:val="(%1)"/>
      <w:numFmt w:val="lowerRoman"/>
      <w:start w:val="1"/>
    </w:lvl>
  </w:abstractNum>
  <w:abstractNum w:abstractNumId="4">
    <w:nsid w:val="41B71EFB"/>
    <w:multiLevelType w:val="hybridMultilevel"/>
    <w:lvl w:ilvl="0">
      <w:lvlJc w:val="left"/>
      <w:lvlText w:val="%1"/>
      <w:numFmt w:val="upperLetter"/>
      <w:start w:val="1"/>
    </w:lvl>
    <w:lvl w:ilvl="1">
      <w:lvlJc w:val="left"/>
      <w:lvlText w:val="(%2)"/>
      <w:numFmt w:val="decimal"/>
      <w:start w:val="2"/>
    </w:lvl>
  </w:abstractNum>
  <w:abstractNum w:abstractNumId="5">
    <w:nsid w:val="79E2A9E3"/>
    <w:multiLevelType w:val="hybridMultilevel"/>
    <w:lvl w:ilvl="0">
      <w:lvlJc w:val="left"/>
      <w:lvlText w:val="%1."/>
      <w:numFmt w:val="upperLetter"/>
      <w:start w:val="2"/>
    </w:lvl>
    <w:lvl w:ilvl="1">
      <w:lvlJc w:val="left"/>
      <w:lvlText w:val="%2"/>
      <w:numFmt w:val="decimal"/>
      <w:start w:val="1"/>
    </w:lvl>
  </w:abstractNum>
  <w:abstractNum w:abstractNumId="6">
    <w:nsid w:val="7545E146"/>
    <w:multiLevelType w:val="hybridMultilevel"/>
    <w:lvl w:ilvl="0">
      <w:lvlJc w:val="left"/>
      <w:lvlText w:val="%1."/>
      <w:numFmt w:val="upperLetter"/>
      <w:start w:val="3"/>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jpe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4" Type="http://schemas.openxmlformats.org/officeDocument/2006/relationships/hyperlink" Target="https://www.sec.gov/ix?doc=/Archives/edgar/data/1858848/000095017024032828/tnya-20231231.htm" TargetMode="External"/><Relationship Id="rId15" Type="http://schemas.openxmlformats.org/officeDocument/2006/relationships/hyperlink" Target="https://www.sec.gov/Archives/edgar/data/1858848/000119312521223152/d170858d8a12b.htm" TargetMode="External"/><Relationship Id="rId18" Type="http://schemas.openxmlformats.org/officeDocument/2006/relationships/hyperlink" Target="https://www.sec.gov/Archives/edgar/data/0001858848/000119312521223559/d175698dex42.htm" TargetMode="External"/><Relationship Id="rId19" Type="http://schemas.openxmlformats.org/officeDocument/2006/relationships/hyperlink" Target="https://www.sec.gov/Archives/edgar/data/0001858848/000095017022004426/tnya-ex10_2.htm" TargetMode="External"/><Relationship Id="rId20" Type="http://schemas.openxmlformats.org/officeDocument/2006/relationships/hyperlink" Target="https://www.sec.gov/Archives/edgar/data/1858848/000119312521223559/d175698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2025-02-07T16:12:51Z</dcterms:created>
  <dcterms:modified xsi:type="dcterms:W3CDTF">2025-02-07T16:12:51Z</dcterms:modified>
</cp:coreProperties>
</file>