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nya-20260805.htm"/>
      <w:bookmarkStart w:id="1" w:name="kstnya20260805"/>
      <w:bookmarkEnd w:id="0"/>
      <w:bookmarkEnd w:id="1"/>
      <w:r>
        <w:rPr>
          <w:rFonts w:ascii="Times New Roman" w:hAnsi="Times New Roman"/>
          <w:b/>
          <w:color w:val="000000"/>
          <w:sz w:val="20"/>
        </w:rPr>
        <w:t>As filed with the Securities and Exchange Commission on August 5,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ACT OF 1933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TENAYA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333" w:type="dxa"/>
        <w:jc w:val="left"/>
        <w:tblInd w:w="0" w:type="dxa"/>
        <w:tblLayout w:type="fixed"/>
        <w:tblCellMar>
          <w:top w:w="28" w:type="dxa"/>
          <w:left w:w="28" w:type="dxa"/>
          <w:bottom w:w="28" w:type="dxa"/>
          <w:right w:w="28" w:type="dxa"/>
        </w:tblCellMar>
      </w:tblPr>
      <w:tblGrid>
        <w:gridCol w:w="2371"/>
        <w:gridCol w:w="146"/>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171 Oyster Point Boulevard, Suite 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South San Francisco, CA 94080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(650) 825-6990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Amended and Restated 2021 Equity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Faraz Ali, M.B.A.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171 Oyster Point Boulevard, Suite 500</w:t>
      </w:r>
    </w:p>
    <w:p>
      <w:pPr>
        <w:pStyle w:val="TextBody"/>
        <w:bidi w:val="0"/>
        <w:jc w:val="center"/>
        <w:rPr>
          <w:rFonts w:ascii="Times New Roman" w:hAnsi="Times New Roman"/>
          <w:sz w:val="20"/>
        </w:rPr>
      </w:pPr>
      <w:r>
        <w:rPr>
          <w:rFonts w:ascii="Times New Roman" w:hAnsi="Times New Roman"/>
          <w:b/>
          <w:color w:val="000000"/>
          <w:sz w:val="20"/>
        </w:rPr>
        <w:t>South San Francisco, CA 94080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(650) 825-6990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address, including zip code, and telephone number, including area code, of agent for service)</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Copies to:</w:t>
      </w:r>
    </w:p>
    <w:tbl>
      <w:tblPr>
        <w:tblW w:w="5612" w:type="dxa"/>
        <w:jc w:val="left"/>
        <w:tblInd w:w="0" w:type="dxa"/>
        <w:tblLayout w:type="fixed"/>
        <w:tblCellMar>
          <w:top w:w="28" w:type="dxa"/>
          <w:left w:w="28" w:type="dxa"/>
          <w:bottom w:w="28" w:type="dxa"/>
          <w:right w:w="28" w:type="dxa"/>
        </w:tblCellMar>
      </w:tblPr>
      <w:tblGrid>
        <w:gridCol w:w="2641"/>
        <w:gridCol w:w="2971"/>
      </w:tblGrid>
      <w:tr>
        <w:trPr/>
        <w:tc>
          <w:tcPr>
            <w:tcW w:w="264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Jennifer Knapp</w:t>
            </w:r>
          </w:p>
          <w:p>
            <w:pPr>
              <w:pStyle w:val="TableContents"/>
              <w:bidi w:val="0"/>
              <w:jc w:val="center"/>
              <w:rPr>
                <w:rFonts w:ascii="Times New Roman" w:hAnsi="Times New Roman"/>
                <w:sz w:val="16"/>
              </w:rPr>
            </w:pPr>
            <w:r>
              <w:rPr>
                <w:rFonts w:ascii="Times New Roman" w:hAnsi="Times New Roman"/>
                <w:b/>
                <w:color w:val="000000"/>
                <w:sz w:val="16"/>
              </w:rPr>
              <w:t>Wilson Sonsini Goodrich &amp; Rosati</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Professional Corporation</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650 Page Mill Road</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Palo Alto, CA 94304</w:t>
            </w:r>
            <w:r>
              <w:rPr>
                <w:rFonts w:ascii="Times New Roman" w:hAnsi="Times New Roman"/>
                <w:color w:val="000000"/>
                <w:sz w:val="16"/>
              </w:rPr>
              <w:t xml:space="preserve"> </w:t>
            </w:r>
          </w:p>
          <w:p>
            <w:pPr>
              <w:pStyle w:val="TableContents"/>
              <w:bidi w:val="0"/>
              <w:spacing w:before="0" w:after="283"/>
              <w:jc w:val="center"/>
              <w:rPr>
                <w:rFonts w:ascii="Times New Roman" w:hAnsi="Times New Roman"/>
                <w:sz w:val="16"/>
              </w:rPr>
            </w:pPr>
            <w:r>
              <w:rPr>
                <w:rFonts w:ascii="Times New Roman" w:hAnsi="Times New Roman"/>
                <w:b/>
                <w:color w:val="000000"/>
                <w:sz w:val="16"/>
              </w:rPr>
              <w:t>(650) 493-9300</w:t>
            </w:r>
            <w:r>
              <w:rPr>
                <w:rFonts w:ascii="Times New Roman" w:hAnsi="Times New Roman"/>
                <w:color w:val="000000"/>
                <w:sz w:val="16"/>
              </w:rPr>
              <w:t xml:space="preserve"> </w:t>
            </w:r>
          </w:p>
        </w:tc>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Jennifer Drimmer Rokovich</w:t>
            </w:r>
          </w:p>
          <w:p>
            <w:pPr>
              <w:pStyle w:val="TableContents"/>
              <w:bidi w:val="0"/>
              <w:jc w:val="center"/>
              <w:rPr>
                <w:rFonts w:ascii="Times New Roman" w:hAnsi="Times New Roman"/>
                <w:b/>
                <w:color w:val="000000"/>
                <w:sz w:val="16"/>
              </w:rPr>
            </w:pPr>
            <w:r>
              <w:rPr>
                <w:rFonts w:ascii="Times New Roman" w:hAnsi="Times New Roman"/>
                <w:b/>
                <w:color w:val="000000"/>
                <w:sz w:val="16"/>
              </w:rPr>
              <w:t>General Counsel</w:t>
            </w:r>
          </w:p>
          <w:p>
            <w:pPr>
              <w:pStyle w:val="TableContents"/>
              <w:bidi w:val="0"/>
              <w:jc w:val="center"/>
              <w:rPr>
                <w:rFonts w:ascii="Times New Roman" w:hAnsi="Times New Roman"/>
                <w:b/>
                <w:color w:val="000000"/>
                <w:sz w:val="16"/>
              </w:rPr>
            </w:pPr>
            <w:r>
              <w:rPr>
                <w:rFonts w:ascii="Times New Roman" w:hAnsi="Times New Roman"/>
                <w:b/>
                <w:color w:val="000000"/>
                <w:sz w:val="16"/>
              </w:rPr>
              <w:t>Tenaya Therapeutics, Inc.</w:t>
            </w:r>
          </w:p>
          <w:p>
            <w:pPr>
              <w:pStyle w:val="TableContents"/>
              <w:bidi w:val="0"/>
              <w:jc w:val="center"/>
              <w:rPr>
                <w:rFonts w:ascii="Times New Roman" w:hAnsi="Times New Roman"/>
                <w:b/>
                <w:color w:val="000000"/>
                <w:sz w:val="16"/>
              </w:rPr>
            </w:pPr>
            <w:r>
              <w:rPr>
                <w:rFonts w:ascii="Times New Roman" w:hAnsi="Times New Roman"/>
                <w:b/>
                <w:color w:val="000000"/>
                <w:sz w:val="16"/>
              </w:rPr>
              <w:t>171 Oyster Point Boulevard, Suite 500</w:t>
            </w:r>
          </w:p>
          <w:p>
            <w:pPr>
              <w:pStyle w:val="TableContents"/>
              <w:bidi w:val="0"/>
              <w:jc w:val="center"/>
              <w:rPr>
                <w:rFonts w:ascii="Times New Roman" w:hAnsi="Times New Roman"/>
                <w:b/>
                <w:color w:val="000000"/>
                <w:sz w:val="16"/>
              </w:rPr>
            </w:pPr>
            <w:r>
              <w:rPr>
                <w:rFonts w:ascii="Times New Roman" w:hAnsi="Times New Roman"/>
                <w:b/>
                <w:color w:val="000000"/>
                <w:sz w:val="16"/>
              </w:rPr>
              <w:t>South San Francisco, California 94080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(650) 825-6990</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pBdr>
          <w:bottom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Registration Statement on Form S-8 (Registration Statement) is filed by Tenaya Therapeutics, Inc. (Registrant) for the purpose of registering 6,509,966 shares of common stock of the Registrant reserved for issuance under the Amended and Restated 2021 Equity Incentive Plan.</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PROSPECTUS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w:t>
      </w:r>
    </w:p>
    <w:p>
      <w:pPr>
        <w:pStyle w:val="TextBody"/>
        <w:bidi w:val="0"/>
        <w:spacing w:before="24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tbl>
      <w:tblPr>
        <w:tblW w:w="4472" w:type="dxa"/>
        <w:jc w:val="left"/>
        <w:tblInd w:w="0" w:type="dxa"/>
        <w:tblLayout w:type="fixed"/>
        <w:tblCellMar>
          <w:top w:w="28" w:type="dxa"/>
          <w:left w:w="28" w:type="dxa"/>
          <w:bottom w:w="28" w:type="dxa"/>
          <w:right w:w="28" w:type="dxa"/>
        </w:tblCellMar>
      </w:tblPr>
      <w:tblGrid>
        <w:gridCol w:w="706"/>
        <w:gridCol w:w="3766"/>
      </w:tblGrid>
      <w:tr>
        <w:trPr/>
        <w:tc>
          <w:tcPr>
            <w:tcW w:w="7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Item 3.</w:t>
            </w:r>
          </w:p>
        </w:tc>
        <w:tc>
          <w:tcPr>
            <w:tcW w:w="37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Times New Roman" w:hAnsi="Times New Roman"/>
                <w:b/>
                <w:color w:val="000000"/>
                <w:sz w:val="20"/>
              </w:rPr>
              <w:t>Incorporation of Documents by Reference.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 hereby incorporates by reference into this Registration Statement the following documents previously filed with the Securities and Exchange Commission (Commission):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color w:val="000000"/>
          <w:sz w:val="20"/>
        </w:rPr>
        <w:t xml:space="preserve">The Registrant’s Annual Report on </w:t>
      </w:r>
      <w:hyperlink r:id="rId2">
        <w:r>
          <w:rPr>
            <w:rStyle w:val="InternetLink"/>
            <w:rFonts w:ascii="Times New Roman" w:hAnsi="Times New Roman"/>
            <w:color w:val="0000FF"/>
            <w:sz w:val="20"/>
            <w:u w:val="single"/>
          </w:rPr>
          <w:t>Form 10-K</w:t>
        </w:r>
      </w:hyperlink>
      <w:r>
        <w:rPr>
          <w:color w:val="000000"/>
        </w:rPr>
        <w:t xml:space="preserve"> </w:t>
      </w:r>
      <w:r>
        <w:rPr>
          <w:rFonts w:ascii="Times New Roman" w:hAnsi="Times New Roman"/>
          <w:color w:val="000000"/>
          <w:sz w:val="20"/>
        </w:rPr>
        <w:t>for the fiscal year ended December 31, 2025, filed with the Commission on March 11, 2026 pursuant to Section 13(a) of the Securities Exchange Act of 1934, as amended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 xml:space="preserve">The Registrant’s Quarterly Reports on Form 10-Q for the quarter ended March 31, 2026, filed with the Commission on </w:t>
      </w:r>
      <w:hyperlink r:id="rId3">
        <w:r>
          <w:rPr>
            <w:rStyle w:val="InternetLink"/>
            <w:rFonts w:ascii="Times New Roman" w:hAnsi="Times New Roman"/>
            <w:color w:val="0000FF"/>
            <w:sz w:val="20"/>
            <w:u w:val="single"/>
          </w:rPr>
          <w:t>May 6, 2026</w:t>
        </w:r>
      </w:hyperlink>
      <w:r>
        <w:rPr>
          <w:color w:val="000000"/>
        </w:rPr>
        <w:t xml:space="preserve"> </w:t>
      </w:r>
      <w:r>
        <w:rPr>
          <w:rFonts w:ascii="Times New Roman" w:hAnsi="Times New Roman"/>
          <w:color w:val="000000"/>
          <w:sz w:val="20"/>
        </w:rPr>
        <w:t xml:space="preserve">and for the quarter ended June 30, 2026, filed with the Commission on </w:t>
      </w:r>
      <w:hyperlink r:id="rId4">
        <w:r>
          <w:rPr>
            <w:rStyle w:val="InternetLink"/>
            <w:rFonts w:ascii="Times New Roman" w:hAnsi="Times New Roman"/>
            <w:color w:val="0000FF"/>
            <w:sz w:val="20"/>
            <w:u w:val="single"/>
          </w:rPr>
          <w:t>August 5, 2026</w:t>
        </w:r>
      </w:hyperlink>
      <w:r>
        <w:rPr>
          <w:rFonts w:ascii="Times New Roman" w:hAnsi="Times New Roman"/>
          <w:color w:val="000000"/>
          <w:sz w:val="20"/>
        </w:rPr>
        <w:t>, each pursuant to Section 13(a) of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color w:val="000000"/>
          <w:sz w:val="20"/>
        </w:rPr>
        <w:t xml:space="preserve">The Registrant’s Current Reports on Form 8-K, filed with the Commission on </w:t>
      </w:r>
      <w:hyperlink r:id="rId5">
        <w:r>
          <w:rPr>
            <w:rStyle w:val="InternetLink"/>
            <w:rFonts w:ascii="Times New Roman" w:hAnsi="Times New Roman"/>
            <w:color w:val="0000FF"/>
            <w:sz w:val="20"/>
            <w:u w:val="single"/>
          </w:rPr>
          <w:t>January 2,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January 30,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March 5,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March 11,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29,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June 29, 2026</w:t>
        </w:r>
      </w:hyperlink>
      <w:r>
        <w:rPr>
          <w:color w:val="000000"/>
        </w:rPr>
        <w:t xml:space="preserve"> </w:t>
      </w:r>
      <w:r>
        <w:rPr>
          <w:rFonts w:ascii="Times New Roman" w:hAnsi="Times New Roman"/>
          <w:color w:val="000000"/>
          <w:sz w:val="20"/>
        </w:rPr>
        <w:t xml:space="preserve">and </w:t>
      </w:r>
      <w:hyperlink r:id="rId11">
        <w:r>
          <w:rPr>
            <w:rStyle w:val="InternetLink"/>
            <w:rFonts w:ascii="Times New Roman" w:hAnsi="Times New Roman"/>
            <w:color w:val="0000FF"/>
            <w:sz w:val="20"/>
            <w:u w:val="single"/>
          </w:rPr>
          <w:t>July 2, 2026</w:t>
        </w:r>
      </w:hyperlink>
      <w:r>
        <w:rPr>
          <w:color w:val="000000"/>
        </w:rPr>
        <w:t xml:space="preserve"> </w:t>
      </w:r>
      <w:r>
        <w:rPr>
          <w:rFonts w:ascii="Times New Roman" w:hAnsi="Times New Roman"/>
          <w:color w:val="000000"/>
          <w:sz w:val="20"/>
        </w:rPr>
        <w:t>pursuant to Section 13 or 15(d) of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All other reports filed with the Commission pursuant to Sections 13(a) or 15(d) of the Exchange Act since the end of the fiscal year covered by the Registrant’s Annual Report referred to in (a) above; and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 The description of the Registrant’s Common Stock contained in Exhibit 4.2 to the Registrant’s Annual Report on </w:t>
      </w:r>
      <w:r>
        <w:rPr>
          <w:rFonts w:ascii="Times New Roman" w:hAnsi="Times New Roman"/>
          <w:color w:val="0000FF"/>
          <w:sz w:val="20"/>
          <w:u w:val="single"/>
        </w:rPr>
        <w:t>Form 10-K</w:t>
      </w:r>
      <w:r>
        <w:rPr>
          <w:rFonts w:ascii="Times New Roman" w:hAnsi="Times New Roman"/>
          <w:color w:val="000000"/>
          <w:sz w:val="20"/>
        </w:rPr>
        <w:t xml:space="preserve"> for the fiscal year ended December 31, 2025, filed with the Commission on March 11, 2026, including any amendment or report filed for the purpose of updating such description.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tbl>
      <w:tblPr>
        <w:tblW w:w="3002" w:type="dxa"/>
        <w:jc w:val="left"/>
        <w:tblInd w:w="0" w:type="dxa"/>
        <w:tblLayout w:type="fixed"/>
        <w:tblCellMar>
          <w:top w:w="28" w:type="dxa"/>
          <w:left w:w="28" w:type="dxa"/>
          <w:bottom w:w="28" w:type="dxa"/>
          <w:right w:w="28" w:type="dxa"/>
        </w:tblCellMar>
      </w:tblPr>
      <w:tblGrid>
        <w:gridCol w:w="706"/>
        <w:gridCol w:w="2296"/>
      </w:tblGrid>
      <w:tr>
        <w:trPr/>
        <w:tc>
          <w:tcPr>
            <w:tcW w:w="7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4.</w:t>
            </w:r>
          </w:p>
        </w:tc>
        <w:tc>
          <w:tcPr>
            <w:tcW w:w="229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b/>
                <w:color w:val="000000"/>
                <w:sz w:val="20"/>
              </w:rPr>
              <w:t>Description of Securities.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tbl>
      <w:tblPr>
        <w:tblW w:w="4307" w:type="dxa"/>
        <w:jc w:val="left"/>
        <w:tblInd w:w="0" w:type="dxa"/>
        <w:tblLayout w:type="fixed"/>
        <w:tblCellMar>
          <w:top w:w="28" w:type="dxa"/>
          <w:left w:w="28" w:type="dxa"/>
          <w:bottom w:w="28" w:type="dxa"/>
          <w:right w:w="28" w:type="dxa"/>
        </w:tblCellMar>
      </w:tblPr>
      <w:tblGrid>
        <w:gridCol w:w="706"/>
        <w:gridCol w:w="3601"/>
      </w:tblGrid>
      <w:tr>
        <w:trPr/>
        <w:tc>
          <w:tcPr>
            <w:tcW w:w="70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5.</w:t>
            </w:r>
          </w:p>
        </w:tc>
        <w:tc>
          <w:tcPr>
            <w:tcW w:w="360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b/>
                <w:color w:val="000000"/>
                <w:sz w:val="20"/>
              </w:rPr>
              <w:t>Interests of Named Experts and Counsel.</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tbl>
      <w:tblPr>
        <w:tblW w:w="4427" w:type="dxa"/>
        <w:jc w:val="left"/>
        <w:tblInd w:w="0" w:type="dxa"/>
        <w:tblLayout w:type="fixed"/>
        <w:tblCellMar>
          <w:top w:w="28" w:type="dxa"/>
          <w:left w:w="28" w:type="dxa"/>
          <w:bottom w:w="28" w:type="dxa"/>
          <w:right w:w="28" w:type="dxa"/>
        </w:tblCellMar>
      </w:tblPr>
      <w:tblGrid>
        <w:gridCol w:w="706"/>
        <w:gridCol w:w="3721"/>
      </w:tblGrid>
      <w:tr>
        <w:trPr/>
        <w:tc>
          <w:tcPr>
            <w:tcW w:w="70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6.</w:t>
            </w:r>
          </w:p>
        </w:tc>
        <w:tc>
          <w:tcPr>
            <w:tcW w:w="37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b/>
                <w:color w:val="000000"/>
                <w:sz w:val="20"/>
              </w:rPr>
              <w:t>Indemnification of Directors and Officers.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145 of the Delaware General Corporation Law generally empowers a corporation to indemnify its directors and officers, provided that the person acted in good faith and in a manner the person reasonably believed to be in our best interests,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with respect to any criminal action, had no reasonable cause to believe the person’s actions were unlawful, and to purchase insurance with respect to liability arising out of their capacity or status as directors and officers.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Delaware General Corporation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amended and restated bylaws of the Registrant require, subject to certain limitations,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102(b)(7) of the Delaware General Corporation Law permits a corporation to provide in its certificate of incorporation that a director or an officer of the corporation shall not be personally liable to the corporation or its stockholders for monetary damages for breach of fiduciary duty as a director or officer, except (1) 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with respect to an officer, in any action by or in the right of the corporation. The Registrant’s amended and restated certificate of incorporation provides that the Registrant’s directors and officers shall not be personally liable to it or its stockholders for monetary damages for breach of fiduciary duty as a director or officer and that if the Delaware General Corporation Law is amended to authorize corporate action further eliminating or limiting the personal liability of directors or officers, then the liability of the Registrant’s directors and officers shall be eliminated or limited to the fullest extent permitted by the Delaware General Corporation Law, as so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174 of the Delaware General Corporation Law provides, among other things, that a director who willfully or negligently approves of an unlawful payment of dividends or an unlawful stock repurchase or redemption may be held liable to the full amount of the dividend unlawfully paid, or to the full amount unlawfully paid for the repurchase or redemption of the corporation’s stock, with interest from the time such liability accrued. A director who was either absent when the unlawful actions were approved, or dissented at the time, may avoid liability by causing his or her dissent to such actions to be entered in the books containing minutes of the proceedings of the board of directors at the time such action occurred or immediately after such absent director receives notice of the unlawful 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 has obtained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 </w:t>
      </w:r>
    </w:p>
    <w:p>
      <w:pPr>
        <w:pStyle w:val="TextBody"/>
        <w:bidi w:val="0"/>
        <w:jc w:val="left"/>
        <w:rPr>
          <w:rFonts w:ascii="Times New Roman" w:hAnsi="Times New Roman"/>
          <w:color w:val="000000"/>
          <w:sz w:val="20"/>
        </w:rPr>
      </w:pPr>
      <w:r>
        <w:rPr>
          <w:rFonts w:ascii="Times New Roman" w:hAnsi="Times New Roman"/>
          <w:color w:val="000000"/>
          <w:sz w:val="20"/>
        </w:rPr>
        <w:t xml:space="preserve">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 </w:t>
      </w:r>
    </w:p>
    <w:tbl>
      <w:tblPr>
        <w:tblW w:w="4202" w:type="dxa"/>
        <w:jc w:val="left"/>
        <w:tblInd w:w="0" w:type="dxa"/>
        <w:tblLayout w:type="fixed"/>
        <w:tblCellMar>
          <w:top w:w="28" w:type="dxa"/>
          <w:left w:w="28" w:type="dxa"/>
          <w:bottom w:w="28" w:type="dxa"/>
          <w:right w:w="28" w:type="dxa"/>
        </w:tblCellMar>
      </w:tblPr>
      <w:tblGrid>
        <w:gridCol w:w="706"/>
        <w:gridCol w:w="3496"/>
      </w:tblGrid>
      <w:tr>
        <w:trPr/>
        <w:tc>
          <w:tcPr>
            <w:tcW w:w="70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7.</w:t>
            </w:r>
          </w:p>
        </w:tc>
        <w:tc>
          <w:tcPr>
            <w:tcW w:w="349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b/>
                <w:color w:val="000000"/>
                <w:sz w:val="20"/>
              </w:rPr>
              <w:t>Exemption from Registration Claimed.</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HorizontalLine"/>
        <w:pBdr>
          <w:bottom w:val="double" w:sz="2" w:space="0" w:color="808080"/>
        </w:pBdr>
        <w:bidi w:val="0"/>
        <w:spacing w:before="0" w:after="283"/>
        <w:jc w:val="left"/>
        <w:rPr/>
      </w:pPr>
      <w:r>
        <w:rPr/>
      </w:r>
    </w:p>
    <w:tbl>
      <w:tblPr>
        <w:tblW w:w="1652" w:type="dxa"/>
        <w:jc w:val="left"/>
        <w:tblInd w:w="0" w:type="dxa"/>
        <w:tblLayout w:type="fixed"/>
        <w:tblCellMar>
          <w:top w:w="28" w:type="dxa"/>
          <w:left w:w="28" w:type="dxa"/>
          <w:bottom w:w="28" w:type="dxa"/>
          <w:right w:w="28" w:type="dxa"/>
        </w:tblCellMar>
      </w:tblPr>
      <w:tblGrid>
        <w:gridCol w:w="706"/>
        <w:gridCol w:w="946"/>
      </w:tblGrid>
      <w:tr>
        <w:trPr/>
        <w:tc>
          <w:tcPr>
            <w:tcW w:w="70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8.</w:t>
            </w:r>
          </w:p>
        </w:tc>
        <w:tc>
          <w:tcPr>
            <w:tcW w:w="9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653"/>
        <w:gridCol w:w="146"/>
        <w:gridCol w:w="546"/>
        <w:gridCol w:w="146"/>
        <w:gridCol w:w="960"/>
        <w:gridCol w:w="146"/>
        <w:gridCol w:w="631"/>
        <w:gridCol w:w="146"/>
        <w:gridCol w:w="786"/>
        <w:gridCol w:w="19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vMerge w:val="restart"/>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7"/>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Incorporated by Reference</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9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EE"/>
                  <w:sz w:val="20"/>
                  <w:u w:val="single"/>
                </w:rPr>
                <w:t>Specimen common stock certificate of the Registrant</w:t>
              </w:r>
            </w:hyperlink>
            <w:hyperlink r:id="rId13">
              <w:r>
                <w:rPr>
                  <w:rStyle w:val="InternetLink"/>
                  <w:rFonts w:ascii="Times New Roman" w:hAnsi="Times New Roman"/>
                  <w:color w:val="0000EE"/>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333-257820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7/26/2021</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left"/>
              <w:rPr/>
            </w:pPr>
            <w:hyperlink w:anchor="tnya-ex4_2.htm">
              <w:r>
                <w:rPr>
                  <w:rStyle w:val="InternetLink"/>
                  <w:rFonts w:ascii="Times New Roman" w:hAnsi="Times New Roman"/>
                  <w:color w:val="0000FF"/>
                  <w:sz w:val="20"/>
                  <w:u w:val="single"/>
                </w:rPr>
                <w:t>Amended and Restated 2021 Equity Incentive Plan and forms of agreements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left"/>
              <w:rPr/>
            </w:pPr>
            <w:hyperlink w:anchor="tnya-ex5_1.htm">
              <w:r>
                <w:rPr>
                  <w:rStyle w:val="InternetLink"/>
                  <w:rFonts w:ascii="Times New Roman" w:hAnsi="Times New Roman"/>
                  <w:color w:val="0000FF"/>
                  <w:sz w:val="20"/>
                  <w:u w:val="single"/>
                </w:rPr>
                <w:t>Opinion of Wilson Sonsini Goodrich &amp; Rosati, Professional Corporation</w:t>
              </w:r>
            </w:hyperlink>
            <w:hyperlink w:anchor="tnya-ex5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left"/>
              <w:rPr/>
            </w:pPr>
            <w:hyperlink w:anchor="tnya-ex23_1.htm">
              <w:r>
                <w:rPr>
                  <w:rStyle w:val="InternetLink"/>
                  <w:rFonts w:ascii="Times New Roman" w:hAnsi="Times New Roman"/>
                  <w:color w:val="0000FF"/>
                  <w:sz w:val="20"/>
                  <w:u w:val="single"/>
                </w:rPr>
                <w:t>Consent of Deloitte and Touche LLP, Independent Registered Public Accounting Firm</w:t>
              </w:r>
            </w:hyperlink>
            <w:hyperlink w:anchor="tnya-ex23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left"/>
              <w:rPr/>
            </w:pPr>
            <w:hyperlink w:anchor="tnya-ex5_1.htm">
              <w:r>
                <w:rPr>
                  <w:rStyle w:val="InternetLink"/>
                  <w:rFonts w:ascii="Times New Roman" w:hAnsi="Times New Roman"/>
                  <w:color w:val="0000FF"/>
                  <w:sz w:val="20"/>
                  <w:u w:val="single"/>
                </w:rPr>
                <w:t>Consent of Wilson Sonsini Goodrich &amp; Rosati, Professional Corporation (contained in Exhibit 5.1 hereto)</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left"/>
              <w:rPr/>
            </w:pPr>
            <w:hyperlink w:anchor="tx328771_a">
              <w:r>
                <w:rPr>
                  <w:rStyle w:val="InternetLink"/>
                  <w:rFonts w:ascii="Times New Roman" w:hAnsi="Times New Roman"/>
                  <w:color w:val="0000FF"/>
                  <w:sz w:val="20"/>
                  <w:u w:val="single"/>
                </w:rPr>
                <w:t>Power of Attorney (contained on signature page hereto)</w:t>
              </w:r>
            </w:hyperlink>
            <w:hyperlink w:anchor="tx328771_a">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tcBorders/>
            <w:tcMar>
              <w:top w:w="0" w:type="dxa"/>
              <w:left w:w="0" w:type="dxa"/>
              <w:bottom w:w="0" w:type="dxa"/>
              <w:right w:w="0" w:type="dxa"/>
            </w:tcMar>
            <w:vAlign w:val="center"/>
          </w:tcPr>
          <w:p>
            <w:pPr>
              <w:pStyle w:val="TableContents"/>
              <w:bidi w:val="0"/>
              <w:spacing w:before="0" w:after="283"/>
              <w:jc w:val="left"/>
              <w:rPr/>
            </w:pPr>
            <w:hyperlink w:anchor="tnya-exfiling_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tbl>
      <w:tblPr>
        <w:tblW w:w="1637" w:type="dxa"/>
        <w:jc w:val="left"/>
        <w:tblInd w:w="0" w:type="dxa"/>
        <w:tblLayout w:type="fixed"/>
        <w:tblCellMar>
          <w:top w:w="28" w:type="dxa"/>
          <w:left w:w="28" w:type="dxa"/>
          <w:bottom w:w="28" w:type="dxa"/>
          <w:right w:w="28" w:type="dxa"/>
        </w:tblCellMar>
      </w:tblPr>
      <w:tblGrid>
        <w:gridCol w:w="226"/>
        <w:gridCol w:w="1411"/>
      </w:tblGrid>
      <w:tr>
        <w:trPr/>
        <w:tc>
          <w:tcPr>
            <w:tcW w:w="2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r>
    </w:tbl>
    <w:p>
      <w:pPr>
        <w:pStyle w:val="TextBody"/>
        <w:bidi w:val="0"/>
        <w:jc w:val="left"/>
        <w:rPr/>
      </w:pPr>
      <w:r>
        <w:rPr/>
        <w:t> </w:t>
      </w:r>
    </w:p>
    <w:tbl>
      <w:tblPr>
        <w:tblW w:w="2042" w:type="dxa"/>
        <w:jc w:val="left"/>
        <w:tblInd w:w="0" w:type="dxa"/>
        <w:tblLayout w:type="fixed"/>
        <w:tblCellMar>
          <w:top w:w="28" w:type="dxa"/>
          <w:left w:w="28" w:type="dxa"/>
          <w:bottom w:w="28" w:type="dxa"/>
          <w:right w:w="28" w:type="dxa"/>
        </w:tblCellMar>
      </w:tblPr>
      <w:tblGrid>
        <w:gridCol w:w="706"/>
        <w:gridCol w:w="1336"/>
      </w:tblGrid>
      <w:tr>
        <w:trPr/>
        <w:tc>
          <w:tcPr>
            <w:tcW w:w="70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Item 9.</w:t>
            </w:r>
          </w:p>
        </w:tc>
        <w:tc>
          <w:tcPr>
            <w:tcW w:w="13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0"/>
              </w:rPr>
            </w:pPr>
            <w:r>
              <w:rPr>
                <w:rFonts w:ascii="Times New Roman" w:hAnsi="Times New Roman"/>
                <w:b/>
                <w:color w:val="000000"/>
                <w:sz w:val="20"/>
              </w:rPr>
              <w:t>Undertakings.</w:t>
            </w:r>
          </w:p>
        </w:tc>
      </w:tr>
    </w:tbl>
    <w:tbl>
      <w:tblPr>
        <w:tblW w:w="4697" w:type="dxa"/>
        <w:jc w:val="left"/>
        <w:tblInd w:w="0" w:type="dxa"/>
        <w:tblLayout w:type="fixed"/>
        <w:tblCellMar>
          <w:top w:w="28" w:type="dxa"/>
          <w:left w:w="28" w:type="dxa"/>
          <w:bottom w:w="28" w:type="dxa"/>
          <w:right w:w="28" w:type="dxa"/>
        </w:tblCellMar>
      </w:tblPr>
      <w:tblGrid>
        <w:gridCol w:w="301"/>
        <w:gridCol w:w="4396"/>
      </w:tblGrid>
      <w:tr>
        <w:trPr/>
        <w:tc>
          <w:tcPr>
            <w:tcW w:w="30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w:t>
            </w:r>
          </w:p>
        </w:tc>
      </w:tr>
    </w:tbl>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 will file, during any period in which offers or sales are being made, a post-effective amendment to this Registration Statement: </w:t>
            </w:r>
          </w:p>
        </w:tc>
      </w:tr>
    </w:tbl>
    <w:tbl>
      <w:tblPr>
        <w:tblW w:w="6816" w:type="dxa"/>
        <w:jc w:val="left"/>
        <w:tblInd w:w="0" w:type="dxa"/>
        <w:tblLayout w:type="fixed"/>
        <w:tblCellMar>
          <w:top w:w="28" w:type="dxa"/>
          <w:left w:w="28" w:type="dxa"/>
          <w:bottom w:w="28" w:type="dxa"/>
          <w:right w:w="28" w:type="dxa"/>
        </w:tblCellMar>
      </w:tblPr>
      <w:tblGrid>
        <w:gridCol w:w="124"/>
        <w:gridCol w:w="28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include any prospectus required by Section 10(a)(3) of the Securities Act; </w:t>
            </w:r>
          </w:p>
        </w:tc>
      </w:tr>
    </w:tbl>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tbl>
      <w:tblPr>
        <w:tblW w:w="10205" w:type="dxa"/>
        <w:jc w:val="left"/>
        <w:tblInd w:w="0" w:type="dxa"/>
        <w:tblLayout w:type="fixed"/>
        <w:tblCellMar>
          <w:top w:w="28" w:type="dxa"/>
          <w:left w:w="28" w:type="dxa"/>
          <w:bottom w:w="28" w:type="dxa"/>
          <w:right w:w="28" w:type="dxa"/>
        </w:tblCellMar>
      </w:tblPr>
      <w:tblGrid>
        <w:gridCol w:w="124"/>
        <w:gridCol w:w="379"/>
        <w:gridCol w:w="9702"/>
      </w:tblGrid>
      <w:tr>
        <w:trPr/>
        <w:tc>
          <w:tcPr>
            <w:tcW w:w="12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70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(iii)</w:t>
            </w:r>
          </w:p>
        </w:tc>
        <w:tc>
          <w:tcPr>
            <w:tcW w:w="97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tbl>
      <w:tblPr>
        <w:tblW w:w="10205" w:type="dxa"/>
        <w:jc w:val="left"/>
        <w:tblInd w:w="0" w:type="dxa"/>
        <w:tblLayout w:type="fixed"/>
        <w:tblCellMar>
          <w:top w:w="28" w:type="dxa"/>
          <w:left w:w="28" w:type="dxa"/>
          <w:bottom w:w="28" w:type="dxa"/>
          <w:right w:w="28" w:type="dxa"/>
        </w:tblCellMar>
      </w:tblPr>
      <w:tblGrid>
        <w:gridCol w:w="124"/>
        <w:gridCol w:w="309"/>
        <w:gridCol w:w="97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7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 </w:t>
            </w:r>
          </w:p>
        </w:tc>
        <w:tc>
          <w:tcPr>
            <w:tcW w:w="9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28" w:type="dxa"/>
          <w:left w:w="28" w:type="dxa"/>
          <w:bottom w:w="28" w:type="dxa"/>
          <w:right w:w="28"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6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 will remove from registration by means of a post-effective amendment any of the securities being registered which remain unsold at the termination of the offering.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offered therein, and the offering of such securities at that time shall be deemed to be the initial bona fide offering thereof.</w:t>
            </w:r>
          </w:p>
        </w:tc>
      </w:tr>
    </w:tbl>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tx328771_a"/>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South San Francisco, California, on August 5, 2026. </w:t>
      </w:r>
    </w:p>
    <w:tbl>
      <w:tblPr>
        <w:tblW w:w="3029" w:type="dxa"/>
        <w:jc w:val="left"/>
        <w:tblInd w:w="0" w:type="dxa"/>
        <w:tblLayout w:type="fixed"/>
        <w:tblCellMar>
          <w:top w:w="28" w:type="dxa"/>
          <w:left w:w="28" w:type="dxa"/>
          <w:bottom w:w="28" w:type="dxa"/>
          <w:right w:w="28" w:type="dxa"/>
        </w:tblCellMar>
      </w:tblPr>
      <w:tblGrid>
        <w:gridCol w:w="483"/>
        <w:gridCol w:w="167"/>
        <w:gridCol w:w="2379"/>
      </w:tblGrid>
      <w:tr>
        <w:trPr/>
        <w:tc>
          <w:tcPr>
            <w:tcW w:w="4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23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254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Faraz Ali, M.B.A.</w:t>
            </w:r>
          </w:p>
        </w:tc>
      </w:tr>
      <w:tr>
        <w:trPr/>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rPr/>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48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Faraz Ali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on Form S-8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3040"/>
        <w:gridCol w:w="146"/>
        <w:gridCol w:w="5403"/>
        <w:gridCol w:w="146"/>
        <w:gridCol w:w="1470"/>
      </w:tblGrid>
      <w:tr>
        <w:trPr/>
        <w:tc>
          <w:tcPr>
            <w:tcW w:w="3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3"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Date</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55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Faraz Ali, M.B.A.</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 and Interim Principal Financial Officer</w:t>
            </w:r>
            <w:r>
              <w:rPr>
                <w:rFonts w:ascii="Times New Roman" w:hAnsi="Times New Roman"/>
                <w:color w:val="000000"/>
                <w:sz w:val="20"/>
              </w:rPr>
              <w:t>)</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40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70" w:type="dxa"/>
            <w:vMerge w:val="continue"/>
            <w:tcBorders/>
            <w:tcMar>
              <w:top w:w="0" w:type="dxa"/>
              <w:left w:w="0" w:type="dxa"/>
              <w:bottom w:w="0" w:type="dxa"/>
              <w:right w:w="0" w:type="dxa"/>
            </w:tcMar>
            <w:vAlign w:val="center"/>
          </w:tcPr>
          <w:p>
            <w:pPr>
              <w:pStyle w:val="Normal"/>
              <w:bidi w:val="0"/>
              <w:jc w:val="left"/>
              <w:rPr/>
            </w:pPr>
            <w:r>
              <w:rPr/>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55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Hyllengren, M.B.A.</w:t>
            </w:r>
          </w:p>
        </w:tc>
        <w:tc>
          <w:tcPr>
            <w:tcW w:w="554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c>
          <w:tcPr>
            <w:tcW w:w="161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Hyllengren, M.B.A.</w:t>
            </w:r>
          </w:p>
        </w:tc>
        <w:tc>
          <w:tcPr>
            <w:tcW w:w="554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and Financial Officer)</w:t>
            </w:r>
          </w:p>
        </w:tc>
        <w:tc>
          <w:tcPr>
            <w:tcW w:w="161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55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Amy Burroughs, M.B.A.</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Burroughs, M.B.A.</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40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70" w:type="dxa"/>
            <w:vMerge w:val="continue"/>
            <w:tcBorders/>
            <w:tcMar>
              <w:top w:w="0" w:type="dxa"/>
              <w:left w:w="0" w:type="dxa"/>
              <w:bottom w:w="0" w:type="dxa"/>
              <w:right w:w="0" w:type="dxa"/>
            </w:tcMar>
            <w:vAlign w:val="center"/>
          </w:tcPr>
          <w:p>
            <w:pPr>
              <w:pStyle w:val="Normal"/>
              <w:bidi w:val="0"/>
              <w:jc w:val="left"/>
              <w:rPr/>
            </w:pPr>
            <w:r>
              <w:rPr/>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55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June Lee, M.D.</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Lee, M.D.</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403"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470" w:type="dxa"/>
            <w:vMerge w:val="continue"/>
            <w:tcBorders/>
            <w:tcMar>
              <w:top w:w="0" w:type="dxa"/>
              <w:left w:w="0" w:type="dxa"/>
              <w:bottom w:w="0" w:type="dxa"/>
              <w:right w:w="0" w:type="dxa"/>
            </w:tcMar>
            <w:vAlign w:val="center"/>
          </w:tcPr>
          <w:p>
            <w:pPr>
              <w:pStyle w:val="Normal"/>
              <w:bidi w:val="0"/>
              <w:jc w:val="left"/>
              <w:rPr/>
            </w:pPr>
            <w:r>
              <w:rPr/>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Karah Parschauer, J.D.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Karah Parschauer, J.D.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Deepak Srivastava,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Deepak Srivastava,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Catherine Stehman-Breen,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Catherine Stehman-Breen,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Jeffrey T. Walsh, M.B.A.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T. Walsh, M.B.A.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Sanders (Sandy) Williams,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August 5, 2026</w:t>
            </w:r>
          </w:p>
        </w:tc>
      </w:tr>
      <w:tr>
        <w:trPr/>
        <w:tc>
          <w:tcPr>
            <w:tcW w:w="30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Sanders (Sandy) Williams,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tnya-ex4_2.htm"/>
      <w:bookmarkStart w:id="4" w:name="kstnyaex4_2"/>
      <w:bookmarkEnd w:id="3"/>
      <w:bookmarkEnd w:id="4"/>
      <w:r>
        <w:rPr/>
        <w:t> </w:t>
      </w:r>
      <w:r>
        <w:br w:type="page"/>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Exhibit 4.2</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2021 EQUITY INCENTIVE PLAN</w:t>
      </w:r>
    </w:p>
    <w:p>
      <w:pPr>
        <w:pStyle w:val="TextBody"/>
        <w:bidi w:val="0"/>
        <w:jc w:val="center"/>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(as amended and restated)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Purposes of the Plan</w:t>
      </w:r>
      <w:r>
        <w:rPr>
          <w:rFonts w:ascii="Times New Roman" w:hAnsi="Times New Roman"/>
          <w:color w:val="000000"/>
          <w:sz w:val="24"/>
        </w:rPr>
        <w:t>. The purposes of this Plan are: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attract and retain the best available personnel for positions of substantial responsibility,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provide additional incentive to Employees, Directors and Consultants,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promote the success of the Company’s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permits the grant of Incentive Stock Options, Nonstatutory Stock Options, Stock Appreciation Rights, Restricted Stock, Restricted Stock Units and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As used herein, the following definitions will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of its Committees as will be administering the Plan, in accordance with Section 4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color w:val="000000"/>
        </w:rPr>
        <w:t>“</w:t>
      </w:r>
      <w:r>
        <w:rPr>
          <w:rFonts w:ascii="Times New Roman" w:hAnsi="Times New Roman"/>
          <w:color w:val="000000"/>
          <w:sz w:val="24"/>
          <w:u w:val="single"/>
        </w:rPr>
        <w:t>Award</w:t>
      </w:r>
      <w:r>
        <w:rPr>
          <w:color w:val="00000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color w:val="000000"/>
        </w:rPr>
        <w:t>“</w:t>
      </w:r>
      <w:r>
        <w:rPr>
          <w:rFonts w:ascii="Times New Roman" w:hAnsi="Times New Roman"/>
          <w:color w:val="000000"/>
          <w:sz w:val="24"/>
          <w:u w:val="single"/>
        </w:rPr>
        <w:t>Award Agreement</w:t>
      </w:r>
      <w:r>
        <w:rPr>
          <w:color w:val="00000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pPr>
      <w:r>
        <w:rPr>
          <w:rFonts w:ascii="Times New Roman" w:hAnsi="Times New Roman"/>
          <w:color w:val="000000"/>
          <w:sz w:val="24"/>
        </w:rPr>
        <w:t>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Code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Tenaya Therapeutics, Inc., a</w:t>
      </w:r>
      <w:r>
        <w:rPr>
          <w:color w:val="000000"/>
        </w:rPr>
        <w:t xml:space="preserve"> </w:t>
      </w:r>
      <w:r>
        <w:rPr>
          <w:rFonts w:ascii="Times New Roman" w:hAnsi="Times New Roman"/>
          <w:color w:val="000000"/>
          <w:sz w:val="24"/>
        </w:rPr>
        <w:t>Delaware corporation, or any successor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color w:val="000000"/>
        </w:rPr>
        <w:t>“</w:t>
      </w:r>
      <w:r>
        <w:rPr>
          <w:rFonts w:ascii="Times New Roman" w:hAnsi="Times New Roman"/>
          <w:color w:val="000000"/>
          <w:sz w:val="24"/>
          <w:u w:val="single"/>
        </w:rPr>
        <w:t>Consultant</w:t>
      </w:r>
      <w:r>
        <w:rPr>
          <w:color w:val="000000"/>
        </w:rPr>
        <w:t xml:space="preserve">” </w:t>
      </w:r>
      <w:r>
        <w:rPr>
          <w:rFonts w:ascii="Times New Roman" w:hAnsi="Times New Roman"/>
          <w:color w:val="000000"/>
          <w:sz w:val="24"/>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 xml:space="preserve">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both"/>
        <w:rPr/>
      </w:pPr>
      <w:r>
        <w:rPr>
          <w:color w:val="000000"/>
        </w:rPr>
        <w:t>“</w:t>
      </w:r>
      <w:r>
        <w:rPr>
          <w:rFonts w:ascii="Times New Roman" w:hAnsi="Times New Roman"/>
          <w:color w:val="000000"/>
          <w:sz w:val="24"/>
          <w:u w:val="single"/>
        </w:rPr>
        <w:t>Employee</w:t>
      </w:r>
      <w:r>
        <w:rPr>
          <w:color w:val="00000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both"/>
        <w:rPr/>
      </w:pPr>
      <w:r>
        <w:rPr>
          <w:color w:val="000000"/>
        </w:rPr>
        <w:t>“</w:t>
      </w:r>
      <w:r>
        <w:rPr>
          <w:rFonts w:ascii="Times New Roman" w:hAnsi="Times New Roman"/>
          <w:color w:val="000000"/>
          <w:sz w:val="24"/>
          <w:u w:val="single"/>
        </w:rPr>
        <w:t>Exchange Program</w:t>
      </w:r>
      <w:r>
        <w:rPr>
          <w:color w:val="000000"/>
        </w:rPr>
        <w:t xml:space="preserve">” </w:t>
      </w:r>
      <w:r>
        <w:rPr>
          <w:rFonts w:ascii="Times New Roman" w:hAnsi="Times New Roman"/>
          <w:color w:val="000000"/>
          <w:sz w:val="24"/>
        </w:rPr>
        <w:t xml:space="preserve">means a program under which (a) outstanding Awards are surrendered or cancelled in exchange for awards of the same type (which may have higher or lower exercise prices and different terms), awards of a different type, and/or cash, (b) Participants would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both"/>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 xml:space="preserve">or such other source as the Administrator deems reliable;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both"/>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both"/>
        <w:rPr/>
      </w:pPr>
      <w:r>
        <w:rPr>
          <w:color w:val="000000"/>
        </w:rPr>
        <w:t>“</w:t>
      </w:r>
      <w:r>
        <w:rPr>
          <w:rFonts w:ascii="Times New Roman" w:hAnsi="Times New Roman"/>
          <w:color w:val="000000"/>
          <w:sz w:val="24"/>
          <w:u w:val="single"/>
        </w:rPr>
        <w:t>Incentive Stock Option</w:t>
      </w:r>
      <w:r>
        <w:rPr>
          <w:color w:val="00000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both"/>
        <w:rPr/>
      </w:pPr>
      <w:r>
        <w:rPr>
          <w:color w:val="000000"/>
        </w:rPr>
        <w:t>“</w:t>
      </w:r>
      <w:r>
        <w:rPr>
          <w:rFonts w:ascii="Times New Roman" w:hAnsi="Times New Roman"/>
          <w:color w:val="000000"/>
          <w:sz w:val="24"/>
          <w:u w:val="single"/>
        </w:rPr>
        <w:t>Nonstatutory Stock Option</w:t>
      </w:r>
      <w:r>
        <w:rPr>
          <w:color w:val="00000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color w:val="000000"/>
        </w:rPr>
        <w:t>“</w:t>
      </w:r>
      <w:r>
        <w:rPr>
          <w:rFonts w:ascii="Times New Roman" w:hAnsi="Times New Roman"/>
          <w:color w:val="000000"/>
          <w:sz w:val="24"/>
          <w:u w:val="single"/>
        </w:rPr>
        <w:t>Officer</w:t>
      </w:r>
      <w:r>
        <w:rPr>
          <w:color w:val="000000"/>
        </w:rPr>
        <w:t xml:space="preserve">” </w:t>
      </w:r>
      <w:r>
        <w:rPr>
          <w:rFonts w:ascii="Times New Roman" w:hAnsi="Times New Roman"/>
          <w:color w:val="000000"/>
          <w:sz w:val="24"/>
        </w:rPr>
        <w:t xml:space="preserve">means a person who is an officer of the Company within the meaning of Section 16 of the Exchange Act and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color w:val="000000"/>
        </w:rPr>
        <w:t>“</w:t>
      </w:r>
      <w:r>
        <w:rPr>
          <w:rFonts w:ascii="Times New Roman" w:hAnsi="Times New Roman"/>
          <w:color w:val="000000"/>
          <w:sz w:val="24"/>
          <w:u w:val="single"/>
        </w:rPr>
        <w:t>Option</w:t>
      </w:r>
      <w:r>
        <w:rPr>
          <w:color w:val="000000"/>
        </w:rPr>
        <w:t xml:space="preserve">” </w:t>
      </w:r>
      <w:r>
        <w:rPr>
          <w:rFonts w:ascii="Times New Roman" w:hAnsi="Times New Roman"/>
          <w:color w:val="000000"/>
          <w:sz w:val="24"/>
        </w:rPr>
        <w:t>means a stock option granted pursuant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both"/>
        <w:rPr/>
      </w:pPr>
      <w:r>
        <w:rPr>
          <w:color w:val="000000"/>
        </w:rPr>
        <w:t>“</w:t>
      </w:r>
      <w:r>
        <w:rPr>
          <w:rFonts w:ascii="Times New Roman" w:hAnsi="Times New Roman"/>
          <w:color w:val="000000"/>
          <w:sz w:val="24"/>
          <w:u w:val="single"/>
        </w:rPr>
        <w:t>Outside Director</w:t>
      </w:r>
      <w:r>
        <w:rPr>
          <w:color w:val="000000"/>
        </w:rPr>
        <w:t xml:space="preserve">” </w:t>
      </w:r>
      <w:r>
        <w:rPr>
          <w:rFonts w:ascii="Times New Roman" w:hAnsi="Times New Roman"/>
          <w:color w:val="000000"/>
          <w:sz w:val="24"/>
        </w:rPr>
        <w:t>means a Director who is not an Employee.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pStyle w:val="TextBody"/>
        <w:bidi w:val="0"/>
        <w:spacing w:before="240" w:after="283"/>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Performance Awards</w:t>
      </w:r>
      <w:r>
        <w:rPr>
          <w:color w:val="000000"/>
        </w:rPr>
        <w:t xml:space="preserve">” </w:t>
      </w:r>
      <w:bookmarkStart w:id="5" w:name="ole_link3"/>
      <w:bookmarkEnd w:id="5"/>
      <w:r>
        <w:rPr>
          <w:rFonts w:ascii="Times New Roman" w:hAnsi="Times New Roman"/>
          <w:color w:val="000000"/>
          <w:sz w:val="24"/>
        </w:rPr>
        <w:t>means an Award which may be earned in whole or in part upon attainment of performance goals</w:t>
      </w:r>
      <w:r>
        <w:rPr>
          <w:color w:val="000000"/>
        </w:rPr>
        <w:t xml:space="preserve"> </w:t>
      </w:r>
      <w:r>
        <w:rPr>
          <w:rFonts w:ascii="Times New Roman" w:hAnsi="Times New Roman"/>
          <w:color w:val="000000"/>
          <w:sz w:val="24"/>
        </w:rPr>
        <w:t>or other vesting criteria as the Administrator may determine and which may be cash- or stock-denominated and may be settled for cash, Shares or other securities or a combination of the foregoing under Section 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both"/>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means Performance Period as defined in Section 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color w:val="000000"/>
        </w:rPr>
        <w:t>“</w:t>
      </w:r>
      <w:r>
        <w:rPr>
          <w:rFonts w:ascii="Times New Roman" w:hAnsi="Times New Roman"/>
          <w:color w:val="000000"/>
          <w:sz w:val="24"/>
          <w:u w:val="single"/>
        </w:rPr>
        <w:t>Period of Restriction</w:t>
      </w:r>
      <w:r>
        <w:rPr>
          <w:color w:val="000000"/>
        </w:rPr>
        <w:t xml:space="preserve">” </w:t>
      </w:r>
      <w:r>
        <w:rPr>
          <w:rFonts w:ascii="Times New Roman" w:hAnsi="Times New Roman"/>
          <w:color w:val="000000"/>
          <w:sz w:val="24"/>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2021 Equity Incentive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both"/>
        <w:rPr/>
      </w:pPr>
      <w:r>
        <w:rPr>
          <w:color w:val="000000"/>
        </w:rPr>
        <w:t>“</w:t>
      </w:r>
      <w:r>
        <w:rPr>
          <w:rFonts w:ascii="Times New Roman" w:hAnsi="Times New Roman"/>
          <w:color w:val="000000"/>
          <w:sz w:val="24"/>
          <w:u w:val="single"/>
        </w:rPr>
        <w:t>Registration Date</w:t>
      </w:r>
      <w:r>
        <w:rPr>
          <w:color w:val="000000"/>
        </w:rPr>
        <w:t xml:space="preserve">” </w:t>
      </w:r>
      <w:r>
        <w:rPr>
          <w:rFonts w:ascii="Times New Roman" w:hAnsi="Times New Roman"/>
          <w:color w:val="000000"/>
          <w:sz w:val="24"/>
        </w:rPr>
        <w:t>means the effective date of the first registration statement that is filed by the Company and declared effective pursuant to Section 12(b) of the Exchange Act, with respect to any class of the Company’s securities.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both"/>
        <w:rPr/>
      </w:pPr>
      <w:r>
        <w:rPr>
          <w:color w:val="000000"/>
        </w:rPr>
        <w:t>“</w:t>
      </w:r>
      <w:r>
        <w:rPr>
          <w:rFonts w:ascii="Times New Roman" w:hAnsi="Times New Roman"/>
          <w:color w:val="000000"/>
          <w:sz w:val="24"/>
          <w:u w:val="single"/>
        </w:rPr>
        <w:t>Restricted Stock</w:t>
      </w:r>
      <w:r>
        <w:rPr>
          <w:color w:val="000000"/>
        </w:rPr>
        <w:t xml:space="preserve">” </w:t>
      </w:r>
      <w:r>
        <w:rPr>
          <w:rFonts w:ascii="Times New Roman" w:hAnsi="Times New Roman"/>
          <w:color w:val="000000"/>
          <w:sz w:val="24"/>
        </w:rPr>
        <w:t>means Shares issued pursuant to an Award of Restricted Stock under Section 8 of the Plan, or issued pursuant to the early exercise of an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both"/>
        <w:rPr/>
      </w:pPr>
      <w:r>
        <w:rPr>
          <w:color w:val="000000"/>
        </w:rPr>
        <w:t>“</w:t>
      </w:r>
      <w:r>
        <w:rPr>
          <w:rFonts w:ascii="Times New Roman" w:hAnsi="Times New Roman"/>
          <w:color w:val="000000"/>
          <w:sz w:val="24"/>
          <w:u w:val="single"/>
        </w:rPr>
        <w:t>Restricted Stock Unit</w:t>
      </w:r>
      <w:r>
        <w:rPr>
          <w:color w:val="00000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2.33</w:t>
      </w:r>
    </w:p>
    <w:p>
      <w:pPr>
        <w:pStyle w:val="TextBody"/>
        <w:bidi w:val="0"/>
        <w:spacing w:before="240" w:after="283"/>
        <w:jc w:val="both"/>
        <w:rPr/>
      </w:pPr>
      <w:r>
        <w:rPr>
          <w:color w:val="000000"/>
        </w:rPr>
        <w:t>“</w:t>
      </w:r>
      <w:r>
        <w:rPr>
          <w:rFonts w:ascii="Times New Roman" w:hAnsi="Times New Roman"/>
          <w:color w:val="000000"/>
          <w:sz w:val="24"/>
          <w:u w:val="single"/>
        </w:rPr>
        <w:t>Rule 16b</w:t>
        <w:noBreakHyphen/>
        <w:t>3</w:t>
      </w:r>
      <w:r>
        <w:rPr>
          <w:color w:val="00000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2.34</w:t>
      </w:r>
    </w:p>
    <w:p>
      <w:pPr>
        <w:pStyle w:val="TextBody"/>
        <w:bidi w:val="0"/>
        <w:spacing w:before="240" w:after="283"/>
        <w:jc w:val="both"/>
        <w:rPr/>
      </w:pPr>
      <w:r>
        <w:rPr>
          <w:color w:val="000000"/>
        </w:rPr>
        <w:t>“</w:t>
      </w:r>
      <w:r>
        <w:rPr>
          <w:rFonts w:ascii="Times New Roman" w:hAnsi="Times New Roman"/>
          <w:color w:val="000000"/>
          <w:sz w:val="24"/>
          <w:u w:val="single"/>
        </w:rPr>
        <w:t>Section 16b</w:t>
      </w:r>
      <w:r>
        <w:rPr>
          <w:color w:val="000000"/>
        </w:rPr>
        <w:t xml:space="preserve">” </w:t>
      </w:r>
      <w:r>
        <w:rPr>
          <w:rFonts w:ascii="Times New Roman" w:hAnsi="Times New Roman"/>
          <w:color w:val="000000"/>
          <w:sz w:val="24"/>
        </w:rPr>
        <w:t>means Section 16(b)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2.35</w:t>
      </w:r>
    </w:p>
    <w:p>
      <w:pPr>
        <w:pStyle w:val="TextBody"/>
        <w:bidi w:val="0"/>
        <w:spacing w:before="240" w:after="283"/>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2.36</w:t>
      </w:r>
    </w:p>
    <w:p>
      <w:pPr>
        <w:pStyle w:val="TextBody"/>
        <w:bidi w:val="0"/>
        <w:spacing w:before="240" w:after="283"/>
        <w:jc w:val="both"/>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2.37</w:t>
      </w:r>
    </w:p>
    <w:p>
      <w:pPr>
        <w:pStyle w:val="TextBody"/>
        <w:bidi w:val="0"/>
        <w:spacing w:before="240" w:after="283"/>
        <w:jc w:val="both"/>
        <w:rPr/>
      </w:pPr>
      <w:r>
        <w:rPr>
          <w:color w:val="000000"/>
        </w:rPr>
        <w:t>“</w:t>
      </w:r>
      <w:r>
        <w:rPr>
          <w:rFonts w:ascii="Times New Roman" w:hAnsi="Times New Roman"/>
          <w:color w:val="000000"/>
          <w:sz w:val="24"/>
          <w:u w:val="single"/>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2.38</w:t>
      </w:r>
    </w:p>
    <w:p>
      <w:pPr>
        <w:pStyle w:val="TextBody"/>
        <w:bidi w:val="0"/>
        <w:spacing w:before="240" w:after="283"/>
        <w:jc w:val="both"/>
        <w:rPr/>
      </w:pPr>
      <w:r>
        <w:rPr>
          <w:color w:val="000000"/>
        </w:rPr>
        <w:t>“</w:t>
      </w:r>
      <w:r>
        <w:rPr>
          <w:rFonts w:ascii="Times New Roman" w:hAnsi="Times New Roman"/>
          <w:color w:val="000000"/>
          <w:sz w:val="24"/>
          <w:u w:val="single"/>
        </w:rPr>
        <w:t>Share</w:t>
      </w:r>
      <w:r>
        <w:rPr>
          <w:color w:val="000000"/>
        </w:rPr>
        <w:t xml:space="preserve">” </w:t>
      </w:r>
      <w:r>
        <w:rPr>
          <w:rFonts w:ascii="Times New Roman" w:hAnsi="Times New Roman"/>
          <w:color w:val="000000"/>
          <w:sz w:val="24"/>
        </w:rPr>
        <w:t>means a share of the Common Stock, as adjusted in accordance with Section 14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2.39</w:t>
      </w:r>
    </w:p>
    <w:p>
      <w:pPr>
        <w:pStyle w:val="TextBody"/>
        <w:bidi w:val="0"/>
        <w:spacing w:before="240" w:after="283"/>
        <w:jc w:val="both"/>
        <w:rPr/>
      </w:pPr>
      <w:r>
        <w:rPr>
          <w:color w:val="000000"/>
        </w:rPr>
        <w:t>“</w:t>
      </w:r>
      <w:r>
        <w:rPr>
          <w:rFonts w:ascii="Times New Roman" w:hAnsi="Times New Roman"/>
          <w:color w:val="000000"/>
          <w:sz w:val="24"/>
          <w:u w:val="single"/>
        </w:rPr>
        <w:t>Stock Appreciation Right</w:t>
      </w:r>
      <w:r>
        <w:rPr>
          <w:color w:val="00000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2.40</w:t>
      </w:r>
    </w:p>
    <w:p>
      <w:pPr>
        <w:pStyle w:val="TextBody"/>
        <w:bidi w:val="0"/>
        <w:spacing w:before="240" w:after="283"/>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2.41</w:t>
      </w:r>
    </w:p>
    <w:p>
      <w:pPr>
        <w:pStyle w:val="TextBody"/>
        <w:bidi w:val="0"/>
        <w:spacing w:before="240" w:after="283"/>
        <w:jc w:val="both"/>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2.42</w:t>
      </w:r>
    </w:p>
    <w:p>
      <w:pPr>
        <w:pStyle w:val="TextBody"/>
        <w:bidi w:val="0"/>
        <w:spacing w:before="240" w:after="283"/>
        <w:jc w:val="both"/>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Stock Subject to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Stock Subject to the Plan</w:t>
      </w:r>
      <w:r>
        <w:rPr>
          <w:rFonts w:ascii="Times New Roman" w:hAnsi="Times New Roman"/>
          <w:color w:val="000000"/>
          <w:sz w:val="24"/>
        </w:rPr>
        <w:t>. Subject to adjustment upon changes in capitalization of the Company as provided in Section 14 and the automatic increase set forth in Section 3.2, the maximum aggregate number of Shares that may be subject to Awards and sold under the Plan will be equal to (a) 10,509,966, plus (b) any Shares subject to stock options, restricted stock units, or similar awards granted under the Company’s 2016 Equity Incentive Plan (the “</w:t>
      </w:r>
      <w:r>
        <w:rPr>
          <w:rFonts w:ascii="Times New Roman" w:hAnsi="Times New Roman"/>
          <w:color w:val="000000"/>
          <w:sz w:val="24"/>
          <w:u w:val="single"/>
        </w:rPr>
        <w:t>2016 Plan</w:t>
      </w:r>
      <w:r>
        <w:rPr>
          <w:color w:val="000000"/>
        </w:rPr>
        <w:t>”</w:t>
      </w:r>
      <w:r>
        <w:rPr>
          <w:rFonts w:ascii="Times New Roman" w:hAnsi="Times New Roman"/>
          <w:color w:val="000000"/>
          <w:sz w:val="24"/>
        </w:rPr>
        <w:t>)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2,430,000 Shares. In addition, for purposes of clarity, a total of 14,520,845 Shares became available for issuance under the Plan during the period from the first day of the 2022 Fiscal Year through and including the first day of the 2026 Fiscal Year pursuant to the automatic share reserve increase provisions as in effect prior to the amendment and restatement of the Plan in 2026, and such Shares also will be subject to adjustment upon changes in capitalization of the Company as provided in Section 14. In addition, Shares may become available for issuance under Sections 3.2 and 3.3. The Shares may be authorized but unissued, or reacquired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Automatic Share Reserve Increase</w:t>
      </w:r>
      <w:r>
        <w:rPr>
          <w:rFonts w:ascii="Times New Roman" w:hAnsi="Times New Roman"/>
          <w:color w:val="000000"/>
          <w:sz w:val="24"/>
        </w:rPr>
        <w:t>. Subject to adjustment upon changes in capitalization of the Company as provided in Section 14, the number of Shares available for issuance under the Plan will be increased on the first day of each Fiscal Year beginning with the 2027 Fiscal Year, in an amount equal to the least of (a) four percent (4%) of the outstanding Shares on the last day of the immediately preceding Fiscal Year, or (b) such number of Shares determined by the Administrator no later than the last day of the immediately preceding Fiscal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Lapsed Awards</w:t>
      </w:r>
      <w:r>
        <w:rPr>
          <w:rFonts w:ascii="Times New Roman" w:hAnsi="Times New Roman"/>
          <w:color w:val="000000"/>
          <w:sz w:val="24"/>
        </w:rPr>
        <w:t xml:space="preserve">.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pPr>
      <w:r>
        <w:rPr>
          <w:rFonts w:ascii="Times New Roman" w:hAnsi="Times New Roman"/>
          <w:color w:val="000000"/>
          <w:sz w:val="24"/>
        </w:rPr>
        <w:t>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Incentive Stock Option Limits</w:t>
      </w:r>
      <w:r>
        <w:rPr>
          <w:rFonts w:ascii="Times New Roman" w:hAnsi="Times New Roman"/>
          <w:color w:val="000000"/>
          <w:sz w:val="24"/>
        </w:rPr>
        <w:t xml:space="preserve">. Subject to the foregoing limits and subject to adjustment as provided in Section 14, the maximum number of Shares that may be issued upon the exercise of Incentive Stock Options will equal 15,000,000 Shares.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w:t>
      </w:r>
    </w:p>
    <w:p>
      <w:pPr>
        <w:pStyle w:val="TextBody"/>
        <w:bidi w:val="0"/>
        <w:spacing w:before="240" w:after="283"/>
        <w:jc w:val="both"/>
        <w:rPr/>
      </w:pPr>
      <w:r>
        <w:rPr>
          <w:rFonts w:ascii="Times New Roman" w:hAnsi="Times New Roman"/>
          <w:color w:val="000000"/>
          <w:sz w:val="24"/>
          <w:u w:val="single"/>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Administration of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color w:val="000000"/>
          <w:sz w:val="24"/>
          <w:u w:val="single"/>
        </w:rPr>
        <w:t>Procedure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color w:val="000000"/>
          <w:sz w:val="24"/>
          <w:u w:val="single"/>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color w:val="000000"/>
          <w:sz w:val="24"/>
          <w:u w:val="single"/>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pPr>
      <w:r>
        <w:rPr>
          <w:rFonts w:ascii="Times New Roman" w:hAnsi="Times New Roman"/>
          <w:color w:val="000000"/>
          <w:sz w:val="24"/>
          <w:u w:val="single"/>
        </w:rPr>
        <w:t>Other Administration</w:t>
      </w:r>
      <w:r>
        <w:rPr>
          <w:rFonts w:ascii="Times New Roman" w:hAnsi="Times New Roman"/>
          <w:color w:val="000000"/>
          <w:sz w:val="24"/>
        </w:rPr>
        <w:t xml:space="preserve">. Other than as provided above, the Plan will be administered by (A) the Board or (B) a Committee, which Committee will be constituted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color w:val="000000"/>
          <w:sz w:val="24"/>
          <w:u w:val="single"/>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select the Service Providers to whom Awards may be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number of Shares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approve forms of Award Agreements for use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institute and determine the terms and conditions of an Exchange Program, including, subject to Section 19.3, to unilaterally implement an Exchange Program without the consent of the applicable Award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construe and interpret the terms of the Plan and Awards granted pursuant to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prescribe, amend and rescind rules and regulations relating to the Plan, including rules and regulations relating to sub-plans established for the purpose of satisfying applicable non</w:t>
        <w:noBreakHyphen/>
        <w:t>U.S. laws or for qualifying for favorable tax treatment under applicable non</w:t>
        <w:noBreakHyphen/>
        <w:t>U.S.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modify or amend each Award (subject to Section 19.3), including but not limited to the discretionary authority to extend the post-termination exercisability period of Awards and to extend the maximum term of an Option or Stock Appreciation Right (subject to Sections 6.4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Participants to satisfy withholding tax obligations in a manner prescribed in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a Participant to defer the receipt of the payment of cash or the delivery of Shares that otherwise would be due to such Participant under an Award;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color w:val="000000"/>
          <w:sz w:val="24"/>
          <w:u w:val="single"/>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 Nonstatutory Stock Options, Stock Appreciation Rights, Restricted Stock, Restricted Stock Units and Performance Awards may be granted to Service Providers. Incentive Stock Options may be granted only to Employees.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Stock Options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both"/>
        <w:rPr/>
      </w:pPr>
      <w:r>
        <w:rPr>
          <w:rFonts w:ascii="Times New Roman" w:hAnsi="Times New Roman"/>
          <w:color w:val="000000"/>
          <w:sz w:val="24"/>
          <w:u w:val="single"/>
        </w:rPr>
        <w:t>Grant of Options</w:t>
      </w:r>
      <w:r>
        <w:rPr>
          <w:rFonts w:ascii="Times New Roman" w:hAnsi="Times New Roman"/>
          <w:color w:val="000000"/>
          <w:sz w:val="24"/>
        </w:rPr>
        <w:t>. Subject to the terms and provisions of the Plan, the Administrator, at any time and from time to time, may grant Options to Service Providers in such amounts as the Administrator, in its sole discretion, will determine.</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color w:val="000000"/>
          <w:sz w:val="24"/>
          <w:u w:val="single"/>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color w:val="000000"/>
          <w:sz w:val="24"/>
          <w:u w:val="single"/>
        </w:rPr>
        <w:t>Limitations</w:t>
      </w:r>
      <w:r>
        <w:rPr>
          <w:rFonts w:ascii="Times New Roman" w:hAnsi="Times New Roman"/>
          <w:color w:val="000000"/>
          <w:sz w:val="24"/>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w:t>
      </w:r>
    </w:p>
    <w:p>
      <w:pPr>
        <w:pStyle w:val="TextBody"/>
        <w:bidi w:val="0"/>
        <w:spacing w:before="240" w:after="283"/>
        <w:jc w:val="both"/>
        <w:rPr/>
      </w:pPr>
      <w:r>
        <w:rPr>
          <w:rFonts w:ascii="Times New Roman" w:hAnsi="Times New Roman"/>
          <w:color w:val="000000"/>
          <w:sz w:val="24"/>
          <w:u w:val="single"/>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6.5.1</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xml:space="preserve">.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6.5.2</w:t>
      </w:r>
    </w:p>
    <w:p>
      <w:pPr>
        <w:pStyle w:val="TextBody"/>
        <w:bidi w:val="0"/>
        <w:spacing w:before="240" w:after="283"/>
        <w:jc w:val="both"/>
        <w:rPr/>
      </w:pPr>
      <w:r>
        <w:rPr>
          <w:rFonts w:ascii="Times New Roman" w:hAnsi="Times New Roman"/>
          <w:color w:val="000000"/>
          <w:sz w:val="24"/>
          <w:u w:val="single"/>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6.5.3</w:t>
      </w:r>
    </w:p>
    <w:p>
      <w:pPr>
        <w:pStyle w:val="TextBody"/>
        <w:bidi w:val="0"/>
        <w:spacing w:before="240" w:after="283"/>
        <w:jc w:val="both"/>
        <w:rPr/>
      </w:pPr>
      <w:r>
        <w:rPr>
          <w:rFonts w:ascii="Times New Roman" w:hAnsi="Times New Roman"/>
          <w:color w:val="000000"/>
          <w:sz w:val="24"/>
          <w:u w:val="single"/>
        </w:rPr>
        <w:t>Form of Consideration</w:t>
      </w:r>
      <w:r>
        <w:rPr>
          <w:rFonts w:ascii="Times New Roman" w:hAnsi="Times New Roman"/>
          <w:color w:val="000000"/>
          <w:sz w:val="24"/>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6.6.1</w:t>
      </w:r>
    </w:p>
    <w:p>
      <w:pPr>
        <w:pStyle w:val="TextBody"/>
        <w:bidi w:val="0"/>
        <w:spacing w:before="240" w:after="283"/>
        <w:jc w:val="both"/>
        <w:rPr/>
      </w:pPr>
      <w:r>
        <w:rPr>
          <w:rFonts w:ascii="Times New Roman" w:hAnsi="Times New Roman"/>
          <w:color w:val="000000"/>
          <w:sz w:val="24"/>
          <w:u w:val="single"/>
        </w:rPr>
        <w:t>Procedure for Exercise; Rights as a Stockholder</w:t>
      </w:r>
      <w:r>
        <w:rPr>
          <w:rFonts w:ascii="Times New Roman" w:hAnsi="Times New Roman"/>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w:t>
      </w:r>
      <w:r>
        <w:rPr>
          <w:rFonts w:ascii="Times New Roman" w:hAnsi="Times New Roman"/>
          <w:color w:val="000000"/>
          <w:sz w:val="20"/>
        </w:rPr>
        <w:t xml:space="preserve"> </w:t>
      </w:r>
      <w:r>
        <w:rPr>
          <w:rFonts w:ascii="Times New Roman" w:hAnsi="Times New Roman"/>
          <w:color w:val="000000"/>
          <w:sz w:val="24"/>
        </w:rPr>
        <w:t>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6.6.2</w:t>
      </w:r>
    </w:p>
    <w:p>
      <w:pPr>
        <w:pStyle w:val="TextBody"/>
        <w:bidi w:val="0"/>
        <w:spacing w:before="240" w:after="283"/>
        <w:jc w:val="both"/>
        <w:rPr/>
      </w:pPr>
      <w:r>
        <w:rPr>
          <w:rFonts w:ascii="Times New Roman" w:hAnsi="Times New Roman"/>
          <w:color w:val="000000"/>
          <w:sz w:val="24"/>
          <w:u w:val="single"/>
        </w:rPr>
        <w:t>Termination of Relationship as a Service Provider</w:t>
      </w:r>
      <w:r>
        <w:rPr>
          <w:rFonts w:ascii="Times New Roman" w:hAnsi="Times New Roman"/>
          <w:color w:val="000000"/>
          <w:sz w:val="24"/>
        </w:rPr>
        <w:t>. If a Participant ceases to be a Service Provider, other than upon the Participant’s termination as the result of the Participant’s death or Disability, the Participant may exercise his or her Option, to the extent that the Option is vested on the date of termination, within three (3) months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6.6.3</w:t>
      </w:r>
    </w:p>
    <w:p>
      <w:pPr>
        <w:pStyle w:val="TextBody"/>
        <w:bidi w:val="0"/>
        <w:spacing w:before="240" w:after="283"/>
        <w:jc w:val="both"/>
        <w:rPr/>
      </w:pPr>
      <w:r>
        <w:rPr>
          <w:rFonts w:ascii="Times New Roman" w:hAnsi="Times New Roman"/>
          <w:color w:val="000000"/>
          <w:sz w:val="24"/>
          <w:u w:val="single"/>
        </w:rPr>
        <w:t>Disability of Participant</w:t>
      </w:r>
      <w:r>
        <w:rPr>
          <w:rFonts w:ascii="Times New Roman" w:hAnsi="Times New Roman"/>
          <w:color w:val="000000"/>
          <w:sz w:val="24"/>
        </w:rPr>
        <w:t xml:space="preserve">. If a Participant ceases to be a Service Provider as a result of the Participant’s Disability, the Participant may exercise his or her Option within twelve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6.6.4</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hAnsi="Times New Roman"/>
          <w:color w:val="000000"/>
          <w:sz w:val="24"/>
          <w:u w:val="single"/>
        </w:rPr>
        <w:t>Legal Representative</w:t>
      </w:r>
      <w:r>
        <w:rPr>
          <w:color w:val="000000"/>
        </w:rPr>
        <w:t>”</w:t>
      </w:r>
      <w:r>
        <w:rPr>
          <w:rFonts w:ascii="Times New Roman" w:hAnsi="Times New Roman"/>
          <w:color w:val="000000"/>
          <w:sz w:val="24"/>
        </w:rPr>
        <w:t xml:space="preser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6.6.5</w:t>
      </w:r>
    </w:p>
    <w:p>
      <w:pPr>
        <w:pStyle w:val="TextBody"/>
        <w:bidi w:val="0"/>
        <w:spacing w:before="240" w:after="283"/>
        <w:jc w:val="both"/>
        <w:rPr/>
      </w:pPr>
      <w:r>
        <w:rPr>
          <w:rFonts w:ascii="Times New Roman" w:hAnsi="Times New Roman"/>
          <w:color w:val="000000"/>
          <w:sz w:val="24"/>
          <w:u w:val="single"/>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Stock Appreciation Rights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pPr>
      <w:r>
        <w:rPr>
          <w:rFonts w:ascii="Times New Roman" w:hAnsi="Times New Roman"/>
          <w:color w:val="000000"/>
          <w:sz w:val="24"/>
          <w:u w:val="single"/>
        </w:rPr>
        <w:t>Grant of Stock Appreciation Rights</w:t>
      </w:r>
      <w:r>
        <w:rPr>
          <w:rFonts w:ascii="Times New Roman" w:hAnsi="Times New Roman"/>
          <w:color w:val="000000"/>
          <w:sz w:val="24"/>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pPr>
      <w:r>
        <w:rPr>
          <w:rFonts w:ascii="Times New Roman" w:hAnsi="Times New Roman"/>
          <w:color w:val="000000"/>
          <w:sz w:val="24"/>
          <w:u w:val="single"/>
        </w:rPr>
        <w:t>Number of Shares</w:t>
      </w:r>
      <w:r>
        <w:rPr>
          <w:rFonts w:ascii="Times New Roman" w:hAnsi="Times New Roman"/>
          <w:color w:val="000000"/>
          <w:sz w:val="24"/>
        </w:rPr>
        <w:t>.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both"/>
        <w:rPr/>
      </w:pPr>
      <w:r>
        <w:rPr>
          <w:rFonts w:ascii="Times New Roman" w:hAnsi="Times New Roman"/>
          <w:color w:val="000000"/>
          <w:sz w:val="24"/>
          <w:u w:val="single"/>
        </w:rPr>
        <w:t>Exercise Price and Other Terms</w:t>
      </w:r>
      <w:r>
        <w:rPr>
          <w:rFonts w:ascii="Times New Roman" w:hAnsi="Times New Roman"/>
          <w:color w:val="000000"/>
          <w:sz w:val="24"/>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both"/>
        <w:rPr/>
      </w:pPr>
      <w:r>
        <w:rPr>
          <w:rFonts w:ascii="Times New Roman" w:hAnsi="Times New Roman"/>
          <w:color w:val="000000"/>
          <w:sz w:val="24"/>
          <w:u w:val="single"/>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both"/>
        <w:rPr/>
      </w:pPr>
      <w:r>
        <w:rPr>
          <w:rFonts w:ascii="Times New Roman" w:hAnsi="Times New Roman"/>
          <w:color w:val="000000"/>
          <w:sz w:val="24"/>
          <w:u w:val="single"/>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6.5 relating to exercise also will apply to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7.6</w:t>
      </w:r>
    </w:p>
    <w:p>
      <w:pPr>
        <w:pStyle w:val="TextBody"/>
        <w:bidi w:val="0"/>
        <w:spacing w:before="240" w:after="283"/>
        <w:jc w:val="both"/>
        <w:rPr/>
      </w:pPr>
      <w:r>
        <w:rPr>
          <w:rFonts w:ascii="Times New Roman" w:hAnsi="Times New Roman"/>
          <w:color w:val="000000"/>
          <w:sz w:val="24"/>
          <w:u w:val="single"/>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Restricted Stock</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pPr>
      <w:r>
        <w:rPr>
          <w:rFonts w:ascii="Times New Roman" w:hAnsi="Times New Roman"/>
          <w:color w:val="000000"/>
          <w:sz w:val="24"/>
          <w:u w:val="single"/>
        </w:rPr>
        <w:t>Grant of Restricted Stock</w:t>
      </w:r>
      <w:r>
        <w:rPr>
          <w:rFonts w:ascii="Times New Roman" w:hAnsi="Times New Roman"/>
          <w:color w:val="000000"/>
          <w:sz w:val="24"/>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pPr>
      <w:r>
        <w:rPr>
          <w:rFonts w:ascii="Times New Roman" w:hAnsi="Times New Roman"/>
          <w:color w:val="000000"/>
          <w:sz w:val="24"/>
          <w:u w:val="single"/>
        </w:rPr>
        <w:t>Restricted Stock Agreement</w:t>
      </w:r>
      <w:r>
        <w:rPr>
          <w:rFonts w:ascii="Times New Roman" w:hAnsi="Times New Roman"/>
          <w:color w:val="000000"/>
          <w:sz w:val="24"/>
        </w:rPr>
        <w:t xml:space="preserve">. Each Award of Restricted Stock will be evidenced by an Award Agreement that will specify the Period of Restriction (if any), the number of Shares granted, and such other terms and conditions as the Administrator, in its sole discretion, will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determine. Unless the Administrator determines otherwise, the Company as escrow agent will hold Shares of Restricted Stock until the restrictions on such Shares have lapsed.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both"/>
        <w:rPr/>
      </w:pPr>
      <w:r>
        <w:rPr>
          <w:rFonts w:ascii="Times New Roman" w:hAnsi="Times New Roman"/>
          <w:color w:val="000000"/>
          <w:sz w:val="24"/>
          <w:u w:val="single"/>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both"/>
        <w:rPr/>
      </w:pPr>
      <w:r>
        <w:rPr>
          <w:rFonts w:ascii="Times New Roman" w:hAnsi="Times New Roman"/>
          <w:color w:val="000000"/>
          <w:sz w:val="24"/>
          <w:u w:val="single"/>
        </w:rPr>
        <w:t>Removal of Restrictions</w:t>
      </w:r>
      <w:r>
        <w:rPr>
          <w:rFonts w:ascii="Times New Roman" w:hAnsi="Times New Roman"/>
          <w:color w:val="000000"/>
          <w:sz w:val="24"/>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pPr>
      <w:r>
        <w:rPr>
          <w:rFonts w:ascii="Times New Roman" w:hAnsi="Times New Roman"/>
          <w:color w:val="000000"/>
          <w:sz w:val="24"/>
          <w:u w:val="single"/>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both"/>
        <w:rPr/>
      </w:pPr>
      <w:r>
        <w:rPr>
          <w:rFonts w:ascii="Times New Roman" w:hAnsi="Times New Roman"/>
          <w:color w:val="000000"/>
          <w:sz w:val="24"/>
          <w:u w:val="single"/>
        </w:rPr>
        <w:t>Dividends and Other Distributions</w:t>
      </w:r>
      <w:r>
        <w:rPr>
          <w:rFonts w:ascii="Times New Roman" w:hAnsi="Times New Roman"/>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both"/>
        <w:rPr/>
      </w:pPr>
      <w:r>
        <w:rPr>
          <w:rFonts w:ascii="Times New Roman" w:hAnsi="Times New Roman"/>
          <w:color w:val="000000"/>
          <w:sz w:val="24"/>
          <w:u w:val="single"/>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Restricted Stock Units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color w:val="000000"/>
          <w:sz w:val="24"/>
          <w:u w:val="single"/>
        </w:rPr>
        <w:t>Grant</w:t>
      </w:r>
      <w:r>
        <w:rPr>
          <w:rFonts w:ascii="Times New Roman" w:hAnsi="Times New Roman"/>
          <w:color w:val="000000"/>
          <w:sz w:val="24"/>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color w:val="000000"/>
          <w:sz w:val="24"/>
          <w:u w:val="single"/>
        </w:rPr>
        <w:t>Vesting Criteria and Other Terms</w:t>
      </w:r>
      <w:r>
        <w:rPr>
          <w:rFonts w:ascii="Times New Roman" w:hAnsi="Times New Roman"/>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color w:val="000000"/>
          <w:sz w:val="24"/>
          <w:u w:val="single"/>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both"/>
        <w:rPr/>
      </w:pPr>
      <w:r>
        <w:rPr>
          <w:rFonts w:ascii="Times New Roman" w:hAnsi="Times New Roman"/>
          <w:color w:val="000000"/>
          <w:sz w:val="24"/>
          <w:u w:val="single"/>
        </w:rPr>
        <w:t>Cancellation</w:t>
      </w:r>
      <w:r>
        <w:rPr>
          <w:rFonts w:ascii="Times New Roman" w:hAnsi="Times New Roman"/>
          <w:color w:val="000000"/>
          <w:sz w:val="24"/>
        </w:rPr>
        <w:t>. On the date set forth in the Award Agreement, all unearned Restricted Stock Units will be forfeited to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color w:val="000000"/>
          <w:sz w:val="24"/>
          <w:u w:val="single"/>
        </w:rPr>
        <w:t>Performance Awards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color w:val="000000"/>
          <w:sz w:val="24"/>
          <w:u w:val="single"/>
        </w:rPr>
        <w:t>Award Agreement</w:t>
      </w:r>
      <w:r>
        <w:rPr>
          <w:rFonts w:ascii="Times New Roman" w:hAnsi="Times New Roman"/>
          <w:color w:val="000000"/>
          <w:sz w:val="24"/>
        </w:rPr>
        <w:t>. Each Performance Award will be evidenced by an Award Agreement that will specify any time period during which any performance objectives or other vesting provisions will be measured (“</w:t>
      </w:r>
      <w:r>
        <w:rPr>
          <w:rFonts w:ascii="Times New Roman" w:hAnsi="Times New Roman"/>
          <w:color w:val="000000"/>
          <w:sz w:val="24"/>
          <w:u w:val="single"/>
        </w:rPr>
        <w:t>Performance Period</w:t>
      </w:r>
      <w:r>
        <w:rPr>
          <w:color w:val="000000"/>
        </w:rPr>
        <w:t>”</w:t>
      </w:r>
      <w:r>
        <w:rPr>
          <w:rFonts w:ascii="Times New Roman" w:hAnsi="Times New Roman"/>
          <w:color w:val="000000"/>
          <w:sz w:val="24"/>
        </w:rPr>
        <w:t xml:space="preserve">), and such other terms and conditions as the Administrator determines. Each Performance Award will have an initial value that is determined by the Administrator on or before its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pPr>
      <w:r>
        <w:rPr>
          <w:rFonts w:ascii="Times New Roman" w:hAnsi="Times New Roman"/>
          <w:color w:val="000000"/>
          <w:sz w:val="24"/>
          <w:u w:val="single"/>
        </w:rPr>
        <w:t>Objectives or Vesting Provisions and Other Terms</w:t>
      </w:r>
      <w:r>
        <w:rPr>
          <w:rFonts w:ascii="Times New Roman" w:hAnsi="Times New Roman"/>
          <w:color w:val="000000"/>
          <w:sz w:val="24"/>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pPr>
      <w:r>
        <w:rPr>
          <w:rFonts w:ascii="Times New Roman" w:hAnsi="Times New Roman"/>
          <w:color w:val="000000"/>
          <w:sz w:val="24"/>
          <w:u w:val="single"/>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both"/>
        <w:rPr/>
      </w:pPr>
      <w:r>
        <w:rPr>
          <w:rFonts w:ascii="Times New Roman" w:hAnsi="Times New Roman"/>
          <w:color w:val="000000"/>
          <w:sz w:val="24"/>
          <w:u w:val="single"/>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Compliance With Section 409A</w:t>
      </w:r>
      <w:r>
        <w:rPr>
          <w:rFonts w:ascii="Times New Roman" w:hAnsi="Times New Roman"/>
          <w:color w:val="000000"/>
          <w:sz w:val="24"/>
        </w:rPr>
        <w:t xml:space="preserve">.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pPr>
      <w:r>
        <w:rPr>
          <w:rFonts w:ascii="Times New Roman" w:hAnsi="Times New Roman"/>
          <w:color w:val="000000"/>
          <w:sz w:val="24"/>
        </w:rPr>
        <w:t>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Leaves of Absence/Transfer Between Locations</w:t>
      </w:r>
      <w:r>
        <w:rPr>
          <w:rFonts w:ascii="Times New Roman" w:hAnsi="Times New Roman"/>
          <w:color w:val="000000"/>
          <w:sz w:val="24"/>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hAnsi="Times New Roman"/>
          <w:color w:val="000000"/>
          <w:sz w:val="16"/>
        </w:rPr>
        <w:t>st</w:t>
      </w:r>
      <w:r>
        <w:rPr>
          <w:rFonts w:ascii="Times New Roman" w:hAnsi="Times New Roman"/>
          <w:color w:val="000000"/>
          <w:sz w:val="24"/>
        </w:rPr>
        <w:t>) day of such leave, any Incentive Stock Option held by the Participant will cease to be treated as an Incentive Stock Option and will be treated for tax purposes as a Nonstatutory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Limited Transferability of Awards</w:t>
      </w:r>
      <w:r>
        <w:rPr>
          <w:rFonts w:ascii="Times New Roman" w:hAnsi="Times New Roman"/>
          <w:color w:val="000000"/>
          <w:sz w:val="24"/>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14.1</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14.2</w:t>
      </w:r>
    </w:p>
    <w:p>
      <w:pPr>
        <w:pStyle w:val="TextBody"/>
        <w:bidi w:val="0"/>
        <w:spacing w:before="240" w:after="283"/>
        <w:jc w:val="both"/>
        <w:rPr/>
      </w:pPr>
      <w:r>
        <w:rPr>
          <w:rFonts w:ascii="Times New Roman" w:hAnsi="Times New Roman"/>
          <w:color w:val="000000"/>
          <w:sz w:val="24"/>
          <w:u w:val="single"/>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14.3</w:t>
      </w:r>
    </w:p>
    <w:p>
      <w:pPr>
        <w:pStyle w:val="TextBody"/>
        <w:bidi w:val="0"/>
        <w:spacing w:before="240" w:after="283"/>
        <w:jc w:val="both"/>
        <w:rPr/>
      </w:pPr>
      <w:r>
        <w:rPr>
          <w:rFonts w:ascii="Times New Roman" w:hAnsi="Times New Roman"/>
          <w:color w:val="000000"/>
          <w:sz w:val="24"/>
          <w:u w:val="single"/>
        </w:rPr>
        <w:t>Merger or Change in Control</w:t>
      </w:r>
      <w:r>
        <w:rPr>
          <w:rFonts w:ascii="Times New Roman" w:hAnsi="Times New Roman"/>
          <w:color w:val="000000"/>
          <w:sz w:val="24"/>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and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sz w:val="20"/>
        </w:rPr>
      </w:pPr>
      <w:r>
        <w:rPr>
          <w:rFonts w:ascii="Times New Roman" w:hAnsi="Times New Roman"/>
          <w:color w:val="000000"/>
          <w:sz w:val="24"/>
        </w:rPr>
        <w:t>For the purposes of this Section 14.3 and Section 14.4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w:t>
      </w:r>
      <w:r>
        <w:rPr>
          <w:rFonts w:ascii="Times New Roman" w:hAnsi="Times New Roman"/>
          <w:color w:val="000000"/>
          <w:sz w:val="20"/>
        </w:rPr>
        <w:t xml:space="preserve">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14.4</w:t>
      </w:r>
    </w:p>
    <w:p>
      <w:pPr>
        <w:pStyle w:val="TextBody"/>
        <w:bidi w:val="0"/>
        <w:spacing w:before="240" w:after="283"/>
        <w:jc w:val="both"/>
        <w:rPr/>
      </w:pPr>
      <w:r>
        <w:rPr>
          <w:rFonts w:ascii="Times New Roman" w:hAnsi="Times New Roman"/>
          <w:color w:val="000000"/>
          <w:sz w:val="24"/>
          <w:u w:val="single"/>
        </w:rPr>
        <w:t>Outside Director Awards</w:t>
      </w:r>
      <w:r>
        <w:rPr>
          <w:rFonts w:ascii="Times New Roman" w:hAnsi="Times New Roman"/>
          <w:color w:val="000000"/>
          <w:sz w:val="24"/>
        </w:rPr>
        <w:t>. With respect to Awards granted to an Outside Director,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Parent or Subsidiaries, as applicable.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pPr>
      <w:r>
        <w:rPr>
          <w:rFonts w:ascii="Times New Roman" w:hAnsi="Times New Roman"/>
          <w:color w:val="000000"/>
          <w:sz w:val="24"/>
          <w:u w:val="single"/>
        </w:rPr>
        <w:t>Tax Withholding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both"/>
        <w:rPr/>
      </w:pPr>
      <w:r>
        <w:rPr>
          <w:rFonts w:ascii="Times New Roman" w:hAnsi="Times New Roman"/>
          <w:color w:val="000000"/>
          <w:sz w:val="24"/>
          <w:u w:val="single"/>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w:t>
      </w:r>
      <w:r>
        <w:rPr>
          <w:color w:val="1F3864"/>
        </w:rPr>
        <w:t xml:space="preserve"> </w:t>
      </w:r>
      <w:r>
        <w:rPr>
          <w:rFonts w:ascii="Times New Roman" w:hAnsi="Times New Roman"/>
          <w:color w:val="000000"/>
          <w:sz w:val="24"/>
        </w:rPr>
        <w:t>or a relevant tax authority, an amount sufficient to satisfy U.S. federal, state, local, non</w:t>
        <w:noBreakHyphen/>
        <w:t xml:space="preserve">U.S., and other taxes (including the Participant’s FICA obligation) required to be withheld or paid with respect to such Award (or exercise thereof).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both"/>
        <w:rPr/>
      </w:pPr>
      <w:r>
        <w:rPr>
          <w:rFonts w:ascii="Times New Roman" w:hAnsi="Times New Roman"/>
          <w:color w:val="000000"/>
          <w:sz w:val="24"/>
          <w:u w:val="single"/>
        </w:rPr>
        <w:t>Withholding Arrangements</w:t>
      </w:r>
      <w:r>
        <w:rPr>
          <w:rFonts w:ascii="Times New Roman" w:hAnsi="Times New Roman"/>
          <w:color w:val="000000"/>
          <w:sz w:val="24"/>
        </w:rPr>
        <w:t xml:space="preserve">.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pPr>
      <w:r>
        <w:rPr>
          <w:rFonts w:ascii="Times New Roman" w:hAnsi="Times New Roman"/>
          <w:color w:val="000000"/>
          <w:sz w:val="24"/>
        </w:rPr>
        <w:t>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color w:val="1F3864"/>
        </w:rPr>
        <w:t xml:space="preserve"> </w:t>
      </w:r>
      <w:r>
        <w:rPr>
          <w:rFonts w:ascii="Times New Roman" w:hAnsi="Times New Roman"/>
          <w:color w:val="000000"/>
          <w:sz w:val="24"/>
        </w:rPr>
        <w:t>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No Effect on Employment or Service</w:t>
      </w:r>
      <w:r>
        <w:rPr>
          <w:rFonts w:ascii="Times New Roman" w:hAnsi="Times New Roman"/>
          <w:color w:val="000000"/>
          <w:sz w:val="24"/>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Term of Plan</w:t>
      </w:r>
      <w:r>
        <w:rPr>
          <w:rFonts w:ascii="Times New Roman" w:hAnsi="Times New Roman"/>
          <w:color w:val="000000"/>
          <w:sz w:val="24"/>
        </w:rPr>
        <w:t>. Subject to Section 22 of the Plan, the Plan will become effective as of one business day prior to the Registration Date. The Plan will continue in effect until terminated under Section 19, but (a) no Options that qualify as incentive stock options within the meaning of Code Section 422 may be granted after ten (10) years from the earlier of the Board or stockholder approval of the Plan and (b) Section 3.2 relating to automatic share reserve increases will operate only until the ten (10) year anniversary of the earlier of the Board or stockholder approval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Amendment and Termination of the Plan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19.1</w:t>
      </w:r>
    </w:p>
    <w:p>
      <w:pPr>
        <w:pStyle w:val="TextBody"/>
        <w:bidi w:val="0"/>
        <w:spacing w:before="240" w:after="283"/>
        <w:jc w:val="both"/>
        <w:rPr/>
      </w:pPr>
      <w:r>
        <w:rPr>
          <w:rFonts w:ascii="Times New Roman" w:hAnsi="Times New Roman"/>
          <w:color w:val="000000"/>
          <w:sz w:val="24"/>
          <w:u w:val="single"/>
        </w:rPr>
        <w:t>Amendment and Termination</w:t>
      </w:r>
      <w:r>
        <w:rPr>
          <w:rFonts w:ascii="Times New Roman" w:hAnsi="Times New Roman"/>
          <w:color w:val="000000"/>
          <w:sz w:val="24"/>
        </w:rPr>
        <w:t xml:space="preserve">. The Administrator may at any time amend, alter, suspend or terminate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19.2</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Company will obtain stockholder approval of any Plan amendment to the extent necessary and desirable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19.3</w:t>
      </w:r>
    </w:p>
    <w:p>
      <w:pPr>
        <w:pStyle w:val="TextBody"/>
        <w:bidi w:val="0"/>
        <w:spacing w:before="240" w:after="283"/>
        <w:jc w:val="both"/>
        <w:rPr/>
      </w:pPr>
      <w:r>
        <w:rPr>
          <w:rFonts w:ascii="Times New Roman" w:hAnsi="Times New Roman"/>
          <w:color w:val="000000"/>
          <w:sz w:val="24"/>
          <w:u w:val="single"/>
        </w:rPr>
        <w:t>Effect of Amendment or Termination</w:t>
      </w:r>
      <w:r>
        <w:rPr>
          <w:rFonts w:ascii="Times New Roman" w:hAnsi="Times New Roman"/>
          <w:color w:val="000000"/>
          <w:sz w:val="24"/>
        </w:rPr>
        <w:t xml:space="preserve">. No amendment, alteration, suspension or termination of the Plan will materially impair the rights of any Participant, unless mutually agreed otherwise between the Participant and the Administrator, which agreement must be in writing and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Conditions Upon Issuance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both"/>
        <w:rPr/>
      </w:pPr>
      <w:r>
        <w:rPr>
          <w:rFonts w:ascii="Times New Roman" w:hAnsi="Times New Roman"/>
          <w:color w:val="000000"/>
          <w:sz w:val="24"/>
          <w:u w:val="single"/>
        </w:rPr>
        <w:t>Legal Compliance</w:t>
      </w:r>
      <w:r>
        <w:rPr>
          <w:rFonts w:ascii="Times New Roman" w:hAnsi="Times New Roman"/>
          <w:color w:val="000000"/>
          <w:sz w:val="24"/>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20.2</w:t>
      </w:r>
    </w:p>
    <w:p>
      <w:pPr>
        <w:pStyle w:val="TextBody"/>
        <w:bidi w:val="0"/>
        <w:spacing w:before="240" w:after="283"/>
        <w:jc w:val="both"/>
        <w:rPr/>
      </w:pPr>
      <w:r>
        <w:rPr>
          <w:rFonts w:ascii="Times New Roman" w:hAnsi="Times New Roman"/>
          <w:color w:val="000000"/>
          <w:sz w:val="24"/>
          <w:u w:val="single"/>
        </w:rPr>
        <w:t>Investment Representations</w:t>
      </w:r>
      <w:r>
        <w:rPr>
          <w:rFonts w:ascii="Times New Roman" w:hAnsi="Times New Roman"/>
          <w:color w:val="000000"/>
          <w:sz w:val="24"/>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Inability to Obtain Authority</w:t>
      </w:r>
      <w:r>
        <w:rPr>
          <w:rFonts w:ascii="Times New Roman" w:hAnsi="Times New Roman"/>
          <w:color w:val="000000"/>
          <w:sz w:val="24"/>
        </w:rPr>
        <w:t>. The inability of the Company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Forfeiture Events</w:t>
      </w:r>
      <w:r>
        <w:rPr>
          <w:rFonts w:ascii="Times New Roman" w:hAnsi="Times New Roman"/>
          <w:color w:val="000000"/>
          <w:sz w:val="24"/>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noBreakHyphen/>
        <w:t>Frank Wall Street Reform and Consumer Protection Act) (the “</w:t>
      </w:r>
      <w:r>
        <w:rPr>
          <w:rFonts w:ascii="Times New Roman" w:hAnsi="Times New Roman"/>
          <w:color w:val="000000"/>
          <w:sz w:val="24"/>
          <w:u w:val="single"/>
        </w:rPr>
        <w:t>Clawback Policy</w:t>
      </w:r>
      <w:r>
        <w:rPr>
          <w:color w:val="000000"/>
        </w:rPr>
        <w:t>”</w:t>
      </w:r>
      <w:r>
        <w:rPr>
          <w:rFonts w:ascii="Times New Roman" w:hAnsi="Times New Roman"/>
          <w:color w:val="000000"/>
          <w:sz w:val="24"/>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2021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STOCK OPTION GRANT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the terms defined in the Tenaya Therapeutics, Inc. Amended and Restated 2021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shall have the same defined meanings in this Stock Option Agreement, which includes the Notice of Stock Option Grant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xml:space="preserve">), the Terms and Conditions of Stock Option Grant, attached hereto as </w:t>
      </w:r>
      <w:r>
        <w:rPr>
          <w:rFonts w:ascii="Times New Roman" w:hAnsi="Times New Roman"/>
          <w:b/>
          <w:color w:val="000000"/>
          <w:sz w:val="24"/>
          <w:u w:val="single"/>
        </w:rPr>
        <w:t>Exhibit A</w:t>
      </w:r>
      <w:r>
        <w:rPr>
          <w:rFonts w:ascii="Times New Roman" w:hAnsi="Times New Roman"/>
          <w:color w:val="000000"/>
          <w:sz w:val="24"/>
        </w:rPr>
        <w:t xml:space="preserve">, the Exercise Notice, attached hereto as </w:t>
      </w:r>
      <w:r>
        <w:rPr>
          <w:rFonts w:ascii="Times New Roman" w:hAnsi="Times New Roman"/>
          <w:b/>
          <w:color w:val="000000"/>
          <w:sz w:val="24"/>
          <w:u w:val="single"/>
        </w:rPr>
        <w:t>Exhibit B</w:t>
      </w:r>
      <w:r>
        <w:rPr>
          <w:rFonts w:ascii="Times New Roman" w:hAnsi="Times New Roman"/>
          <w:color w:val="000000"/>
          <w:sz w:val="24"/>
        </w:rPr>
        <w:t>, and all other exhibits, appendices, and addenda attached hereto (together, the “</w:t>
      </w:r>
      <w:r>
        <w:rPr>
          <w:rFonts w:ascii="Times New Roman" w:hAnsi="Times New Roman"/>
          <w:color w:val="000000"/>
          <w:sz w:val="24"/>
          <w:u w:val="single"/>
        </w:rPr>
        <w:t>Option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Participant Name: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Address: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an Option to purchase Common Stock of the Company, subject to the terms and conditions of the Plan and this Option Agreement,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Grant Number: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Vesting Commencement Date: </w:t>
      </w:r>
    </w:p>
    <w:p>
      <w:pPr>
        <w:pStyle w:val="TextBody"/>
        <w:bidi w:val="0"/>
        <w:spacing w:before="240" w:after="283"/>
        <w:jc w:val="both"/>
        <w:rPr>
          <w:rFonts w:ascii="Times New Roman" w:hAnsi="Times New Roman"/>
          <w:sz w:val="20"/>
        </w:rPr>
      </w:pPr>
      <w:r>
        <w:rPr>
          <w:rFonts w:ascii="Times New Roman" w:hAnsi="Times New Roman"/>
          <w:color w:val="000000"/>
          <w:sz w:val="24"/>
        </w:rPr>
        <w:t>Exercise Price per Share: $</w:t>
      </w:r>
      <w:r>
        <w:rPr>
          <w:rFonts w:ascii="Times New Roman" w:hAnsi="Times New Roman"/>
          <w:color w:val="000000"/>
          <w:sz w:val="20"/>
          <w:u w:val="single"/>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Total Number of Shares Granted: </w:t>
      </w:r>
    </w:p>
    <w:p>
      <w:pPr>
        <w:pStyle w:val="TextBody"/>
        <w:bidi w:val="0"/>
        <w:spacing w:before="240" w:after="283"/>
        <w:jc w:val="both"/>
        <w:rPr>
          <w:rFonts w:ascii="Times New Roman" w:hAnsi="Times New Roman"/>
          <w:sz w:val="20"/>
        </w:rPr>
      </w:pPr>
      <w:r>
        <w:rPr>
          <w:rFonts w:ascii="Times New Roman" w:hAnsi="Times New Roman"/>
          <w:color w:val="000000"/>
          <w:sz w:val="24"/>
        </w:rPr>
        <w:t>Total Exercise Price: $</w:t>
      </w:r>
      <w:r>
        <w:rPr>
          <w:rFonts w:ascii="Times New Roman" w:hAnsi="Times New Roman"/>
          <w:color w:val="000000"/>
          <w:sz w:val="20"/>
          <w:u w:val="single"/>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Type of Option: ___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___ Nonstatutory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Term/Expiration Date: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120"/>
        <w:jc w:val="both"/>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 xml:space="preserve">Insert vesting schedule, e.g.: </w:t>
      </w:r>
      <w:r>
        <w:rPr>
          <w:rFonts w:ascii="Times New Roman" w:hAnsi="Times New Roman"/>
          <w:color w:val="000000"/>
          <w:sz w:val="24"/>
        </w:rPr>
        <w:t>Twenty-five percent (25%) of the Total Number of Shares Granted under the Option shall be scheduled to vest on the one (1) year anniversary of the Vesting Commencement Date, and one forty-eighth (1/48</w:t>
      </w:r>
      <w:r>
        <w:rPr>
          <w:rFonts w:ascii="Times New Roman" w:hAnsi="Times New Roman"/>
          <w:color w:val="000000"/>
          <w:sz w:val="16"/>
        </w:rPr>
        <w:t>th</w:t>
      </w:r>
      <w:r>
        <w:rPr>
          <w:rFonts w:ascii="Times New Roman" w:hAnsi="Times New Roman"/>
          <w:color w:val="000000"/>
          <w:sz w:val="24"/>
        </w:rPr>
        <w:t>) of the Total Number of Shares Granted under the Option shall be scheduled to vest each month thereafter on the same day of the month as the Vesting Commencement Date (and if there is no corresponding day in a particular month, on the last day of the month), subject to Participant continuing to be a Service Provider through each such date.]</w:t>
      </w:r>
    </w:p>
    <w:p>
      <w:pPr>
        <w:pStyle w:val="TextBody"/>
        <w:bidi w:val="0"/>
        <w:spacing w:before="120" w:after="283"/>
        <w:jc w:val="both"/>
        <w:rPr>
          <w:rFonts w:ascii="Times New Roman" w:hAnsi="Times New Roman"/>
          <w:sz w:val="20"/>
        </w:rPr>
      </w:pPr>
      <w:r>
        <w:rPr>
          <w:rFonts w:ascii="Times New Roman" w:hAnsi="Times New Roman"/>
          <w:color w:val="000000"/>
          <w:sz w:val="24"/>
          <w:u w:val="single"/>
        </w:rPr>
        <w:t>Termination Period</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Option shall be exercisable, to the extent vested, for three (3) months after Participant ceases to be a Service Provider, unless such termination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hAnsi="Times New Roman"/>
          <w:color w:val="000000"/>
          <w:sz w:val="24"/>
          <w:u w:val="single"/>
        </w:rPr>
        <w:t>Exhibit A</w:t>
      </w:r>
      <w:r>
        <w:rPr>
          <w:rFonts w:ascii="Times New Roman" w:hAnsi="Times New Roman"/>
          <w:color w:val="000000"/>
          <w:sz w:val="24"/>
        </w:rPr>
        <w:t xml:space="preserve">, the Exercise Notice, attached hereto as </w:t>
      </w:r>
      <w:r>
        <w:rPr>
          <w:rFonts w:ascii="Times New Roman" w:hAnsi="Times New Roman"/>
          <w:color w:val="000000"/>
          <w:sz w:val="24"/>
          <w:u w:val="single"/>
        </w:rPr>
        <w:t>Exhibit B</w:t>
      </w:r>
      <w:r>
        <w:rPr>
          <w:rFonts w:ascii="Times New Roman" w:hAnsi="Times New Roman"/>
          <w:color w:val="000000"/>
          <w:sz w:val="24"/>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TENAYA THERAPEUTICS, INC.</w:t>
      </w:r>
    </w:p>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Signature Signature</w:t>
      </w:r>
    </w:p>
    <w:p>
      <w:pPr>
        <w:pStyle w:val="TextBody"/>
        <w:bidi w:val="0"/>
        <w:jc w:val="both"/>
        <w:rPr>
          <w:rFonts w:ascii="Times New Roman" w:hAnsi="Times New Roman"/>
          <w:color w:val="000000"/>
          <w:sz w:val="20"/>
        </w:rPr>
      </w:pPr>
      <w:r>
        <w:rPr>
          <w:rFonts w:ascii="Times New Roman" w:hAnsi="Times New Roman"/>
          <w:color w:val="000000"/>
          <w:sz w:val="20"/>
        </w:rPr>
        <w:t>Print Name Print Name</w:t>
      </w:r>
    </w:p>
    <w:p>
      <w:pPr>
        <w:pStyle w:val="TextBody"/>
        <w:bidi w:val="0"/>
        <w:jc w:val="both"/>
        <w:rPr>
          <w:rFonts w:ascii="Times New Roman" w:hAnsi="Times New Roman"/>
          <w:color w:val="000000"/>
          <w:sz w:val="20"/>
        </w:rPr>
      </w:pPr>
      <w:r>
        <w:rPr>
          <w:rFonts w:ascii="Times New Roman" w:hAnsi="Times New Roman"/>
          <w:color w:val="000000"/>
          <w:sz w:val="20"/>
        </w:rPr>
        <w:t>Title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Residence Address:</w:t>
      </w:r>
    </w:p>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Heading1"/>
        <w:bidi w:val="0"/>
        <w:spacing w:before="240" w:after="283"/>
        <w:jc w:val="center"/>
        <w:rPr>
          <w:rFonts w:ascii="Times New Roman" w:hAnsi="Times New Roman"/>
          <w:color w:val="000000"/>
          <w:sz w:val="24"/>
          <w:u w:val="single"/>
        </w:rPr>
      </w:pPr>
      <w:r>
        <w:rPr>
          <w:rFonts w:ascii="Times New Roman" w:hAnsi="Times New Roman"/>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2021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Heading1"/>
        <w:bidi w:val="0"/>
        <w:spacing w:before="240" w:after="240"/>
        <w:jc w:val="center"/>
        <w:rPr>
          <w:rFonts w:ascii="Times New Roman" w:hAnsi="Times New Roman"/>
          <w:color w:val="000000"/>
          <w:sz w:val="24"/>
          <w:u w:val="single"/>
        </w:rPr>
      </w:pPr>
      <w:r>
        <w:rPr>
          <w:rFonts w:ascii="Times New Roman" w:hAnsi="Times New Roman"/>
          <w:color w:val="000000"/>
          <w:sz w:val="24"/>
          <w:u w:val="single"/>
        </w:rPr>
        <w:t>TERMS AND CONDITIONS OF STOCK OPTION GRANT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pPr>
      <w:r>
        <w:rPr>
          <w:rFonts w:ascii="Times New Roman" w:hAnsi="Times New Roman"/>
          <w:color w:val="000000"/>
          <w:sz w:val="24"/>
          <w:u w:val="single"/>
        </w:rPr>
        <w:t>Grant of Option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 Company hereby grants to the individual (“</w:t>
      </w:r>
      <w:r>
        <w:rPr>
          <w:rFonts w:ascii="Times New Roman" w:hAnsi="Times New Roman"/>
          <w:color w:val="000000"/>
          <w:sz w:val="24"/>
          <w:u w:val="single"/>
        </w:rPr>
        <w:t>Participant</w:t>
      </w:r>
      <w:r>
        <w:rPr>
          <w:color w:val="000000"/>
        </w:rPr>
        <w:t>”</w:t>
      </w:r>
      <w:r>
        <w:rPr>
          <w:rFonts w:ascii="Times New Roman" w:hAnsi="Times New Roman"/>
          <w:color w:val="000000"/>
          <w:sz w:val="24"/>
        </w:rPr>
        <w:t>) named in the Notice of Stock Option Grant of this Option Agreement (the “</w:t>
      </w:r>
      <w:r>
        <w:rPr>
          <w:rFonts w:ascii="Times New Roman" w:hAnsi="Times New Roman"/>
          <w:color w:val="000000"/>
          <w:sz w:val="24"/>
          <w:u w:val="single"/>
        </w:rPr>
        <w:t>Notice of Grant</w:t>
      </w:r>
      <w:r>
        <w:rPr>
          <w:color w:val="000000"/>
        </w:rPr>
        <w:t>”</w:t>
      </w:r>
      <w:r>
        <w:rPr>
          <w:rFonts w:ascii="Times New Roman" w:hAnsi="Times New Roman"/>
          <w:color w:val="000000"/>
          <w:sz w:val="24"/>
        </w:rPr>
        <w:t>), an option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the number of Shares set forth in the Notice of Grant, at the exercise price per Share set forth in the Notice of Grant (the “</w:t>
      </w:r>
      <w:r>
        <w:rPr>
          <w:rFonts w:ascii="Times New Roman" w:hAnsi="Times New Roman"/>
          <w:color w:val="000000"/>
          <w:sz w:val="24"/>
          <w:u w:val="single"/>
        </w:rPr>
        <w:t>Exercise Price</w:t>
      </w:r>
      <w:r>
        <w:rPr>
          <w:color w:val="000000"/>
        </w:rPr>
        <w:t>”</w:t>
      </w:r>
      <w:r>
        <w:rPr>
          <w:rFonts w:ascii="Times New Roman" w:hAnsi="Times New Roman"/>
          <w:color w:val="000000"/>
          <w:sz w:val="24"/>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For U.S. taxpayers, if designated in the Notice of Grant as an Incentive Stock Option (“</w:t>
      </w:r>
      <w:r>
        <w:rPr>
          <w:rFonts w:ascii="Times New Roman" w:hAnsi="Times New Roman"/>
          <w:color w:val="000000"/>
          <w:sz w:val="24"/>
          <w:u w:val="single"/>
        </w:rPr>
        <w:t>ISO</w:t>
      </w:r>
      <w:r>
        <w:rPr>
          <w:color w:val="000000"/>
        </w:rPr>
        <w:t>”</w:t>
      </w:r>
      <w:r>
        <w:rPr>
          <w:rFonts w:ascii="Times New Roman" w:hAnsi="Times New Roman"/>
          <w:color w:val="000000"/>
          <w:sz w:val="24"/>
        </w:rPr>
        <w:t>), this Option is intended to qualify as an Incentive Stock Option as defined in Section 422 of the Code. Nevertheless, to the extent that it exceeds the $100,000 rule of Code Section 422(d), this Option shall be treated as a Nonstatutory Stock Option (“</w:t>
      </w:r>
      <w:r>
        <w:rPr>
          <w:rFonts w:ascii="Times New Roman" w:hAnsi="Times New Roman"/>
          <w:color w:val="000000"/>
          <w:sz w:val="24"/>
          <w:u w:val="single"/>
        </w:rPr>
        <w:t>NSO</w:t>
      </w:r>
      <w:r>
        <w:rPr>
          <w:color w:val="000000"/>
        </w:rPr>
        <w:t>”</w:t>
      </w:r>
      <w:r>
        <w:rPr>
          <w:rFonts w:ascii="Times New Roman" w:hAnsi="Times New Roman"/>
          <w:color w:val="000000"/>
          <w:sz w:val="24"/>
        </w:rPr>
        <w:t xml:space="preserve">).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non-U.S. taxpayers, the Option will be designated as an NSO.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Vesting Schedule</w:t>
      </w:r>
      <w:r>
        <w:rPr>
          <w:rFonts w:ascii="Times New Roman" w:hAnsi="Times New Roman"/>
          <w:color w:val="000000"/>
          <w:sz w:val="24"/>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Administrator Discretion</w:t>
      </w:r>
      <w:r>
        <w:rPr>
          <w:rFonts w:ascii="Times New Roman" w:hAnsi="Times New Roman"/>
          <w:color w:val="000000"/>
          <w:sz w:val="24"/>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Right to Exercise</w:t>
      </w:r>
      <w:r>
        <w:rPr>
          <w:rFonts w:ascii="Times New Roman" w:hAnsi="Times New Roman"/>
          <w:color w:val="000000"/>
          <w:sz w:val="24"/>
        </w:rPr>
        <w:t>. This Option shall be exercisable during its term in accordance with the Vesting Schedule set out in the Notice of Grant and with the applicable provisions of the Plan and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Method of Exercise</w:t>
      </w:r>
      <w:r>
        <w:rPr>
          <w:rFonts w:ascii="Times New Roman" w:hAnsi="Times New Roman"/>
          <w:color w:val="000000"/>
          <w:sz w:val="24"/>
        </w:rPr>
        <w:t>. This Option shall be exercisable by delivery of an exercise notice (the “</w:t>
      </w:r>
      <w:r>
        <w:rPr>
          <w:rFonts w:ascii="Times New Roman" w:hAnsi="Times New Roman"/>
          <w:color w:val="000000"/>
          <w:sz w:val="24"/>
          <w:u w:val="single"/>
        </w:rPr>
        <w:t>Exercise Notice</w:t>
      </w:r>
      <w:r>
        <w:rPr>
          <w:color w:val="000000"/>
        </w:rPr>
        <w:t>”</w:t>
      </w:r>
      <w:r>
        <w:rPr>
          <w:rFonts w:ascii="Times New Roman" w:hAnsi="Times New Roman"/>
          <w:color w:val="000000"/>
          <w:sz w:val="24"/>
        </w:rPr>
        <w:t xml:space="preserve">) in the form attached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hAnsi="Times New Roman"/>
          <w:color w:val="000000"/>
          <w:sz w:val="24"/>
          <w:u w:val="single"/>
        </w:rPr>
        <w:t>Exercised Shares</w:t>
      </w:r>
      <w:r>
        <w:rPr>
          <w:color w:val="000000"/>
        </w:rPr>
        <w:t>”</w:t>
      </w:r>
      <w:r>
        <w:rPr>
          <w:rFonts w:ascii="Times New Roman" w:hAnsi="Times New Roman"/>
          <w:color w:val="000000"/>
          <w:sz w:val="24"/>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Method of Payment</w:t>
      </w:r>
      <w:r>
        <w:rPr>
          <w:rFonts w:ascii="Times New Roman" w:hAnsi="Times New Roman"/>
          <w:color w:val="000000"/>
          <w:sz w:val="24"/>
        </w:rPr>
        <w:t>. Payment of the aggregate Exercise Price shall be by any of the following, or a combination thereof, at the election of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cash;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check;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consideration received by the Company under a formal cashless exercise program adopted by the Company in connection with the Plan; 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non-U.S. resident’s methods of exercise may be restricted by the terms and conditions of any appendix to this Agreement for Participant’s country (including the Country Addendum, as defined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Non-Transferability of Option</w:t>
      </w:r>
      <w:r>
        <w:rPr>
          <w:rFonts w:ascii="Times New Roman" w:hAnsi="Times New Roman"/>
          <w:color w:val="000000"/>
          <w:sz w:val="24"/>
        </w:rPr>
        <w:t xml:space="preserve">. This Option may not be transferred in any manner otherwise than by will or by the laws of descent or distribution and may be exercised during the lifetime of Participant only by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This Option may be exercised only within the term set out in the Notice of Grant, and may be exercised during such term only in accordance with the Plan and the terms of this Option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Tax Obligations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or any Parent or Subsidiary to which Participant is providing services (together, the “</w:t>
      </w:r>
      <w:r>
        <w:rPr>
          <w:rFonts w:ascii="Times New Roman" w:hAnsi="Times New Roman"/>
          <w:color w:val="000000"/>
          <w:sz w:val="24"/>
          <w:u w:val="single"/>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hAnsi="Times New Roman"/>
          <w:color w:val="000000"/>
          <w:sz w:val="24"/>
          <w:u w:val="single"/>
        </w:rPr>
        <w:t>Tax Obligations</w:t>
      </w:r>
      <w:r>
        <w:rPr>
          <w:color w:val="00000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xml:space="preserve">.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rFonts w:ascii="Times New Roman" w:hAnsi="Times New Roman"/>
          <w:color w:val="000000"/>
          <w:sz w:val="24"/>
        </w:rPr>
        <w:t>accounting consequences). To the extent determined appropriate by the Administrator in its discretion, the Administrator will have the right (but not the obligation) to satisfy any Tax Obligations by reducing the number of Shares otherwise deliverable to Participant.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Notice of Disqualifying Disposition of ISO Shares</w:t>
      </w:r>
      <w:r>
        <w:rPr>
          <w:rFonts w:ascii="Times New Roman" w:hAnsi="Times New Roman"/>
          <w:color w:val="000000"/>
          <w:sz w:val="24"/>
        </w:rPr>
        <w:t xml:space="preserve">.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hAnsi="Times New Roman"/>
          <w:color w:val="000000"/>
          <w:sz w:val="24"/>
          <w:u w:val="single"/>
        </w:rPr>
        <w:t>IRS</w:t>
      </w:r>
      <w:r>
        <w:rPr>
          <w:color w:val="000000"/>
        </w:rPr>
        <w:t>”</w:t>
      </w:r>
      <w:r>
        <w:rPr>
          <w:rFonts w:ascii="Times New Roman" w:hAnsi="Times New Roman"/>
          <w:color w:val="000000"/>
          <w:sz w:val="24"/>
        </w:rPr>
        <w:t>) to be less than the fair market value of an underlying share on the date of grant (a “</w:t>
      </w:r>
      <w:r>
        <w:rPr>
          <w:rFonts w:ascii="Times New Roman" w:hAnsi="Times New Roman"/>
          <w:color w:val="000000"/>
          <w:sz w:val="24"/>
          <w:u w:val="single"/>
        </w:rPr>
        <w:t>discount option</w:t>
      </w:r>
      <w:r>
        <w:rPr>
          <w:color w:val="000000"/>
        </w:rPr>
        <w:t>”</w:t>
      </w:r>
      <w:r>
        <w:rPr>
          <w:rFonts w:ascii="Times New Roman" w:hAnsi="Times New Roman"/>
          <w:color w:val="000000"/>
          <w:sz w:val="24"/>
        </w:rPr>
        <w:t xml:space="preserve">)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Entire Agreement; Governing Law</w:t>
      </w:r>
      <w:r>
        <w:rPr>
          <w:rFonts w:ascii="Times New Roman" w:hAnsi="Times New Roman"/>
          <w:color w:val="000000"/>
          <w:sz w:val="24"/>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California.</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No Guarantee of Continued Service</w:t>
      </w:r>
      <w:r>
        <w:rPr>
          <w:rFonts w:ascii="Times New Roman" w:hAnsi="Times New Roman"/>
          <w:color w:val="000000"/>
          <w:sz w:val="24"/>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Nature of Grant</w:t>
      </w:r>
      <w:r>
        <w:rPr>
          <w:rFonts w:ascii="Times New Roman" w:hAnsi="Times New Roman"/>
          <w:color w:val="000000"/>
          <w:sz w:val="24"/>
        </w:rPr>
        <w:t>. In accepting the Option, Participant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Option is voluntary and occasional and does not create any contractual or other right to receive future grants of options, or benefits in lieu of options, even if options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option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 is voluntarily participating in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 and any Shares acquired under the Plan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Shares underlying the Option is unknown, indeterminable, and cannot be predicted with certainty;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underlying Shares do not increase in value, the Option will have no value;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Participant exercises the Option and acquires Shares, the value of such Shares may increase or decrease in value, even below the Exercise Price;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Option and the Shares subject to the Option are not part of normal or expected compensation or salary for any purpose;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b/>
          <w:color w:val="000000"/>
          <w:sz w:val="24"/>
          <w:u w:val="single"/>
        </w:rPr>
        <w:t>Data Privacy</w:t>
      </w:r>
      <w:r>
        <w:rPr>
          <w:rFonts w:ascii="Times New Roman" w:hAnsi="Times New Roman"/>
          <w:color w:val="000000"/>
          <w:sz w:val="24"/>
        </w:rPr>
        <w:t xml:space="preserve">. </w:t>
      </w:r>
      <w:r>
        <w:rPr>
          <w:rFonts w:ascii="Times New Roman" w:hAnsi="Times New Roman"/>
          <w:b/>
          <w:i/>
          <w:color w:val="000000"/>
          <w:sz w:val="24"/>
        </w:rPr>
        <w:t xml:space="preserve">Participant hereby explicitly and unambiguously consents to the collection, use and transfer, 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 </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hAnsi="Times New Roman"/>
          <w:b/>
          <w:i/>
          <w:color w:val="000000"/>
          <w:sz w:val="24"/>
          <w:u w:val="single"/>
        </w:rPr>
        <w:t>Data</w:t>
      </w:r>
      <w:r>
        <w:rPr>
          <w:rFonts w:ascii="Times New Roman" w:hAnsi="Times New Roman"/>
          <w:color w:val="000000"/>
          <w:sz w:val="20"/>
        </w:rPr>
        <w:t>”</w:t>
      </w:r>
      <w:r>
        <w:rPr>
          <w:rFonts w:ascii="Times New Roman" w:hAnsi="Times New Roman"/>
          <w:b/>
          <w:i/>
          <w:color w:val="000000"/>
          <w:sz w:val="24"/>
        </w:rPr>
        <w:t>), for the exclusive purpose of implementing, administering and managing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Address for Notices</w:t>
      </w:r>
      <w:r>
        <w:rPr>
          <w:rFonts w:ascii="Times New Roman" w:hAnsi="Times New Roman"/>
          <w:color w:val="000000"/>
          <w:sz w:val="24"/>
        </w:rPr>
        <w:t xml:space="preserve">. Any notice to be given to the Company under the terms of this Option Agreement will be addressed to the Company at Tenaya Therapeutics, Inc., 171 Oyster Point Boulevard South San Francisco, CA 94080, or at such other address as the Company may hereafter designate in writing.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xml:space="preserve">.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Language</w:t>
      </w:r>
      <w:r>
        <w:rPr>
          <w:rFonts w:ascii="Times New Roman" w:hAnsi="Times New Roman"/>
          <w:color w:val="000000"/>
          <w:sz w:val="24"/>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xml:space="preserve">.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any action, determination or interpretation made in good faith with respect to the Plan or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Option Agreement Severable</w:t>
      </w:r>
      <w:r>
        <w:rPr>
          <w:rFonts w:ascii="Times New Roman" w:hAnsi="Times New Roman"/>
          <w:color w:val="000000"/>
          <w:sz w:val="24"/>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Amendment, Suspension or Termination of the Plan</w:t>
      </w:r>
      <w:r>
        <w:rPr>
          <w:rFonts w:ascii="Times New Roman" w:hAnsi="Times New Roman"/>
          <w:color w:val="000000"/>
          <w:sz w:val="24"/>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color w:val="000000"/>
          <w:sz w:val="24"/>
          <w:u w:val="single"/>
        </w:rPr>
        <w:t>Country Addendum</w:t>
      </w:r>
      <w:r>
        <w:rPr>
          <w:rFonts w:ascii="Times New Roman" w:hAnsi="Times New Roman"/>
          <w:color w:val="000000"/>
          <w:sz w:val="24"/>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hAnsi="Times New Roman"/>
          <w:color w:val="000000"/>
          <w:sz w:val="24"/>
          <w:u w:val="single"/>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rFonts w:ascii="Times New Roman" w:hAnsi="Times New Roman"/>
          <w:color w:val="000000"/>
          <w:sz w:val="24"/>
          <w:u w:val="single"/>
        </w:rPr>
        <w:t>Modifications to the Option Agreement</w:t>
      </w:r>
      <w:r>
        <w:rPr>
          <w:rFonts w:ascii="Times New Roman" w:hAnsi="Times New Roman"/>
          <w:color w:val="000000"/>
          <w:sz w:val="24"/>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rFonts w:ascii="Times New Roman" w:hAnsi="Times New Roman"/>
          <w:color w:val="000000"/>
          <w:sz w:val="24"/>
          <w:u w:val="single"/>
        </w:rPr>
        <w:t>No Waiver</w:t>
      </w:r>
      <w:r>
        <w:rPr>
          <w:rFonts w:ascii="Times New Roman" w:hAnsi="Times New Roman"/>
          <w:color w:val="000000"/>
          <w:sz w:val="24"/>
        </w:rPr>
        <w:t xml:space="preserve">. Either party’s failure to enforce any provision or provisions of this Option Agreement shall not in any way be construed as a waiver of any such provision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2021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EXERCISE NOTICE</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Tenaya Therapeutics, Inc.</w:t>
      </w:r>
    </w:p>
    <w:p>
      <w:pPr>
        <w:pStyle w:val="TextBody"/>
        <w:bidi w:val="0"/>
        <w:jc w:val="both"/>
        <w:rPr>
          <w:rFonts w:ascii="Times New Roman" w:hAnsi="Times New Roman"/>
          <w:color w:val="000000"/>
          <w:sz w:val="24"/>
        </w:rPr>
      </w:pPr>
      <w:r>
        <w:rPr>
          <w:rFonts w:ascii="Times New Roman" w:hAnsi="Times New Roman"/>
          <w:color w:val="000000"/>
          <w:sz w:val="24"/>
        </w:rPr>
        <w:t>171 Oyster Point Boulevard</w:t>
      </w:r>
    </w:p>
    <w:p>
      <w:pPr>
        <w:pStyle w:val="TextBody"/>
        <w:bidi w:val="0"/>
        <w:jc w:val="both"/>
        <w:rPr>
          <w:rFonts w:ascii="Times New Roman" w:hAnsi="Times New Roman"/>
          <w:sz w:val="20"/>
        </w:rPr>
      </w:pPr>
      <w:r>
        <w:rPr>
          <w:rFonts w:ascii="Times New Roman" w:hAnsi="Times New Roman"/>
          <w:color w:val="000000"/>
          <w:sz w:val="24"/>
        </w:rPr>
        <w:t>South San Francisco, CA 94080</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Attention: Stock Administration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 Effective as of today, ________________, ____, the undersigned (“</w:t>
      </w:r>
      <w:r>
        <w:rPr>
          <w:rFonts w:ascii="Times New Roman" w:hAnsi="Times New Roman"/>
          <w:color w:val="000000"/>
          <w:sz w:val="24"/>
          <w:u w:val="single"/>
        </w:rPr>
        <w:t>Participant</w:t>
      </w:r>
      <w:r>
        <w:rPr>
          <w:color w:val="000000"/>
        </w:rPr>
        <w:t>”</w:t>
      </w:r>
      <w:r>
        <w:rPr>
          <w:rFonts w:ascii="Times New Roman" w:hAnsi="Times New Roman"/>
          <w:color w:val="000000"/>
          <w:sz w:val="24"/>
        </w:rPr>
        <w:t>) hereby elects to exercise Participant’s option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________________ shares of the Common Stock (the “Shares”) of Tenaya Therapeutics, Inc. (the “</w:t>
      </w:r>
      <w:r>
        <w:rPr>
          <w:rFonts w:ascii="Times New Roman" w:hAnsi="Times New Roman"/>
          <w:color w:val="000000"/>
          <w:sz w:val="24"/>
          <w:u w:val="single"/>
        </w:rPr>
        <w:t>Company</w:t>
      </w:r>
      <w:r>
        <w:rPr>
          <w:color w:val="000000"/>
        </w:rPr>
        <w:t>”</w:t>
      </w:r>
      <w:r>
        <w:rPr>
          <w:rFonts w:ascii="Times New Roman" w:hAnsi="Times New Roman"/>
          <w:color w:val="000000"/>
          <w:sz w:val="24"/>
        </w:rPr>
        <w:t>) under and pursuant to the Amended and Restated 2021 Equity Incentive Plan (the “</w:t>
      </w:r>
      <w:r>
        <w:rPr>
          <w:rFonts w:ascii="Times New Roman" w:hAnsi="Times New Roman"/>
          <w:color w:val="000000"/>
          <w:sz w:val="24"/>
          <w:u w:val="single"/>
        </w:rPr>
        <w:t>Plan</w:t>
      </w:r>
      <w:r>
        <w:rPr>
          <w:color w:val="000000"/>
        </w:rPr>
        <w:t>”</w:t>
      </w:r>
      <w:r>
        <w:rPr>
          <w:rFonts w:ascii="Times New Roman" w:hAnsi="Times New Roman"/>
          <w:color w:val="000000"/>
          <w:sz w:val="24"/>
        </w:rPr>
        <w:t xml:space="preserve">) and the Stock Option Agreement dated ______________, _____, including the Notice of Stock Option Grant, and the Terms and Conditions of Stock Option Grant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thereto and other exhibits, appendices and addenda attached thereto (the “</w:t>
      </w:r>
      <w:r>
        <w:rPr>
          <w:rFonts w:ascii="Times New Roman" w:hAnsi="Times New Roman"/>
          <w:color w:val="000000"/>
          <w:sz w:val="24"/>
          <w:u w:val="single"/>
        </w:rPr>
        <w:t>Option Agreement</w:t>
      </w:r>
      <w:r>
        <w:rPr>
          <w:color w:val="000000"/>
        </w:rPr>
        <w:t>”</w:t>
      </w:r>
      <w:r>
        <w:rPr>
          <w:rFonts w:ascii="Times New Roman" w:hAnsi="Times New Roman"/>
          <w:color w:val="000000"/>
          <w:sz w:val="24"/>
        </w:rPr>
        <w:t xml:space="preserve">). Unless otherwise defined herein, capitalized terms used in this Exercise Notice will be ascribed the same defined meanings as set forth in the Option Agreement (or the Plan or other written agreement as specified in the Option Agreement).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Delivery of Payment</w:t>
      </w:r>
      <w:r>
        <w:rPr>
          <w:rFonts w:ascii="Times New Roman" w:hAnsi="Times New Roman"/>
          <w:color w:val="000000"/>
          <w:sz w:val="24"/>
        </w:rPr>
        <w:t>. Participant herewith delivers to the Company the full purchase price of the Shares, as set forth in the Option Agreement, and any Tax Obligations to be paid in connection with the exercise of the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Representations of Participant</w:t>
      </w:r>
      <w:r>
        <w:rPr>
          <w:rFonts w:ascii="Times New Roman" w:hAnsi="Times New Roman"/>
          <w:color w:val="000000"/>
          <w:sz w:val="24"/>
        </w:rPr>
        <w:t>. Participant acknowledges that Participant has received, read and understood the Plan and the Option Agreement and agrees to abide by and be bound by their 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Tax Consultation</w:t>
      </w:r>
      <w:r>
        <w:rPr>
          <w:rFonts w:ascii="Times New Roman" w:hAnsi="Times New Roman"/>
          <w:color w:val="000000"/>
          <w:sz w:val="24"/>
        </w:rPr>
        <w:t xml:space="preserve">. Participant understands that Participant may suffer adverse tax consequences as a result of Participant’s purchase or disposition of the Shares. Participant represents that Participant has consulted with any tax consultants Participant deems advisable in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connection with the purchase or disposition of the Shares and that Participant is not relying on the Company for any tax advice.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Governing Law; Severability</w:t>
      </w:r>
      <w:r>
        <w:rPr>
          <w:rFonts w:ascii="Times New Roman" w:hAnsi="Times New Roman"/>
          <w:color w:val="000000"/>
          <w:sz w:val="24"/>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Submitted by: Accepted by:</w:t>
      </w:r>
    </w:p>
    <w:p>
      <w:pPr>
        <w:pStyle w:val="TextBody"/>
        <w:bidi w:val="0"/>
        <w:jc w:val="both"/>
        <w:rPr>
          <w:rFonts w:ascii="Times New Roman" w:hAnsi="Times New Roman"/>
          <w:sz w:val="20"/>
        </w:rPr>
      </w:pP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TENAYA THERAPEUTICS, INC.</w:t>
      </w:r>
    </w:p>
    <w:p>
      <w:pPr>
        <w:pStyle w:val="TextBody"/>
        <w:bidi w:val="0"/>
        <w:spacing w:before="240" w:after="283"/>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br/>
      </w:r>
      <w:r>
        <w:rPr>
          <w:rFonts w:ascii="Times New Roman" w:hAnsi="Times New Roman"/>
          <w:color w:val="000000"/>
          <w:sz w:val="20"/>
        </w:rPr>
        <w:t>Signature By</w:t>
      </w:r>
    </w:p>
    <w:p>
      <w:pPr>
        <w:pStyle w:val="TextBody"/>
        <w:bidi w:val="0"/>
        <w:spacing w:before="120" w:after="283"/>
        <w:jc w:val="both"/>
        <w:rPr>
          <w:rFonts w:ascii="Times New Roman" w:hAnsi="Times New Roman"/>
          <w:sz w:val="20"/>
        </w:rPr>
      </w:pPr>
      <w:r>
        <w:rPr>
          <w:rFonts w:ascii="Times New Roman" w:hAnsi="Times New Roman"/>
          <w:color w:val="000000"/>
          <w:sz w:val="24"/>
        </w:rPr>
        <w:br/>
      </w:r>
      <w:r>
        <w:rPr>
          <w:rFonts w:ascii="Times New Roman" w:hAnsi="Times New Roman"/>
          <w:color w:val="000000"/>
          <w:sz w:val="20"/>
        </w:rPr>
        <w:t>Print Name Print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Title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Address: Address: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br/>
        <w:br/>
      </w:r>
      <w:r>
        <w:rPr>
          <w:rFonts w:ascii="Times New Roman" w:hAnsi="Times New Roman"/>
          <w:color w:val="000000"/>
          <w:sz w:val="20"/>
          <w:u w:val="single"/>
        </w:rPr>
        <w:t> </w:t>
      </w:r>
    </w:p>
    <w:p>
      <w:pPr>
        <w:pStyle w:val="TextBody"/>
        <w:bidi w:val="0"/>
        <w:jc w:val="both"/>
        <w:rPr>
          <w:rFonts w:ascii="Times New Roman" w:hAnsi="Times New Roman"/>
          <w:color w:val="000000"/>
          <w:sz w:val="20"/>
        </w:rPr>
      </w:pPr>
      <w:r>
        <w:rPr>
          <w:rFonts w:ascii="Times New Roman" w:hAnsi="Times New Roman"/>
          <w:color w:val="000000"/>
          <w:sz w:val="20"/>
        </w:rPr>
        <w:t>Date Received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2021 EQUITY INCENTIVE PLAN</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COUNTRY ADDENDUM TO STOCK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Unless otherwise defined herein, capitalized terms used in this Country Addendum to Stock Option Agreement (the “</w:t>
      </w:r>
      <w:r>
        <w:rPr>
          <w:rFonts w:ascii="Times New Roman" w:hAnsi="Times New Roman"/>
          <w:color w:val="000000"/>
          <w:sz w:val="24"/>
          <w:u w:val="single"/>
        </w:rPr>
        <w:t>Country Addendum</w:t>
      </w:r>
      <w:r>
        <w:rPr>
          <w:color w:val="000000"/>
        </w:rPr>
        <w:t>”</w:t>
      </w:r>
      <w:r>
        <w:rPr>
          <w:rFonts w:ascii="Times New Roman" w:hAnsi="Times New Roman"/>
          <w:color w:val="000000"/>
          <w:sz w:val="24"/>
        </w:rPr>
        <w:t>) will be ascribed the same defined meanings as set forth in the Option Agreement of which this Country Addendum forms a part (or the Plan or other written agreement as specified in the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Notifications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2021.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pStyle w:val="TextBody"/>
        <w:bidi w:val="0"/>
        <w:jc w:val="both"/>
        <w:rPr/>
      </w:pPr>
      <w:r>
        <w:rPr/>
        <w:t>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2021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RESTRICTED STOCK UNIT GRANT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Unless otherwise defined herein, the terms defined in the Tenaya Therapeutics, Inc. Amended and Restated 2021 Equity Incentive Plan (the “Plan”) will have the same defined meanings in this Restricted Stock Unit Agreement which includes the Notice of Restricted Stock Unit Grant (the “Notice of Grant”), the Terms and Conditions of Restricted Stock Unit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(the “Award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Participant Name: </w:t>
      </w:r>
    </w:p>
    <w:p>
      <w:pPr>
        <w:pStyle w:val="TextBody"/>
        <w:bidi w:val="0"/>
        <w:spacing w:before="120" w:after="283"/>
        <w:jc w:val="both"/>
        <w:rPr>
          <w:rFonts w:ascii="Times New Roman" w:hAnsi="Times New Roman"/>
          <w:b/>
          <w:color w:val="000000"/>
          <w:sz w:val="24"/>
        </w:rPr>
      </w:pPr>
      <w:r>
        <w:rPr>
          <w:rFonts w:ascii="Times New Roman" w:hAnsi="Times New Roman"/>
          <w:b/>
          <w:color w:val="000000"/>
          <w:sz w:val="24"/>
        </w:rPr>
        <w:t xml:space="preserve">Address: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the right to receive an Award of Restricted Stock Units, subject to the terms and conditions of the Plan and this Award Agreement,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Grant Number: 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Date of Grant: 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Vesting Commencement Date: ______________________________</w:t>
      </w:r>
    </w:p>
    <w:p>
      <w:pPr>
        <w:pStyle w:val="TextBody"/>
        <w:bidi w:val="0"/>
        <w:spacing w:before="240" w:after="283"/>
        <w:jc w:val="both"/>
        <w:rPr>
          <w:rFonts w:ascii="Times New Roman" w:hAnsi="Times New Roman"/>
          <w:sz w:val="20"/>
        </w:rPr>
      </w:pPr>
      <w:r>
        <w:rPr>
          <w:rFonts w:ascii="Times New Roman" w:hAnsi="Times New Roman"/>
          <w:color w:val="000000"/>
          <w:sz w:val="24"/>
        </w:rPr>
        <w:t>Total Number of</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Restricted Stock Units: ______________________________</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or set forth below, the Restricted Stock Units will be scheduled to vest in accordance with the following schedule: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 xml:space="preserve">Insert vesting schedule, e.g.: </w:t>
      </w:r>
      <w:r>
        <w:rPr>
          <w:rFonts w:ascii="Times New Roman" w:hAnsi="Times New Roman"/>
          <w:color w:val="000000"/>
          <w:sz w:val="24"/>
        </w:rPr>
        <w:t>Twenty-five percent (25%) of the Restricted Stock Units will vest on the one (1)-year anniversary of the Vesting Commencement Date, and one sixteenth (1/16th) of the Restricted Stock Units will vest on each Quarterly Vesting Date (as defined below) thereafter, subject to Participant continuing to be a Service Provider through each such date.]</w:t>
      </w:r>
    </w:p>
    <w:p>
      <w:pPr>
        <w:pStyle w:val="TextBody"/>
        <w:bidi w:val="0"/>
        <w:spacing w:before="240" w:after="283"/>
        <w:jc w:val="both"/>
        <w:rPr>
          <w:rFonts w:ascii="Times New Roman" w:hAnsi="Times New Roman"/>
          <w:sz w:val="20"/>
        </w:rPr>
      </w:pPr>
      <w:r>
        <w:rPr>
          <w:rFonts w:ascii="Times New Roman" w:hAnsi="Times New Roman"/>
          <w:color w:val="000000"/>
          <w:sz w:val="24"/>
        </w:rPr>
        <w:t>A “Quarterly Vesting Date” is February 15, May 15, August 15, and November 15.</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cessation of Participant’s status as a Service Provider for any or no reason before Participant vests in the Restricted Stock Units, the Restricted Stock Units and Participant’s right to acquire any Shares hereunder will terminate immediately, unless specifically provided otherwise in this Award Agreement or other written agreement between Participant and the Company or any of its Subsidiaries or Parents, as applicable.</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Tenaya Therapeutics, Inc.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the residence address indicated below.</w:t>
      </w:r>
    </w:p>
    <w:p>
      <w:pPr>
        <w:pStyle w:val="TextBody"/>
        <w:bidi w:val="0"/>
        <w:spacing w:before="240" w:after="283"/>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PARTICIPANT TENAYA THERAPEUTICS, INC.</w:t>
      </w:r>
    </w:p>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Signature Signature</w:t>
      </w:r>
    </w:p>
    <w:p>
      <w:pPr>
        <w:pStyle w:val="TextBody"/>
        <w:bidi w:val="0"/>
        <w:jc w:val="both"/>
        <w:rPr>
          <w:rFonts w:ascii="Times New Roman" w:hAnsi="Times New Roman"/>
          <w:color w:val="000000"/>
          <w:sz w:val="20"/>
        </w:rPr>
      </w:pPr>
      <w:r>
        <w:rPr>
          <w:rFonts w:ascii="Times New Roman" w:hAnsi="Times New Roman"/>
          <w:color w:val="000000"/>
          <w:sz w:val="20"/>
        </w:rPr>
        <w:t>Print Name Print Name</w:t>
      </w:r>
    </w:p>
    <w:p>
      <w:pPr>
        <w:pStyle w:val="TextBody"/>
        <w:bidi w:val="0"/>
        <w:jc w:val="both"/>
        <w:rPr>
          <w:rFonts w:ascii="Times New Roman" w:hAnsi="Times New Roman"/>
          <w:color w:val="000000"/>
          <w:sz w:val="20"/>
        </w:rPr>
      </w:pPr>
      <w:r>
        <w:rPr>
          <w:rFonts w:ascii="Times New Roman" w:hAnsi="Times New Roman"/>
          <w:color w:val="000000"/>
          <w:sz w:val="20"/>
        </w:rPr>
        <w:t>Title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Address:</w:t>
      </w:r>
    </w:p>
    <w:p>
      <w:pPr>
        <w:pStyle w:val="TextBody"/>
        <w:bidi w:val="0"/>
        <w:jc w:val="both"/>
        <w:rPr/>
      </w:pPr>
      <w:r>
        <w:rPr/>
        <w:t> </w:t>
      </w:r>
    </w:p>
    <w:p>
      <w:pPr>
        <w:pStyle w:val="TextBody"/>
        <w:bidi w:val="0"/>
        <w:spacing w:before="240" w:after="283"/>
        <w:jc w:val="both"/>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RESTRICTED STOCK UNIT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rFonts w:ascii="Times New Roman" w:hAnsi="Times New Roman"/>
          <w:color w:val="000000"/>
          <w:sz w:val="24"/>
          <w:u w:val="single"/>
        </w:rPr>
        <w:t>Grant of Restricted Stock Units</w:t>
      </w:r>
      <w:r>
        <w:rPr>
          <w:rFonts w:ascii="Times New Roman" w:hAnsi="Times New Roman"/>
          <w:color w:val="000000"/>
          <w:sz w:val="24"/>
        </w:rPr>
        <w:t>. The Company hereby grants to the individual (“Participant”) named in the Notice of Restricted Stock Unit Grant of this Award Agreement (the “Notice of Grant”) under the Plan an Award of Restricted Stock Units, and subject to the terms and conditions of this Award Agreement and the Plan, which is incorporated herein by reference. Subject to Section 19(c) of the Plan, in the event of a conflict between the terms and conditions of the Plan and this Award Agreement, the terms and conditions of the Plan will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rFonts w:ascii="Times New Roman" w:hAnsi="Times New Roman"/>
          <w:color w:val="000000"/>
          <w:sz w:val="24"/>
          <w:u w:val="single"/>
        </w:rPr>
        <w:t>Company’s Obligation to Pay</w:t>
      </w:r>
      <w:r>
        <w:rPr>
          <w:rFonts w:ascii="Times New Roman" w:hAnsi="Times New Roman"/>
          <w:color w:val="000000"/>
          <w:sz w:val="24"/>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30.</w:t>
      </w:r>
    </w:p>
    <w:p>
      <w:pPr>
        <w:pStyle w:val="TextBody"/>
        <w:bidi w:val="0"/>
        <w:spacing w:before="240" w:after="283"/>
        <w:jc w:val="both"/>
        <w:rPr/>
      </w:pPr>
      <w:r>
        <w:rPr>
          <w:rFonts w:ascii="Times New Roman" w:hAnsi="Times New Roman"/>
          <w:color w:val="000000"/>
          <w:sz w:val="24"/>
          <w:u w:val="single"/>
        </w:rPr>
        <w:t>Vesting Schedule</w:t>
      </w:r>
      <w:r>
        <w:rPr>
          <w:rFonts w:ascii="Times New Roman" w:hAnsi="Times New Roman"/>
          <w:color w:val="000000"/>
          <w:sz w:val="24"/>
        </w:rPr>
        <w:t>. Except as provided in Section 4, and subject to Section 5, the Restricted Stock Units awarded by this Award Agreement will vest in accordance with the vesting provisions set forth in the Notice of Grant, subject to Participant continuing to be a Service Provider through each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Payment after Vesting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General Rule</w:t>
      </w:r>
      <w:r>
        <w:rPr>
          <w:rFonts w:ascii="Times New Roman" w:hAnsi="Times New Roman"/>
          <w:color w:val="000000"/>
          <w:sz w:val="24"/>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will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Acceleration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Discretionary Acceleration</w:t>
      </w:r>
      <w:r>
        <w:rPr>
          <w:rFonts w:ascii="Times New Roman" w:hAnsi="Times New Roman"/>
          <w:color w:val="000000"/>
          <w:sz w:val="24"/>
        </w:rPr>
        <w:t xml:space="preserve">.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will in all cases be paid at a time or in a manner that is exempt from, or complies with, Section 409A. The prior sentence may be superseded in a future agreement or amendment to this Award Agreement only by direct and specific reference to such sentence.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Notwithstanding anything in the Plan or this Award Agreement or any other agreement (whether entered into before, on or after the Date of Grant), if the vesting of the balance, or some lesser portion of the balance, of the Restricted Stock Units is accelerated in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w:t>
      </w:r>
      <w:bookmarkStart w:id="6" w:name="ole_link32"/>
      <w:bookmarkEnd w:id="6"/>
      <w:r>
        <w:rPr>
          <w:rFonts w:ascii="Times New Roman" w:hAnsi="Times New Roman"/>
          <w:color w:val="000000"/>
          <w:sz w:val="24"/>
        </w:rPr>
        <w:t>, unless Participant dies following his or her termination as a Service Provider, in which case, the Restricted Stock Units will be paid in Shares to Participant’s estate as soon as practicable following his or her death.</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xml:space="preserve">. </w:t>
      </w:r>
      <w:bookmarkStart w:id="7" w:name="ole_link6"/>
      <w:bookmarkEnd w:id="7"/>
      <w:r>
        <w:rPr>
          <w:rFonts w:ascii="Times New Roman" w:hAnsi="Times New Roman"/>
          <w:color w:val="000000"/>
          <w:sz w:val="24"/>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w:t>
      </w:r>
      <w:r>
        <w:rPr>
          <w:color w:val="000000"/>
        </w:rPr>
        <w:t xml:space="preserve"> </w:t>
      </w:r>
      <w:r>
        <w:rPr>
          <w:rFonts w:ascii="Times New Roman" w:hAnsi="Times New Roman"/>
          <w:color w:val="000000"/>
          <w:sz w:val="24"/>
        </w:rPr>
        <w:t>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Forfeiture Upon Termination as a Service Provider</w:t>
      </w:r>
      <w:r>
        <w:rPr>
          <w:rFonts w:ascii="Times New Roman" w:hAnsi="Times New Roman"/>
          <w:color w:val="000000"/>
          <w:sz w:val="24"/>
        </w:rPr>
        <w:t>. Unless specifically provided otherwise in this Award Agreement or other written agreement between Participant and the Company or any of its Subsidiaries or Parents, as applicable, if Participant ceases to be a Service Provider for any or no reason, the then-unvested Restricted Stock Units awarded by this Award Agreement will thereupon be forfeited at no cost to the Company and Participant will have no further rights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will be solely responsible for Participant’s own tax liability that may arise as a result of this investment or the transactions contemplated by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Tax Withholding and Default Method of Tax Withholding</w:t>
      </w:r>
      <w:r>
        <w:rPr>
          <w:rFonts w:ascii="Times New Roman" w:hAnsi="Times New Roman"/>
          <w:color w:val="000000"/>
          <w:sz w:val="24"/>
        </w:rPr>
        <w:t xml:space="preserve">. When Shares are issued as payment for vested Restricted Stock Units, Participant generally will recognize immediate U.S. taxable income if Participant is a U.S. taxpayer. If Participant is a non-U.S. taxpayer, Participant will be subject to applicable taxes in his or her jurisdiction. The minimum amount of Tax Obligations which the Company determines must be withheld with respect to this Award (“Tax Withholding Obligation”) will be satisfied by Shares being sold on Participant’s behalf at the prevailing market price pursuant to such procedures as the Administrator may specify from time to time, including through a broker-assisted arrangement (it being understood that the Shares to be sold must have vested pursuant to the terms of this Award Agreement and the Plan). The proceeds from the sale will be used to satisfy Participant’s Tax Withholding Obligation arising with respect to this Award. In addition to Shares sold to satisfy the Tax Withholding Obligation, additional Shares will be sold to satisfy any associated broker or other fees. Only whole Shares will be sold to satisfy any Tax Withholding Obligation. Any proceeds from the sale of Shares in excess of the Tax Withholding Obligation and any associated broker or other fees will be paid to Participant in accordance with procedures the Company may specify from time to time. </w:t>
      </w:r>
      <w:r>
        <w:rPr>
          <w:rFonts w:ascii="Times New Roman" w:hAnsi="Times New Roman"/>
          <w:b/>
          <w:color w:val="000000"/>
          <w:sz w:val="24"/>
        </w:rPr>
        <w:t xml:space="preserve">By accepting this Award, Participant expressly consents to the sale of Shares to cover the Tax Withholding Obligations (and any associated broker or other fees) and agrees and acknowledges that Participant may not satisfy them by any means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other than such sale of Shares, unless required to do so by the Administrator or pursuant to the Administrator’s express written consent.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Administrator Discretion</w:t>
      </w:r>
      <w:r>
        <w:rPr>
          <w:rFonts w:ascii="Times New Roman" w:hAnsi="Times New Roman"/>
          <w:color w:val="000000"/>
          <w:sz w:val="24"/>
        </w:rPr>
        <w:t xml:space="preserve">. If the Administrator determines that Participant cannot satisfy Participant’s Tax Withholding Obligation through the default procedure described in Section 8(b) or the Administrator otherwise determines to allow Participant to satisfy Participant’s Tax Withholding Obligation by a method other than through the default procedure set forth in Section 8(b), it may permit or require Participant to satisfy Participant’s Tax Withholding Obligation, in whole or in part (without limitation), if permissible by applicable local law, by (i) paying cash in U.S. dollars; (ii) electing to have the Company withhold otherwise deliverable Shares having a value equal to the minimum amount statutorily required to be withheld (or such greater amount as Participant may elect if permitted by the Administrator, if such greater amount would not result in adverse financial accounting consequences);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No Representations</w:t>
      </w:r>
      <w:r>
        <w:rPr>
          <w:rFonts w:ascii="Times New Roman" w:hAnsi="Times New Roman"/>
          <w:color w:val="000000"/>
          <w:sz w:val="24"/>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will be responsible for Participant’s own tax liability that may arise as a result of this investment or the transactions contemplated by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Company’s Obligation to Deliver Shares</w:t>
      </w:r>
      <w:r>
        <w:rPr>
          <w:rFonts w:ascii="Times New Roman" w:hAnsi="Times New Roman"/>
          <w:color w:val="000000"/>
          <w:sz w:val="24"/>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36.</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37.</w:t>
      </w:r>
    </w:p>
    <w:p>
      <w:pPr>
        <w:pStyle w:val="TextBody"/>
        <w:bidi w:val="0"/>
        <w:spacing w:before="240" w:after="283"/>
        <w:jc w:val="both"/>
        <w:rPr/>
      </w:pPr>
      <w:r>
        <w:rPr>
          <w:rFonts w:ascii="Times New Roman" w:hAnsi="Times New Roman"/>
          <w:color w:val="000000"/>
          <w:sz w:val="24"/>
          <w:u w:val="single"/>
        </w:rPr>
        <w:t>No Guarantee of Continued Service</w:t>
      </w:r>
      <w:r>
        <w:rPr>
          <w:rFonts w:ascii="Times New Roman" w:hAnsi="Times New Roman"/>
          <w:color w:val="000000"/>
          <w:sz w:val="24"/>
        </w:rPr>
        <w:t>. PARTICIPANT ACKNOWLEDGES AND AGREES THAT THE VESTING OF THE RESTRICTED STOCK UNITS PURSUANT TO THE VESTING SCHEDULE HEREOF IS EARNED ONLY BY CONTINUING AS A SERVICE PROVIDER,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38.</w:t>
      </w:r>
    </w:p>
    <w:p>
      <w:pPr>
        <w:pStyle w:val="TextBody"/>
        <w:bidi w:val="0"/>
        <w:spacing w:before="240" w:after="283"/>
        <w:jc w:val="both"/>
        <w:rPr/>
      </w:pPr>
      <w:r>
        <w:rPr>
          <w:rFonts w:ascii="Times New Roman" w:hAnsi="Times New Roman"/>
          <w:color w:val="000000"/>
          <w:sz w:val="24"/>
          <w:u w:val="single"/>
        </w:rPr>
        <w:t>Grant is Not Transferable</w:t>
      </w:r>
      <w:r>
        <w:rPr>
          <w:rFonts w:ascii="Times New Roman" w:hAnsi="Times New Roman"/>
          <w:color w:val="000000"/>
          <w:sz w:val="24"/>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39.</w:t>
      </w:r>
    </w:p>
    <w:p>
      <w:pPr>
        <w:pStyle w:val="TextBody"/>
        <w:bidi w:val="0"/>
        <w:spacing w:before="240" w:after="283"/>
        <w:jc w:val="both"/>
        <w:rPr/>
      </w:pPr>
      <w:r>
        <w:rPr>
          <w:rFonts w:ascii="Times New Roman" w:hAnsi="Times New Roman"/>
          <w:color w:val="000000"/>
          <w:sz w:val="24"/>
          <w:u w:val="single"/>
        </w:rPr>
        <w:t>Nature of Grant</w:t>
      </w:r>
      <w:r>
        <w:rPr>
          <w:rFonts w:ascii="Times New Roman" w:hAnsi="Times New Roman"/>
          <w:color w:val="000000"/>
          <w:sz w:val="24"/>
        </w:rPr>
        <w:t>. In accepting this Award of Restricted Stock Units, Participant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Restricted Stock Units is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Restricted Stock Units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 is voluntarily participating in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the Shares subject to the Restricted Stock Units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Shares underlying the Restricted Stock Units is unknown, indeterminable, and cannot be predicted;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will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the Shares subject to the Restricted Stock Units are not part of normal or expected compensation or salary for any purpose;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will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will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40.</w:t>
      </w:r>
    </w:p>
    <w:p>
      <w:pPr>
        <w:pStyle w:val="TextBody"/>
        <w:bidi w:val="0"/>
        <w:spacing w:before="240" w:after="283"/>
        <w:jc w:val="both"/>
        <w:rPr/>
      </w:pP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b/>
          <w:i/>
          <w:color w:val="000000"/>
          <w:sz w:val="24"/>
          <w:u w:val="single"/>
        </w:rPr>
        <w:t>Data Privacy</w:t>
      </w:r>
      <w:r>
        <w:rPr>
          <w:rFonts w:ascii="Times New Roman" w:hAnsi="Times New Roman"/>
          <w:b/>
          <w:i/>
          <w:color w:val="000000"/>
          <w:sz w:val="24"/>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color w:val="000000"/>
          <w:sz w:val="24"/>
          <w:u w:val="single"/>
        </w:rPr>
        <w:t>Address for Notices</w:t>
      </w:r>
      <w:r>
        <w:rPr>
          <w:rFonts w:ascii="Times New Roman" w:hAnsi="Times New Roman"/>
          <w:color w:val="000000"/>
          <w:sz w:val="24"/>
        </w:rPr>
        <w:t>. Any notice to be given to the Company under the terms of this Award Agreement will be addressed to the Company at Tenaya Therapeutics, Inc., 171 Oyster Point Boulevard, Suite 500, South San Francisco, CA 94080, or at such other address as the Company may hereafter designate in writing.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w:t>
      </w:r>
    </w:p>
    <w:p>
      <w:pPr>
        <w:pStyle w:val="TextBody"/>
        <w:bidi w:val="0"/>
        <w:spacing w:before="240" w:after="283"/>
        <w:jc w:val="both"/>
        <w:rPr/>
      </w:pPr>
      <w:r>
        <w:rPr>
          <w:rFonts w:ascii="Times New Roman" w:hAnsi="Times New Roman"/>
          <w:color w:val="000000"/>
          <w:sz w:val="24"/>
          <w:u w:val="single"/>
        </w:rPr>
        <w:t>No Waiver</w:t>
      </w:r>
      <w:r>
        <w:rPr>
          <w:rFonts w:ascii="Times New Roman" w:hAnsi="Times New Roman"/>
          <w:color w:val="000000"/>
          <w:sz w:val="24"/>
        </w:rPr>
        <w:t>. Either party’s failure to enforce any provision or provisions of this Award Agreement will not in any way be construed as a waiver of any such provision or provisions, nor prevent that party from thereafter enforcing each and every other provision of this Award Agreement. The rights granted both parties herein are cumulative and will not constitute a waiver of either party’s right to assert all other legal remedies available to it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45.</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The Company may assign any of its rights under this Award Agreement to single or multiple assignees, and this Award Agreement will inure to the benefit of the successors and assigns of the Company. Subject to the restrictions on transfer herein set forth, this Award Agreement will be binding upon Participant and his or her heirs, executors, administrators, successors and assigns. The rights and obligations of Participant under this Award Agreement may be assigned only with the prior written consent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46.</w:t>
      </w:r>
    </w:p>
    <w:p>
      <w:pPr>
        <w:pStyle w:val="TextBody"/>
        <w:bidi w:val="0"/>
        <w:spacing w:before="240" w:after="283"/>
        <w:jc w:val="both"/>
        <w:rPr/>
      </w:pPr>
      <w:r>
        <w:rPr>
          <w:rFonts w:ascii="Times New Roman" w:hAnsi="Times New Roman"/>
          <w:color w:val="000000"/>
          <w:sz w:val="24"/>
          <w:u w:val="single"/>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47.</w:t>
      </w:r>
    </w:p>
    <w:p>
      <w:pPr>
        <w:pStyle w:val="TextBody"/>
        <w:bidi w:val="0"/>
        <w:spacing w:before="240" w:after="283"/>
        <w:jc w:val="both"/>
        <w:rPr/>
      </w:pPr>
      <w:r>
        <w:rPr>
          <w:rFonts w:ascii="Times New Roman" w:hAnsi="Times New Roman"/>
          <w:color w:val="000000"/>
          <w:sz w:val="24"/>
          <w:u w:val="single"/>
        </w:rPr>
        <w:t>Language</w:t>
      </w:r>
      <w:r>
        <w:rPr>
          <w:rFonts w:ascii="Times New Roman" w:hAnsi="Times New Roman"/>
          <w:color w:val="000000"/>
          <w:sz w:val="24"/>
        </w:rPr>
        <w:t>. If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48.</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xml:space="preserve">. The Administrator will have the power to interpret the Plan and this Award Agreement and to adopt such rules for the administration, interpretation and application of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49.</w:t>
      </w:r>
    </w:p>
    <w:p>
      <w:pPr>
        <w:pStyle w:val="TextBody"/>
        <w:bidi w:val="0"/>
        <w:spacing w:before="240" w:after="283"/>
        <w:jc w:val="both"/>
        <w:rPr/>
      </w:pP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50.</w:t>
      </w:r>
    </w:p>
    <w:p>
      <w:pPr>
        <w:pStyle w:val="TextBody"/>
        <w:bidi w:val="0"/>
        <w:spacing w:before="240" w:after="283"/>
        <w:jc w:val="both"/>
        <w:rPr/>
      </w:pPr>
      <w:r>
        <w:rPr>
          <w:rFonts w:ascii="Times New Roman" w:hAnsi="Times New Roman"/>
          <w:color w:val="000000"/>
          <w:sz w:val="24"/>
          <w:u w:val="single"/>
        </w:rPr>
        <w:t>Amendment, Suspension or Termination of the Plan</w:t>
      </w:r>
      <w:r>
        <w:rPr>
          <w:rFonts w:ascii="Times New Roman" w:hAnsi="Times New Roman"/>
          <w:color w:val="000000"/>
          <w:sz w:val="24"/>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both"/>
        <w:rPr/>
      </w:pPr>
      <w:r>
        <w:rPr>
          <w:rFonts w:ascii="Times New Roman" w:hAnsi="Times New Roman"/>
          <w:color w:val="000000"/>
          <w:sz w:val="24"/>
          <w:u w:val="single"/>
        </w:rPr>
        <w:t>Modifications to the Award Agreement</w:t>
      </w:r>
      <w:r>
        <w:rPr>
          <w:rFonts w:ascii="Times New Roman" w:hAnsi="Times New Roman"/>
          <w:color w:val="000000"/>
          <w:sz w:val="24"/>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both"/>
        <w:rPr/>
      </w:pPr>
      <w:r>
        <w:rPr>
          <w:rFonts w:ascii="Times New Roman" w:hAnsi="Times New Roman"/>
          <w:color w:val="000000"/>
          <w:sz w:val="24"/>
          <w:u w:val="single"/>
        </w:rPr>
        <w:t>Governing Law; Venue; Severability</w:t>
      </w:r>
      <w:r>
        <w:rPr>
          <w:rFonts w:ascii="Times New Roman" w:hAnsi="Times New Roman"/>
          <w:color w:val="000000"/>
          <w:sz w:val="24"/>
        </w:rPr>
        <w:t xml:space="preserve">.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Mateo County, California, or the federal courts for the United States for the Northern District of California, and no other courts, where this Award of Restricted Stock Units is made and/or to be performed..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53.</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54.</w:t>
      </w:r>
    </w:p>
    <w:p>
      <w:pPr>
        <w:pStyle w:val="TextBody"/>
        <w:bidi w:val="0"/>
        <w:spacing w:before="240" w:after="283"/>
        <w:jc w:val="both"/>
        <w:rPr/>
      </w:pPr>
      <w:r>
        <w:rPr>
          <w:rFonts w:ascii="Times New Roman" w:hAnsi="Times New Roman"/>
          <w:color w:val="000000"/>
          <w:sz w:val="24"/>
          <w:u w:val="single"/>
        </w:rPr>
        <w:t>Country Addendum</w:t>
      </w:r>
      <w:r>
        <w:rPr>
          <w:rFonts w:ascii="Times New Roman" w:hAnsi="Times New Roman"/>
          <w:color w:val="000000"/>
          <w:sz w:val="24"/>
        </w:rPr>
        <w:t xml:space="preserve">. Notwithstanding any provisions in this Award Agreement, the Restricted Stock Unit grant will be subject to any special terms and conditions set forth in an appendix (if any) to this Award Agreement for any country whose laws are applicable to Participant and this Award of Restricted Stock Units (as determined by the Administrator in its sole discretion) (the “Country Addendum”). Moreover, if Participant relocates to one of the countries included in the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TENAYA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2021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COUNTRY ADDENDUM</w:t>
      </w:r>
    </w:p>
    <w:p>
      <w:pPr>
        <w:pStyle w:val="TextBody"/>
        <w:bidi w:val="0"/>
        <w:spacing w:before="240" w:after="283"/>
        <w:jc w:val="both"/>
        <w:rPr/>
      </w:pPr>
      <w:r>
        <w:rPr/>
        <w:t>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includes additional terms and conditions that govern the Award of Restricted Stock Units granted pursuant to the terms and conditions of the Tenaya Therapeutics, Inc. Amended and Restated 2021 Equity Incentive Plan (the “Plan”) and the Restricted Stock Unit Agreement to which this Country Addendum is attached (the “Restricted Stock Unit Agreement”) to the extent the individual to whom the Restricted Stock Units were granted (“Participant”) resides in one of the countries listed below.</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also includes information regarding exchange controls and certain other issues of which Participant should be aware with respect to his or her participation in the Plan. The information is based on the securities, exchange control and other laws in effect in the respective countries as of January 2022.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 in or receives or sells the Shares covered by the Restricted Stock Units.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Finally, if Participant is a citizen or resident of a country other than the one in which Participant currently is working or transfers to another country after the grant of the Restricted Stock Units, or is considered a resident of another country for local law purposes, the information contained herein may not be applicable to Participant in the same manner. In addition, the Company, in its discretion, will determine the extent to which the terms and conditions contained herein will apply to Participant under these circumstances.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tnya-ex5_1.htm"/>
      <w:bookmarkStart w:id="9" w:name="kstnyaex5_1"/>
      <w:bookmarkEnd w:id="8"/>
      <w:bookmarkEnd w:id="9"/>
      <w:r>
        <w:rPr>
          <w:rFonts w:ascii="Times New Roman" w:hAnsi="Times New Roman"/>
          <w:b/>
          <w:color w:val="000000"/>
          <w:sz w:val="20"/>
        </w:rPr>
        <w:t>Exhibit 5.1</w:t>
      </w:r>
      <w:r>
        <w:br w:type="page"/>
      </w:r>
    </w:p>
    <w:p>
      <w:pPr>
        <w:pStyle w:val="TextBody"/>
        <w:bidi w:val="0"/>
        <w:jc w:val="right"/>
        <w:rPr/>
      </w:pPr>
      <w:r>
        <w:rPr/>
        <w:t> </w:t>
      </w:r>
    </w:p>
    <w:p>
      <w:pPr>
        <w:pStyle w:val="TextBody"/>
        <w:bidi w:val="0"/>
        <w:jc w:val="left"/>
        <w:rPr/>
      </w:pPr>
      <w:r>
        <w:rPr/>
        <w:t> </w:t>
      </w:r>
    </w:p>
    <w:tbl>
      <w:tblPr>
        <w:tblW w:w="1916" w:type="dxa"/>
        <w:jc w:val="left"/>
        <w:tblInd w:w="0" w:type="dxa"/>
        <w:tblLayout w:type="fixed"/>
        <w:tblCellMar>
          <w:top w:w="28" w:type="dxa"/>
          <w:left w:w="28" w:type="dxa"/>
          <w:bottom w:w="28" w:type="dxa"/>
          <w:right w:w="28" w:type="dxa"/>
        </w:tblCellMar>
      </w:tblPr>
      <w:tblGrid>
        <w:gridCol w:w="1916"/>
      </w:tblGrid>
      <w:tr>
        <w:trPr/>
        <w:tc>
          <w:tcPr>
            <w:tcW w:w="1916" w:type="dxa"/>
            <w:tcBorders/>
            <w:vAlign w:val="center"/>
          </w:tcPr>
          <w:p>
            <w:pPr>
              <w:pStyle w:val="TableContents"/>
              <w:bidi w:val="0"/>
              <w:spacing w:before="0" w:after="283"/>
              <w:jc w:val="left"/>
              <w:rPr>
                <w:sz w:val="4"/>
                <w:szCs w:val="4"/>
              </w:rPr>
            </w:pPr>
            <w:r>
              <w:rPr>
                <w:sz w:val="4"/>
                <w:szCs w:val="4"/>
              </w:rPr>
            </w:r>
          </w:p>
        </w:tc>
      </w:tr>
      <w:tr>
        <w:trPr/>
        <w:tc>
          <w:tcPr>
            <w:tcW w:w="191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12395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1123950" cy="466725"/>
                          </a:xfrm>
                          <a:prstGeom prst="rect">
                            <a:avLst/>
                          </a:prstGeom>
                        </pic:spPr>
                      </pic:pic>
                    </a:graphicData>
                  </a:graphic>
                </wp:inline>
              </w:drawing>
            </w:r>
          </w:p>
        </w:tc>
      </w:tr>
    </w:tbl>
    <w:p>
      <w:pPr>
        <w:pStyle w:val="TextBody"/>
        <w:bidi w:val="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Wilson Sonsini Goodrich &amp; Rosati</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Professional Corporation</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 Page Mill Road</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Palo Alto, California 94304-1050</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 650.493.9300</w:t>
            </w:r>
          </w:p>
        </w:tc>
      </w:tr>
      <w:tr>
        <w:trPr/>
        <w:tc>
          <w:tcPr>
            <w:tcW w:w="29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 866.974.7329</w:t>
            </w:r>
          </w:p>
        </w:tc>
      </w:tr>
    </w:tbl>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August 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Tenaya Therapeutics, Inc.</w:t>
      </w:r>
    </w:p>
    <w:p>
      <w:pPr>
        <w:pStyle w:val="TextBody"/>
        <w:bidi w:val="0"/>
        <w:jc w:val="left"/>
        <w:rPr>
          <w:rFonts w:ascii="Times New Roman" w:hAnsi="Times New Roman"/>
          <w:color w:val="000000"/>
          <w:sz w:val="20"/>
        </w:rPr>
      </w:pPr>
      <w:r>
        <w:rPr>
          <w:rFonts w:ascii="Times New Roman" w:hAnsi="Times New Roman"/>
          <w:color w:val="000000"/>
          <w:sz w:val="20"/>
        </w:rPr>
        <w:t>171 Oyster Point Boulevard, Suite 500</w:t>
      </w:r>
    </w:p>
    <w:p>
      <w:pPr>
        <w:pStyle w:val="TextBody"/>
        <w:bidi w:val="0"/>
        <w:jc w:val="left"/>
        <w:rPr>
          <w:rFonts w:ascii="Times New Roman" w:hAnsi="Times New Roman"/>
          <w:color w:val="000000"/>
          <w:sz w:val="20"/>
        </w:rPr>
      </w:pPr>
      <w:r>
        <w:rPr>
          <w:rFonts w:ascii="Times New Roman" w:hAnsi="Times New Roman"/>
          <w:color w:val="000000"/>
          <w:sz w:val="20"/>
        </w:rPr>
        <w:t>South San Francisco, CA 94080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 Registration Statement on Form S-8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120" w:after="240"/>
        <w:jc w:val="both"/>
        <w:rPr>
          <w:rFonts w:ascii="Times New Roman" w:hAnsi="Times New Roman"/>
          <w:sz w:val="20"/>
        </w:rPr>
      </w:pPr>
      <w:r>
        <w:rPr>
          <w:rFonts w:ascii="Times New Roman" w:hAnsi="Times New Roman"/>
          <w:color w:val="000000"/>
          <w:sz w:val="20"/>
        </w:rPr>
        <w:t>We have examined the Registration Statement on Form S-8 (the “</w:t>
      </w:r>
      <w:r>
        <w:rPr>
          <w:rFonts w:ascii="Times New Roman" w:hAnsi="Times New Roman"/>
          <w:b/>
          <w:color w:val="000000"/>
          <w:sz w:val="20"/>
        </w:rPr>
        <w:t>Registration Statement</w:t>
      </w:r>
      <w:r>
        <w:rPr>
          <w:rFonts w:ascii="Times New Roman" w:hAnsi="Times New Roman"/>
          <w:color w:val="000000"/>
          <w:sz w:val="20"/>
        </w:rPr>
        <w:t>”) to be filed by Tenaya Therapeutics, Inc., a Delaware corporation, with the Securities and Exchange Commission (the “</w:t>
      </w:r>
      <w:r>
        <w:rPr>
          <w:rFonts w:ascii="Times New Roman" w:hAnsi="Times New Roman"/>
          <w:b/>
          <w:color w:val="000000"/>
          <w:sz w:val="20"/>
        </w:rPr>
        <w:t>Commission</w:t>
      </w:r>
      <w:r>
        <w:rPr>
          <w:rFonts w:ascii="Times New Roman" w:hAnsi="Times New Roman"/>
          <w:color w:val="000000"/>
          <w:sz w:val="20"/>
        </w:rPr>
        <w:t>”) on or about the date hereof, in connection with the registration under the Securities Act of 1933, as amended (the “</w:t>
      </w:r>
      <w:r>
        <w:rPr>
          <w:rFonts w:ascii="Times New Roman" w:hAnsi="Times New Roman"/>
          <w:b/>
          <w:color w:val="000000"/>
          <w:sz w:val="20"/>
        </w:rPr>
        <w:t>Act</w:t>
      </w:r>
      <w:r>
        <w:rPr>
          <w:rFonts w:ascii="Times New Roman" w:hAnsi="Times New Roman"/>
          <w:color w:val="000000"/>
          <w:sz w:val="20"/>
        </w:rPr>
        <w:t>”), of 6,509,966 shares of Common Stock reserved for issuance pursuant to the Amended and Restated 2021 Equity Incentive Plan (which is referred to herein as the “</w:t>
      </w:r>
      <w:r>
        <w:rPr>
          <w:rFonts w:ascii="Times New Roman" w:hAnsi="Times New Roman"/>
          <w:b/>
          <w:color w:val="000000"/>
          <w:sz w:val="20"/>
        </w:rPr>
        <w:t>Plan</w:t>
      </w:r>
      <w:r>
        <w:rPr>
          <w:rFonts w:ascii="Times New Roman" w:hAnsi="Times New Roman"/>
          <w:color w:val="000000"/>
          <w:sz w:val="20"/>
        </w:rPr>
        <w:t>” and which shares of Common Stock are referred to herein as the “</w:t>
      </w:r>
      <w:r>
        <w:rPr>
          <w:rFonts w:ascii="Times New Roman" w:hAnsi="Times New Roman"/>
          <w:b/>
          <w:color w:val="000000"/>
          <w:sz w:val="20"/>
        </w:rPr>
        <w:t>Shares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Act or the rules and regulations of the Commission thereunder.</w:t>
      </w:r>
    </w:p>
    <w:p>
      <w:pPr>
        <w:pStyle w:val="TextBody"/>
        <w:bidi w:val="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3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Wilson Sonsini Goodrich &amp; Rosati, P.C.</w:t>
            </w:r>
          </w:p>
        </w:tc>
      </w:tr>
      <w:tr>
        <w:trPr/>
        <w:tc>
          <w:tcPr>
            <w:tcW w:w="3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WILSON SONSINI GOODRICH &amp; ROSATI,</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Corporation</w:t>
            </w:r>
          </w:p>
        </w:tc>
      </w:tr>
    </w:tbl>
    <w:p>
      <w:pPr>
        <w:pStyle w:val="TextBody"/>
        <w:bidi w:val="0"/>
        <w:jc w:val="center"/>
        <w:rPr/>
      </w:pPr>
      <w:r>
        <w:rPr/>
        <w:t> </w:t>
      </w:r>
    </w:p>
    <w:p>
      <w:pPr>
        <w:pStyle w:val="TextBody"/>
        <w:bidi w:val="0"/>
        <w:jc w:val="center"/>
        <w:rPr>
          <w:rFonts w:ascii="Times New Roman" w:hAnsi="Times New Roman"/>
          <w:color w:val="000000"/>
          <w:sz w:val="20"/>
        </w:rPr>
      </w:pPr>
      <w:bookmarkStart w:id="10" w:name="page9"/>
      <w:bookmarkEnd w:id="10"/>
      <w:r>
        <w:rPr>
          <w:rFonts w:ascii="Times New Roman" w:hAnsi="Times New Roman"/>
          <w:color w:val="000000"/>
          <w:sz w:val="20"/>
        </w:rPr>
        <w:t>AUSTIN BOSTON BOULDER BRUSSELS CENTURY CITY HONG KONG LONDON LOS ANGELES NEW YORK PALO ALTO SALT LAKE CITY SAN DIEGO SAN FRANCISCO SEATTLE SHANGHAI WASHINGTON, DC WILMINGTON, DE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1" w:name="tnya-ex23_1.htm"/>
      <w:bookmarkStart w:id="12" w:name="kstnyaex23_1"/>
      <w:bookmarkEnd w:id="11"/>
      <w:bookmarkEnd w:id="12"/>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of our report dated March 11, 2026 relating to the financial statements of Tenaya Therapeutics, Inc., appearing in the Annual Report on Form 10-K of Tenaya Therapeutics, Inc. for the year ended December 31, 2025.</w:t>
      </w:r>
    </w:p>
    <w:p>
      <w:pPr>
        <w:pStyle w:val="TextBody"/>
        <w:bidi w:val="0"/>
        <w:spacing w:before="120" w:after="283"/>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Deloitte &amp; Touche LLP</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Francisco, California</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3" w:name="tnya-exfiling_fees.htm"/>
      <w:bookmarkStart w:id="14" w:name="kstnyaexfiling_fees"/>
      <w:bookmarkStart w:id="15" w:name="tnya-exfiling_fees.htm"/>
      <w:bookmarkStart w:id="16" w:name="kstnyaexfiling_fees"/>
      <w:bookmarkEnd w:id="15"/>
      <w:bookmarkEnd w:id="16"/>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Tenaya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4"/>
        <w:gridCol w:w="1195"/>
        <w:gridCol w:w="1289"/>
        <w:gridCol w:w="1198"/>
        <w:gridCol w:w="1203"/>
        <w:gridCol w:w="1576"/>
        <w:gridCol w:w="1126"/>
        <w:gridCol w:w="142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4"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9"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8"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7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4" w:type="dxa"/>
            <w:tcBorders/>
            <w:shd w:fill="E7E7E2" w:val="clear"/>
            <w:vAlign w:val="center"/>
          </w:tcPr>
          <w:p>
            <w:pPr>
              <w:pStyle w:val="TableContents"/>
              <w:bidi w:val="0"/>
              <w:spacing w:before="0" w:after="283"/>
              <w:jc w:val="left"/>
              <w:rPr/>
            </w:pPr>
            <w:r>
              <w:rPr/>
              <w:t xml:space="preserve">Equity </w:t>
            </w:r>
          </w:p>
        </w:tc>
        <w:tc>
          <w:tcPr>
            <w:tcW w:w="1195" w:type="dxa"/>
            <w:tcBorders/>
            <w:shd w:fill="E7E7E2" w:val="clear"/>
            <w:vAlign w:val="center"/>
          </w:tcPr>
          <w:p>
            <w:pPr>
              <w:pStyle w:val="TableContents"/>
              <w:bidi w:val="0"/>
              <w:spacing w:before="0" w:after="283"/>
              <w:jc w:val="left"/>
              <w:rPr/>
            </w:pPr>
            <w:r>
              <w:rPr/>
              <w:t xml:space="preserve">Common Stock, $0.0001 par value per share, reserved for issuance pursuant to the Amended and Restated 2021 Equity Incentive Plan </w:t>
            </w:r>
          </w:p>
        </w:tc>
        <w:tc>
          <w:tcPr>
            <w:tcW w:w="1289" w:type="dxa"/>
            <w:tcBorders/>
            <w:shd w:fill="E7E7E2" w:val="clear"/>
            <w:vAlign w:val="center"/>
          </w:tcPr>
          <w:p>
            <w:pPr>
              <w:pStyle w:val="TableContents"/>
              <w:bidi w:val="0"/>
              <w:spacing w:before="0" w:after="283"/>
              <w:jc w:val="center"/>
              <w:rPr/>
            </w:pPr>
            <w:r>
              <w:rPr/>
              <w:t xml:space="preserve">Other </w:t>
            </w:r>
          </w:p>
        </w:tc>
        <w:tc>
          <w:tcPr>
            <w:tcW w:w="1198" w:type="dxa"/>
            <w:tcBorders/>
            <w:shd w:fill="E7E7E2" w:val="clear"/>
            <w:vAlign w:val="center"/>
          </w:tcPr>
          <w:p>
            <w:pPr>
              <w:pStyle w:val="TableContents"/>
              <w:bidi w:val="0"/>
              <w:spacing w:before="0" w:after="283"/>
              <w:jc w:val="right"/>
              <w:rPr/>
            </w:pPr>
            <w:r>
              <w:rPr/>
              <w:t xml:space="preserve">6,509,966 </w:t>
            </w:r>
          </w:p>
        </w:tc>
        <w:tc>
          <w:tcPr>
            <w:tcW w:w="1203" w:type="dxa"/>
            <w:tcBorders/>
            <w:shd w:fill="E7E7E2" w:val="clear"/>
            <w:vAlign w:val="center"/>
          </w:tcPr>
          <w:p>
            <w:pPr>
              <w:pStyle w:val="TableContents"/>
              <w:bidi w:val="0"/>
              <w:spacing w:before="0" w:after="283"/>
              <w:jc w:val="right"/>
              <w:rPr/>
            </w:pPr>
            <w:r>
              <w:rPr/>
              <w:t xml:space="preserve">$ 0.74 </w:t>
            </w:r>
          </w:p>
        </w:tc>
        <w:tc>
          <w:tcPr>
            <w:tcW w:w="1576" w:type="dxa"/>
            <w:tcBorders/>
            <w:shd w:fill="E7E7E2" w:val="clear"/>
            <w:vAlign w:val="center"/>
          </w:tcPr>
          <w:p>
            <w:pPr>
              <w:pStyle w:val="TableContents"/>
              <w:bidi w:val="0"/>
              <w:spacing w:before="0" w:after="283"/>
              <w:jc w:val="right"/>
              <w:rPr/>
            </w:pPr>
            <w:r>
              <w:rPr/>
              <w:t xml:space="preserve">$ 4,817,374.84 </w:t>
            </w:r>
          </w:p>
        </w:tc>
        <w:tc>
          <w:tcPr>
            <w:tcW w:w="1126" w:type="dxa"/>
            <w:tcBorders/>
            <w:shd w:fill="E7E7E2" w:val="clear"/>
            <w:vAlign w:val="center"/>
          </w:tcPr>
          <w:p>
            <w:pPr>
              <w:pStyle w:val="TableContents"/>
              <w:bidi w:val="0"/>
              <w:spacing w:before="0" w:after="283"/>
              <w:jc w:val="right"/>
              <w:rPr/>
            </w:pPr>
            <w:r>
              <w:rPr/>
              <w:t xml:space="preserve">0.0001381 </w:t>
            </w:r>
          </w:p>
        </w:tc>
        <w:tc>
          <w:tcPr>
            <w:tcW w:w="1423" w:type="dxa"/>
            <w:tcBorders/>
            <w:shd w:fill="E7E7E2" w:val="clear"/>
            <w:vAlign w:val="center"/>
          </w:tcPr>
          <w:p>
            <w:pPr>
              <w:pStyle w:val="TableContents"/>
              <w:bidi w:val="0"/>
              <w:spacing w:before="0" w:after="283"/>
              <w:jc w:val="right"/>
              <w:rPr/>
            </w:pPr>
            <w:r>
              <w:rPr/>
              <w:t xml:space="preserve">$ 665.28 </w:t>
            </w:r>
          </w:p>
        </w:tc>
      </w:tr>
      <w:tr>
        <w:trPr/>
        <w:tc>
          <w:tcPr>
            <w:tcW w:w="4877" w:type="dxa"/>
            <w:gridSpan w:val="5"/>
            <w:tcBorders/>
            <w:vAlign w:val="center"/>
          </w:tcPr>
          <w:p>
            <w:pPr>
              <w:pStyle w:val="TableContents"/>
              <w:bidi w:val="0"/>
              <w:spacing w:before="0" w:after="0"/>
              <w:ind w:left="0" w:right="0" w:hanging="0"/>
              <w:jc w:val="right"/>
              <w:rPr/>
            </w:pPr>
            <w:r>
              <w:rPr/>
              <w:t>Total Offering Amounts:</w:t>
            </w:r>
          </w:p>
        </w:tc>
        <w:tc>
          <w:tcPr>
            <w:tcW w:w="120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0"/>
              <w:ind w:left="0" w:right="0" w:hanging="0"/>
              <w:jc w:val="right"/>
              <w:rPr/>
            </w:pPr>
            <w:bookmarkStart w:id="17" w:name="MaxAggtOfferingPrice"/>
            <w:bookmarkEnd w:id="17"/>
            <w:r>
              <w:rPr/>
              <w:t xml:space="preserve">$ 4,817,374.84 </w:t>
            </w:r>
          </w:p>
        </w:tc>
        <w:tc>
          <w:tcPr>
            <w:tcW w:w="1126" w:type="dxa"/>
            <w:tcBorders/>
            <w:vAlign w:val="center"/>
          </w:tcPr>
          <w:p>
            <w:pPr>
              <w:pStyle w:val="TableContents"/>
              <w:bidi w:val="0"/>
              <w:spacing w:before="0" w:after="283"/>
              <w:jc w:val="left"/>
              <w:rPr>
                <w:sz w:val="4"/>
                <w:szCs w:val="4"/>
              </w:rPr>
            </w:pPr>
            <w:r>
              <w:rPr>
                <w:sz w:val="4"/>
                <w:szCs w:val="4"/>
              </w:rPr>
            </w:r>
          </w:p>
        </w:tc>
        <w:tc>
          <w:tcPr>
            <w:tcW w:w="142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 w:name="TotalFeeAmt"/>
            <w:bookmarkEnd w:id="18"/>
            <w:r>
              <w:rPr/>
              <w:t xml:space="preserve">$ 665.28 </w:t>
            </w:r>
          </w:p>
        </w:tc>
      </w:tr>
      <w:tr>
        <w:trPr/>
        <w:tc>
          <w:tcPr>
            <w:tcW w:w="4877" w:type="dxa"/>
            <w:gridSpan w:val="5"/>
            <w:tcBorders/>
            <w:vAlign w:val="center"/>
          </w:tcPr>
          <w:p>
            <w:pPr>
              <w:pStyle w:val="TableContents"/>
              <w:bidi w:val="0"/>
              <w:spacing w:before="0" w:after="0"/>
              <w:ind w:left="0" w:right="0" w:hanging="0"/>
              <w:jc w:val="right"/>
              <w:rPr/>
            </w:pPr>
            <w:r>
              <w:rPr/>
              <w:t xml:space="preserve">Total Fee Offsets: </w:t>
            </w:r>
          </w:p>
        </w:tc>
        <w:tc>
          <w:tcPr>
            <w:tcW w:w="120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0"/>
              <w:ind w:left="0" w:right="0" w:hanging="0"/>
              <w:jc w:val="right"/>
              <w:rPr/>
            </w:pPr>
            <w:bookmarkStart w:id="19" w:name="TotalOffsetAmt"/>
            <w:bookmarkEnd w:id="19"/>
            <w:r>
              <w:rPr/>
              <w:t xml:space="preserve">$ 0.00 </w:t>
            </w:r>
          </w:p>
        </w:tc>
      </w:tr>
      <w:tr>
        <w:trPr/>
        <w:tc>
          <w:tcPr>
            <w:tcW w:w="4877" w:type="dxa"/>
            <w:gridSpan w:val="5"/>
            <w:tcBorders/>
            <w:vAlign w:val="center"/>
          </w:tcPr>
          <w:p>
            <w:pPr>
              <w:pStyle w:val="TableContents"/>
              <w:bidi w:val="0"/>
              <w:spacing w:before="0" w:after="0"/>
              <w:ind w:left="0" w:right="0" w:hanging="0"/>
              <w:jc w:val="right"/>
              <w:rPr/>
            </w:pPr>
            <w:r>
              <w:rPr/>
              <w:t xml:space="preserve">Net Fee Due: </w:t>
            </w:r>
          </w:p>
        </w:tc>
        <w:tc>
          <w:tcPr>
            <w:tcW w:w="120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0"/>
              <w:ind w:left="0" w:right="0" w:hanging="0"/>
              <w:jc w:val="right"/>
              <w:rPr/>
            </w:pPr>
            <w:bookmarkStart w:id="20" w:name="NetFeeAmt"/>
            <w:bookmarkEnd w:id="20"/>
            <w:r>
              <w:rPr/>
              <w:t xml:space="preserve">$ 665.28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Pursuant to Rule 416(a) of the Securities Act of 1933, as amended (Securities Act), this Registration Statement shall also cover any additional shares of the Registrant's common stock that become issuable under the Amended and Restated 2021 Equity Incentive Plan (2021 Plan) by reason of any stock dividend, stock split, recapitalization or other similar transaction effected without receipt of consideration that increases the number of the Registrant's outstanding shares of common stock. b. Represents 6,509,966 shares of common stock added to the 2021 Plan's share reserve pursuant to a one-time increase approved by the Registrant's stockholders at the annual meeting of stockholders held on May 27, 2026, in connection with the amendment and restatement of the 2021 Plan. c. Estimated in accordance with Rule 457(c) and (h) of the Securities Act solely for the purpose of calculating the registration fee on the basis of $0.74 per share, which represents the average of the high and low selling prices per share of the Registrant's common stock on July 30, 2026 as reported by The Nasdaq Capital Market.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8848/000119312526102252/tnya-20251231.htm" TargetMode="External"/><Relationship Id="rId3" Type="http://schemas.openxmlformats.org/officeDocument/2006/relationships/hyperlink" Target="https://www.sec.gov/Archives/edgar/data/1858848/000119312526209084/tnya-20260331.htm" TargetMode="External"/><Relationship Id="rId4" Type="http://schemas.openxmlformats.org/officeDocument/2006/relationships/hyperlink" Target="https://www.sec.gov/Archives/edgar/data/1858848/000119312526335140/tnya-20260630.htm" TargetMode="External"/><Relationship Id="rId5" Type="http://schemas.openxmlformats.org/officeDocument/2006/relationships/hyperlink" Target="https://www.sec.gov/Archives/edgar/data/1858848/000119312526001065/tnya-20251231.htm" TargetMode="External"/><Relationship Id="rId6" Type="http://schemas.openxmlformats.org/officeDocument/2006/relationships/hyperlink" Target="https://www.sec.gov/Archives/edgar/data/1858848/000119312526032017/tnya-20260126.htm" TargetMode="External"/><Relationship Id="rId7" Type="http://schemas.openxmlformats.org/officeDocument/2006/relationships/hyperlink" Target="https://www.sec.gov/Archives/edgar/data/1858848/000119312526092654/tnya-20260304.htm" TargetMode="External"/><Relationship Id="rId8" Type="http://schemas.openxmlformats.org/officeDocument/2006/relationships/hyperlink" Target="https://www.sec.gov/Archives/edgar/data/1858848/000119312526102170/tnya-20260311.htm" TargetMode="External"/><Relationship Id="rId9" Type="http://schemas.openxmlformats.org/officeDocument/2006/relationships/hyperlink" Target="https://www.sec.gov/Archives/edgar/data/1858848/000119312526248680/tnya-20260527.htm" TargetMode="External"/><Relationship Id="rId10" Type="http://schemas.openxmlformats.org/officeDocument/2006/relationships/hyperlink" Target="https://www.sec.gov/Archives/edgar/data/1858848/000119312526286957/tnya-20260629.htm" TargetMode="External"/><Relationship Id="rId11" Type="http://schemas.openxmlformats.org/officeDocument/2006/relationships/hyperlink" Target="https://www.sec.gov/Archives/edgar/data/1858848/000119312526294879/tnya-20260629.htm" TargetMode="External"/><Relationship Id="rId12" Type="http://schemas.openxmlformats.org/officeDocument/2006/relationships/hyperlink" Target="https://www.sec.gov/Archives/edgar/data/0001858848/000119312521223559/d175698dex42.htm" TargetMode="External"/><Relationship Id="rId13" Type="http://schemas.openxmlformats.org/officeDocument/2006/relationships/hyperlink" Target="https://www.sec.gov/Archives/edgar/data/0001858848/000119312521223559/d175698dex42.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26672</Words>
  <Characters>141350</Characters>
  <CharactersWithSpaces>167594</CharactersWithSpaces>
  <Paragraphs>1262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