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Tenaya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87990A106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James Evangelista</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 Letterman Drive, Building D, Suite DM-900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San Francisco, CA, 94129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(415) 865-2050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02/10/2026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87990A106</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The Column Group III,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2,348,183.00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2,348,183.00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2,348,183.00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1.1 %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All such shares are held of record by TCG III LP (as defined in Item 2(a) of the Original Schedule 13D). TCG III GP</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9"/>
              </w:rPr>
              <w:t>LP (as defined in Item 2(a) of the Original Schedule 13D) is the general partner of TCG III LP and may be deemed to</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have voting, investment and dispositive power with respect to these securities. Peter Svennilson and Tim Kutzkey are</w:t>
            </w:r>
          </w:p>
        </w:tc>
      </w:tr>
    </w:tbl>
    <w:p>
      <w:pPr>
        <w:jc w:val="both"/>
        <w:spacing w:after="0" w:line="20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the managing partners of TCG III GP LP and may each be deemed to share voting, investment and dispositive power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with respect to these securities. Based on 213,744,535 shares of Common Stock outstanding as of December 15, 2025,</w:t>
      </w:r>
    </w:p>
    <w:p>
      <w:pPr>
        <w:spacing w:after="0" w:line="1" w:lineRule="exact"/>
        <w:rPr>
          <w:sz w:val="20"/>
          <w:szCs w:val="20"/>
          <w:color w:val="auto"/>
        </w:rPr>
      </w:pPr>
    </w:p>
    <w:p>
      <w:pPr>
        <w:ind w:left="920" w:right="20"/>
        <w:spacing w:after="0" w:line="237" w:lineRule="auto"/>
        <w:rPr>
          <w:sz w:val="20"/>
          <w:szCs w:val="20"/>
          <w:color w:val="auto"/>
        </w:rPr>
      </w:pPr>
      <w:r>
        <w:rPr>
          <w:rFonts w:ascii="Times New Roman" w:cs="Times New Roman" w:eastAsia="Times New Roman" w:hAnsi="Times New Roman"/>
          <w:sz w:val="22"/>
          <w:szCs w:val="22"/>
          <w:color w:val="auto"/>
        </w:rPr>
        <w:t>as reported by the Issuer in its prospectus supplement filed pursuant to Rule 424(b)(5) with the Securities and Exchange Commission (the Commission) on December 12, 2025 (the Prospectus).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87990A106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The Column Group III-A,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ectPr>
          <w:pgSz w:w="11900" w:h="16838" w:orient="portrait"/>
          <w:cols w:equalWidth="0" w:num="1">
            <w:col w:w="11240"/>
          </w:cols>
          <w:pgMar w:left="320" w:top="126" w:right="339" w:bottom="0" w:gutter="0" w:footer="0" w:header="0"/>
        </w:sectPr>
      </w:pPr>
    </w:p>
    <w:bookmarkStart w:id="2" w:name="page3"/>
    <w:bookmarkEnd w:id="2"/>
    <w:p>
      <w:pPr>
        <w:spacing w:after="0" w:line="74"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74"/>
        </w:trPr>
        <w:tc>
          <w:tcPr>
            <w:tcW w:w="1100" w:type="dxa"/>
            <w:vAlign w:val="bottom"/>
          </w:tcPr>
          <w:p>
            <w:pPr>
              <w:spacing w:after="0"/>
              <w:rPr>
                <w:sz w:val="23"/>
                <w:szCs w:val="23"/>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2,651,817.00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2,651,817.00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2,651,817.00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1.2 %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All such shares are held of record by TCG III-A LP (as defined in Item 2(a) of the Original Schedule 13D). TCG III</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GP LP is the general partner of TCG III-A LP and may be deemed to have voting, investment and dispositive power</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with respect to these securities. Peter Svennilson and Tim Kutzkey are the managing partners of TCG III GP LP and</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may each be deemed to share voting, investment and dispositive power with respect to these securities. Based on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213,744,535 shares of Common Stock outstanding as of December 15, 2025, as reported by the Issuer in the</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87990A106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The Column Group III GP,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43"/>
          <w:szCs w:val="43"/>
          <w:color w:val="auto"/>
          <w:vertAlign w:val="superscript"/>
        </w:rPr>
        <w:t>Number of</w:t>
      </w:r>
      <w:r>
        <w:rPr>
          <w:rFonts w:ascii="Times New Roman" w:cs="Times New Roman" w:eastAsia="Times New Roman" w:hAnsi="Times New Roman"/>
          <w:sz w:val="22"/>
          <w:szCs w:val="22"/>
          <w:color w:val="auto"/>
        </w:rPr>
        <w:tab/>
        <w:t>7  Sole Voting Power</w:t>
      </w:r>
    </w:p>
    <w:p>
      <w:pPr>
        <w:sectPr>
          <w:pgSz w:w="11900" w:h="16912" w:orient="portrait"/>
          <w:cols w:equalWidth="0" w:num="1">
            <w:col w:w="11240"/>
          </w:cols>
          <w:pgMar w:left="320" w:top="111" w:right="339" w:bottom="0" w:gutter="0" w:footer="0" w:header="0"/>
        </w:sectPr>
      </w:pPr>
    </w:p>
    <w:bookmarkStart w:id="3" w:name="page4"/>
    <w:bookmarkEnd w:id="3"/>
    <w:tbl>
      <w:tblPr>
        <w:tblLayout w:type="fixed"/>
        <w:tblInd w:w="40" w:type="dxa"/>
        <w:tblCellMar>
          <w:top w:w="0" w:type="dxa"/>
          <w:left w:w="0" w:type="dxa"/>
          <w:bottom w:w="0" w:type="dxa"/>
          <w:right w:w="0" w:type="dxa"/>
        </w:tblCellMar>
      </w:tblPr>
      <w:tr>
        <w:trPr>
          <w:trHeight w:val="253"/>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7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0"/>
        </w:trPr>
        <w:tc>
          <w:tcPr>
            <w:tcW w:w="1100" w:type="dxa"/>
            <w:vAlign w:val="bottom"/>
          </w:tcPr>
          <w:p>
            <w:pPr>
              <w:spacing w:after="0" w:line="240"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60"/>
              <w:spacing w:after="0" w:line="240"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46"/>
        </w:trPr>
        <w:tc>
          <w:tcPr>
            <w:tcW w:w="1100" w:type="dxa"/>
            <w:vAlign w:val="bottom"/>
          </w:tcPr>
          <w:p>
            <w:pPr>
              <w:spacing w:after="0" w:line="246"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340"/>
              <w:spacing w:after="0" w:line="246" w:lineRule="exact"/>
              <w:rPr>
                <w:sz w:val="20"/>
                <w:szCs w:val="20"/>
                <w:color w:val="auto"/>
              </w:rPr>
            </w:pPr>
            <w:r>
              <w:rPr>
                <w:rFonts w:ascii="Times New Roman" w:cs="Times New Roman" w:eastAsia="Times New Roman" w:hAnsi="Times New Roman"/>
                <w:sz w:val="22"/>
                <w:szCs w:val="22"/>
                <w:color w:val="auto"/>
              </w:rPr>
              <w:t>5,000,000.00</w:t>
            </w:r>
          </w:p>
        </w:tc>
        <w:tc>
          <w:tcPr>
            <w:tcW w:w="0" w:type="dxa"/>
            <w:vAlign w:val="bottom"/>
          </w:tcPr>
          <w:p>
            <w:pPr>
              <w:spacing w:after="0"/>
              <w:rPr>
                <w:sz w:val="1"/>
                <w:szCs w:val="1"/>
                <w:color w:val="auto"/>
              </w:rPr>
            </w:pPr>
          </w:p>
        </w:tc>
      </w:tr>
      <w:tr>
        <w:trPr>
          <w:trHeight w:val="216"/>
        </w:trPr>
        <w:tc>
          <w:tcPr>
            <w:tcW w:w="110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0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100" w:type="dxa"/>
            <w:vAlign w:val="bottom"/>
            <w:vMerge w:val="continue"/>
          </w:tcPr>
          <w:p>
            <w:pPr>
              <w:spacing w:after="0"/>
              <w:rPr>
                <w:sz w:val="15"/>
                <w:szCs w:val="15"/>
                <w:color w:val="auto"/>
              </w:rPr>
            </w:pPr>
          </w:p>
        </w:tc>
        <w:tc>
          <w:tcPr>
            <w:tcW w:w="740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69"/>
        </w:trPr>
        <w:tc>
          <w:tcPr>
            <w:tcW w:w="1100" w:type="dxa"/>
            <w:vAlign w:val="bottom"/>
          </w:tcPr>
          <w:p>
            <w:pPr>
              <w:spacing w:after="0"/>
              <w:rPr>
                <w:sz w:val="5"/>
                <w:szCs w:val="5"/>
                <w:color w:val="auto"/>
              </w:rPr>
            </w:pPr>
          </w:p>
        </w:tc>
        <w:tc>
          <w:tcPr>
            <w:tcW w:w="7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5,000,000.00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5,000,000.00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2.3 %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Consists of (i) 2,348,183 shares held of record by TCG III LP and (ii) 2,651,817 shares held of record by TCG III-A</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7"/>
              </w:rPr>
              <w:t>LP. TCG III GP LP is the general partner of each of TCG III LP and TCG III-A LP and may be deemed to have voting,</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investment and dispositive power with respect to these securities. Peter Svennilson and Tim Kutzkey are the managing</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partners of TCG III GP LP and may each be deemed to share voting, investment and dispositive power with respect to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these securities. Based on 213,744,535 shares of Common Stock outstanding as of December 15, 2025, as reported by</w:t>
      </w:r>
    </w:p>
    <w:p>
      <w:pPr>
        <w:ind w:left="920"/>
        <w:spacing w:after="0"/>
        <w:rPr>
          <w:sz w:val="20"/>
          <w:szCs w:val="20"/>
          <w:color w:val="auto"/>
        </w:rPr>
      </w:pPr>
      <w:r>
        <w:rPr>
          <w:rFonts w:ascii="Times New Roman" w:cs="Times New Roman" w:eastAsia="Times New Roman" w:hAnsi="Times New Roman"/>
          <w:sz w:val="22"/>
          <w:szCs w:val="22"/>
          <w:color w:val="auto"/>
        </w:rPr>
        <w:t>the Issuer in the Prospectus.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87990A106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The Column Group Opportunity III,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49,313,559.00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1"/>
                <w:szCs w:val="11"/>
                <w:color w:val="auto"/>
              </w:rPr>
            </w:pP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0" w:type="dxa"/>
            <w:vAlign w:val="bottom"/>
            <w:vMerge w:val="continue"/>
          </w:tcPr>
          <w:p>
            <w:pPr>
              <w:spacing w:after="0"/>
              <w:rPr>
                <w:sz w:val="16"/>
                <w:szCs w:val="16"/>
                <w:color w:val="auto"/>
              </w:rPr>
            </w:pPr>
          </w:p>
        </w:tc>
        <w:tc>
          <w:tcPr>
            <w:tcW w:w="2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2" w:right="339" w:bottom="0" w:gutter="0" w:footer="0" w:header="0"/>
        </w:sectPr>
      </w:pPr>
    </w:p>
    <w:bookmarkStart w:id="4" w:name="page5"/>
    <w:bookmarkEnd w:id="4"/>
    <w:p>
      <w:pPr>
        <w:ind w:left="14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10</w:t>
      </w:r>
    </w:p>
    <w:p>
      <w:pPr>
        <w:ind w:left="1480"/>
        <w:spacing w:after="0"/>
        <w:rPr>
          <w:sz w:val="20"/>
          <w:szCs w:val="20"/>
          <w:color w:val="auto"/>
        </w:rPr>
      </w:pPr>
      <w:r>
        <w:rPr>
          <w:rFonts w:ascii="Times New Roman" w:cs="Times New Roman" w:eastAsia="Times New Roman" w:hAnsi="Times New Roman"/>
          <w:sz w:val="22"/>
          <w:szCs w:val="22"/>
          <w:color w:val="auto"/>
        </w:rPr>
        <w:t>49,313,559.00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49,313,559.00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23.1 %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3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All such shares are held of record by TCG Opportunity III LP (as defined in Item 2(a) of the Original Schedule 13D).</w:t>
            </w: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360" w:type="dxa"/>
            <w:vAlign w:val="bottom"/>
          </w:tcPr>
          <w:p>
            <w:pPr>
              <w:ind w:left="40"/>
              <w:spacing w:after="0" w:line="229" w:lineRule="exact"/>
              <w:rPr>
                <w:sz w:val="20"/>
                <w:szCs w:val="20"/>
                <w:color w:val="auto"/>
              </w:rPr>
            </w:pPr>
            <w:r>
              <w:rPr>
                <w:rFonts w:ascii="Times New Roman" w:cs="Times New Roman" w:eastAsia="Times New Roman" w:hAnsi="Times New Roman"/>
                <w:sz w:val="22"/>
                <w:szCs w:val="22"/>
                <w:color w:val="auto"/>
              </w:rPr>
              <w:t>TCG Opportunity III GP LP (as defined in Item 2(a) of the Original Schedule 13D) is the general partner of TCG</w:t>
            </w:r>
          </w:p>
        </w:tc>
      </w:tr>
      <w:tr>
        <w:trPr>
          <w:trHeight w:val="256"/>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Opportunity III LP and may be deemed to have voting, investment and dispositive power with respect to these</w:t>
            </w:r>
          </w:p>
        </w:tc>
      </w:tr>
    </w:tbl>
    <w:p>
      <w:pPr>
        <w:jc w:val="both"/>
        <w:spacing w:after="0" w:line="20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securities. TCG Opportunity III GP LLC (as defined in Item 2(a) of the Original Schedule 13D) is the general partner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of TCG Opportunity III GP LP and the ultimate general partner of TCG Opportunity III LP and may be deemed to</w:t>
      </w:r>
    </w:p>
    <w:p>
      <w:pPr>
        <w:spacing w:after="0" w:line="1" w:lineRule="exact"/>
        <w:rPr>
          <w:sz w:val="20"/>
          <w:szCs w:val="20"/>
          <w:color w:val="auto"/>
        </w:rPr>
      </w:pPr>
    </w:p>
    <w:p>
      <w:pPr>
        <w:jc w:val="both"/>
        <w:ind w:left="920"/>
        <w:spacing w:after="0" w:line="232" w:lineRule="auto"/>
        <w:rPr>
          <w:sz w:val="20"/>
          <w:szCs w:val="20"/>
          <w:color w:val="auto"/>
        </w:rPr>
      </w:pPr>
      <w:r>
        <w:rPr>
          <w:rFonts w:ascii="Times New Roman" w:cs="Times New Roman" w:eastAsia="Times New Roman" w:hAnsi="Times New Roman"/>
          <w:sz w:val="22"/>
          <w:szCs w:val="22"/>
          <w:color w:val="auto"/>
        </w:rPr>
        <w:t>have voting, investment and dispositive power with respect to these securities. Peter Svennilson and Tim Kutzkey are the managing members of TCG Opportunity III GP LLC and may each be deemed to share voting, investment and dispositive power with respect to these securities. Excludes warrants to purchase 53,571,426 shares of Common Stock held by TCG Opportunity III LP which are not exercisable within 60 days of this Statement due to the Beneficial Ownership Limitations (as defined in Item 6). Based on 213,744,535 shares of Common Stock outstanding as of December 15, 2025, as reported by the Issuer in the Prospectus.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87990A106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The Column Group Opportunity III GP,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5"/>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6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49,313,559.00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6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09"/>
        </w:trPr>
        <w:tc>
          <w:tcPr>
            <w:tcW w:w="1040" w:type="dxa"/>
            <w:vAlign w:val="bottom"/>
          </w:tcPr>
          <w:p>
            <w:pPr>
              <w:spacing w:after="0"/>
              <w:rPr>
                <w:sz w:val="9"/>
                <w:szCs w:val="9"/>
                <w:color w:val="auto"/>
              </w:rPr>
            </w:pPr>
          </w:p>
        </w:tc>
        <w:tc>
          <w:tcPr>
            <w:tcW w:w="2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4"/>
                <w:szCs w:val="24"/>
                <w:color w:val="auto"/>
              </w:rPr>
            </w:pPr>
          </w:p>
        </w:tc>
        <w:tc>
          <w:tcPr>
            <w:tcW w:w="26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97"/>
        </w:trPr>
        <w:tc>
          <w:tcPr>
            <w:tcW w:w="1040" w:type="dxa"/>
            <w:vAlign w:val="bottom"/>
          </w:tcPr>
          <w:p>
            <w:pPr>
              <w:spacing w:after="0"/>
              <w:rPr>
                <w:sz w:val="24"/>
                <w:szCs w:val="24"/>
                <w:color w:val="auto"/>
              </w:rPr>
            </w:pPr>
          </w:p>
        </w:tc>
        <w:tc>
          <w:tcPr>
            <w:tcW w:w="26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 Shared Dispositive Power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2" w:right="339" w:bottom="0" w:gutter="0" w:footer="0" w:header="0"/>
        </w:sectPr>
      </w:pPr>
    </w:p>
    <w:bookmarkStart w:id="5" w:name="page6"/>
    <w:bookmarkEnd w:id="5"/>
    <w:p>
      <w:pPr>
        <w:ind w:left="1480"/>
        <w:spacing w:after="0"/>
        <w:rPr>
          <w:sz w:val="20"/>
          <w:szCs w:val="20"/>
          <w:color w:val="auto"/>
        </w:rPr>
      </w:pPr>
      <w:r>
        <w:rPr>
          <w:rFonts w:ascii="Times New Roman" w:cs="Times New Roman" w:eastAsia="Times New Roman" w:hAnsi="Times New Roman"/>
          <w:sz w:val="22"/>
          <w:szCs w:val="22"/>
          <w:color w:val="auto"/>
        </w:rPr>
        <w:t>49,313,559.00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49,313,559.00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23.1 %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All such shares are held of record by TCG Opportunity III LP. TCG Opportunity III GP LP is the general partner of</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TCG Opportunity III LP and may be deemed to have voting, investment and dispositive power with respect to these</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securities. TCG Opportunity III GP LLC is the general partner of TCG Opportunity III GP LP and the ultimate general</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partner of TCG Opportunity III LP and may be deemed to have voting, investment and dispositive power with respect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to these securities. Peter Svennilson and Tim Kutzkey are the managing members of TCG Opportunity III GP LLC and</w:t>
      </w:r>
    </w:p>
    <w:p>
      <w:pPr>
        <w:jc w:val="both"/>
        <w:ind w:left="920"/>
        <w:spacing w:after="0" w:line="234" w:lineRule="auto"/>
        <w:rPr>
          <w:sz w:val="20"/>
          <w:szCs w:val="20"/>
          <w:color w:val="auto"/>
        </w:rPr>
      </w:pPr>
      <w:r>
        <w:rPr>
          <w:rFonts w:ascii="Times New Roman" w:cs="Times New Roman" w:eastAsia="Times New Roman" w:hAnsi="Times New Roman"/>
          <w:sz w:val="22"/>
          <w:szCs w:val="22"/>
          <w:color w:val="auto"/>
        </w:rPr>
        <w:t>may each be deemed to share voting, investment and dispositive power with respect to these securities. Excludes warrants to purchase 53,571,426 shares of Common Stock held by TCG Opportunity III LP which are not exercisable within 60 days of this Statement due to the Beneficial Ownership Limitations. Based on 213,744,535 shares of Common Stock outstanding as of December 15, 2025, as reported by the Issuer in the Prospectus.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87990A106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TCG Opportunity III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1"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49,313,559.00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49,313,559.00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49,313,559.00</w:t>
      </w:r>
    </w:p>
    <w:p>
      <w:pPr>
        <w:sectPr>
          <w:pgSz w:w="11900" w:h="16838" w:orient="portrait"/>
          <w:cols w:equalWidth="0" w:num="2">
            <w:col w:w="1100" w:space="60"/>
            <w:col w:w="10080"/>
          </w:cols>
          <w:pgMar w:left="320" w:top="111" w:right="339" w:bottom="0" w:gutter="0" w:footer="0" w:header="0"/>
          <w:type w:val="continuous"/>
        </w:sectPr>
      </w:pPr>
    </w:p>
    <w:bookmarkStart w:id="6" w:name="page7"/>
    <w:bookmarkEnd w:id="6"/>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2"/>
          <w:szCs w:val="22"/>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23.1 %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All such shares are held of record by TCG Opportunity III LP. TCG Opportunity III GP LP is the general partner of</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TCG Opportunity III LP and may be deemed to have voting, investment and dispositive power with respect to these</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securities. TCG Opportunity III GP LLC is the general partner of TCG Opportunity III GP LP and the ultimate general</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partner of TCG Opportunity III LP and may be deemed to have voting, investment and dispositive power with respect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to these securities. Peter Svennilson and Tim Kutzkey are the managing members of TCG Opportunity III GP LLC and</w:t>
      </w:r>
    </w:p>
    <w:p>
      <w:pPr>
        <w:jc w:val="both"/>
        <w:ind w:left="920"/>
        <w:spacing w:after="0" w:line="234" w:lineRule="auto"/>
        <w:rPr>
          <w:sz w:val="20"/>
          <w:szCs w:val="20"/>
          <w:color w:val="auto"/>
        </w:rPr>
      </w:pPr>
      <w:r>
        <w:rPr>
          <w:rFonts w:ascii="Times New Roman" w:cs="Times New Roman" w:eastAsia="Times New Roman" w:hAnsi="Times New Roman"/>
          <w:sz w:val="22"/>
          <w:szCs w:val="22"/>
          <w:color w:val="auto"/>
        </w:rPr>
        <w:t>may each be deemed to share voting, investment and dispositive power with respect to these securities. Excludes warrants to purchase 53,571,426 shares of Common Stock held by TCG Opportunity III LP which are not exercisable within 60 days of this Statement due to the Beneficial Ownership Limitations. Based on 213,744,535 shares of Common Stock outstanding as of December 15, 2025, as reported by the Issuer in the Prospectus.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87990A106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Tim Kutzkey</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1"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54,313,559.00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54,313,559.00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54,313,559.00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ectPr>
          <w:pgSz w:w="11900" w:h="16838" w:orient="portrait"/>
          <w:cols w:equalWidth="0" w:num="2">
            <w:col w:w="1100" w:space="60"/>
            <w:col w:w="10080"/>
          </w:cols>
          <w:pgMar w:left="320" w:top="111" w:right="339" w:bottom="0" w:gutter="0" w:footer="0" w:header="0"/>
          <w:type w:val="continuous"/>
        </w:sectPr>
      </w:pPr>
    </w:p>
    <w:bookmarkStart w:id="7" w:name="page8"/>
    <w:bookmarkEnd w:id="7"/>
    <w:p>
      <w:pPr>
        <w:ind w:left="1160"/>
        <w:spacing w:after="0"/>
        <w:rPr>
          <w:sz w:val="20"/>
          <w:szCs w:val="20"/>
          <w:color w:val="auto"/>
        </w:rPr>
      </w:pPr>
      <w:r>
        <w:rPr>
          <w:rFonts w:ascii="Times New Roman" w:cs="Times New Roman" w:eastAsia="Times New Roman" w:hAnsi="Times New Roman"/>
          <w:sz w:val="22"/>
          <w:szCs w:val="22"/>
          <w:color w:val="auto"/>
        </w:rPr>
        <w:t>25.4 %</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Consists of (i) 2,348,183 shares of Common Stock held of record by TCG III LP, (ii) 2,651,817 shares of Common</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638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Stock held of record by TCG III-A LP and (iii) 49,313,559 shares</w:t>
            </w:r>
          </w:p>
        </w:tc>
        <w:tc>
          <w:tcPr>
            <w:tcW w:w="4020" w:type="dxa"/>
            <w:vAlign w:val="bottom"/>
          </w:tcPr>
          <w:p>
            <w:pPr>
              <w:jc w:val="right"/>
              <w:spacing w:after="0" w:line="221" w:lineRule="exact"/>
              <w:rPr>
                <w:sz w:val="20"/>
                <w:szCs w:val="20"/>
                <w:color w:val="auto"/>
              </w:rPr>
            </w:pPr>
            <w:r>
              <w:rPr>
                <w:rFonts w:ascii="Times New Roman" w:cs="Times New Roman" w:eastAsia="Times New Roman" w:hAnsi="Times New Roman"/>
                <w:sz w:val="22"/>
                <w:szCs w:val="22"/>
                <w:color w:val="auto"/>
              </w:rPr>
              <w:t>of Common Stock held of record by TCG</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63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Opportunity III LP. TCG III GP LP is the general partner of each of</w:t>
            </w:r>
          </w:p>
        </w:tc>
        <w:tc>
          <w:tcPr>
            <w:tcW w:w="4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TCG III LP and TCG III-A LP and may be</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deemed to have voting, investment and dispositive power with respect to these securities. TCG Opportunity III GP LP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is the general partner of TCG Opportunity III LP and may be deemed to have voting, investment and dispositive power</w:t>
      </w:r>
    </w:p>
    <w:p>
      <w:pPr>
        <w:jc w:val="both"/>
        <w:ind w:left="920"/>
        <w:spacing w:after="0" w:line="232" w:lineRule="auto"/>
        <w:rPr>
          <w:sz w:val="20"/>
          <w:szCs w:val="20"/>
          <w:color w:val="auto"/>
        </w:rPr>
      </w:pPr>
      <w:r>
        <w:rPr>
          <w:rFonts w:ascii="Times New Roman" w:cs="Times New Roman" w:eastAsia="Times New Roman" w:hAnsi="Times New Roman"/>
          <w:sz w:val="22"/>
          <w:szCs w:val="22"/>
          <w:color w:val="auto"/>
        </w:rPr>
        <w:t>with respect to the securities held by TCG Opportunity III LP. TCG Opportunity III GP LLC is the general partner of TCG Opportunity III GP LP and the ultimate general partner of TCG Opportunity III LP and may be deemed to have voting, investment and dispositive power with respect to the securities held by TCG Opportunity III LP. Peter Svennilson and Tim Kutzkey are the managing partners of TCG III GP LP and the managing members of TCG Opportunity III GP LLC and may each be deemed to share voting, investment and dispositive power with respect to these securities. Excludes warrants to purchase 53,571,426 shares of Common Stock held by TCG Opportunity III LP which are not exercisable within 60 days of this Statement due to the Beneficial Ownership Limitations. Based on 213,744,535 shares of Common Stock outstanding as of December 15, 2025, as reported by the Issuer in the Prospectus.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87990A106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Peter Svennilson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1"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SWEDEN</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54,313,559.00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54,313,559.00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54,313,559.00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ectPr>
          <w:pgSz w:w="11900" w:h="16838" w:orient="portrait"/>
          <w:cols w:equalWidth="0" w:num="2">
            <w:col w:w="1100" w:space="60"/>
            <w:col w:w="10080"/>
          </w:cols>
          <w:pgMar w:left="320" w:top="111" w:right="339" w:bottom="0" w:gutter="0" w:footer="0" w:header="0"/>
          <w:type w:val="continuous"/>
        </w:sectPr>
      </w:pPr>
    </w:p>
    <w:bookmarkStart w:id="8" w:name="page9"/>
    <w:bookmarkEnd w:id="8"/>
    <w:p>
      <w:pPr>
        <w:ind w:left="1160"/>
        <w:spacing w:after="0"/>
        <w:rPr>
          <w:sz w:val="20"/>
          <w:szCs w:val="20"/>
          <w:color w:val="auto"/>
        </w:rPr>
      </w:pPr>
      <w:r>
        <w:rPr>
          <w:rFonts w:ascii="Times New Roman" w:cs="Times New Roman" w:eastAsia="Times New Roman" w:hAnsi="Times New Roman"/>
          <w:sz w:val="22"/>
          <w:szCs w:val="22"/>
          <w:color w:val="auto"/>
        </w:rPr>
        <w:t>25.4 %</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Consists of (i) 2,348,183 shares of Common Stock held of record by TCG III LP, (ii) 2,651,817 shares of Common</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638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Stock held of record by TCG III-A LP and (iii) 49,313,559 shares</w:t>
            </w:r>
          </w:p>
        </w:tc>
        <w:tc>
          <w:tcPr>
            <w:tcW w:w="4020" w:type="dxa"/>
            <w:vAlign w:val="bottom"/>
          </w:tcPr>
          <w:p>
            <w:pPr>
              <w:jc w:val="right"/>
              <w:spacing w:after="0" w:line="221" w:lineRule="exact"/>
              <w:rPr>
                <w:sz w:val="20"/>
                <w:szCs w:val="20"/>
                <w:color w:val="auto"/>
              </w:rPr>
            </w:pPr>
            <w:r>
              <w:rPr>
                <w:rFonts w:ascii="Times New Roman" w:cs="Times New Roman" w:eastAsia="Times New Roman" w:hAnsi="Times New Roman"/>
                <w:sz w:val="22"/>
                <w:szCs w:val="22"/>
                <w:color w:val="auto"/>
              </w:rPr>
              <w:t>of Common Stock held of record by TCG</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63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Opportunity III LP. TCG III GP LP is the general partner of each of</w:t>
            </w:r>
          </w:p>
        </w:tc>
        <w:tc>
          <w:tcPr>
            <w:tcW w:w="4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TCG III LP and TCG III-A LP and may be</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deemed to have voting, investment and dispositive power with respect to these securities. TCG Opportunity III GP LP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is the general partner of TCG Opportunity III LP and may be deemed to have voting, investment and dispositive power</w:t>
      </w:r>
    </w:p>
    <w:p>
      <w:pPr>
        <w:jc w:val="both"/>
        <w:ind w:left="920"/>
        <w:spacing w:after="0" w:line="232" w:lineRule="auto"/>
        <w:rPr>
          <w:sz w:val="20"/>
          <w:szCs w:val="20"/>
          <w:color w:val="auto"/>
        </w:rPr>
      </w:pPr>
      <w:r>
        <w:rPr>
          <w:rFonts w:ascii="Times New Roman" w:cs="Times New Roman" w:eastAsia="Times New Roman" w:hAnsi="Times New Roman"/>
          <w:sz w:val="22"/>
          <w:szCs w:val="22"/>
          <w:color w:val="auto"/>
        </w:rPr>
        <w:t>with respect to the securities held by TCG Opportunity III LP. TCG Opportunity III GP LLC is the general partner of TCG Opportunity III GP LP and the ultimate general partner of TCG Opportunity III LP and may be deemed to have voting, investment and dispositive power with respect to the securities held by TCG Opportunity III LP. Peter Svennilson and Tim Kutzkey are the managing partners of TCG III GP LP and the managing members of TCG Opportunity III GP LLC and may each be deemed to share voting, investment and dispositive power with respect to these securities. Excludes warrants to purchase 53,571,426 shares of Common Stock held by TCG Opportunity III LP which are not exercisable within 60 days of this Statement due to the Beneficial Ownership Limitations. Based on 213,744,535 shares of Common Stock outstanding as of December 15, 2025, as reported by the Issuer in the Prospectus.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Tenaya Therapeutics,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171 Oyster Point Boulevard, Suite 500, South San Francisco, CALIFORNIA , 94080.</w:t>
      </w:r>
    </w:p>
    <w:p>
      <w:pPr>
        <w:spacing w:after="0" w:line="20" w:lineRule="exact"/>
        <w:rPr>
          <w:sz w:val="20"/>
          <w:szCs w:val="20"/>
          <w:color w:val="auto"/>
        </w:rPr>
      </w:pPr>
    </w:p>
    <w:p>
      <w:pPr>
        <w:jc w:val="right"/>
        <w:ind w:left="40" w:right="40"/>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6 (this Amendment No. 6) supplements and amends the Schedule 13D relating to the Common</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Stock of the Issuer that was filed with the Commission on December 1, 2022 (the Initial Schedule 13D), as amended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by Amendment No. 1 filed with the Commission on February 21, 2023, by Amendment No. 2 filed with the Commission on February 14, 2024 and Amendment No. 3 filed with the Commission on March 7, 2025, Amendment No. 4 filed with the Commission on May 7, 2025 and Amendment No. 5 filed with the Commission on December 17, 2025 (the Initial Schedule 13D, together with all amendments thereto, the Original Schedule 13D). The securities originally reported on the Initial Schedule 13D were previously reported on a Schedule 13G filed with the Commission on February 11, 2022 (the Schedule 13G). The Schedule 13G was filed pursuant to Rule 13d-1(d) of the Securities Exchange Act. Capitalized terms contained herein but not otherwise defined shall have the meanings</w:t>
      </w:r>
    </w:p>
    <w:p>
      <w:pPr>
        <w:spacing w:after="0" w:line="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ascribed to such terms in the Original Schedule 13D.</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60" w:right="120"/>
        <w:spacing w:after="0" w:line="246" w:lineRule="auto"/>
        <w:rPr>
          <w:sz w:val="20"/>
          <w:szCs w:val="20"/>
          <w:color w:val="auto"/>
        </w:rPr>
      </w:pPr>
      <w:r>
        <w:rPr>
          <w:rFonts w:ascii="Times New Roman" w:cs="Times New Roman" w:eastAsia="Times New Roman" w:hAnsi="Times New Roman"/>
          <w:sz w:val="21"/>
          <w:szCs w:val="21"/>
          <w:color w:val="auto"/>
        </w:rPr>
        <w:t>This Statement is being filed by The Column Group III, LP (TCG III LP), The Column Group III-A, LP (TCG III-A LP), The Column Group III GP, LP (TCG III GP LP), The Column Group Opportunity III, LP (TCG Opportunity III LP), The Column Group Opportunity III GP, LP (TCG Opportunity III GP LP), TCG Opportunity III GP, LLC (TCG Opportunity III GP LLC, together with TCG III LP, TCG III-A LP, TCG III GP LP, TCG Opportunity III LP, and TCG Opportunity III GP LP, the Reporting Entities), Tim Kutzkey and Peter Svennilson. The Reporting Entities, Tim</w:t>
      </w:r>
    </w:p>
    <w:p>
      <w:pPr>
        <w:spacing w:after="0" w:line="1" w:lineRule="exact"/>
        <w:rPr>
          <w:sz w:val="20"/>
          <w:szCs w:val="20"/>
          <w:color w:val="auto"/>
        </w:rPr>
      </w:pPr>
    </w:p>
    <w:p>
      <w:pPr>
        <w:ind w:left="960" w:right="160" w:hanging="912"/>
        <w:spacing w:after="0" w:line="204" w:lineRule="auto"/>
        <w:tabs>
          <w:tab w:leader="none" w:pos="960" w:val="left"/>
        </w:tabs>
        <w:numPr>
          <w:ilvl w:val="0"/>
          <w:numId w:val="1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Kutzkey and Peter Svennilson are collectively referred to as the Reporting Persons. Tim Kutzkey and Peter Svennilson have been added to this Statement as a Reporting Person as a result of the retirement of a managing partner of TCG III GP LP and a managing member of TCG Opportunity III GP LLC. The agreement among the Reporting Persons to file jointly in accordance with the provisions of Rule 13d-1(k)(1) under the Act is attached hereto as Exhibit 1. Each Reporting Person disclaims beneficial ownership of all securities reported in this Statement except to the extent of such Reporting Person's pecuniary interest therein, other than those securities reported herein as being held directly by such Reporting Person.</w:t>
      </w:r>
    </w:p>
    <w:p>
      <w:pPr>
        <w:spacing w:after="0" w:line="20" w:lineRule="exact"/>
        <w:rPr>
          <w:rFonts w:ascii="Times New Roman" w:cs="Times New Roman" w:eastAsia="Times New Roman" w:hAnsi="Times New Roman"/>
          <w:sz w:val="43"/>
          <w:szCs w:val="43"/>
          <w:color w:val="auto"/>
          <w:vertAlign w:val="subscript"/>
        </w:rPr>
      </w:pPr>
    </w:p>
    <w:p>
      <w:pPr>
        <w:ind w:left="960" w:right="440" w:hanging="912"/>
        <w:spacing w:after="0" w:line="185" w:lineRule="auto"/>
        <w:tabs>
          <w:tab w:leader="none" w:pos="960" w:val="left"/>
        </w:tabs>
        <w:numPr>
          <w:ilvl w:val="0"/>
          <w:numId w:val="1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address of the principal offices of each Reporting Person is 1 Letterman Drive, Building D, Suite M-900, San Francisco, CA 94129.</w:t>
      </w:r>
    </w:p>
    <w:p>
      <w:pPr>
        <w:spacing w:after="0" w:line="17" w:lineRule="exact"/>
        <w:rPr>
          <w:rFonts w:ascii="Times New Roman" w:cs="Times New Roman" w:eastAsia="Times New Roman" w:hAnsi="Times New Roman"/>
          <w:sz w:val="39"/>
          <w:szCs w:val="39"/>
          <w:color w:val="auto"/>
          <w:vertAlign w:val="subscript"/>
        </w:rPr>
      </w:pPr>
    </w:p>
    <w:p>
      <w:pPr>
        <w:ind w:left="960" w:right="120" w:hanging="912"/>
        <w:spacing w:after="0" w:line="251" w:lineRule="auto"/>
        <w:tabs>
          <w:tab w:leader="none" w:pos="96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TCG III LP, TCG III-A LP and TCG Opportunity III LP is a venture capital investment entity. TCG III GP LP is the general partner of each of TCG III LP and TCG III-A LP. TCG Opportunity III GP LP is the general partner of TCG Opportunity III LP. TCG Opportunity III GP LLC is the general partner of TCG Opportunity III GP LP and the ultimate general partner of TCG Opportunity III LP. Dr. Kutzkey and Peter Svennilson are the managing partners of TCG III GP LP and the managing members of TCG Opportunity III GP LLC, and are each engaged through</w:t>
      </w:r>
    </w:p>
    <w:p>
      <w:pPr>
        <w:sectPr>
          <w:pgSz w:w="11900" w:h="16838" w:orient="portrait"/>
          <w:cols w:equalWidth="0" w:num="1">
            <w:col w:w="11240"/>
          </w:cols>
          <w:pgMar w:left="320" w:top="111" w:right="339" w:bottom="0" w:gutter="0" w:footer="0" w:header="0"/>
        </w:sectPr>
      </w:pPr>
    </w:p>
    <w:bookmarkStart w:id="9" w:name="page10"/>
    <w:bookmarkEnd w:id="9"/>
    <w:p>
      <w:pPr>
        <w:ind w:left="920" w:right="940"/>
        <w:spacing w:after="0" w:line="249" w:lineRule="auto"/>
        <w:rPr>
          <w:sz w:val="20"/>
          <w:szCs w:val="20"/>
          <w:color w:val="auto"/>
        </w:rPr>
      </w:pPr>
      <w:r>
        <w:rPr>
          <w:rFonts w:ascii="Times New Roman" w:cs="Times New Roman" w:eastAsia="Times New Roman" w:hAnsi="Times New Roman"/>
          <w:sz w:val="22"/>
          <w:szCs w:val="22"/>
          <w:color w:val="auto"/>
        </w:rPr>
        <w:t>venture capital investment entities in acquiring, holding and disposing of interests in various companies for investment purposes.</w:t>
      </w:r>
    </w:p>
    <w:p>
      <w:pPr>
        <w:spacing w:after="0" w:line="16" w:lineRule="exact"/>
        <w:rPr>
          <w:sz w:val="20"/>
          <w:szCs w:val="20"/>
          <w:color w:val="auto"/>
        </w:rPr>
      </w:pPr>
    </w:p>
    <w:p>
      <w:pPr>
        <w:ind w:left="920" w:right="300" w:hanging="912"/>
        <w:spacing w:after="0" w:line="185" w:lineRule="auto"/>
        <w:tabs>
          <w:tab w:leader="none" w:pos="920" w:val="left"/>
        </w:tabs>
        <w:numPr>
          <w:ilvl w:val="0"/>
          <w:numId w:val="1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past five years, none of the Reporting Persons have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None of the Reporting Persons are, nor during the last five years have been, a party to a civil proceeding of a judicial</w:t>
      </w:r>
    </w:p>
    <w:p>
      <w:pPr>
        <w:spacing w:after="0" w:line="25" w:lineRule="exact"/>
        <w:rPr>
          <w:rFonts w:ascii="Times New Roman" w:cs="Times New Roman" w:eastAsia="Times New Roman" w:hAnsi="Times New Roman"/>
          <w:sz w:val="39"/>
          <w:szCs w:val="39"/>
          <w:color w:val="auto"/>
          <w:vertAlign w:val="subscript"/>
        </w:rPr>
      </w:pPr>
    </w:p>
    <w:p>
      <w:pPr>
        <w:jc w:val="both"/>
        <w:ind w:left="920" w:right="260" w:hanging="912"/>
        <w:spacing w:after="0" w:line="184" w:lineRule="auto"/>
        <w:tabs>
          <w:tab w:leader="none" w:pos="920" w:val="left"/>
        </w:tabs>
        <w:numPr>
          <w:ilvl w:val="0"/>
          <w:numId w:val="16"/>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Each of TCG III GP LP, TCG III LP, TCG III-A LP, TCG Opportunity III LP and TCG Opportunity III GP LP is a</w:t>
      </w:r>
    </w:p>
    <w:p>
      <w:pPr>
        <w:spacing w:after="0" w:line="14" w:lineRule="exact"/>
        <w:rPr>
          <w:rFonts w:ascii="Times New Roman" w:cs="Times New Roman" w:eastAsia="Times New Roman" w:hAnsi="Times New Roman"/>
          <w:sz w:val="42"/>
          <w:szCs w:val="42"/>
          <w:color w:val="auto"/>
          <w:vertAlign w:val="subscript"/>
        </w:rPr>
      </w:pPr>
    </w:p>
    <w:p>
      <w:pPr>
        <w:ind w:left="920" w:right="60" w:hanging="912"/>
        <w:spacing w:after="0" w:line="184" w:lineRule="auto"/>
        <w:tabs>
          <w:tab w:leader="none" w:pos="920" w:val="left"/>
        </w:tabs>
        <w:numPr>
          <w:ilvl w:val="0"/>
          <w:numId w:val="16"/>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limited partnership organized under the laws of the State of Delaware. TCG Opportunity III GP LLC is a limited company organized under the laws of the State of Delaware. Dr. Kutzkey is a citizen of the United States of America. Mr. Svennilson is a citizen of Sweden.</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20"/>
        <w:spacing w:after="0" w:line="234" w:lineRule="auto"/>
        <w:rPr>
          <w:sz w:val="20"/>
          <w:szCs w:val="20"/>
          <w:color w:val="auto"/>
        </w:rPr>
      </w:pPr>
      <w:r>
        <w:rPr>
          <w:rFonts w:ascii="Times New Roman" w:cs="Times New Roman" w:eastAsia="Times New Roman" w:hAnsi="Times New Roman"/>
          <w:sz w:val="22"/>
          <w:szCs w:val="22"/>
          <w:color w:val="auto"/>
        </w:rPr>
        <w:t>Item 3 of the Original Schedule 13D is hereby amended by adding the following as the last paragraphs thereof: On February 10, 2026, TCG III LP sold an aggregate of 161,422 shares of the Issuer's Common Stock at a weighted-average price of $0.8161 per share and an aggregate sale price of approximately $0.13 million. On February 10, 2026, TCG III-A LP sold an aggregate of 182,295 shares of the Issuer's Common Stock at a weighted-average price of $0.8161 per share and an aggregate sale price of approximately $0.15 million. On February 11, 2026, TCG III LP sold an aggregate of 1,905,115 shares of the Issuer's Common Stock at a weighted-average price of $0.6808 per share and an aggregate sale price of approximately $1.3 million. On February 11, 2026, TCG III-A LP sold an aggregate of 2,151,458 shares of the Issuer's Common Stock at a weighted-average price of $0.6808 per share and an aggregate sale price of approximately $1.46 million.</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right="1480" w:firstLine="918"/>
        <w:spacing w:after="0" w:line="281" w:lineRule="auto"/>
        <w:rPr>
          <w:sz w:val="20"/>
          <w:szCs w:val="20"/>
          <w:color w:val="auto"/>
        </w:rPr>
      </w:pPr>
      <w:r>
        <w:rPr>
          <w:rFonts w:ascii="Times New Roman" w:cs="Times New Roman" w:eastAsia="Times New Roman" w:hAnsi="Times New Roman"/>
          <w:sz w:val="22"/>
          <w:szCs w:val="22"/>
          <w:color w:val="auto"/>
        </w:rPr>
        <w:t>The information set forth in Item 4 of the Original Schedule 13D is incorporated herein by reference. Item 5. Interest in Securities of the Issuer</w:t>
      </w:r>
    </w:p>
    <w:p>
      <w:pPr>
        <w:spacing w:after="0" w:line="2" w:lineRule="exact"/>
        <w:rPr>
          <w:sz w:val="20"/>
          <w:szCs w:val="20"/>
          <w:color w:val="auto"/>
        </w:rPr>
      </w:pPr>
    </w:p>
    <w:p>
      <w:pPr>
        <w:ind w:left="920" w:hanging="912"/>
        <w:spacing w:after="0"/>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Items 7-11 of the cover pages of this Amendment No. 6.</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Items 7-11 of the cover pages of this Amendment No. 6.</w:t>
      </w:r>
    </w:p>
    <w:p>
      <w:pPr>
        <w:spacing w:after="0" w:line="44" w:lineRule="exact"/>
        <w:rPr>
          <w:rFonts w:ascii="Times New Roman" w:cs="Times New Roman" w:eastAsia="Times New Roman" w:hAnsi="Times New Roman"/>
          <w:sz w:val="22"/>
          <w:szCs w:val="22"/>
          <w:color w:val="auto"/>
        </w:rPr>
      </w:pPr>
    </w:p>
    <w:p>
      <w:pPr>
        <w:ind w:left="920" w:right="600" w:hanging="912"/>
        <w:spacing w:after="0" w:line="185" w:lineRule="auto"/>
        <w:tabs>
          <w:tab w:leader="none" w:pos="920" w:val="left"/>
        </w:tabs>
        <w:numPr>
          <w:ilvl w:val="0"/>
          <w:numId w:val="1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reported in this Statement, none of the Reporting Persons has affected any transactions in the Issuer's securities within the past 60 days.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Under certain circumstances set forth in the limited partnership agreements of each of TCG III LP, TCG III-A LP and</w:t>
      </w:r>
    </w:p>
    <w:p>
      <w:pPr>
        <w:spacing w:after="0" w:line="25" w:lineRule="exact"/>
        <w:rPr>
          <w:rFonts w:ascii="Times New Roman" w:cs="Times New Roman" w:eastAsia="Times New Roman" w:hAnsi="Times New Roman"/>
          <w:sz w:val="39"/>
          <w:szCs w:val="39"/>
          <w:color w:val="auto"/>
          <w:vertAlign w:val="subscript"/>
        </w:rPr>
      </w:pPr>
    </w:p>
    <w:p>
      <w:pPr>
        <w:ind w:left="920" w:right="40" w:hanging="912"/>
        <w:spacing w:after="0" w:line="184" w:lineRule="auto"/>
        <w:tabs>
          <w:tab w:leader="none" w:pos="920" w:val="left"/>
        </w:tabs>
        <w:numPr>
          <w:ilvl w:val="0"/>
          <w:numId w:val="17"/>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TCG Opportunity III LP, the general partner and limited partners of TCG III LP, TCG III-A LP and TCG Opportunity III LP, as applicable, may be deemed to have the right to receive dividends from, or the proceeds from, the sale of shares of the Issuer owned by such entity of which they are a partner.</w:t>
      </w:r>
    </w:p>
    <w:p>
      <w:pPr>
        <w:spacing w:after="0" w:line="18"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920" w:right="1480" w:hanging="917"/>
        <w:spacing w:after="0" w:line="295" w:lineRule="auto"/>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 The information set forth in Item 6 of the Original Schedule 13D is incorporated herein by reference.</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Exhibit 1: Joint Filing Agreement, dated February 12, 2026, by and among the Reporting Persons (filed herewith).</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The Column Group III, LP</w:t>
      </w:r>
    </w:p>
    <w:p>
      <w:pPr>
        <w:spacing w:after="0" w:line="152"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Evangelista, Attorney in Fact</w:t>
      </w:r>
    </w:p>
    <w:p>
      <w:pPr>
        <w:spacing w:after="0" w:line="4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Name/Title: James Evangelista, Attorney in Fact</w:t>
      </w:r>
    </w:p>
    <w:p>
      <w:pPr>
        <w:spacing w:after="0" w:line="44"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p>
      <w:pPr>
        <w:spacing w:after="0" w:line="1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The Column Group III-A, LP</w:t>
      </w:r>
    </w:p>
    <w:p>
      <w:pPr>
        <w:spacing w:after="0" w:line="152"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Evangelista, Attorney in Fact</w:t>
      </w:r>
    </w:p>
    <w:p>
      <w:pPr>
        <w:spacing w:after="0" w:line="4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Name/Title: James Evangelista, Attorney in Fact</w:t>
      </w:r>
    </w:p>
    <w:p>
      <w:pPr>
        <w:spacing w:after="0" w:line="44"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p>
      <w:pPr>
        <w:spacing w:after="0" w:line="15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The Column Group III GP, LP</w:t>
      </w:r>
    </w:p>
    <w:p>
      <w:pPr>
        <w:spacing w:after="0" w:line="152"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Evangelista, Attorney in Fact</w:t>
      </w:r>
    </w:p>
    <w:p>
      <w:pPr>
        <w:spacing w:after="0" w:line="4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Name/Title: James Evangelista, Attorney in Fact</w:t>
      </w:r>
    </w:p>
    <w:p>
      <w:pPr>
        <w:spacing w:after="0" w:line="44"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p>
      <w:pPr>
        <w:spacing w:after="0" w:line="152"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The Column Group Opportunity III, LP</w:t>
      </w:r>
    </w:p>
    <w:p>
      <w:pPr>
        <w:spacing w:after="0" w:line="152"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Evangelista, Attorney in Fact</w:t>
      </w:r>
    </w:p>
    <w:p>
      <w:pPr>
        <w:sectPr>
          <w:pgSz w:w="11900" w:h="16838" w:orient="portrait"/>
          <w:cols w:equalWidth="0" w:num="1">
            <w:col w:w="11140"/>
          </w:cols>
          <w:pgMar w:left="360" w:top="111" w:right="399" w:bottom="0" w:gutter="0" w:footer="0" w:header="0"/>
        </w:sectPr>
      </w:pPr>
    </w:p>
    <w:bookmarkStart w:id="10" w:name="page11"/>
    <w:bookmarkEnd w:id="10"/>
    <w:p>
      <w:pPr>
        <w:ind w:left="3580"/>
        <w:spacing w:after="0"/>
        <w:rPr>
          <w:sz w:val="20"/>
          <w:szCs w:val="20"/>
          <w:color w:val="auto"/>
        </w:rPr>
      </w:pPr>
      <w:r>
        <w:rPr>
          <w:rFonts w:ascii="Times New Roman" w:cs="Times New Roman" w:eastAsia="Times New Roman" w:hAnsi="Times New Roman"/>
          <w:sz w:val="22"/>
          <w:szCs w:val="22"/>
          <w:color w:val="auto"/>
        </w:rPr>
        <w:t>Name/Title: James Evangelista, Attorney in Fact</w:t>
      </w:r>
    </w:p>
    <w:p>
      <w:pPr>
        <w:spacing w:after="0" w:line="45"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p>
      <w:pPr>
        <w:spacing w:after="0" w:line="15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The Column Group Opportunity III GP, LP</w:t>
      </w:r>
    </w:p>
    <w:p>
      <w:pPr>
        <w:spacing w:after="0" w:line="152" w:lineRule="exact"/>
        <w:rPr>
          <w:sz w:val="20"/>
          <w:szCs w:val="20"/>
          <w:color w:val="auto"/>
        </w:rPr>
      </w:pPr>
    </w:p>
    <w:p>
      <w:pPr>
        <w:jc w:val="right"/>
        <w:ind w:right="979"/>
        <w:spacing w:after="0"/>
        <w:tabs>
          <w:tab w:leader="none" w:pos="3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Evangelista, Attorney in Fact</w:t>
      </w:r>
    </w:p>
    <w:p>
      <w:pPr>
        <w:spacing w:after="0" w:line="4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Name/Title: James Evangelista, Attorney in Fact</w:t>
      </w:r>
    </w:p>
    <w:p>
      <w:pPr>
        <w:spacing w:after="0" w:line="44"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p>
      <w:pPr>
        <w:spacing w:after="0" w:line="15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TCG Opportunity III GP, LLC</w:t>
      </w:r>
    </w:p>
    <w:p>
      <w:pPr>
        <w:spacing w:after="0" w:line="152" w:lineRule="exact"/>
        <w:rPr>
          <w:sz w:val="20"/>
          <w:szCs w:val="20"/>
          <w:color w:val="auto"/>
        </w:rPr>
      </w:pPr>
    </w:p>
    <w:p>
      <w:pPr>
        <w:jc w:val="right"/>
        <w:ind w:right="979"/>
        <w:spacing w:after="0"/>
        <w:tabs>
          <w:tab w:leader="none" w:pos="3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Evangelista, Attorney in Fact</w:t>
      </w:r>
    </w:p>
    <w:p>
      <w:pPr>
        <w:spacing w:after="0" w:line="4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Name/Title: James Evangelista, Attorney in Fact</w:t>
      </w:r>
    </w:p>
    <w:p>
      <w:pPr>
        <w:spacing w:after="0" w:line="44"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p>
      <w:pPr>
        <w:spacing w:after="0" w:line="1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Tim Kutzkey</w:t>
      </w:r>
    </w:p>
    <w:p>
      <w:pPr>
        <w:spacing w:after="0" w:line="152" w:lineRule="exact"/>
        <w:rPr>
          <w:sz w:val="20"/>
          <w:szCs w:val="20"/>
          <w:color w:val="auto"/>
        </w:rPr>
      </w:pPr>
    </w:p>
    <w:p>
      <w:pPr>
        <w:ind w:left="3360"/>
        <w:spacing w:after="0"/>
        <w:tabs>
          <w:tab w:leader="none" w:pos="4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Evangelista</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Name/Title: James Evangelista, Attorney-in-Fact</w:t>
      </w:r>
    </w:p>
    <w:p>
      <w:pPr>
        <w:spacing w:after="0" w:line="44" w:lineRule="exact"/>
        <w:rPr>
          <w:sz w:val="20"/>
          <w:szCs w:val="20"/>
          <w:color w:val="auto"/>
        </w:rPr>
      </w:pPr>
    </w:p>
    <w:p>
      <w:pPr>
        <w:ind w:left="3360"/>
        <w:spacing w:after="0"/>
        <w:tabs>
          <w:tab w:leader="none" w:pos="4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p>
      <w:pPr>
        <w:spacing w:after="0" w:line="1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Peter Svennilson</w:t>
      </w:r>
    </w:p>
    <w:p>
      <w:pPr>
        <w:spacing w:after="0" w:line="152" w:lineRule="exact"/>
        <w:rPr>
          <w:sz w:val="20"/>
          <w:szCs w:val="20"/>
          <w:color w:val="auto"/>
        </w:rPr>
      </w:pPr>
    </w:p>
    <w:p>
      <w:pPr>
        <w:ind w:left="3360"/>
        <w:spacing w:after="0"/>
        <w:tabs>
          <w:tab w:leader="none" w:pos="4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Evangelista</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Name/Title: James Evangelista, Attorney-in-Fact</w:t>
      </w:r>
    </w:p>
    <w:p>
      <w:pPr>
        <w:spacing w:after="0" w:line="44" w:lineRule="exact"/>
        <w:rPr>
          <w:sz w:val="20"/>
          <w:szCs w:val="20"/>
          <w:color w:val="auto"/>
        </w:rPr>
      </w:pPr>
    </w:p>
    <w:p>
      <w:pPr>
        <w:ind w:left="3360"/>
        <w:spacing w:after="0"/>
        <w:tabs>
          <w:tab w:leader="none" w:pos="4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2"/>
      <w:numFmt w:val="bullet"/>
      <w:start w:val="1"/>
    </w:lvl>
  </w:abstractNum>
  <w:abstractNum w:abstractNumId="1">
    <w:nsid w:val="12200854"/>
    <w:multiLevelType w:val="hybridMultilevel"/>
    <w:lvl w:ilvl="0">
      <w:lvlJc w:val="left"/>
      <w:lvlText w:val="3"/>
      <w:numFmt w:val="bullet"/>
      <w:start w:val="1"/>
    </w:lvl>
  </w:abstractNum>
  <w:abstractNum w:abstractNumId="2">
    <w:nsid w:val="4DB127F8"/>
    <w:multiLevelType w:val="hybridMultilevel"/>
    <w:lvl w:ilvl="0">
      <w:lvlJc w:val="left"/>
      <w:lvlText w:val="2"/>
      <w:numFmt w:val="bullet"/>
      <w:start w:val="1"/>
    </w:lvl>
  </w:abstractNum>
  <w:abstractNum w:abstractNumId="3">
    <w:nsid w:val="216231B"/>
    <w:multiLevelType w:val="hybridMultilevel"/>
    <w:lvl w:ilvl="0">
      <w:lvlJc w:val="left"/>
      <w:lvlText w:val="3"/>
      <w:numFmt w:val="bullet"/>
      <w:start w:val="1"/>
    </w:lvl>
  </w:abstractNum>
  <w:abstractNum w:abstractNumId="4">
    <w:nsid w:val="1F16E9E8"/>
    <w:multiLevelType w:val="hybridMultilevel"/>
    <w:lvl w:ilvl="0">
      <w:lvlJc w:val="left"/>
      <w:lvlText w:val="5"/>
      <w:numFmt w:val="bullet"/>
      <w:start w:val="1"/>
    </w:lvl>
  </w:abstractNum>
  <w:abstractNum w:abstractNumId="5">
    <w:nsid w:val="1190CDE7"/>
    <w:multiLevelType w:val="hybridMultilevel"/>
    <w:lvl w:ilvl="0">
      <w:lvlJc w:val="left"/>
      <w:lvlText w:val="2"/>
      <w:numFmt w:val="bullet"/>
      <w:start w:val="1"/>
    </w:lvl>
  </w:abstractNum>
  <w:abstractNum w:abstractNumId="6">
    <w:nsid w:val="66EF438D"/>
    <w:multiLevelType w:val="hybridMultilevel"/>
    <w:lvl w:ilvl="0">
      <w:lvlJc w:val="left"/>
      <w:lvlText w:val="3"/>
      <w:numFmt w:val="bullet"/>
      <w:start w:val="1"/>
    </w:lvl>
  </w:abstractNum>
  <w:abstractNum w:abstractNumId="7">
    <w:nsid w:val="140E0F76"/>
    <w:multiLevelType w:val="hybridMultilevel"/>
    <w:lvl w:ilvl="0">
      <w:lvlJc w:val="left"/>
      <w:lvlText w:val="2"/>
      <w:numFmt w:val="bullet"/>
      <w:start w:val="1"/>
    </w:lvl>
  </w:abstractNum>
  <w:abstractNum w:abstractNumId="8">
    <w:nsid w:val="3352255A"/>
    <w:multiLevelType w:val="hybridMultilevel"/>
    <w:lvl w:ilvl="0">
      <w:lvlJc w:val="left"/>
      <w:lvlText w:val="3"/>
      <w:numFmt w:val="bullet"/>
      <w:start w:val="1"/>
    </w:lvl>
  </w:abstractNum>
  <w:abstractNum w:abstractNumId="9">
    <w:nsid w:val="109CF92E"/>
    <w:multiLevelType w:val="hybridMultilevel"/>
    <w:lvl w:ilvl="0">
      <w:lvlJc w:val="left"/>
      <w:lvlText w:val="2"/>
      <w:numFmt w:val="bullet"/>
      <w:start w:val="1"/>
    </w:lvl>
  </w:abstractNum>
  <w:abstractNum w:abstractNumId="10">
    <w:nsid w:val="DED7263"/>
    <w:multiLevelType w:val="hybridMultilevel"/>
    <w:lvl w:ilvl="0">
      <w:lvlJc w:val="left"/>
      <w:lvlText w:val="3"/>
      <w:numFmt w:val="bullet"/>
      <w:start w:val="1"/>
    </w:lvl>
  </w:abstractNum>
  <w:abstractNum w:abstractNumId="11">
    <w:nsid w:val="7FDCC233"/>
    <w:multiLevelType w:val="hybridMultilevel"/>
    <w:lvl w:ilvl="0">
      <w:lvlJc w:val="left"/>
      <w:lvlText w:val="2"/>
      <w:numFmt w:val="bullet"/>
      <w:start w:val="1"/>
    </w:lvl>
  </w:abstractNum>
  <w:abstractNum w:abstractNumId="12">
    <w:nsid w:val="1BEFD79F"/>
    <w:multiLevelType w:val="hybridMultilevel"/>
    <w:lvl w:ilvl="0">
      <w:lvlJc w:val="left"/>
      <w:lvlText w:val="2"/>
      <w:numFmt w:val="bullet"/>
      <w:start w:val="1"/>
    </w:lvl>
  </w:abstractNum>
  <w:abstractNum w:abstractNumId="13">
    <w:nsid w:val="41A7C4C9"/>
    <w:multiLevelType w:val="hybridMultilevel"/>
    <w:lvl w:ilvl="0">
      <w:lvlJc w:val="left"/>
      <w:lvlText w:val="2"/>
      <w:numFmt w:val="bullet"/>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4"/>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2026-02-12T17:53:41Z</dcterms:created>
  <dcterms:modified xsi:type="dcterms:W3CDTF">2026-02-12T17:53:41Z</dcterms:modified>
</cp:coreProperties>
</file>