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33020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 w:line="207" w:lineRule="exact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</w:t>
      </w:r>
      <w:r>
        <w:rPr>
          <w:rFonts w:ascii="MS PGothic" w:cs="MS PGothic" w:eastAsia="MS PGothic" w:hAnsi="MS PGothic"/>
          <w:sz w:val="18"/>
          <w:szCs w:val="18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6(e)(2))</w:t>
      </w:r>
    </w:p>
    <w:p>
      <w:pPr>
        <w:spacing w:after="0" w:line="15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340" w:hanging="332"/>
        <w:spacing w:after="0" w:line="207" w:lineRule="exact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12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TENAYA THERAPEUTICS,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-125095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-118110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1170305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476250</wp:posOffset>
            </wp:positionH>
            <wp:positionV relativeFrom="paragraph">
              <wp:posOffset>471805</wp:posOffset>
            </wp:positionV>
            <wp:extent cx="666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685800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2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2937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29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284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28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2026-04-16T08:14:39Z</dcterms:created>
  <dcterms:modified xsi:type="dcterms:W3CDTF">2026-04-16T08:14:39Z</dcterms:modified>
</cp:coreProperties>
</file>