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Empery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8,296,276.00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8,296,276.00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8,296,276.00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71" w:orient="portrait"/>
          <w:cols w:equalWidth="0" w:num="2">
            <w:col w:w="1100" w:space="60"/>
            <w:col w:w="9940"/>
          </w:cols>
          <w:pgMar w:left="320" w:top="166" w:right="47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3,591,112 shares of Common Stock issuable upon exercise of the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defined in Item 2(a)).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Ryan M. Lane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8,296,276.00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8,296,276.00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8,296,276.00</w:t>
      </w:r>
    </w:p>
    <w:p>
      <w:pPr>
        <w:sectPr>
          <w:pgSz w:w="11900" w:h="16871" w:orient="portrait"/>
          <w:cols w:equalWidth="0" w:num="1">
            <w:col w:w="11100"/>
          </w:cols>
          <w:pgMar w:left="320" w:top="166" w:right="47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3,591,112 shares of Common Stock issuable upon exercise of the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defined in Item 2(a)).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Martin D. Hoe</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00"/>
          </w:cols>
          <w:pgMar w:left="320" w:top="111" w:right="47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8,296,276.00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8,296,276.00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8,296,276.00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9940"/>
          </w:cols>
          <w:pgMar w:left="320" w:top="111" w:right="479" w:bottom="0"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3,591,112 shares of Common Stock issuable upon exercise of the Warrants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defined in Item 2(a)).</w:t>
      </w:r>
    </w:p>
    <w:p>
      <w:pPr>
        <w:sectPr>
          <w:pgSz w:w="11900" w:h="16838" w:orient="portrait"/>
          <w:cols w:equalWidth="0" w:num="1">
            <w:col w:w="11100"/>
          </w:cols>
          <w:pgMar w:left="320" w:top="111" w:right="4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20" w:top="111" w:right="479" w:bottom="0" w:gutter="0" w:footer="0" w:header="0"/>
          <w:type w:val="continuous"/>
        </w:sectPr>
      </w:pPr>
    </w:p>
    <w:bookmarkStart w:id="3" w:name="page4"/>
    <w:bookmarkEnd w:id="3"/>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171 OYSTER POINT BLVD., SUITE 500,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0"/>
        <w:spacing w:after="0" w:line="247" w:lineRule="auto"/>
        <w:rPr>
          <w:sz w:val="20"/>
          <w:szCs w:val="20"/>
          <w:color w:val="auto"/>
        </w:rPr>
      </w:pPr>
      <w:r>
        <w:rPr>
          <w:rFonts w:ascii="Times New Roman" w:cs="Times New Roman" w:eastAsia="Times New Roman" w:hAnsi="Times New Roman"/>
          <w:sz w:val="21"/>
          <w:szCs w:val="21"/>
          <w:color w:val="auto"/>
        </w:rPr>
        <w:t>This statement is filed by the entities and persons listed below, who are collectively referred to herein as "Reporting Persons," with respect to Common Stock, par value $0.0001 per share (the "Common Stock") and Common Stock issuable upon exercise of warrants (the "Warrants") of Tenaya Therapeutics, Inc., a Delaware corporation (the "Company"): (i) Empery Asset Management, LP (the "Investment Manager"), with respect to the Common Stock</w:t>
      </w:r>
    </w:p>
    <w:p>
      <w:pPr>
        <w:spacing w:after="0" w:line="2" w:lineRule="exact"/>
        <w:rPr>
          <w:sz w:val="20"/>
          <w:szCs w:val="20"/>
          <w:color w:val="auto"/>
        </w:rPr>
      </w:pPr>
    </w:p>
    <w:p>
      <w:pPr>
        <w:ind w:left="920" w:right="60" w:hanging="912"/>
        <w:spacing w:after="0" w:line="244"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held by, and the Common Stock issuable upon exercise of the Warrants held by, funds to which the Investment Manager serves as investment manager (the "Empery Funds"); (ii) Mr. Ryan M. Lane ("Mr. Lane"), with respect to the Common Stock held by, and the Common Stock issuable upon exercise of the Warrants held by, the Empery Funds; and (iii) Mr. Martin D. Hoe ("Mr. Hoe"), with respect to the Common Stock held by, and the Common Stock issuable upon exercise of the Warrants held by, the Empery Funds. The Investment Manager serves as the investment manager to each of the Empery Funds. Each of Mr. Lane and Mr. Hoe (the "Reporting Individuals") is a Managing Member of Empery AM GP, LLC (the "General Partner"), the general partner of the Investment Manager.</w:t>
      </w:r>
    </w:p>
    <w:p>
      <w:pPr>
        <w:spacing w:after="0" w:line="12"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1"/>
          <w:szCs w:val="21"/>
          <w:color w:val="auto"/>
        </w:rPr>
      </w:pPr>
    </w:p>
    <w:p>
      <w:pPr>
        <w:ind w:left="920" w:right="3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1 Rockefeller Plaza, Suite 1205 New York, New York 10020</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Citizenship is set forth in Row 4 of the cover page for each Reporting Person hereto and is incorporated herein by reference for each such Reporting Person.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87990A106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162,666,931 shares of Common Stock outstanding as of May 1, 2025, as reported in the Company's Quarterly Report on Form 10-Q filed with the Securities and Exchange Commission on May 7, 2025, and assumes exercise of the Warrants (subject to the Blocker (as defined below)). Pursuant to the terms of the Warrants, the Reporting Persons cannot exercise the Warrants to the extent the Reporting Persons would beneficially own, after any such exercise, more than 4.99% of the outstanding shares of Common Stock (the "Blocker"), and the shares of Common Stock listed as beneficially owned in Rows 6, 8 and 9 of the cover page for each Reporting Person and the percentage set forth in</w:t>
      </w:r>
    </w:p>
    <w:p>
      <w:pPr>
        <w:sectPr>
          <w:pgSz w:w="11900" w:h="16894" w:orient="portrait"/>
          <w:cols w:equalWidth="0" w:num="1">
            <w:col w:w="11120"/>
          </w:cols>
          <w:pgMar w:left="360" w:top="193" w:right="419" w:bottom="0" w:gutter="0" w:footer="0" w:header="0"/>
        </w:sectPr>
      </w:pPr>
    </w:p>
    <w:bookmarkStart w:id="4" w:name="page5"/>
    <w:bookmarkEnd w:id="4"/>
    <w:p>
      <w:pPr>
        <w:spacing w:after="0" w:line="59" w:lineRule="exact"/>
        <w:rPr>
          <w:sz w:val="20"/>
          <w:szCs w:val="20"/>
          <w:color w:val="auto"/>
        </w:rPr>
      </w:pPr>
    </w:p>
    <w:p>
      <w:pPr>
        <w:ind w:left="920"/>
        <w:spacing w:after="0" w:line="233" w:lineRule="auto"/>
        <w:rPr>
          <w:sz w:val="20"/>
          <w:szCs w:val="20"/>
          <w:color w:val="auto"/>
        </w:rPr>
      </w:pPr>
      <w:r>
        <w:rPr>
          <w:rFonts w:ascii="Times New Roman" w:cs="Times New Roman" w:eastAsia="Times New Roman" w:hAnsi="Times New Roman"/>
          <w:sz w:val="22"/>
          <w:szCs w:val="22"/>
          <w:color w:val="auto"/>
        </w:rPr>
        <w:t>Row 11 of the cover page for each Reporting Person give effect to the Blockers. Consequently, as of the date of the event which requires the filing of this statement, the Reporting Persons were not able to exercise all of the Warrants due to the Blocker. The Investment Manager, which serves as the investment manager to the Empery Funds, may be deemed to be the beneficial owner of all of the Common Stock held by, and the Common Stock issuable upon exercise of the Warrants (subject to the Blocker) held by, the Empery Funds. Each of the Reporting Individuals, as Managing Members of the General Partner of the Investment Manager with the power to exercise investment discretion, may be deemed to be the beneficial owner of all of the Common Stock held by, and the Common Stock issuable upon exercise of the Warrants (subject to the Blocker) held by, the Empery Funds. The foregoing should not be construed in and of itself as an admission by any Reporting Person as to beneficial ownership of the Common Stock owned by another Reporting Person. Each of the Empery Funds and the Reporting Individuals hereby disclaims any beneficial ownership of any such Common Stock.</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8" w:orient="portrait"/>
          <w:cols w:equalWidth="0" w:num="1">
            <w:col w:w="11140"/>
          </w:cols>
          <w:pgMar w:left="360" w:top="112"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9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Empery Asset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M. Lane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Empery AM GP, LLC, its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Ryan M. Lane, its Managing Member</w:t>
      </w:r>
    </w:p>
    <w:p>
      <w:pPr>
        <w:sectPr>
          <w:pgSz w:w="11900" w:h="16898" w:orient="portrait"/>
          <w:cols w:equalWidth="0" w:num="1">
            <w:col w:w="11140"/>
          </w:cols>
          <w:pgMar w:left="360" w:top="112" w:right="399" w:bottom="0" w:gutter="0" w:footer="0" w:header="0"/>
          <w:type w:val="continuous"/>
        </w:sectPr>
      </w:pPr>
    </w:p>
    <w:bookmarkStart w:id="5" w:name="page6"/>
    <w:bookmarkEnd w:id="5"/>
    <w:p>
      <w:pPr>
        <w:jc w:val="both"/>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Ryan M. Lane</w:t>
      </w:r>
    </w:p>
    <w:p>
      <w:pPr>
        <w:spacing w:after="0" w:line="152"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M. Lane</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Ryan M. Lane, individually</w:t>
      </w:r>
    </w:p>
    <w:p>
      <w:pPr>
        <w:spacing w:after="0" w:line="44"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Martin D. Hoe</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Martin D. Hoe</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Martin D. Hoe, individually</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07/31/2025</w:t>
      </w:r>
    </w:p>
    <w:sectPr>
      <w:pgSz w:w="11900" w:h="16838" w:orient="portrait"/>
      <w:cols w:equalWidth="0" w:num="1">
        <w:col w:w="9019"/>
      </w:cols>
      <w:pgMar w:left="14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2025-07-31T15:42:38Z</dcterms:created>
  <dcterms:modified xsi:type="dcterms:W3CDTF">2025-07-31T15:42:38Z</dcterms:modified>
</cp:coreProperties>
</file>